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B1C09">
      <w:pPr>
        <w:pStyle w:val="25"/>
        <w:ind w:firstLine="5"/>
        <w:jc w:val="center"/>
        <w:rPr>
          <w:rFonts w:hAnsi="宋体"/>
          <w:color w:val="auto"/>
          <w:spacing w:val="30"/>
          <w:kern w:val="52"/>
          <w:sz w:val="72"/>
          <w:szCs w:val="72"/>
          <w:highlight w:val="none"/>
        </w:rPr>
      </w:pPr>
    </w:p>
    <w:p w14:paraId="4696F677">
      <w:pPr>
        <w:pStyle w:val="25"/>
        <w:jc w:val="both"/>
        <w:rPr>
          <w:rFonts w:hAnsi="宋体"/>
          <w:color w:val="auto"/>
          <w:spacing w:val="30"/>
          <w:kern w:val="52"/>
          <w:sz w:val="72"/>
          <w:szCs w:val="72"/>
          <w:highlight w:val="none"/>
        </w:rPr>
      </w:pPr>
    </w:p>
    <w:p w14:paraId="3AB4692A">
      <w:pPr>
        <w:pStyle w:val="6"/>
        <w:jc w:val="center"/>
        <w:rPr>
          <w:rFonts w:ascii="宋体" w:hAnsi="宋体" w:cs="宋体"/>
          <w:color w:val="auto"/>
          <w:highlight w:val="none"/>
        </w:rPr>
      </w:pPr>
      <w:r>
        <w:rPr>
          <w:rFonts w:hint="eastAsia" w:cs="宋体"/>
          <w:b/>
          <w:color w:val="auto"/>
          <w:sz w:val="84"/>
          <w:szCs w:val="84"/>
          <w:highlight w:val="none"/>
        </w:rPr>
        <w:drawing>
          <wp:inline distT="0" distB="0" distL="114300" distR="114300">
            <wp:extent cx="2811145" cy="1139190"/>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811145" cy="1139190"/>
                    </a:xfrm>
                    <a:prstGeom prst="rect">
                      <a:avLst/>
                    </a:prstGeom>
                    <a:noFill/>
                    <a:ln w="9525">
                      <a:noFill/>
                    </a:ln>
                  </pic:spPr>
                </pic:pic>
              </a:graphicData>
            </a:graphic>
          </wp:inline>
        </w:drawing>
      </w:r>
    </w:p>
    <w:p w14:paraId="24456E3E">
      <w:pPr>
        <w:rPr>
          <w:color w:val="auto"/>
          <w:highlight w:val="none"/>
        </w:rPr>
      </w:pPr>
    </w:p>
    <w:p w14:paraId="77AE2A64">
      <w:pPr>
        <w:pStyle w:val="25"/>
        <w:jc w:val="center"/>
        <w:rPr>
          <w:rFonts w:hAnsi="宋体"/>
          <w:b/>
          <w:bCs/>
          <w:color w:val="auto"/>
          <w:spacing w:val="-18"/>
          <w:sz w:val="96"/>
          <w:szCs w:val="96"/>
          <w:highlight w:val="none"/>
        </w:rPr>
      </w:pPr>
      <w:r>
        <w:rPr>
          <w:rFonts w:hint="eastAsia" w:ascii="黑体" w:hAnsi="宋体" w:eastAsia="黑体"/>
          <w:b/>
          <w:bCs/>
          <w:color w:val="auto"/>
          <w:sz w:val="72"/>
          <w:szCs w:val="24"/>
          <w:highlight w:val="none"/>
        </w:rPr>
        <w:t>竞争性磋商采购文件</w:t>
      </w:r>
    </w:p>
    <w:p w14:paraId="6711E44B">
      <w:pPr>
        <w:rPr>
          <w:color w:val="auto"/>
          <w:highlight w:val="none"/>
        </w:rPr>
      </w:pPr>
    </w:p>
    <w:p w14:paraId="2834753E">
      <w:pPr>
        <w:snapToGrid w:val="0"/>
        <w:spacing w:beforeLines="50" w:line="500" w:lineRule="exact"/>
        <w:jc w:val="center"/>
        <w:rPr>
          <w:rFonts w:ascii="宋体" w:hAnsi="宋体" w:cs="宋体"/>
          <w:b/>
          <w:bCs/>
          <w:color w:val="auto"/>
          <w:sz w:val="30"/>
          <w:szCs w:val="30"/>
          <w:highlight w:val="none"/>
        </w:rPr>
      </w:pPr>
    </w:p>
    <w:p w14:paraId="00711B21">
      <w:pPr>
        <w:snapToGrid w:val="0"/>
        <w:spacing w:beforeLines="50" w:line="500" w:lineRule="exact"/>
        <w:rPr>
          <w:rFonts w:ascii="宋体" w:hAnsi="宋体" w:cs="宋体"/>
          <w:b/>
          <w:bCs/>
          <w:color w:val="auto"/>
          <w:sz w:val="32"/>
          <w:szCs w:val="32"/>
          <w:highlight w:val="none"/>
        </w:rPr>
      </w:pPr>
      <w:bookmarkStart w:id="0" w:name="_Toc28333"/>
      <w:bookmarkStart w:id="1" w:name="_Toc22473"/>
      <w:bookmarkStart w:id="2" w:name="_Toc23774"/>
    </w:p>
    <w:p w14:paraId="1CB4FD59">
      <w:pPr>
        <w:snapToGrid w:val="0"/>
        <w:spacing w:beforeLines="50" w:line="500" w:lineRule="exact"/>
        <w:ind w:firstLine="964" w:firstLineChars="300"/>
        <w:outlineLvl w:val="0"/>
        <w:rPr>
          <w:rFonts w:ascii="宋体" w:hAnsi="宋体" w:cs="宋体"/>
          <w:b/>
          <w:bCs/>
          <w:color w:val="auto"/>
          <w:sz w:val="32"/>
          <w:szCs w:val="32"/>
          <w:highlight w:val="none"/>
        </w:rPr>
      </w:pPr>
      <w:bookmarkStart w:id="3" w:name="_Toc10647"/>
      <w:bookmarkStart w:id="4" w:name="_Toc17481"/>
      <w:bookmarkStart w:id="5" w:name="_Toc25044"/>
      <w:r>
        <w:rPr>
          <w:rFonts w:hint="eastAsia" w:ascii="宋体" w:hAnsi="宋体" w:cs="宋体"/>
          <w:b/>
          <w:bCs/>
          <w:color w:val="auto"/>
          <w:sz w:val="32"/>
          <w:szCs w:val="32"/>
          <w:highlight w:val="none"/>
        </w:rPr>
        <w:t>项目名称：</w:t>
      </w:r>
      <w:bookmarkEnd w:id="0"/>
      <w:bookmarkEnd w:id="1"/>
      <w:bookmarkEnd w:id="2"/>
      <w:bookmarkEnd w:id="3"/>
      <w:bookmarkEnd w:id="4"/>
      <w:bookmarkEnd w:id="5"/>
      <w:bookmarkStart w:id="6" w:name="_Toc26344"/>
      <w:bookmarkStart w:id="7" w:name="_Toc19812"/>
      <w:bookmarkStart w:id="8" w:name="_Toc11558"/>
      <w:r>
        <w:rPr>
          <w:rFonts w:hint="eastAsia" w:ascii="宋体" w:hAnsi="宋体" w:cs="宋体"/>
          <w:b/>
          <w:bCs/>
          <w:color w:val="auto"/>
          <w:sz w:val="32"/>
          <w:szCs w:val="32"/>
          <w:highlight w:val="none"/>
          <w:lang w:eastAsia="zh-CN"/>
        </w:rPr>
        <w:t>桂平市2025年平坡至雅英岭等12个安防工程项目</w:t>
      </w:r>
    </w:p>
    <w:p w14:paraId="16A57994">
      <w:pPr>
        <w:snapToGrid w:val="0"/>
        <w:spacing w:beforeLines="50" w:line="500" w:lineRule="exact"/>
        <w:ind w:firstLine="964" w:firstLineChars="300"/>
        <w:outlineLvl w:val="0"/>
        <w:rPr>
          <w:rFonts w:ascii="宋体" w:hAnsi="宋体" w:cs="宋体"/>
          <w:b/>
          <w:bCs/>
          <w:color w:val="auto"/>
          <w:sz w:val="32"/>
          <w:szCs w:val="32"/>
          <w:highlight w:val="none"/>
        </w:rPr>
      </w:pPr>
      <w:bookmarkStart w:id="9" w:name="_Toc22695"/>
      <w:bookmarkStart w:id="10" w:name="_Toc27148"/>
      <w:bookmarkStart w:id="11" w:name="_Toc22481"/>
      <w:r>
        <w:rPr>
          <w:rFonts w:hint="eastAsia" w:ascii="宋体" w:hAnsi="宋体" w:cs="宋体"/>
          <w:b/>
          <w:bCs/>
          <w:color w:val="auto"/>
          <w:sz w:val="32"/>
          <w:szCs w:val="32"/>
          <w:highlight w:val="none"/>
        </w:rPr>
        <w:t>项目编号：</w:t>
      </w:r>
      <w:bookmarkEnd w:id="6"/>
      <w:bookmarkEnd w:id="7"/>
      <w:bookmarkEnd w:id="8"/>
      <w:bookmarkEnd w:id="9"/>
      <w:bookmarkEnd w:id="10"/>
      <w:bookmarkEnd w:id="11"/>
      <w:r>
        <w:rPr>
          <w:rFonts w:hint="eastAsia" w:ascii="宋体" w:hAnsi="宋体" w:cs="宋体"/>
          <w:b/>
          <w:bCs/>
          <w:color w:val="auto"/>
          <w:sz w:val="32"/>
          <w:szCs w:val="32"/>
          <w:highlight w:val="none"/>
          <w:lang w:eastAsia="zh-CN"/>
        </w:rPr>
        <w:t>GGZC2025-C2-810232-GXZL</w:t>
      </w:r>
    </w:p>
    <w:p w14:paraId="25A28F0B">
      <w:pPr>
        <w:pStyle w:val="5"/>
        <w:jc w:val="both"/>
        <w:rPr>
          <w:rFonts w:ascii="宋体" w:hAnsi="宋体" w:cs="宋体"/>
          <w:b w:val="0"/>
          <w:bCs/>
          <w:color w:val="auto"/>
          <w:sz w:val="32"/>
          <w:szCs w:val="32"/>
          <w:highlight w:val="none"/>
        </w:rPr>
      </w:pPr>
    </w:p>
    <w:p w14:paraId="50D500C0">
      <w:pPr>
        <w:pStyle w:val="6"/>
        <w:rPr>
          <w:color w:val="auto"/>
          <w:highlight w:val="none"/>
        </w:rPr>
      </w:pPr>
    </w:p>
    <w:p w14:paraId="4E1BC508">
      <w:pPr>
        <w:rPr>
          <w:rFonts w:ascii="宋体" w:hAnsi="宋体"/>
          <w:color w:val="auto"/>
          <w:highlight w:val="none"/>
        </w:rPr>
      </w:pPr>
    </w:p>
    <w:p w14:paraId="56F4FACC">
      <w:pPr>
        <w:rPr>
          <w:rFonts w:ascii="宋体" w:hAnsi="宋体"/>
          <w:color w:val="auto"/>
          <w:highlight w:val="none"/>
        </w:rPr>
      </w:pPr>
    </w:p>
    <w:p w14:paraId="38B67EBE">
      <w:pPr>
        <w:rPr>
          <w:rFonts w:ascii="宋体" w:hAnsi="宋体"/>
          <w:color w:val="auto"/>
          <w:highlight w:val="none"/>
        </w:rPr>
      </w:pPr>
    </w:p>
    <w:p w14:paraId="538AAA83">
      <w:pPr>
        <w:snapToGrid w:val="0"/>
        <w:spacing w:beforeLines="50" w:line="400" w:lineRule="atLeast"/>
        <w:jc w:val="center"/>
        <w:rPr>
          <w:rFonts w:hint="eastAsia" w:ascii="宋体" w:hAnsi="宋体" w:eastAsia="宋体" w:cs="宋体"/>
          <w:b/>
          <w:bCs/>
          <w:color w:val="auto"/>
          <w:sz w:val="30"/>
          <w:szCs w:val="30"/>
          <w:highlight w:val="none"/>
          <w:lang w:eastAsia="zh-CN"/>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-109855</wp:posOffset>
                </wp:positionH>
                <wp:positionV relativeFrom="paragraph">
                  <wp:posOffset>78740</wp:posOffset>
                </wp:positionV>
                <wp:extent cx="6076950" cy="0"/>
                <wp:effectExtent l="0" t="0" r="0" b="0"/>
                <wp:wrapNone/>
                <wp:docPr id="3" name="自选图形 3"/>
                <wp:cNvGraphicFramePr/>
                <a:graphic xmlns:a="http://schemas.openxmlformats.org/drawingml/2006/main">
                  <a:graphicData uri="http://schemas.microsoft.com/office/word/2010/wordprocessingShape">
                    <wps:wsp>
                      <wps:cNvCnPr/>
                      <wps:spPr>
                        <a:xfrm>
                          <a:off x="0" y="0"/>
                          <a:ext cx="607695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3" o:spid="_x0000_s1026" o:spt="32" type="#_x0000_t32" style="position:absolute;left:0pt;margin-left:-8.65pt;margin-top:6.2pt;height:0pt;width:478.5pt;z-index:251659264;mso-width-relative:page;mso-height-relative:page;" filled="f" stroked="t" coordsize="21600,21600" o:gfxdata="UEsDBAoAAAAAAIdO4kAAAAAAAAAAAAAAAAAEAAAAZHJzL1BLAwQUAAAACACHTuJAdIF4m9cAAAAJ&#10;AQAADwAAAGRycy9kb3ducmV2LnhtbE2PwU7DMAyG70i8Q2QkLmhL2gFbS9MJIXHgyDaJa9Z4baFx&#10;qiZdx54eIw7jaP+ffn8u1ifXiSMOofWkIZkrEEiVty3VGnbb19kKRIiGrOk8oYZvDLAur68Kk1s/&#10;0TseN7EWXEIhNxqaGPtcylA16EyY+x6Js4MfnIk8DrW0g5m43HUyVepROtMSX2hMjy8NVl+b0WnA&#10;MD4k6jlz9e7tPN19pOfPqd9qfXuTqCcQEU/xAsOvPqtDyU57P5INotMwS5YLRjlI70EwkC2yJYj9&#10;30KWhfz/QfkDUEsDBBQAAAAIAIdO4kCDa2Tu+gEAAPEDAAAOAAAAZHJzL2Uyb0RvYy54bWytU0uO&#10;EzEQ3SNxB8t70klGCUwrnVkkDBsEkYADVNzubkv+yeVJJzt2iDOwY8kd4DYjwS0ouzNhPpss6IW7&#10;yq56Ve+5vLjaG812MqBytuKT0ZgzaYWrlW0r/unj9YtXnGEEW4N2Vlb8IJFfLZ8/W/S+lFPXOV3L&#10;wAjEYtn7incx+rIoUHTSAI6cl5YOGxcMRHJDW9QBekI3upiOx/Oid6H2wQmJSLvr4ZAfEcM5gK5p&#10;lJBrJ26MtHFADVJDJErYKY98mbttGini+6ZBGZmuODGNeaUiZG/TWiwXULYBfKfEsQU4p4VHnAwo&#10;S0VPUGuIwG6CegJllAgOXRNHwpliIJIVIRaT8SNtPnTgZeZCUqM/iY7/D1a8220CU3XFLzizYOjC&#10;f3/58efz19tvv25/fmcXSaHeY0mBK7sJRw/9JiS6+yaY9CcibJ9VPZxUlfvIBG3Oxy/nlzMSXNyd&#10;Ff8SfcD4RjrDklFxjAFU28WVs5buzoVJVhV2bzFSaUq8S0hVtWV9xS9n0xmBA81iQzNApvHEB22b&#10;c9FpVV8rrVMGhna70oHtIM1D/hJBwn0QloqsAbshLh8Nk9JJqF/bmsWDJ6UsPRCeWjCy5kxLek/J&#10;IkAoIyh9TiSV1jYlyDytR55J8UHjZG1dfcjSF8mjScgdH6c2jdp9n+z7L3X5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SBeJvXAAAACQEAAA8AAAAAAAAAAQAgAAAAIgAAAGRycy9kb3ducmV2Lnht&#10;bFBLAQIUABQAAAAIAIdO4kCDa2Tu+gEAAPEDAAAOAAAAAAAAAAEAIAAAACYBAABkcnMvZTJvRG9j&#10;LnhtbFBLBQYAAAAABgAGAFkBAACSBQAAAAA=&#10;">
                <v:fill on="f" focussize="0,0"/>
                <v:stroke color="#000000" joinstyle="round"/>
                <v:imagedata o:title=""/>
                <o:lock v:ext="edit" aspectratio="f"/>
              </v:shape>
            </w:pict>
          </mc:Fallback>
        </mc:AlternateContent>
      </w:r>
      <w:r>
        <w:rPr>
          <w:rFonts w:hint="eastAsia" w:ascii="宋体" w:hAnsi="宋体" w:cs="宋体"/>
          <w:b/>
          <w:bCs/>
          <w:color w:val="auto"/>
          <w:sz w:val="30"/>
          <w:szCs w:val="30"/>
          <w:highlight w:val="none"/>
        </w:rPr>
        <w:t>采购单位：</w:t>
      </w:r>
      <w:r>
        <w:rPr>
          <w:rFonts w:hint="eastAsia" w:ascii="宋体" w:hAnsi="宋体" w:cs="宋体"/>
          <w:b/>
          <w:bCs/>
          <w:color w:val="auto"/>
          <w:sz w:val="30"/>
          <w:szCs w:val="30"/>
          <w:highlight w:val="none"/>
          <w:lang w:eastAsia="zh-CN"/>
        </w:rPr>
        <w:t xml:space="preserve">桂平市公路管理所 </w:t>
      </w:r>
    </w:p>
    <w:p w14:paraId="34444625">
      <w:pPr>
        <w:snapToGrid w:val="0"/>
        <w:spacing w:beforeLines="50" w:line="400" w:lineRule="atLeast"/>
        <w:jc w:val="center"/>
        <w:outlineLvl w:val="0"/>
        <w:rPr>
          <w:rFonts w:ascii="宋体" w:hAnsi="宋体" w:cs="宋体"/>
          <w:b/>
          <w:bCs/>
          <w:color w:val="auto"/>
          <w:sz w:val="30"/>
          <w:szCs w:val="30"/>
          <w:highlight w:val="none"/>
        </w:rPr>
      </w:pPr>
      <w:bookmarkStart w:id="12" w:name="_Toc3663"/>
      <w:bookmarkStart w:id="13" w:name="_Toc19431"/>
      <w:bookmarkStart w:id="14" w:name="_Toc30372"/>
      <w:bookmarkStart w:id="15" w:name="_Toc26184"/>
      <w:bookmarkStart w:id="16" w:name="_Toc10386"/>
      <w:bookmarkStart w:id="17" w:name="_Toc12126"/>
      <w:r>
        <w:rPr>
          <w:rFonts w:hint="eastAsia" w:ascii="宋体" w:hAnsi="宋体" w:cs="宋体"/>
          <w:b/>
          <w:bCs/>
          <w:color w:val="auto"/>
          <w:sz w:val="30"/>
          <w:szCs w:val="30"/>
          <w:highlight w:val="none"/>
        </w:rPr>
        <w:t>采购代理机构：</w:t>
      </w:r>
      <w:bookmarkEnd w:id="12"/>
      <w:bookmarkEnd w:id="13"/>
      <w:bookmarkEnd w:id="14"/>
      <w:bookmarkEnd w:id="15"/>
      <w:bookmarkEnd w:id="16"/>
      <w:r>
        <w:rPr>
          <w:rFonts w:hint="eastAsia" w:ascii="宋体" w:hAnsi="宋体" w:cs="宋体"/>
          <w:b/>
          <w:bCs/>
          <w:color w:val="auto"/>
          <w:sz w:val="30"/>
          <w:szCs w:val="30"/>
          <w:highlight w:val="none"/>
          <w:lang w:eastAsia="zh-CN"/>
        </w:rPr>
        <w:t>广西众联工程项目管理有限公司</w:t>
      </w:r>
      <w:bookmarkEnd w:id="17"/>
    </w:p>
    <w:p w14:paraId="222410B2">
      <w:pPr>
        <w:snapToGrid w:val="0"/>
        <w:spacing w:beforeLines="50" w:line="400" w:lineRule="atLeast"/>
        <w:jc w:val="center"/>
        <w:rPr>
          <w:rFonts w:ascii="宋体" w:hAnsi="宋体" w:cs="宋体"/>
          <w:b/>
          <w:bCs/>
          <w:color w:val="auto"/>
          <w:sz w:val="30"/>
          <w:szCs w:val="30"/>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567" w:gutter="0"/>
          <w:pgNumType w:start="0"/>
          <w:cols w:space="720" w:num="1"/>
          <w:titlePg/>
          <w:docGrid w:type="lines" w:linePitch="312" w:charSpace="0"/>
        </w:sectPr>
      </w:pPr>
      <w:r>
        <w:rPr>
          <w:rFonts w:hint="eastAsia" w:ascii="宋体" w:hAnsi="宋体" w:cs="宋体"/>
          <w:b/>
          <w:bCs/>
          <w:color w:val="auto"/>
          <w:sz w:val="30"/>
          <w:szCs w:val="30"/>
          <w:highlight w:val="none"/>
        </w:rPr>
        <w:t>202</w:t>
      </w:r>
      <w:r>
        <w:rPr>
          <w:rFonts w:hint="eastAsia" w:ascii="宋体" w:hAnsi="宋体" w:cs="宋体"/>
          <w:b/>
          <w:bCs/>
          <w:color w:val="auto"/>
          <w:sz w:val="30"/>
          <w:szCs w:val="30"/>
          <w:highlight w:val="none"/>
          <w:lang w:val="en-US" w:eastAsia="zh-CN"/>
        </w:rPr>
        <w:t>5</w:t>
      </w:r>
      <w:r>
        <w:rPr>
          <w:rFonts w:hint="eastAsia" w:ascii="宋体" w:hAnsi="宋体" w:cs="宋体"/>
          <w:b/>
          <w:bCs/>
          <w:color w:val="auto"/>
          <w:sz w:val="30"/>
          <w:szCs w:val="30"/>
          <w:highlight w:val="none"/>
        </w:rPr>
        <w:t>年</w:t>
      </w:r>
      <w:r>
        <w:rPr>
          <w:rFonts w:hint="eastAsia" w:ascii="宋体" w:hAnsi="宋体" w:cs="宋体"/>
          <w:b/>
          <w:bCs/>
          <w:color w:val="auto"/>
          <w:sz w:val="30"/>
          <w:szCs w:val="30"/>
          <w:highlight w:val="none"/>
          <w:lang w:val="en-US" w:eastAsia="zh-CN"/>
        </w:rPr>
        <w:t>11</w:t>
      </w:r>
      <w:r>
        <w:rPr>
          <w:rFonts w:hint="eastAsia" w:ascii="宋体" w:hAnsi="宋体" w:cs="宋体"/>
          <w:b/>
          <w:bCs/>
          <w:color w:val="auto"/>
          <w:sz w:val="30"/>
          <w:szCs w:val="30"/>
          <w:highlight w:val="none"/>
        </w:rPr>
        <w:t>月</w:t>
      </w:r>
    </w:p>
    <w:sdt>
      <w:sdtPr>
        <w:rPr>
          <w:rFonts w:ascii="宋体" w:hAnsi="宋体"/>
          <w:color w:val="auto"/>
          <w:sz w:val="48"/>
          <w:szCs w:val="48"/>
          <w:highlight w:val="none"/>
        </w:rPr>
        <w:id w:val="147475236"/>
      </w:sdtPr>
      <w:sdtEndPr>
        <w:rPr>
          <w:rFonts w:ascii="宋体" w:hAnsi="宋体"/>
          <w:color w:val="auto"/>
          <w:sz w:val="48"/>
          <w:szCs w:val="48"/>
          <w:highlight w:val="none"/>
        </w:rPr>
      </w:sdtEndPr>
      <w:sdtContent>
        <w:p w14:paraId="1B74E50C">
          <w:pPr>
            <w:jc w:val="center"/>
            <w:rPr>
              <w:color w:val="auto"/>
              <w:sz w:val="48"/>
              <w:szCs w:val="48"/>
              <w:highlight w:val="none"/>
            </w:rPr>
          </w:pPr>
          <w:bookmarkStart w:id="18" w:name="_Toc14788"/>
          <w:bookmarkStart w:id="19" w:name="_Toc8901"/>
          <w:bookmarkStart w:id="20" w:name="_Toc27845"/>
          <w:bookmarkStart w:id="21" w:name="_Toc22939"/>
          <w:r>
            <w:rPr>
              <w:rFonts w:ascii="宋体" w:hAnsi="宋体"/>
              <w:color w:val="auto"/>
              <w:sz w:val="48"/>
              <w:szCs w:val="48"/>
              <w:highlight w:val="none"/>
            </w:rPr>
            <w:t>目</w:t>
          </w:r>
          <w:r>
            <w:rPr>
              <w:rFonts w:hint="eastAsia" w:ascii="宋体" w:hAnsi="宋体"/>
              <w:color w:val="auto"/>
              <w:sz w:val="48"/>
              <w:szCs w:val="48"/>
              <w:highlight w:val="none"/>
              <w:lang w:val="en-US" w:eastAsia="zh-CN"/>
            </w:rPr>
            <w:t xml:space="preserve"> </w:t>
          </w:r>
          <w:r>
            <w:rPr>
              <w:rFonts w:ascii="宋体" w:hAnsi="宋体"/>
              <w:color w:val="auto"/>
              <w:sz w:val="48"/>
              <w:szCs w:val="48"/>
              <w:highlight w:val="none"/>
            </w:rPr>
            <w:t>录</w:t>
          </w:r>
        </w:p>
        <w:p w14:paraId="28174090">
          <w:pPr>
            <w:pStyle w:val="33"/>
            <w:tabs>
              <w:tab w:val="right" w:leader="dot" w:pos="9880"/>
            </w:tabs>
            <w:rPr>
              <w:color w:val="auto"/>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p>
        <w:p w14:paraId="75679AC5">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_Toc6414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第一章</w:t>
          </w:r>
          <w:r>
            <w:rPr>
              <w:rFonts w:hint="eastAsia" w:asciiTheme="minorEastAsia" w:hAnsiTheme="minorEastAsia" w:eastAsiaTheme="minorEastAsia" w:cstheme="minorEastAsia"/>
              <w:b w:val="0"/>
              <w:bCs w:val="0"/>
              <w:color w:val="auto"/>
              <w:sz w:val="28"/>
              <w:szCs w:val="28"/>
              <w:highlight w:val="none"/>
              <w:lang w:val="en-US" w:eastAsia="zh-CN"/>
            </w:rPr>
            <w:t xml:space="preserve"> </w:t>
          </w:r>
          <w:r>
            <w:rPr>
              <w:rFonts w:hint="eastAsia" w:asciiTheme="minorEastAsia" w:hAnsiTheme="minorEastAsia" w:eastAsiaTheme="minorEastAsia" w:cstheme="minorEastAsia"/>
              <w:b w:val="0"/>
              <w:bCs w:val="0"/>
              <w:color w:val="auto"/>
              <w:sz w:val="28"/>
              <w:szCs w:val="28"/>
              <w:highlight w:val="none"/>
            </w:rPr>
            <w:t>竞争性磋商采购公告</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_Toc6414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3</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02E2EBBF">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_Toc30316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第二章 供应商须知</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_Toc30316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6</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053AD94F">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_Toc29282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第三章 项目需求</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_Toc29282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24</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56E784AB">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_Toc32212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第四章 工程量清单</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_Toc32212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25</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695ECDA2">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_Toc27698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第五章 评审程序、评审方法和评审标准</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_Toc27698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26</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3D5D39CA">
          <w:pPr>
            <w:pStyle w:val="33"/>
            <w:tabs>
              <w:tab w:val="right" w:leader="dot" w:pos="9880"/>
            </w:tabs>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_Toc745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第六章 响应文件格式</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_Toc745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38</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2F2CDE8D">
          <w:pPr>
            <w:pStyle w:val="33"/>
            <w:tabs>
              <w:tab w:val="right" w:leader="dot" w:pos="9880"/>
            </w:tabs>
            <w:rPr>
              <w:color w:val="auto"/>
              <w:highlight w:val="none"/>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HYPERLINK \l _Toc7547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第七章 合同文本</w:t>
          </w:r>
          <w:r>
            <w:rPr>
              <w:rFonts w:hint="eastAsia" w:asciiTheme="minorEastAsia" w:hAnsiTheme="minorEastAsia" w:eastAsiaTheme="minorEastAsia" w:cstheme="minorEastAsia"/>
              <w:b w:val="0"/>
              <w:bCs w:val="0"/>
              <w:color w:val="auto"/>
              <w:sz w:val="28"/>
              <w:szCs w:val="28"/>
              <w:highlight w:val="none"/>
            </w:rPr>
            <w:tab/>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 PAGEREF _Toc7547 \h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t>72</w:t>
          </w:r>
          <w:r>
            <w:rPr>
              <w:rFonts w:hint="eastAsia" w:asciiTheme="minorEastAsia" w:hAnsiTheme="minorEastAsia" w:eastAsiaTheme="minorEastAsia" w:cstheme="minorEastAsia"/>
              <w:b w:val="0"/>
              <w:bCs w:val="0"/>
              <w:color w:val="auto"/>
              <w:sz w:val="28"/>
              <w:szCs w:val="28"/>
              <w:highlight w:val="none"/>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14:paraId="1A4A4B32">
          <w:pPr>
            <w:pStyle w:val="33"/>
            <w:tabs>
              <w:tab w:val="right" w:leader="dot" w:pos="9880"/>
            </w:tabs>
            <w:rPr>
              <w:color w:val="auto"/>
              <w:highlight w:val="none"/>
            </w:rPr>
          </w:pPr>
        </w:p>
        <w:p w14:paraId="5BF5DA60">
          <w:pPr>
            <w:rPr>
              <w:color w:val="auto"/>
              <w:highlight w:val="none"/>
            </w:rPr>
          </w:pPr>
          <w:r>
            <w:rPr>
              <w:color w:val="auto"/>
              <w:highlight w:val="none"/>
            </w:rPr>
            <w:fldChar w:fldCharType="end"/>
          </w:r>
        </w:p>
      </w:sdtContent>
    </w:sdt>
    <w:p w14:paraId="4399F76B">
      <w:pPr>
        <w:rPr>
          <w:color w:val="auto"/>
          <w:highlight w:val="none"/>
        </w:rPr>
      </w:pPr>
      <w:r>
        <w:rPr>
          <w:rFonts w:hint="eastAsia"/>
          <w:color w:val="auto"/>
          <w:highlight w:val="none"/>
        </w:rPr>
        <w:br w:type="page"/>
      </w:r>
    </w:p>
    <w:p w14:paraId="500CB363">
      <w:pPr>
        <w:pStyle w:val="2"/>
        <w:numPr>
          <w:ilvl w:val="0"/>
          <w:numId w:val="0"/>
        </w:numPr>
        <w:jc w:val="center"/>
        <w:rPr>
          <w:color w:val="auto"/>
          <w:highlight w:val="none"/>
        </w:rPr>
      </w:pPr>
      <w:bookmarkStart w:id="22" w:name="_Toc6414"/>
      <w:r>
        <w:rPr>
          <w:rFonts w:hint="eastAsia"/>
          <w:color w:val="auto"/>
          <w:highlight w:val="none"/>
        </w:rPr>
        <w:t>第一章</w:t>
      </w:r>
      <w:r>
        <w:rPr>
          <w:rFonts w:hint="eastAsia"/>
          <w:color w:val="auto"/>
          <w:highlight w:val="none"/>
          <w:lang w:val="en-US" w:eastAsia="zh-CN"/>
        </w:rPr>
        <w:t xml:space="preserve"> </w:t>
      </w:r>
      <w:r>
        <w:rPr>
          <w:rFonts w:hint="eastAsia"/>
          <w:color w:val="auto"/>
          <w:highlight w:val="none"/>
        </w:rPr>
        <w:t>竞争性磋商公告</w:t>
      </w:r>
      <w:bookmarkEnd w:id="18"/>
      <w:bookmarkEnd w:id="19"/>
      <w:bookmarkEnd w:id="20"/>
      <w:bookmarkEnd w:id="22"/>
    </w:p>
    <w:p w14:paraId="6323DADF">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广西众联工程项目管理有限公司关于桂平市2025年平坡至雅英岭等12个安防工程项目（GGZC2025-C2-810232-GXZL）竞争性磋商公告</w:t>
      </w:r>
    </w:p>
    <w:p w14:paraId="01925A5B">
      <w:pPr>
        <w:rPr>
          <w:rFonts w:ascii="宋体" w:hAnsi="宋体" w:cs="宋体"/>
          <w:color w:val="auto"/>
          <w:highlight w:val="none"/>
        </w:rPr>
      </w:pPr>
    </w:p>
    <w:p w14:paraId="09F59D26">
      <w:pPr>
        <w:pBdr>
          <w:top w:val="single" w:color="auto" w:sz="4" w:space="1"/>
          <w:left w:val="single" w:color="auto" w:sz="4" w:space="4"/>
          <w:bottom w:val="single" w:color="auto" w:sz="4" w:space="1"/>
          <w:right w:val="single" w:color="auto" w:sz="4" w:space="4"/>
        </w:pBdr>
        <w:rPr>
          <w:rFonts w:ascii="宋体" w:hAnsi="宋体" w:cs="宋体"/>
          <w:color w:val="auto"/>
          <w:highlight w:val="none"/>
        </w:rPr>
      </w:pPr>
      <w:bookmarkStart w:id="23" w:name="OLE_LINK4"/>
      <w:bookmarkStart w:id="24" w:name="OLE_LINK2"/>
      <w:r>
        <w:rPr>
          <w:rFonts w:hint="eastAsia" w:ascii="宋体" w:hAnsi="宋体" w:cs="宋体"/>
          <w:color w:val="auto"/>
          <w:highlight w:val="none"/>
        </w:rPr>
        <w:t>项目概况</w:t>
      </w:r>
    </w:p>
    <w:p w14:paraId="68D69804">
      <w:pPr>
        <w:pBdr>
          <w:top w:val="single" w:color="auto" w:sz="4" w:space="1"/>
          <w:left w:val="single" w:color="auto" w:sz="4" w:space="4"/>
          <w:bottom w:val="single" w:color="auto" w:sz="4" w:space="1"/>
          <w:right w:val="single" w:color="auto" w:sz="4" w:space="4"/>
        </w:pBdr>
        <w:ind w:firstLine="420" w:firstLineChars="200"/>
        <w:rPr>
          <w:rFonts w:ascii="宋体" w:hAnsi="宋体" w:cs="宋体"/>
          <w:color w:val="auto"/>
          <w:highlight w:val="none"/>
        </w:rPr>
      </w:pPr>
      <w:r>
        <w:rPr>
          <w:rFonts w:hint="eastAsia" w:ascii="宋体" w:hAnsi="宋体" w:cs="宋体"/>
          <w:color w:val="auto"/>
          <w:highlight w:val="none"/>
          <w:lang w:eastAsia="zh-CN"/>
        </w:rPr>
        <w:t>桂平市2025年平坡至雅英岭等12个安防工程项目</w:t>
      </w:r>
      <w:r>
        <w:rPr>
          <w:rFonts w:hint="eastAsia" w:ascii="宋体" w:hAnsi="宋体" w:cs="宋体"/>
          <w:color w:val="auto"/>
          <w:highlight w:val="none"/>
        </w:rPr>
        <w:t>（</w:t>
      </w:r>
      <w:r>
        <w:rPr>
          <w:rFonts w:hint="eastAsia" w:ascii="宋体" w:hAnsi="宋体" w:cs="宋体"/>
          <w:color w:val="auto"/>
          <w:highlight w:val="none"/>
          <w:lang w:eastAsia="zh-CN"/>
        </w:rPr>
        <w:t>GGZC2025-C2-810232-GXZL</w:t>
      </w:r>
      <w:r>
        <w:rPr>
          <w:rFonts w:hint="eastAsia" w:ascii="宋体" w:hAnsi="宋体" w:cs="宋体"/>
          <w:color w:val="auto"/>
          <w:highlight w:val="none"/>
        </w:rPr>
        <w:t>）项目的潜在供应商应在广西政府采购云平台（https://www.gcy.zfcg.gxzf.gov.cn/）获取采购文件，并于</w:t>
      </w:r>
      <w:r>
        <w:rPr>
          <w:rFonts w:hint="eastAsia" w:ascii="宋体" w:hAnsi="宋体" w:cs="宋体"/>
          <w:color w:val="auto"/>
          <w:highlight w:val="none"/>
          <w:lang w:eastAsia="zh-CN"/>
        </w:rPr>
        <w:t>2025年</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24</w:t>
      </w:r>
      <w:r>
        <w:rPr>
          <w:rFonts w:hint="eastAsia" w:ascii="宋体" w:hAnsi="宋体" w:cs="宋体"/>
          <w:color w:val="auto"/>
          <w:highlight w:val="none"/>
          <w:lang w:eastAsia="zh-CN"/>
        </w:rPr>
        <w:t>日</w:t>
      </w:r>
      <w:r>
        <w:rPr>
          <w:rFonts w:hint="eastAsia" w:ascii="宋体" w:hAnsi="宋体" w:cs="宋体"/>
          <w:color w:val="auto"/>
          <w:highlight w:val="none"/>
          <w:lang w:val="en-US" w:eastAsia="zh-CN"/>
        </w:rPr>
        <w:t>15</w:t>
      </w:r>
      <w:r>
        <w:rPr>
          <w:rFonts w:hint="eastAsia" w:ascii="宋体" w:hAnsi="宋体" w:cs="宋体"/>
          <w:color w:val="auto"/>
          <w:highlight w:val="none"/>
          <w:lang w:eastAsia="zh-CN"/>
        </w:rPr>
        <w:t>时</w:t>
      </w:r>
      <w:r>
        <w:rPr>
          <w:rFonts w:hint="eastAsia" w:ascii="宋体" w:hAnsi="宋体" w:cs="宋体"/>
          <w:color w:val="auto"/>
          <w:highlight w:val="none"/>
          <w:lang w:val="en-US" w:eastAsia="zh-CN"/>
        </w:rPr>
        <w:t>30</w:t>
      </w:r>
      <w:r>
        <w:rPr>
          <w:rFonts w:hint="eastAsia" w:ascii="宋体" w:hAnsi="宋体" w:cs="宋体"/>
          <w:color w:val="auto"/>
          <w:highlight w:val="none"/>
          <w:lang w:eastAsia="zh-CN"/>
        </w:rPr>
        <w:t>分</w:t>
      </w:r>
      <w:r>
        <w:rPr>
          <w:rFonts w:hint="eastAsia" w:ascii="宋体" w:hAnsi="宋体" w:cs="宋体"/>
          <w:color w:val="auto"/>
          <w:highlight w:val="none"/>
        </w:rPr>
        <w:t>（北京时间）前提交响应文件。</w:t>
      </w:r>
    </w:p>
    <w:p w14:paraId="3B0F4116">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一、项目基本情况</w:t>
      </w:r>
    </w:p>
    <w:p w14:paraId="232DB2A6">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项目编号：</w:t>
      </w:r>
      <w:r>
        <w:rPr>
          <w:rFonts w:hint="eastAsia" w:ascii="宋体" w:hAnsi="宋体" w:cs="宋体"/>
          <w:color w:val="auto"/>
          <w:highlight w:val="none"/>
          <w:lang w:eastAsia="zh-CN"/>
        </w:rPr>
        <w:t>GGZC2025-C2-810232-GXZL</w:t>
      </w:r>
    </w:p>
    <w:p w14:paraId="7AA51397">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项目名称：</w:t>
      </w:r>
      <w:r>
        <w:rPr>
          <w:rFonts w:hint="eastAsia" w:ascii="宋体" w:hAnsi="宋体" w:cs="宋体"/>
          <w:color w:val="auto"/>
          <w:highlight w:val="none"/>
          <w:lang w:eastAsia="zh-CN"/>
        </w:rPr>
        <w:t>桂平市2025年平坡至雅英岭等12个安防工程项目</w:t>
      </w:r>
    </w:p>
    <w:p w14:paraId="2C3FB414">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采购方式：竞争性磋商</w:t>
      </w:r>
    </w:p>
    <w:p w14:paraId="4B97B477">
      <w:pPr>
        <w:spacing w:line="400" w:lineRule="exact"/>
        <w:ind w:firstLine="420" w:firstLineChars="200"/>
        <w:rPr>
          <w:rFonts w:hint="default" w:ascii="宋体" w:hAnsi="宋体" w:cs="宋体"/>
          <w:color w:val="auto"/>
          <w:highlight w:val="none"/>
          <w:lang w:val="en-US" w:eastAsia="zh-CN"/>
        </w:rPr>
      </w:pPr>
      <w:r>
        <w:rPr>
          <w:rFonts w:hint="eastAsia" w:ascii="宋体" w:hAnsi="宋体" w:cs="宋体"/>
          <w:color w:val="auto"/>
          <w:highlight w:val="none"/>
          <w:lang w:val="en-US" w:eastAsia="zh-CN"/>
        </w:rPr>
        <w:t>预算金额：人民币贰佰贰拾贰万壹仟肆佰柒拾陆元整（¥2221476.00）</w:t>
      </w:r>
    </w:p>
    <w:p w14:paraId="2F5088FE">
      <w:pPr>
        <w:keepNext w:val="0"/>
        <w:keepLines w:val="0"/>
        <w:widowControl/>
        <w:suppressLineNumbers w:val="0"/>
        <w:ind w:firstLine="420" w:firstLineChars="200"/>
        <w:jc w:val="left"/>
        <w:rPr>
          <w:rFonts w:ascii="宋体" w:hAnsi="宋体" w:cs="宋体"/>
          <w:color w:val="auto"/>
          <w:highlight w:val="none"/>
        </w:rPr>
      </w:pPr>
      <w:r>
        <w:rPr>
          <w:rFonts w:hint="eastAsia" w:ascii="宋体" w:hAnsi="宋体" w:cs="宋体"/>
          <w:color w:val="auto"/>
          <w:highlight w:val="none"/>
        </w:rPr>
        <w:t>招标控制价：人民币</w:t>
      </w:r>
      <w:r>
        <w:rPr>
          <w:rFonts w:hint="eastAsia" w:ascii="宋体" w:hAnsi="宋体" w:cs="宋体"/>
          <w:color w:val="auto"/>
          <w:highlight w:val="none"/>
          <w:lang w:val="en-US" w:eastAsia="zh-CN"/>
        </w:rPr>
        <w:t>贰佰贰拾贰万壹仟肆佰柒拾陆元整（¥2221476.00）</w:t>
      </w:r>
    </w:p>
    <w:p w14:paraId="5960A44B">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采购需求：</w:t>
      </w:r>
      <w:r>
        <w:rPr>
          <w:rFonts w:hint="eastAsia" w:ascii="宋体" w:hAnsi="宋体" w:eastAsia="宋体" w:cs="宋体"/>
          <w:color w:val="auto"/>
          <w:highlight w:val="none"/>
          <w:lang w:eastAsia="zh-CN"/>
        </w:rPr>
        <w:t>本工程为</w:t>
      </w:r>
      <w:r>
        <w:rPr>
          <w:rFonts w:hint="eastAsia" w:ascii="宋体" w:hAnsi="宋体" w:cs="宋体"/>
          <w:color w:val="auto"/>
          <w:highlight w:val="none"/>
          <w:lang w:eastAsia="zh-CN"/>
        </w:rPr>
        <w:t>桂平市2025年平坡至雅英岭等12个安防工程项目</w:t>
      </w:r>
      <w:r>
        <w:rPr>
          <w:rFonts w:hint="eastAsia" w:ascii="宋体" w:hAnsi="宋体" w:eastAsia="宋体" w:cs="宋体"/>
          <w:color w:val="auto"/>
          <w:highlight w:val="none"/>
          <w:lang w:eastAsia="zh-CN"/>
        </w:rPr>
        <w:t>，项目建设内容：</w:t>
      </w:r>
      <w:r>
        <w:rPr>
          <w:rFonts w:hint="eastAsia" w:ascii="宋体" w:hAnsi="宋体" w:eastAsia="宋体" w:cs="宋体"/>
          <w:color w:val="auto"/>
          <w:highlight w:val="none"/>
          <w:lang w:val="en-US" w:eastAsia="zh-CN"/>
        </w:rPr>
        <w:t>桂平市油麻镇安平村委至果得塘道路安防工程、桂平市油麻镇古都桥至平田道路安防工程、桂平市中沙镇竹山塝至姚屋道路安防工程等12个安防工程</w:t>
      </w:r>
      <w:r>
        <w:rPr>
          <w:rFonts w:hint="eastAsia" w:ascii="宋体" w:hAnsi="宋体" w:eastAsia="宋体" w:cs="宋体"/>
          <w:color w:val="auto"/>
          <w:highlight w:val="none"/>
          <w:lang w:eastAsia="zh-CN"/>
        </w:rPr>
        <w:t>。</w:t>
      </w:r>
      <w:r>
        <w:rPr>
          <w:rFonts w:hint="eastAsia" w:ascii="宋体" w:hAnsi="宋体" w:cs="宋体"/>
          <w:color w:val="auto"/>
          <w:highlight w:val="none"/>
        </w:rPr>
        <w:t>如需进一步了解详细内容，详见工程量清单及图纸。</w:t>
      </w:r>
    </w:p>
    <w:p w14:paraId="439216C7">
      <w:pPr>
        <w:snapToGrid w:val="0"/>
        <w:spacing w:line="360" w:lineRule="exact"/>
        <w:ind w:firstLine="420" w:firstLineChars="200"/>
        <w:rPr>
          <w:rFonts w:ascii="宋体" w:hAnsi="宋体" w:cs="宋体"/>
          <w:color w:val="auto"/>
          <w:highlight w:val="none"/>
        </w:rPr>
      </w:pPr>
      <w:r>
        <w:rPr>
          <w:rFonts w:hint="eastAsia" w:ascii="宋体" w:hAnsi="宋体" w:cs="宋体"/>
          <w:color w:val="auto"/>
          <w:highlight w:val="none"/>
        </w:rPr>
        <w:t>工期：</w:t>
      </w:r>
      <w:r>
        <w:rPr>
          <w:rFonts w:hint="eastAsia" w:ascii="宋体" w:hAnsi="宋体" w:cs="宋体"/>
          <w:color w:val="auto"/>
          <w:highlight w:val="none"/>
          <w:lang w:val="en-US" w:eastAsia="zh-CN"/>
        </w:rPr>
        <w:t>90</w:t>
      </w:r>
      <w:r>
        <w:rPr>
          <w:rFonts w:hint="eastAsia" w:ascii="宋体" w:hAnsi="宋体" w:cs="宋体"/>
          <w:color w:val="auto"/>
          <w:highlight w:val="none"/>
        </w:rPr>
        <w:t>天（日历天）</w:t>
      </w:r>
    </w:p>
    <w:p w14:paraId="12D0EB2E">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本项目不接受联合体。</w:t>
      </w:r>
    </w:p>
    <w:p w14:paraId="6CCBB3FB">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二、申请人的资格要求：</w:t>
      </w:r>
    </w:p>
    <w:p w14:paraId="02B7E76A">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1.满足《中华人民共和国政府采购法》第二十二条规定；</w:t>
      </w:r>
    </w:p>
    <w:p w14:paraId="29C32577">
      <w:pPr>
        <w:snapToGrid w:val="0"/>
        <w:spacing w:line="360" w:lineRule="exact"/>
        <w:ind w:firstLine="420" w:firstLineChars="200"/>
        <w:rPr>
          <w:rFonts w:ascii="宋体" w:hAnsi="宋体" w:cs="宋体"/>
          <w:color w:val="auto"/>
          <w:highlight w:val="none"/>
        </w:rPr>
      </w:pPr>
      <w:r>
        <w:rPr>
          <w:rFonts w:hint="eastAsia" w:ascii="宋体" w:hAnsi="宋体" w:cs="宋体"/>
          <w:color w:val="auto"/>
          <w:highlight w:val="none"/>
        </w:rPr>
        <w:t>2.落实采购政策需满足的资格要求：本项目为专门面向中小企业采购的项目（供应商应为中小微企业/监狱企业/残疾人福利性单位)。</w:t>
      </w:r>
    </w:p>
    <w:p w14:paraId="4B9DC0DA">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本项目的特定资格要求：具备有效的公路工程施工总承包叁级以上（含叁级）资质，且同时具有《安全生产许可证》，并在人员、设备、资金等方面具备相应的施工能力。其中，拟投入本项目的项目经理须具备公路工程专业贰级以上（含贰级）注册建造师执业资格，并具有省级 (或以上) 交通主管部门颁发的《安全生产考核合格证书》 B证。安全员具有省级 (或以上) 交通主管部门颁发的《安全生产考核合格证书》C证。 </w:t>
      </w:r>
    </w:p>
    <w:p w14:paraId="49328B72">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三、获取采购文件</w:t>
      </w:r>
    </w:p>
    <w:p w14:paraId="56FC8741">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时间：202</w:t>
      </w:r>
      <w:r>
        <w:rPr>
          <w:rFonts w:hint="eastAsia" w:ascii="宋体" w:hAnsi="宋体" w:cs="宋体"/>
          <w:color w:val="auto"/>
          <w:highlight w:val="none"/>
          <w:lang w:val="en-US" w:eastAsia="zh-CN"/>
        </w:rPr>
        <w:t>5</w:t>
      </w:r>
      <w:r>
        <w:rPr>
          <w:rFonts w:hint="eastAsia" w:ascii="宋体" w:hAnsi="宋体" w:cs="宋体"/>
          <w:color w:val="auto"/>
          <w:highlight w:val="none"/>
        </w:rPr>
        <w:t>年</w:t>
      </w:r>
      <w:r>
        <w:rPr>
          <w:rFonts w:hint="eastAsia" w:ascii="宋体" w:hAnsi="宋体" w:cs="宋体"/>
          <w:color w:val="auto"/>
          <w:highlight w:val="none"/>
          <w:lang w:val="en-US" w:eastAsia="zh-CN"/>
        </w:rPr>
        <w:t>11</w:t>
      </w:r>
      <w:r>
        <w:rPr>
          <w:rFonts w:hint="eastAsia" w:ascii="宋体" w:hAnsi="宋体" w:cs="宋体"/>
          <w:color w:val="auto"/>
          <w:highlight w:val="none"/>
        </w:rPr>
        <w:t>月</w:t>
      </w:r>
      <w:r>
        <w:rPr>
          <w:rFonts w:hint="eastAsia" w:ascii="宋体" w:hAnsi="宋体" w:cs="宋体"/>
          <w:color w:val="auto"/>
          <w:highlight w:val="none"/>
          <w:lang w:val="en-US" w:eastAsia="zh-CN"/>
        </w:rPr>
        <w:t>11</w:t>
      </w:r>
      <w:r>
        <w:rPr>
          <w:rFonts w:hint="eastAsia" w:ascii="宋体" w:hAnsi="宋体" w:cs="宋体"/>
          <w:color w:val="auto"/>
          <w:highlight w:val="none"/>
        </w:rPr>
        <w:t>日至磋商文件递交的截止时间止。</w:t>
      </w:r>
    </w:p>
    <w:p w14:paraId="65E1BB02">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地点：广西政府采购云平台（https://www.gcy.zfcg.gxzf.gov.cn/）</w:t>
      </w:r>
    </w:p>
    <w:p w14:paraId="085FD926">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 xml:space="preserve">方式：供应商通过广西政府采购网（http://zfcg.gxzf.gov.cn/）“供应商注册”完成账号注册后，登录云平台（简称新平台）“项目采购”应用，在获取采购文件菜单中选择项目，申请获取采购文件。如在操作过程中遇到问题或需技术支持，请致电平台客服，客服电话：95763。 </w:t>
      </w:r>
    </w:p>
    <w:p w14:paraId="509936C2">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售价：0元</w:t>
      </w:r>
      <w:bookmarkStart w:id="25" w:name="_Toc35393794"/>
      <w:bookmarkStart w:id="26" w:name="_Toc28359084"/>
      <w:bookmarkStart w:id="27" w:name="_Toc35393625"/>
      <w:bookmarkStart w:id="28" w:name="_Toc28359007"/>
    </w:p>
    <w:p w14:paraId="2838CB21">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四、响应文件提交</w:t>
      </w:r>
    </w:p>
    <w:p w14:paraId="6E6817A7">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截止时间：</w:t>
      </w:r>
      <w:r>
        <w:rPr>
          <w:rFonts w:hint="eastAsia" w:ascii="宋体" w:hAnsi="宋体" w:cs="宋体"/>
          <w:color w:val="auto"/>
          <w:highlight w:val="none"/>
          <w:lang w:eastAsia="zh-CN"/>
        </w:rPr>
        <w:t>2025年</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24</w:t>
      </w:r>
      <w:r>
        <w:rPr>
          <w:rFonts w:hint="eastAsia" w:ascii="宋体" w:hAnsi="宋体" w:cs="宋体"/>
          <w:color w:val="auto"/>
          <w:highlight w:val="none"/>
          <w:lang w:eastAsia="zh-CN"/>
        </w:rPr>
        <w:t>日</w:t>
      </w:r>
      <w:r>
        <w:rPr>
          <w:rFonts w:hint="eastAsia" w:ascii="宋体" w:hAnsi="宋体" w:cs="宋体"/>
          <w:color w:val="auto"/>
          <w:highlight w:val="none"/>
          <w:lang w:val="en-US" w:eastAsia="zh-CN"/>
        </w:rPr>
        <w:t>15</w:t>
      </w:r>
      <w:r>
        <w:rPr>
          <w:rFonts w:hint="eastAsia" w:ascii="宋体" w:hAnsi="宋体" w:cs="宋体"/>
          <w:color w:val="auto"/>
          <w:highlight w:val="none"/>
          <w:lang w:eastAsia="zh-CN"/>
        </w:rPr>
        <w:t>时</w:t>
      </w:r>
      <w:r>
        <w:rPr>
          <w:rFonts w:hint="eastAsia" w:ascii="宋体" w:hAnsi="宋体" w:cs="宋体"/>
          <w:color w:val="auto"/>
          <w:highlight w:val="none"/>
          <w:lang w:val="en-US" w:eastAsia="zh-CN"/>
        </w:rPr>
        <w:t>30</w:t>
      </w:r>
      <w:r>
        <w:rPr>
          <w:rFonts w:hint="eastAsia" w:ascii="宋体" w:hAnsi="宋体" w:cs="宋体"/>
          <w:color w:val="auto"/>
          <w:highlight w:val="none"/>
          <w:lang w:eastAsia="zh-CN"/>
        </w:rPr>
        <w:t>分</w:t>
      </w:r>
      <w:r>
        <w:rPr>
          <w:rFonts w:hint="eastAsia" w:ascii="宋体" w:hAnsi="宋体" w:cs="宋体"/>
          <w:color w:val="auto"/>
          <w:highlight w:val="none"/>
        </w:rPr>
        <w:t>（北京时间）。</w:t>
      </w:r>
    </w:p>
    <w:p w14:paraId="2D0C296D">
      <w:pPr>
        <w:spacing w:line="400" w:lineRule="exact"/>
        <w:ind w:firstLine="420" w:firstLineChars="200"/>
        <w:rPr>
          <w:color w:val="auto"/>
          <w:highlight w:val="none"/>
        </w:rPr>
      </w:pPr>
      <w:r>
        <w:rPr>
          <w:rFonts w:hint="eastAsia" w:ascii="宋体" w:hAnsi="宋体" w:cs="宋体"/>
          <w:color w:val="auto"/>
          <w:highlight w:val="none"/>
        </w:rPr>
        <w:t>地点：通过广西政府采购云平台（https://www.gcy.zfcg.gxzf.gov.cn/）实行在线投标（本项目不要求投标供应商到达开标现场，但供应商应派法定代表人（或负责人）或委托代理人准时在线出席电子开评标会议，随时关注开评标进度，如在开评标过程中有电子询标，应在规定的时间内对电子询标函进行澄清回复。） </w:t>
      </w:r>
    </w:p>
    <w:p w14:paraId="78A98C36">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五、开启</w:t>
      </w:r>
    </w:p>
    <w:p w14:paraId="156BDBB5">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时间：</w:t>
      </w:r>
      <w:r>
        <w:rPr>
          <w:rFonts w:hint="eastAsia" w:ascii="宋体" w:hAnsi="宋体" w:cs="宋体"/>
          <w:color w:val="auto"/>
          <w:highlight w:val="none"/>
          <w:lang w:eastAsia="zh-CN"/>
        </w:rPr>
        <w:t>2025年</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24</w:t>
      </w:r>
      <w:r>
        <w:rPr>
          <w:rFonts w:hint="eastAsia" w:ascii="宋体" w:hAnsi="宋体" w:cs="宋体"/>
          <w:color w:val="auto"/>
          <w:highlight w:val="none"/>
          <w:lang w:eastAsia="zh-CN"/>
        </w:rPr>
        <w:t>日</w:t>
      </w:r>
      <w:r>
        <w:rPr>
          <w:rFonts w:hint="eastAsia" w:ascii="宋体" w:hAnsi="宋体" w:cs="宋体"/>
          <w:color w:val="auto"/>
          <w:highlight w:val="none"/>
          <w:lang w:val="en-US" w:eastAsia="zh-CN"/>
        </w:rPr>
        <w:t>15</w:t>
      </w:r>
      <w:r>
        <w:rPr>
          <w:rFonts w:hint="eastAsia" w:ascii="宋体" w:hAnsi="宋体" w:cs="宋体"/>
          <w:color w:val="auto"/>
          <w:highlight w:val="none"/>
          <w:lang w:eastAsia="zh-CN"/>
        </w:rPr>
        <w:t>时</w:t>
      </w:r>
      <w:r>
        <w:rPr>
          <w:rFonts w:hint="eastAsia" w:ascii="宋体" w:hAnsi="宋体" w:cs="宋体"/>
          <w:color w:val="auto"/>
          <w:highlight w:val="none"/>
          <w:lang w:val="en-US" w:eastAsia="zh-CN"/>
        </w:rPr>
        <w:t>30</w:t>
      </w:r>
      <w:r>
        <w:rPr>
          <w:rFonts w:hint="eastAsia" w:ascii="宋体" w:hAnsi="宋体" w:cs="宋体"/>
          <w:color w:val="auto"/>
          <w:highlight w:val="none"/>
          <w:lang w:eastAsia="zh-CN"/>
        </w:rPr>
        <w:t>分</w:t>
      </w:r>
      <w:r>
        <w:rPr>
          <w:rFonts w:hint="eastAsia" w:ascii="宋体" w:hAnsi="宋体" w:cs="宋体"/>
          <w:color w:val="auto"/>
          <w:highlight w:val="none"/>
        </w:rPr>
        <w:t>（北京时间）。</w:t>
      </w:r>
    </w:p>
    <w:p w14:paraId="515DF8F5">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地点：在</w:t>
      </w:r>
      <w:r>
        <w:rPr>
          <w:rFonts w:hint="eastAsia" w:ascii="宋体" w:hAnsi="宋体" w:cs="宋体"/>
          <w:color w:val="auto"/>
          <w:highlight w:val="none"/>
          <w:lang w:eastAsia="zh-CN"/>
        </w:rPr>
        <w:t>桂平市公共资源交易中心【桂江西路政务服务中心新大楼（原国会大厦）五楼】</w:t>
      </w:r>
      <w:r>
        <w:rPr>
          <w:rFonts w:hint="eastAsia" w:ascii="宋体" w:hAnsi="宋体" w:cs="宋体"/>
          <w:color w:val="auto"/>
          <w:highlight w:val="none"/>
        </w:rPr>
        <w:t>通过云平台实行在线解密开启</w:t>
      </w:r>
    </w:p>
    <w:p w14:paraId="6780585E">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六、公告期限</w:t>
      </w:r>
      <w:bookmarkEnd w:id="25"/>
      <w:bookmarkEnd w:id="26"/>
      <w:bookmarkEnd w:id="27"/>
      <w:bookmarkEnd w:id="28"/>
      <w:r>
        <w:rPr>
          <w:rFonts w:hint="eastAsia" w:ascii="宋体" w:hAnsi="宋体" w:cs="宋体"/>
          <w:color w:val="auto"/>
          <w:highlight w:val="none"/>
        </w:rPr>
        <w:t>：</w:t>
      </w:r>
      <w:bookmarkStart w:id="29" w:name="_Toc35393626"/>
      <w:bookmarkStart w:id="30" w:name="_Toc35393795"/>
      <w:r>
        <w:rPr>
          <w:rFonts w:hint="eastAsia" w:ascii="宋体" w:hAnsi="宋体" w:cs="宋体"/>
          <w:color w:val="auto"/>
          <w:highlight w:val="none"/>
        </w:rPr>
        <w:t>自本公告发布之日起5个工作日。</w:t>
      </w:r>
    </w:p>
    <w:p w14:paraId="146B6A33">
      <w:pPr>
        <w:spacing w:line="400" w:lineRule="exact"/>
        <w:rPr>
          <w:rFonts w:ascii="宋体" w:hAnsi="宋体" w:cs="宋体"/>
          <w:color w:val="auto"/>
          <w:highlight w:val="none"/>
        </w:rPr>
      </w:pPr>
      <w:r>
        <w:rPr>
          <w:rFonts w:hint="eastAsia" w:ascii="宋体" w:hAnsi="宋体" w:cs="宋体"/>
          <w:color w:val="auto"/>
          <w:highlight w:val="none"/>
        </w:rPr>
        <w:t xml:space="preserve">    七、其他补充事宜</w:t>
      </w:r>
      <w:bookmarkEnd w:id="29"/>
      <w:bookmarkEnd w:id="30"/>
    </w:p>
    <w:p w14:paraId="1147A629">
      <w:pPr>
        <w:spacing w:line="400" w:lineRule="exact"/>
        <w:ind w:firstLine="420" w:firstLineChars="200"/>
        <w:rPr>
          <w:rFonts w:ascii="宋体" w:hAnsi="宋体" w:cs="宋体"/>
          <w:color w:val="auto"/>
          <w:highlight w:val="none"/>
        </w:rPr>
      </w:pPr>
      <w:bookmarkStart w:id="31" w:name="_Toc28359008"/>
      <w:bookmarkStart w:id="32" w:name="_Toc35393796"/>
      <w:bookmarkStart w:id="33" w:name="_Toc35393627"/>
      <w:bookmarkStart w:id="34" w:name="_Toc28359085"/>
      <w:r>
        <w:rPr>
          <w:rFonts w:hint="eastAsia" w:ascii="宋体" w:hAnsi="宋体" w:cs="宋体"/>
          <w:color w:val="auto"/>
          <w:highlight w:val="none"/>
        </w:rPr>
        <w:t>1.本项目需要落实的政府采购政策：</w:t>
      </w:r>
    </w:p>
    <w:p w14:paraId="57DAB52C">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政府采购促进中小企业发展；（2）政府采购支持采用本国产品的政策；（3）强制采购节能产品；优先采购节能产品、环境标志产品；（4）政府采购促进残疾人就业政策；（5）政府采购支持监狱企业发展；（6）政府采购扶持不发达地区和少数民族地区政策。</w:t>
      </w:r>
    </w:p>
    <w:p w14:paraId="63F43B3F">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2.磋商保证金及履约保证金：无。</w:t>
      </w:r>
    </w:p>
    <w:p w14:paraId="5E808AB7">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3.网上查询地址：</w:t>
      </w:r>
      <w:r>
        <w:rPr>
          <w:rFonts w:hint="eastAsia" w:ascii="宋体" w:hAnsi="宋体" w:cs="宋体"/>
          <w:color w:val="auto"/>
          <w:kern w:val="0"/>
          <w:highlight w:val="none"/>
        </w:rPr>
        <w:t>中国政府采购网（http://www.ccgp.gov.cn）、广西壮族自治区政府采购网（http://www.ccgp-guangxi.gov.cn/</w:t>
      </w:r>
      <w:r>
        <w:rPr>
          <w:rFonts w:hint="eastAsia" w:ascii="宋体" w:hAnsi="宋体" w:cs="宋体"/>
          <w:color w:val="auto"/>
          <w:highlight w:val="none"/>
        </w:rPr>
        <w:t>）、贵港市政府采购网（http://zfcg.czj.gxgg.gov.cn）、http://ggzy.jgswj.gxzf.gov.cn/ggggzy/全国公共资源交易平台（广西•贵港）。</w:t>
      </w:r>
    </w:p>
    <w:p w14:paraId="7AB1215B">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4.供应商竞标注意事项：</w:t>
      </w:r>
    </w:p>
    <w:p w14:paraId="07EF1907">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1）本项目为全流程电子化采购项目，通过广西政府采购云平台（https://www.gcy.zfcg.gxzf.gov.cn/）实行在线电子竞标，供应商应先安装“广西政府采购云平台电子交易客户端”（请自行前往广西政府采购云平台进行下载），并按照本项目竞争性磋商文件和广西政府采购云平台的要求编制、加密后在提交响应文件截止时间前通过网络上传至 广西政府采购云平台（加密的电子响应文件是指后缀名为“jmbs”的文件），供应商在广西政府采购云平台提交电子响应文件时，请填写参加远程采购活动经办人联系方式。</w:t>
      </w:r>
    </w:p>
    <w:p w14:paraId="1F9D0BF5">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2）供应商应及时熟悉掌握电子标系统操作指南（见政采云电子卖场首页右上角—服务中心—帮助文档—项目采购）：https://service.zcygov.cn/#/knowledges/tree?tag=AG1DtGwBFdiHxlNdhY0r；及时完成CA申领和绑定（见广西壮族自治区政府采购网—办事服务—下载专区-政采云CA证书办理操作指南）。</w:t>
      </w:r>
    </w:p>
    <w:p w14:paraId="5BD40A5A">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 xml:space="preserve">  （3）未进行网上注册并办理数字证书（CA认证）的供应商将无法参与本项目政府采购活动，供应商应当在提交响应文件截止时间前，完成电子交易平台上的CA数字证书办理及响应文件的提交。完成CA数字证书办理预计7日左右，供应商只需办理其中一家CA数字证书及签章，建议各供应商抓紧时间办理。（供应商可登录“广西政府采购网”，依次进入“办事服务-下载专区”或者登录广西政府采购云平台，依次进入“服务中心-入驻与配置”中查看CA数字证书办理操作流程。如在操作过程中遇到问题或者需要技术支持，请致电政采云客服热线：95763。</w:t>
      </w:r>
    </w:p>
    <w:p w14:paraId="7C355FE0">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 xml:space="preserve">  （4）CA证书在线解密：首次响应文件开启时，需携带制作响应文件时用来加密的有效数字证书（CA认证）登录广西政府采购云平台电子开标大厅现场按规定时间对加密的响应文件进行解密，否则后果自负。</w:t>
      </w:r>
    </w:p>
    <w:p w14:paraId="5B1FBE0F">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注：①为确保网上操作合法、有效和安全，请供应商确保在电子竞标过程中能够对相关数据电文进行加密和使用电子签章，妥善保管CA数字证书并使用有效的CA数字证书参与整个采购活动。②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广西政府采购云平台将予以拒收。</w:t>
      </w:r>
    </w:p>
    <w:p w14:paraId="1459CDB9">
      <w:pPr>
        <w:spacing w:line="400" w:lineRule="exact"/>
        <w:ind w:left="210" w:leftChars="100" w:firstLine="210" w:firstLineChars="100"/>
        <w:rPr>
          <w:rFonts w:ascii="宋体" w:hAnsi="宋体" w:cs="宋体"/>
          <w:color w:val="auto"/>
          <w:highlight w:val="none"/>
        </w:rPr>
      </w:pPr>
      <w:r>
        <w:rPr>
          <w:rFonts w:hint="eastAsia" w:ascii="宋体" w:hAnsi="宋体" w:cs="宋体"/>
          <w:color w:val="auto"/>
          <w:highlight w:val="none"/>
        </w:rPr>
        <w:t xml:space="preserve">  （5）供应商需要在具备有摄像头及语音功能且互联网网络状况良好的电脑登录广西政府采购云平台远程开标大厅参与本次磋商，否则后果自负。</w:t>
      </w:r>
    </w:p>
    <w:p w14:paraId="3E776DCD">
      <w:pPr>
        <w:pStyle w:val="25"/>
        <w:spacing w:line="400" w:lineRule="exact"/>
        <w:ind w:firstLine="420" w:firstLineChars="200"/>
        <w:rPr>
          <w:rFonts w:hAnsi="宋体" w:cs="宋体"/>
          <w:color w:val="auto"/>
          <w:szCs w:val="21"/>
          <w:highlight w:val="none"/>
        </w:rPr>
      </w:pPr>
      <w:r>
        <w:rPr>
          <w:rFonts w:hint="eastAsia" w:hAnsi="宋体" w:cs="宋体"/>
          <w:color w:val="auto"/>
          <w:szCs w:val="21"/>
          <w:highlight w:val="none"/>
          <w:lang w:val="en-US" w:eastAsia="zh-CN"/>
        </w:rPr>
        <w:t>5</w:t>
      </w:r>
      <w:r>
        <w:rPr>
          <w:rFonts w:hint="eastAsia" w:hAnsi="宋体" w:cs="宋体"/>
          <w:color w:val="auto"/>
          <w:szCs w:val="21"/>
          <w:highlight w:val="none"/>
        </w:rPr>
        <w:t>.监督部门:桂平市财政局政府采购监督管理股 联系电话：0775-3380263。</w:t>
      </w:r>
    </w:p>
    <w:p w14:paraId="53404C07">
      <w:pPr>
        <w:pStyle w:val="25"/>
        <w:spacing w:line="400" w:lineRule="exact"/>
        <w:ind w:firstLine="420" w:firstLineChars="200"/>
        <w:rPr>
          <w:rFonts w:hAnsi="宋体" w:cs="宋体"/>
          <w:color w:val="auto"/>
          <w:szCs w:val="21"/>
          <w:highlight w:val="none"/>
        </w:rPr>
      </w:pPr>
      <w:r>
        <w:rPr>
          <w:rFonts w:hint="eastAsia" w:hAnsi="宋体" w:cs="宋体"/>
          <w:color w:val="auto"/>
          <w:szCs w:val="21"/>
          <w:highlight w:val="none"/>
        </w:rPr>
        <w:t>八、对本次采购提出询问，请按以下方式联系。</w:t>
      </w:r>
      <w:bookmarkEnd w:id="31"/>
      <w:bookmarkEnd w:id="32"/>
      <w:bookmarkEnd w:id="33"/>
      <w:bookmarkEnd w:id="34"/>
    </w:p>
    <w:p w14:paraId="79B27305">
      <w:pPr>
        <w:pStyle w:val="25"/>
        <w:spacing w:line="400" w:lineRule="exact"/>
        <w:ind w:firstLine="420" w:firstLineChars="200"/>
        <w:rPr>
          <w:rFonts w:hAnsi="宋体" w:cs="宋体"/>
          <w:color w:val="auto"/>
          <w:szCs w:val="21"/>
          <w:highlight w:val="none"/>
        </w:rPr>
      </w:pPr>
      <w:r>
        <w:rPr>
          <w:rFonts w:hint="eastAsia" w:hAnsi="宋体" w:cs="宋体"/>
          <w:color w:val="auto"/>
          <w:szCs w:val="21"/>
          <w:highlight w:val="none"/>
        </w:rPr>
        <w:t>1.采购人信息</w:t>
      </w:r>
    </w:p>
    <w:p w14:paraId="2C65B8E3">
      <w:pPr>
        <w:spacing w:line="400" w:lineRule="exact"/>
        <w:ind w:firstLine="630" w:firstLineChars="300"/>
        <w:jc w:val="left"/>
        <w:rPr>
          <w:rFonts w:hint="eastAsia" w:ascii="宋体" w:hAnsi="宋体" w:eastAsia="宋体" w:cs="宋体"/>
          <w:color w:val="auto"/>
          <w:highlight w:val="none"/>
          <w:lang w:eastAsia="zh-CN"/>
        </w:rPr>
      </w:pPr>
      <w:bookmarkStart w:id="35" w:name="_Toc28359086"/>
      <w:bookmarkStart w:id="36" w:name="_Toc28359009"/>
      <w:r>
        <w:rPr>
          <w:rFonts w:hint="eastAsia" w:ascii="宋体" w:hAnsi="宋体" w:eastAsia="宋体" w:cs="宋体"/>
          <w:color w:val="auto"/>
          <w:highlight w:val="none"/>
        </w:rPr>
        <w:t>名 称：</w:t>
      </w:r>
      <w:r>
        <w:rPr>
          <w:rFonts w:hint="eastAsia" w:ascii="宋体" w:hAnsi="宋体" w:eastAsia="宋体" w:cs="宋体"/>
          <w:color w:val="auto"/>
          <w:highlight w:val="none"/>
          <w:lang w:eastAsia="zh-CN"/>
        </w:rPr>
        <w:t xml:space="preserve">桂平市公路管理所 </w:t>
      </w:r>
    </w:p>
    <w:p w14:paraId="71FCDA73">
      <w:pPr>
        <w:spacing w:line="400" w:lineRule="exact"/>
        <w:ind w:firstLine="630" w:firstLineChars="300"/>
        <w:jc w:val="left"/>
        <w:rPr>
          <w:rFonts w:hint="eastAsia" w:ascii="宋体" w:hAnsi="宋体" w:eastAsia="宋体" w:cs="宋体"/>
          <w:color w:val="auto"/>
          <w:highlight w:val="none"/>
        </w:rPr>
      </w:pPr>
      <w:r>
        <w:rPr>
          <w:rFonts w:hint="eastAsia" w:ascii="宋体" w:hAnsi="宋体" w:eastAsia="宋体" w:cs="宋体"/>
          <w:color w:val="auto"/>
          <w:highlight w:val="none"/>
        </w:rPr>
        <w:t>地 址：桂平市郁江东路84号</w:t>
      </w:r>
    </w:p>
    <w:p w14:paraId="3FAA0402">
      <w:pPr>
        <w:spacing w:line="400" w:lineRule="exact"/>
        <w:ind w:firstLine="630" w:firstLineChars="3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项目联系人：</w:t>
      </w:r>
      <w:r>
        <w:rPr>
          <w:rFonts w:hint="eastAsia" w:ascii="宋体" w:hAnsi="宋体" w:eastAsia="宋体" w:cs="宋体"/>
          <w:color w:val="auto"/>
          <w:highlight w:val="none"/>
          <w:lang w:val="en-US" w:eastAsia="zh-CN"/>
        </w:rPr>
        <w:t>李工</w:t>
      </w:r>
    </w:p>
    <w:p w14:paraId="54AC980E">
      <w:pPr>
        <w:spacing w:line="400" w:lineRule="exact"/>
        <w:ind w:firstLine="630" w:firstLineChars="300"/>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项目联系方式：0775-3391373</w:t>
      </w:r>
    </w:p>
    <w:p w14:paraId="35048BB3">
      <w:pPr>
        <w:spacing w:line="400" w:lineRule="exact"/>
        <w:ind w:firstLine="420" w:firstLineChars="200"/>
        <w:jc w:val="left"/>
        <w:rPr>
          <w:rFonts w:ascii="宋体" w:hAnsi="宋体" w:cs="宋体"/>
          <w:color w:val="auto"/>
          <w:highlight w:val="none"/>
        </w:rPr>
      </w:pPr>
      <w:r>
        <w:rPr>
          <w:rFonts w:hint="eastAsia" w:ascii="宋体" w:hAnsi="宋体" w:cs="宋体"/>
          <w:color w:val="auto"/>
          <w:highlight w:val="none"/>
        </w:rPr>
        <w:t>2.</w:t>
      </w:r>
      <w:bookmarkEnd w:id="35"/>
      <w:bookmarkEnd w:id="36"/>
      <w:r>
        <w:rPr>
          <w:rFonts w:hint="eastAsia" w:ascii="宋体" w:hAnsi="宋体" w:cs="宋体"/>
          <w:color w:val="auto"/>
          <w:highlight w:val="none"/>
        </w:rPr>
        <w:t xml:space="preserve"> 采购代理机构信息</w:t>
      </w:r>
    </w:p>
    <w:p w14:paraId="655CDE0C">
      <w:pPr>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 xml:space="preserve">广西众联工程项目管理有限公司 </w:t>
      </w:r>
      <w:r>
        <w:rPr>
          <w:rFonts w:hint="eastAsia" w:ascii="宋体" w:hAnsi="宋体" w:cs="宋体"/>
          <w:color w:val="auto"/>
          <w:szCs w:val="21"/>
          <w:highlight w:val="none"/>
        </w:rPr>
        <w:t>　</w:t>
      </w:r>
    </w:p>
    <w:p w14:paraId="6C6F077C">
      <w:pPr>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lang w:eastAsia="zh-CN"/>
        </w:rPr>
        <w:t>贵港市港北区港宁花园B区7幢103号北面</w:t>
      </w:r>
      <w:r>
        <w:rPr>
          <w:rFonts w:hint="eastAsia" w:ascii="宋体" w:hAnsi="宋体" w:cs="宋体"/>
          <w:color w:val="auto"/>
          <w:szCs w:val="21"/>
          <w:highlight w:val="none"/>
        </w:rPr>
        <w:t>　</w:t>
      </w:r>
    </w:p>
    <w:p w14:paraId="0BE01DD7">
      <w:pPr>
        <w:spacing w:line="400" w:lineRule="exact"/>
        <w:ind w:firstLine="630" w:firstLineChars="3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项目联系人：</w:t>
      </w:r>
      <w:r>
        <w:rPr>
          <w:rFonts w:hint="eastAsia" w:ascii="宋体" w:hAnsi="宋体" w:cs="宋体"/>
          <w:color w:val="auto"/>
          <w:szCs w:val="21"/>
          <w:highlight w:val="none"/>
          <w:lang w:val="en-US" w:eastAsia="zh-CN"/>
        </w:rPr>
        <w:t>朱工</w:t>
      </w:r>
    </w:p>
    <w:p w14:paraId="3A4AD6B5">
      <w:pPr>
        <w:spacing w:line="400" w:lineRule="exact"/>
        <w:ind w:firstLine="630" w:firstLineChars="300"/>
        <w:rPr>
          <w:rFonts w:hint="eastAsia" w:ascii="宋体" w:hAnsi="宋体" w:cs="宋体"/>
          <w:color w:val="auto"/>
          <w:szCs w:val="21"/>
          <w:highlight w:val="none"/>
          <w:lang w:eastAsia="zh-CN"/>
        </w:rPr>
      </w:pPr>
      <w:r>
        <w:rPr>
          <w:rFonts w:hint="eastAsia" w:ascii="宋体" w:hAnsi="宋体" w:eastAsia="宋体" w:cs="宋体"/>
          <w:color w:val="auto"/>
          <w:highlight w:val="none"/>
          <w:lang w:eastAsia="zh-CN"/>
        </w:rPr>
        <w:t>项目联系方式：</w:t>
      </w:r>
      <w:r>
        <w:rPr>
          <w:rFonts w:hint="eastAsia" w:ascii="宋体" w:hAnsi="宋体" w:cs="宋体"/>
          <w:color w:val="auto"/>
          <w:szCs w:val="21"/>
          <w:highlight w:val="none"/>
          <w:lang w:eastAsia="zh-CN"/>
        </w:rPr>
        <w:t>0775-4364531</w:t>
      </w:r>
    </w:p>
    <w:p w14:paraId="1FC91DFA">
      <w:pPr>
        <w:pStyle w:val="42"/>
        <w:spacing w:before="75" w:beforeAutospacing="0" w:after="75" w:afterAutospacing="0" w:line="420" w:lineRule="exact"/>
        <w:jc w:val="right"/>
        <w:rPr>
          <w:color w:val="auto"/>
          <w:sz w:val="21"/>
          <w:szCs w:val="21"/>
          <w:highlight w:val="none"/>
          <w:shd w:val="clear" w:color="auto" w:fill="FFFFFF"/>
        </w:rPr>
      </w:pPr>
    </w:p>
    <w:p w14:paraId="72066FF9">
      <w:pPr>
        <w:pStyle w:val="42"/>
        <w:spacing w:before="75" w:beforeAutospacing="0" w:after="75" w:afterAutospacing="0" w:line="420" w:lineRule="exact"/>
        <w:jc w:val="right"/>
        <w:rPr>
          <w:rFonts w:hint="eastAsia" w:eastAsia="宋体"/>
          <w:color w:val="auto"/>
          <w:sz w:val="21"/>
          <w:szCs w:val="21"/>
          <w:highlight w:val="none"/>
          <w:shd w:val="clear" w:color="auto" w:fill="FFFFFF"/>
          <w:lang w:eastAsia="zh-CN"/>
        </w:rPr>
      </w:pPr>
      <w:r>
        <w:rPr>
          <w:rFonts w:hint="eastAsia"/>
          <w:color w:val="auto"/>
          <w:sz w:val="21"/>
          <w:szCs w:val="21"/>
          <w:highlight w:val="none"/>
          <w:shd w:val="clear" w:color="auto" w:fill="FFFFFF"/>
          <w:lang w:eastAsia="zh-CN"/>
        </w:rPr>
        <w:t>广西众联工程项目管理有限公司</w:t>
      </w:r>
    </w:p>
    <w:p w14:paraId="625761B5">
      <w:pPr>
        <w:pStyle w:val="2"/>
        <w:numPr>
          <w:ilvl w:val="0"/>
          <w:numId w:val="0"/>
        </w:numPr>
        <w:ind w:firstLine="7980" w:firstLineChars="3800"/>
        <w:rPr>
          <w:rFonts w:ascii="宋体" w:hAnsi="宋体" w:eastAsia="宋体" w:cs="宋体"/>
          <w:b w:val="0"/>
          <w:color w:val="auto"/>
          <w:kern w:val="0"/>
          <w:sz w:val="21"/>
          <w:szCs w:val="21"/>
          <w:highlight w:val="none"/>
          <w:shd w:val="clear" w:color="auto" w:fill="FFFFFF"/>
        </w:rPr>
        <w:sectPr>
          <w:footerReference r:id="rId10" w:type="first"/>
          <w:footerReference r:id="rId9" w:type="default"/>
          <w:pgSz w:w="11906" w:h="16838"/>
          <w:pgMar w:top="1134" w:right="892" w:bottom="1134" w:left="1134" w:header="851" w:footer="850" w:gutter="0"/>
          <w:cols w:space="720" w:num="1"/>
          <w:titlePg/>
          <w:docGrid w:type="lines" w:linePitch="312" w:charSpace="0"/>
        </w:sectPr>
      </w:pPr>
      <w:bookmarkStart w:id="37" w:name="_Toc22203"/>
      <w:bookmarkStart w:id="38" w:name="_Toc20217"/>
      <w:bookmarkStart w:id="39" w:name="_Toc18978"/>
      <w:bookmarkStart w:id="40" w:name="_Toc9891"/>
      <w:bookmarkStart w:id="41" w:name="_Toc18892"/>
      <w:bookmarkStart w:id="42" w:name="_Toc12916"/>
      <w:r>
        <w:rPr>
          <w:rFonts w:hint="eastAsia" w:ascii="宋体" w:hAnsi="宋体" w:eastAsia="宋体" w:cs="宋体"/>
          <w:b w:val="0"/>
          <w:color w:val="auto"/>
          <w:kern w:val="0"/>
          <w:sz w:val="21"/>
          <w:szCs w:val="21"/>
          <w:highlight w:val="none"/>
          <w:shd w:val="clear" w:color="auto" w:fill="FFFFFF"/>
        </w:rPr>
        <w:t>202</w:t>
      </w:r>
      <w:r>
        <w:rPr>
          <w:rFonts w:hint="eastAsia" w:ascii="宋体" w:hAnsi="宋体" w:eastAsia="宋体" w:cs="宋体"/>
          <w:b w:val="0"/>
          <w:color w:val="auto"/>
          <w:kern w:val="0"/>
          <w:sz w:val="21"/>
          <w:szCs w:val="21"/>
          <w:highlight w:val="none"/>
          <w:shd w:val="clear" w:color="auto" w:fill="FFFFFF"/>
          <w:lang w:val="en-US" w:eastAsia="zh-CN"/>
        </w:rPr>
        <w:t>5</w:t>
      </w:r>
      <w:r>
        <w:rPr>
          <w:rFonts w:hint="eastAsia" w:ascii="宋体" w:hAnsi="宋体" w:eastAsia="宋体" w:cs="宋体"/>
          <w:b w:val="0"/>
          <w:color w:val="auto"/>
          <w:kern w:val="0"/>
          <w:sz w:val="21"/>
          <w:szCs w:val="21"/>
          <w:highlight w:val="none"/>
          <w:shd w:val="clear" w:color="auto" w:fill="FFFFFF"/>
        </w:rPr>
        <w:t>年</w:t>
      </w:r>
      <w:r>
        <w:rPr>
          <w:rFonts w:hint="eastAsia" w:ascii="宋体" w:hAnsi="宋体" w:eastAsia="宋体" w:cs="宋体"/>
          <w:b w:val="0"/>
          <w:bCs/>
          <w:color w:val="auto"/>
          <w:kern w:val="0"/>
          <w:sz w:val="21"/>
          <w:szCs w:val="21"/>
          <w:highlight w:val="none"/>
          <w:lang w:val="en-US" w:eastAsia="zh-CN"/>
        </w:rPr>
        <w:t>11</w:t>
      </w:r>
      <w:r>
        <w:rPr>
          <w:rFonts w:hint="eastAsia" w:ascii="宋体" w:hAnsi="宋体" w:eastAsia="宋体" w:cs="宋体"/>
          <w:b w:val="0"/>
          <w:bCs/>
          <w:color w:val="auto"/>
          <w:kern w:val="0"/>
          <w:sz w:val="21"/>
          <w:szCs w:val="21"/>
          <w:highlight w:val="none"/>
        </w:rPr>
        <w:t>月</w:t>
      </w:r>
      <w:r>
        <w:rPr>
          <w:rFonts w:hint="eastAsia" w:ascii="宋体" w:hAnsi="宋体" w:eastAsia="宋体" w:cs="宋体"/>
          <w:b w:val="0"/>
          <w:bCs/>
          <w:color w:val="auto"/>
          <w:kern w:val="0"/>
          <w:sz w:val="21"/>
          <w:szCs w:val="21"/>
          <w:highlight w:val="none"/>
          <w:lang w:val="en-US" w:eastAsia="zh-CN"/>
        </w:rPr>
        <w:t>11</w:t>
      </w:r>
      <w:r>
        <w:rPr>
          <w:rFonts w:hint="eastAsia" w:ascii="宋体" w:hAnsi="宋体" w:eastAsia="宋体" w:cs="宋体"/>
          <w:b w:val="0"/>
          <w:bCs/>
          <w:color w:val="auto"/>
          <w:kern w:val="0"/>
          <w:sz w:val="21"/>
          <w:szCs w:val="21"/>
          <w:highlight w:val="none"/>
        </w:rPr>
        <w:t>日</w:t>
      </w:r>
      <w:bookmarkEnd w:id="23"/>
      <w:bookmarkEnd w:id="24"/>
      <w:bookmarkEnd w:id="37"/>
      <w:bookmarkEnd w:id="38"/>
      <w:bookmarkEnd w:id="39"/>
      <w:bookmarkEnd w:id="40"/>
      <w:bookmarkEnd w:id="41"/>
      <w:bookmarkEnd w:id="42"/>
    </w:p>
    <w:p w14:paraId="1280C3D5">
      <w:pPr>
        <w:pStyle w:val="2"/>
        <w:numPr>
          <w:ilvl w:val="0"/>
          <w:numId w:val="0"/>
        </w:numPr>
        <w:jc w:val="center"/>
        <w:rPr>
          <w:color w:val="auto"/>
          <w:highlight w:val="none"/>
        </w:rPr>
      </w:pPr>
      <w:bookmarkStart w:id="43" w:name="_Toc22206"/>
      <w:bookmarkStart w:id="44" w:name="_Toc30316"/>
      <w:bookmarkStart w:id="45" w:name="_Toc17960"/>
      <w:bookmarkStart w:id="46" w:name="_Toc25959"/>
      <w:r>
        <w:rPr>
          <w:rFonts w:hint="eastAsia"/>
          <w:color w:val="auto"/>
          <w:highlight w:val="none"/>
        </w:rPr>
        <w:t>第二章 供应商须知</w:t>
      </w:r>
      <w:bookmarkEnd w:id="43"/>
      <w:bookmarkEnd w:id="44"/>
    </w:p>
    <w:p w14:paraId="633E0ABC">
      <w:pPr>
        <w:spacing w:line="500" w:lineRule="exact"/>
        <w:jc w:val="center"/>
        <w:rPr>
          <w:color w:val="auto"/>
          <w:highlight w:val="none"/>
        </w:rPr>
      </w:pPr>
      <w:r>
        <w:rPr>
          <w:rFonts w:hint="eastAsia" w:ascii="宋体" w:hAnsi="宋体"/>
          <w:b/>
          <w:color w:val="auto"/>
          <w:sz w:val="32"/>
          <w:szCs w:val="32"/>
          <w:highlight w:val="none"/>
        </w:rPr>
        <w:t>供应商须知前附表</w:t>
      </w:r>
    </w:p>
    <w:tbl>
      <w:tblPr>
        <w:tblStyle w:val="47"/>
        <w:tblW w:w="96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8627"/>
      </w:tblGrid>
      <w:tr w14:paraId="2F382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601ED62C">
            <w:pPr>
              <w:spacing w:line="400" w:lineRule="exact"/>
              <w:jc w:val="center"/>
              <w:rPr>
                <w:rFonts w:ascii="宋体" w:hAnsi="宋体" w:cs="宋体"/>
                <w:b/>
                <w:color w:val="auto"/>
                <w:highlight w:val="none"/>
              </w:rPr>
            </w:pPr>
            <w:r>
              <w:rPr>
                <w:rFonts w:hint="eastAsia" w:ascii="宋体" w:hAnsi="宋体" w:cs="宋体"/>
                <w:b/>
                <w:color w:val="auto"/>
                <w:highlight w:val="none"/>
              </w:rPr>
              <w:t>条款号</w:t>
            </w:r>
          </w:p>
        </w:tc>
        <w:tc>
          <w:tcPr>
            <w:tcW w:w="8627" w:type="dxa"/>
          </w:tcPr>
          <w:p w14:paraId="17B27C9B">
            <w:pPr>
              <w:spacing w:line="400" w:lineRule="exact"/>
              <w:jc w:val="center"/>
              <w:rPr>
                <w:rFonts w:ascii="宋体" w:hAnsi="宋体" w:cs="宋体"/>
                <w:b/>
                <w:color w:val="auto"/>
                <w:highlight w:val="none"/>
              </w:rPr>
            </w:pPr>
            <w:r>
              <w:rPr>
                <w:rFonts w:hint="eastAsia" w:ascii="宋体" w:hAnsi="宋体" w:cs="宋体"/>
                <w:b/>
                <w:color w:val="auto"/>
                <w:highlight w:val="none"/>
              </w:rPr>
              <w:t>内    容</w:t>
            </w:r>
          </w:p>
        </w:tc>
      </w:tr>
      <w:tr w14:paraId="69C83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E23950">
            <w:pPr>
              <w:spacing w:line="400" w:lineRule="exact"/>
              <w:jc w:val="center"/>
              <w:rPr>
                <w:rFonts w:ascii="宋体" w:hAnsi="宋体" w:cs="宋体"/>
                <w:color w:val="auto"/>
                <w:highlight w:val="none"/>
              </w:rPr>
            </w:pPr>
            <w:r>
              <w:rPr>
                <w:rFonts w:hint="eastAsia" w:ascii="宋体" w:hAnsi="宋体" w:cs="宋体"/>
                <w:color w:val="auto"/>
                <w:highlight w:val="none"/>
              </w:rPr>
              <w:t>3</w:t>
            </w:r>
          </w:p>
        </w:tc>
        <w:tc>
          <w:tcPr>
            <w:tcW w:w="8627" w:type="dxa"/>
            <w:vAlign w:val="center"/>
          </w:tcPr>
          <w:p w14:paraId="739E9957">
            <w:pPr>
              <w:spacing w:line="400" w:lineRule="exact"/>
              <w:rPr>
                <w:rFonts w:ascii="宋体" w:hAnsi="宋体" w:cs="宋体"/>
                <w:color w:val="auto"/>
                <w:highlight w:val="none"/>
              </w:rPr>
            </w:pPr>
            <w:r>
              <w:rPr>
                <w:rFonts w:hint="eastAsia" w:ascii="宋体" w:hAnsi="宋体" w:cs="宋体"/>
                <w:bCs/>
                <w:color w:val="auto"/>
                <w:highlight w:val="none"/>
              </w:rPr>
              <w:t>供应商的资格条件</w:t>
            </w:r>
            <w:r>
              <w:rPr>
                <w:rFonts w:hint="eastAsia" w:ascii="宋体" w:hAnsi="宋体" w:cs="宋体"/>
                <w:color w:val="auto"/>
                <w:highlight w:val="none"/>
              </w:rPr>
              <w:t>：详见竞争性磋商公告</w:t>
            </w:r>
          </w:p>
        </w:tc>
      </w:tr>
      <w:tr w14:paraId="198FC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4AD5B05">
            <w:pPr>
              <w:spacing w:line="400" w:lineRule="exact"/>
              <w:jc w:val="center"/>
              <w:rPr>
                <w:rFonts w:ascii="宋体" w:hAnsi="宋体" w:cs="宋体"/>
                <w:color w:val="auto"/>
                <w:highlight w:val="none"/>
              </w:rPr>
            </w:pPr>
            <w:r>
              <w:rPr>
                <w:rFonts w:hint="eastAsia" w:ascii="宋体" w:hAnsi="宋体" w:cs="宋体"/>
                <w:color w:val="auto"/>
                <w:highlight w:val="none"/>
              </w:rPr>
              <w:t>5.1</w:t>
            </w:r>
          </w:p>
        </w:tc>
        <w:tc>
          <w:tcPr>
            <w:tcW w:w="8627" w:type="dxa"/>
            <w:vAlign w:val="center"/>
          </w:tcPr>
          <w:p w14:paraId="1E38F31F">
            <w:pPr>
              <w:spacing w:line="400" w:lineRule="exact"/>
              <w:rPr>
                <w:rFonts w:ascii="宋体" w:hAnsi="宋体" w:cs="宋体"/>
                <w:color w:val="auto"/>
                <w:highlight w:val="none"/>
              </w:rPr>
            </w:pPr>
            <w:r>
              <w:rPr>
                <w:rFonts w:hint="eastAsia" w:ascii="宋体" w:hAnsi="宋体" w:cs="宋体"/>
                <w:color w:val="auto"/>
                <w:highlight w:val="none"/>
              </w:rPr>
              <w:t>是否接受联合体竞标：详见竞争性磋商公告</w:t>
            </w:r>
          </w:p>
        </w:tc>
      </w:tr>
      <w:tr w14:paraId="41819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687F2E6">
            <w:pPr>
              <w:spacing w:line="400" w:lineRule="exact"/>
              <w:jc w:val="center"/>
              <w:rPr>
                <w:rFonts w:ascii="宋体" w:hAnsi="宋体" w:cs="宋体"/>
                <w:color w:val="auto"/>
                <w:highlight w:val="none"/>
              </w:rPr>
            </w:pPr>
            <w:r>
              <w:rPr>
                <w:rFonts w:hint="eastAsia" w:ascii="宋体" w:hAnsi="宋体" w:cs="宋体"/>
                <w:color w:val="auto"/>
                <w:highlight w:val="none"/>
              </w:rPr>
              <w:t>5.2</w:t>
            </w:r>
          </w:p>
        </w:tc>
        <w:tc>
          <w:tcPr>
            <w:tcW w:w="8627" w:type="dxa"/>
            <w:vAlign w:val="center"/>
          </w:tcPr>
          <w:p w14:paraId="4FD00007">
            <w:pPr>
              <w:spacing w:line="400" w:lineRule="exact"/>
              <w:rPr>
                <w:rFonts w:ascii="宋体" w:hAnsi="宋体" w:cs="宋体"/>
                <w:color w:val="auto"/>
                <w:highlight w:val="none"/>
              </w:rPr>
            </w:pPr>
            <w:r>
              <w:rPr>
                <w:rFonts w:hint="eastAsia" w:ascii="宋体" w:hAnsi="宋体" w:cs="宋体"/>
                <w:color w:val="auto"/>
                <w:highlight w:val="none"/>
              </w:rPr>
              <w:t>如接受联合体竞标，联合体竞标要求如下：</w:t>
            </w:r>
          </w:p>
          <w:p w14:paraId="66662532">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1、两个以上供应商可以组成一个竞标联合体，以一个供应商的身份共同参加竞标，联合体供应商的名称应统一按“XXX 公司与 XXX 公司的联合体”的规则填写。</w:t>
            </w:r>
            <w:r>
              <w:rPr>
                <w:rFonts w:hint="eastAsia" w:ascii="宋体" w:hAnsi="宋体" w:cs="宋体"/>
                <w:color w:val="auto"/>
                <w:highlight w:val="none"/>
              </w:rPr>
              <w:tab/>
            </w:r>
          </w:p>
          <w:p w14:paraId="41F49D92">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2、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本项目竞争性磋商公告“申请人的资格条件”第3点 “3、本项目的特定资格要求”的要求。</w:t>
            </w:r>
          </w:p>
          <w:p w14:paraId="53199324">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3、联合体竞标的，须提供《联合体竞标协议书》（格式后附），协议书必须明确主体方（或者牵头方）并明确约定联合体各方承担的工作和相应的责任（各方承担责任与义务的分工必须符合采购需求，否则，联合体响应无效），并将联合竞标协议放入响应文件。联合体各方必须共同与采购人签订采购合同，就采购合同约定的事项对采购人承担连带责任。</w:t>
            </w:r>
            <w:r>
              <w:rPr>
                <w:rFonts w:hint="eastAsia" w:ascii="宋体" w:hAnsi="宋体" w:cs="宋体"/>
                <w:color w:val="auto"/>
                <w:highlight w:val="none"/>
              </w:rPr>
              <w:tab/>
            </w:r>
          </w:p>
          <w:p w14:paraId="7253FF03">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4、以联合体形式参加政府采购活动的，联合体各方不得再单独参加或者与其他供应商另外组成联合体参加同一合同项下的政府采购活动，否则与之相关的响应文件作废。</w:t>
            </w:r>
            <w:r>
              <w:rPr>
                <w:rFonts w:hint="eastAsia" w:ascii="宋体" w:hAnsi="宋体" w:cs="宋体"/>
                <w:color w:val="auto"/>
                <w:highlight w:val="none"/>
              </w:rPr>
              <w:tab/>
            </w:r>
            <w:r>
              <w:rPr>
                <w:rFonts w:hint="eastAsia" w:ascii="宋体" w:hAnsi="宋体" w:cs="宋体"/>
                <w:color w:val="auto"/>
                <w:highlight w:val="none"/>
              </w:rPr>
              <w:tab/>
            </w:r>
          </w:p>
          <w:p w14:paraId="439E2416">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5、联合体中有同类资质的供应商按照联合体分工承担相同工作的，应当按照资质等级较低的供应商确定资质等级。</w:t>
            </w:r>
            <w:r>
              <w:rPr>
                <w:rFonts w:hint="eastAsia" w:ascii="宋体" w:hAnsi="宋体" w:cs="宋体"/>
                <w:color w:val="auto"/>
                <w:highlight w:val="none"/>
              </w:rPr>
              <w:tab/>
            </w:r>
            <w:r>
              <w:rPr>
                <w:rFonts w:hint="eastAsia" w:ascii="宋体" w:hAnsi="宋体" w:cs="宋体"/>
                <w:color w:val="auto"/>
                <w:highlight w:val="none"/>
              </w:rPr>
              <w:tab/>
            </w:r>
          </w:p>
          <w:p w14:paraId="5F3A57A8">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6、联合体竞标业绩、履约能力按照联合体各方其中较高的一方认定并计算（竞争性磋商文件另有规定的除外）。</w:t>
            </w:r>
            <w:r>
              <w:rPr>
                <w:rFonts w:hint="eastAsia" w:ascii="宋体" w:hAnsi="宋体" w:cs="宋体"/>
                <w:color w:val="auto"/>
                <w:highlight w:val="none"/>
              </w:rPr>
              <w:tab/>
            </w:r>
            <w:r>
              <w:rPr>
                <w:rFonts w:hint="eastAsia" w:ascii="宋体" w:hAnsi="宋体" w:cs="宋体"/>
                <w:color w:val="auto"/>
                <w:highlight w:val="none"/>
              </w:rPr>
              <w:tab/>
            </w:r>
            <w:r>
              <w:rPr>
                <w:rFonts w:hint="eastAsia" w:ascii="宋体" w:hAnsi="宋体" w:cs="宋体"/>
                <w:color w:val="auto"/>
                <w:highlight w:val="none"/>
              </w:rPr>
              <w:tab/>
            </w:r>
          </w:p>
          <w:p w14:paraId="7E4C54BF">
            <w:pPr>
              <w:spacing w:line="400" w:lineRule="exact"/>
              <w:rPr>
                <w:rFonts w:ascii="宋体" w:hAnsi="宋体" w:cs="宋体"/>
                <w:color w:val="auto"/>
                <w:highlight w:val="none"/>
              </w:rPr>
            </w:pPr>
            <w:r>
              <w:rPr>
                <w:rFonts w:hint="eastAsia" w:ascii="宋体" w:hAnsi="宋体" w:cs="宋体"/>
                <w:color w:val="auto"/>
                <w:highlight w:val="none"/>
              </w:rPr>
              <w:t>7、联合体各方均应按照竞争性磋商文件的规定提交资格证明文件。</w:t>
            </w:r>
          </w:p>
        </w:tc>
      </w:tr>
      <w:tr w14:paraId="71E04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0C2B1F9">
            <w:pPr>
              <w:spacing w:line="400" w:lineRule="exact"/>
              <w:jc w:val="center"/>
              <w:rPr>
                <w:rFonts w:ascii="宋体" w:hAnsi="宋体" w:cs="宋体"/>
                <w:color w:val="auto"/>
                <w:highlight w:val="none"/>
              </w:rPr>
            </w:pPr>
            <w:r>
              <w:rPr>
                <w:rFonts w:hint="eastAsia" w:ascii="宋体" w:hAnsi="宋体" w:cs="宋体"/>
                <w:color w:val="auto"/>
                <w:highlight w:val="none"/>
              </w:rPr>
              <w:t>6.2</w:t>
            </w:r>
          </w:p>
        </w:tc>
        <w:tc>
          <w:tcPr>
            <w:tcW w:w="8627" w:type="dxa"/>
            <w:vAlign w:val="center"/>
          </w:tcPr>
          <w:p w14:paraId="57D223D9">
            <w:pPr>
              <w:pStyle w:val="17"/>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本项目不允许分包。</w:t>
            </w:r>
          </w:p>
        </w:tc>
      </w:tr>
      <w:tr w14:paraId="5BD62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A2679C7">
            <w:pPr>
              <w:spacing w:line="400" w:lineRule="exact"/>
              <w:jc w:val="center"/>
              <w:rPr>
                <w:rFonts w:ascii="宋体" w:hAnsi="宋体" w:cs="宋体"/>
                <w:color w:val="auto"/>
                <w:highlight w:val="none"/>
              </w:rPr>
            </w:pPr>
            <w:r>
              <w:rPr>
                <w:rFonts w:hint="eastAsia" w:ascii="宋体" w:hAnsi="宋体" w:cs="宋体"/>
                <w:color w:val="auto"/>
                <w:highlight w:val="none"/>
              </w:rPr>
              <w:t>12.1.1</w:t>
            </w:r>
          </w:p>
        </w:tc>
        <w:tc>
          <w:tcPr>
            <w:tcW w:w="8627" w:type="dxa"/>
            <w:vAlign w:val="center"/>
          </w:tcPr>
          <w:p w14:paraId="335EB324">
            <w:pPr>
              <w:snapToGrid w:val="0"/>
              <w:spacing w:line="400" w:lineRule="exact"/>
              <w:jc w:val="left"/>
              <w:rPr>
                <w:rFonts w:ascii="宋体" w:hAnsi="宋体" w:cs="宋体"/>
                <w:b/>
                <w:color w:val="auto"/>
                <w:highlight w:val="none"/>
              </w:rPr>
            </w:pPr>
            <w:r>
              <w:rPr>
                <w:rFonts w:hint="eastAsia" w:ascii="宋体" w:hAnsi="宋体" w:cs="宋体"/>
                <w:b/>
                <w:color w:val="auto"/>
                <w:highlight w:val="none"/>
              </w:rPr>
              <w:t>资格证明文件</w:t>
            </w:r>
          </w:p>
          <w:p w14:paraId="32422DE8">
            <w:pPr>
              <w:pStyle w:val="17"/>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1、供应商为法人或者其他组织的，证明文件为其营业执照复印件（如营业执照或者事业单位法人证书或者执业许可证等）；供应商为自然人的，证明文件为其身份证复印件；（</w:t>
            </w:r>
            <w:r>
              <w:rPr>
                <w:rFonts w:hint="eastAsia" w:ascii="宋体" w:hAnsi="宋体" w:cs="宋体"/>
                <w:b/>
                <w:color w:val="auto"/>
                <w:sz w:val="21"/>
                <w:szCs w:val="21"/>
                <w:highlight w:val="none"/>
              </w:rPr>
              <w:t>必须提供，否则响应文件按无效响应处理</w:t>
            </w:r>
            <w:r>
              <w:rPr>
                <w:rFonts w:hint="eastAsia" w:ascii="宋体" w:hAnsi="宋体" w:cs="宋体"/>
                <w:color w:val="auto"/>
                <w:sz w:val="21"/>
                <w:szCs w:val="21"/>
                <w:highlight w:val="none"/>
              </w:rPr>
              <w:t>）</w:t>
            </w:r>
          </w:p>
          <w:p w14:paraId="704102BC">
            <w:pPr>
              <w:spacing w:line="400" w:lineRule="exact"/>
              <w:contextualSpacing/>
              <w:jc w:val="left"/>
              <w:rPr>
                <w:rFonts w:hint="eastAsia" w:ascii="宋体" w:hAnsi="宋体" w:eastAsia="宋体" w:cs="宋体"/>
                <w:color w:val="auto"/>
                <w:highlight w:val="none"/>
                <w:lang w:eastAsia="zh-CN"/>
              </w:rPr>
            </w:pPr>
            <w:r>
              <w:rPr>
                <w:rFonts w:hint="eastAsia" w:ascii="宋体" w:hAnsi="宋体" w:cs="宋体"/>
                <w:color w:val="auto"/>
                <w:highlight w:val="none"/>
              </w:rPr>
              <w:t>2、贵港市政府采购项目投标资格承诺函（格式后附）；（</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7D29C323">
            <w:pPr>
              <w:spacing w:line="400" w:lineRule="exact"/>
              <w:contextualSpacing/>
              <w:jc w:val="left"/>
              <w:rPr>
                <w:rFonts w:ascii="宋体" w:hAnsi="宋体" w:cs="宋体"/>
                <w:b/>
                <w:color w:val="auto"/>
                <w:highlight w:val="none"/>
              </w:rPr>
            </w:pPr>
            <w:r>
              <w:rPr>
                <w:rFonts w:hint="eastAsia" w:ascii="宋体" w:hAnsi="宋体" w:cs="宋体"/>
                <w:color w:val="auto"/>
                <w:highlight w:val="none"/>
              </w:rPr>
              <w:t>3、供应商直接控股、管理关系信息表（格式后附）；</w:t>
            </w:r>
            <w:r>
              <w:rPr>
                <w:rFonts w:hint="eastAsia" w:ascii="宋体" w:hAnsi="宋体" w:cs="宋体"/>
                <w:b/>
                <w:color w:val="auto"/>
                <w:highlight w:val="none"/>
              </w:rPr>
              <w:t>（必须提供，否则响应文件按无效响应处理）</w:t>
            </w:r>
          </w:p>
          <w:p w14:paraId="56042586">
            <w:pPr>
              <w:snapToGrid w:val="0"/>
              <w:spacing w:line="400" w:lineRule="exact"/>
              <w:jc w:val="left"/>
              <w:rPr>
                <w:rFonts w:ascii="宋体" w:hAnsi="宋体" w:cs="宋体"/>
                <w:color w:val="auto"/>
                <w:highlight w:val="none"/>
              </w:rPr>
            </w:pPr>
            <w:r>
              <w:rPr>
                <w:rFonts w:hint="eastAsia" w:ascii="宋体" w:hAnsi="宋体" w:cs="宋体"/>
                <w:color w:val="auto"/>
                <w:highlight w:val="none"/>
              </w:rPr>
              <w:t>4、竞标声明（格式后附）；（</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06EA84BD">
            <w:pPr>
              <w:snapToGrid w:val="0"/>
              <w:spacing w:line="400" w:lineRule="exact"/>
              <w:jc w:val="left"/>
              <w:rPr>
                <w:rFonts w:ascii="宋体" w:hAnsi="宋体" w:cs="宋体"/>
                <w:color w:val="auto"/>
                <w:highlight w:val="none"/>
              </w:rPr>
            </w:pPr>
            <w:r>
              <w:rPr>
                <w:rFonts w:hint="eastAsia" w:ascii="宋体" w:hAnsi="宋体" w:cs="宋体"/>
                <w:color w:val="auto"/>
                <w:highlight w:val="none"/>
              </w:rPr>
              <w:t>5、中小企业声明函或者残疾人福利性单位声明函或者供应商属于监狱企业的证明材料；（</w:t>
            </w:r>
            <w:r>
              <w:rPr>
                <w:rFonts w:hint="eastAsia" w:ascii="宋体" w:hAnsi="宋体" w:cs="宋体"/>
                <w:b/>
                <w:bCs/>
                <w:color w:val="auto"/>
                <w:highlight w:val="none"/>
              </w:rPr>
              <w:t>本项目如为专门面向中小企业采购时必须提供，否则电子响应文件按无效响应处理</w:t>
            </w:r>
            <w:r>
              <w:rPr>
                <w:rFonts w:hint="eastAsia" w:ascii="宋体" w:hAnsi="宋体" w:cs="宋体"/>
                <w:color w:val="auto"/>
                <w:highlight w:val="none"/>
              </w:rPr>
              <w:t>）</w:t>
            </w:r>
          </w:p>
          <w:p w14:paraId="3E4DDEE7">
            <w:pPr>
              <w:spacing w:line="400" w:lineRule="exact"/>
              <w:rPr>
                <w:rFonts w:hint="eastAsia" w:ascii="宋体" w:hAnsi="宋体" w:cs="宋体"/>
                <w:color w:val="auto"/>
                <w:highlight w:val="none"/>
              </w:rPr>
            </w:pPr>
            <w:r>
              <w:rPr>
                <w:rFonts w:hint="eastAsia" w:ascii="宋体" w:hAnsi="宋体" w:cs="宋体"/>
                <w:color w:val="auto"/>
                <w:highlight w:val="none"/>
              </w:rPr>
              <w:t>6、（1）要求投标人须具备有效的公路工程施工总承包叁级以上（含叁级）资质，具有省级及以上建设行政主管部门颁发的安全生产许可证，并在人员、设备、资金等方面具备相应的施工能力。（</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784E3CFD">
            <w:pPr>
              <w:spacing w:line="400" w:lineRule="exact"/>
              <w:ind w:firstLine="210" w:firstLineChars="100"/>
              <w:rPr>
                <w:rFonts w:ascii="宋体" w:hAnsi="宋体" w:cs="宋体"/>
                <w:color w:val="auto"/>
                <w:highlight w:val="none"/>
              </w:rPr>
            </w:pPr>
            <w:r>
              <w:rPr>
                <w:rFonts w:hint="eastAsia" w:ascii="宋体" w:hAnsi="宋体" w:cs="宋体"/>
                <w:color w:val="auto"/>
                <w:highlight w:val="none"/>
              </w:rPr>
              <w:t>（2）拟投入本项目的项目经理须具备公路工程专业贰级以上（含贰级）注册建造师执业资格，并具有省级 (或以上) 交通主管部门颁发的《安全生产考核合格证书》 B证。安全员具有省级 (或以上) 交通主管部门颁发的《安全生产考核合格证书》C证。（</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24047077">
            <w:pPr>
              <w:snapToGrid w:val="0"/>
              <w:spacing w:line="400" w:lineRule="exact"/>
              <w:jc w:val="left"/>
              <w:rPr>
                <w:rFonts w:ascii="宋体" w:hAnsi="宋体" w:cs="宋体"/>
                <w:b/>
                <w:color w:val="auto"/>
                <w:highlight w:val="none"/>
              </w:rPr>
            </w:pPr>
            <w:r>
              <w:rPr>
                <w:rFonts w:hint="eastAsia" w:ascii="宋体" w:hAnsi="宋体" w:cs="宋体"/>
                <w:color w:val="auto"/>
                <w:highlight w:val="none"/>
              </w:rPr>
              <w:t>7、除磋商文件规定必须提供以外，供应商认为需要提供的其他证明材料。（如有）</w:t>
            </w:r>
          </w:p>
          <w:p w14:paraId="253B1D2B">
            <w:pPr>
              <w:snapToGrid w:val="0"/>
              <w:spacing w:line="400" w:lineRule="exact"/>
              <w:ind w:firstLine="422" w:firstLineChars="200"/>
              <w:jc w:val="left"/>
              <w:rPr>
                <w:rFonts w:ascii="宋体" w:hAnsi="宋体" w:cs="宋体"/>
                <w:b/>
                <w:color w:val="auto"/>
                <w:highlight w:val="none"/>
              </w:rPr>
            </w:pPr>
            <w:r>
              <w:rPr>
                <w:rFonts w:hint="eastAsia" w:ascii="宋体" w:hAnsi="宋体" w:cs="宋体"/>
                <w:b/>
                <w:color w:val="auto"/>
                <w:highlight w:val="none"/>
              </w:rPr>
              <w:t>注：</w:t>
            </w:r>
          </w:p>
          <w:p w14:paraId="2075095C">
            <w:pPr>
              <w:snapToGrid w:val="0"/>
              <w:spacing w:line="400" w:lineRule="exact"/>
              <w:ind w:firstLine="413" w:firstLineChars="196"/>
              <w:jc w:val="left"/>
              <w:rPr>
                <w:rFonts w:ascii="宋体" w:hAnsi="宋体" w:cs="宋体"/>
                <w:b/>
                <w:color w:val="auto"/>
                <w:highlight w:val="none"/>
              </w:rPr>
            </w:pPr>
            <w:r>
              <w:rPr>
                <w:rFonts w:hint="eastAsia" w:ascii="宋体" w:hAnsi="宋体" w:cs="宋体"/>
                <w:b/>
                <w:color w:val="auto"/>
                <w:highlight w:val="none"/>
              </w:rPr>
              <w:t>1、以上标明“必须提供”的材料属于复印件的，必须加盖供应商公章，否则响应文件按无效响应处理。</w:t>
            </w:r>
          </w:p>
          <w:p w14:paraId="61F5B71D">
            <w:pPr>
              <w:snapToGrid w:val="0"/>
              <w:spacing w:line="400" w:lineRule="exact"/>
              <w:ind w:firstLine="422" w:firstLineChars="200"/>
              <w:jc w:val="left"/>
              <w:rPr>
                <w:rFonts w:ascii="宋体" w:hAnsi="宋体" w:cs="宋体"/>
                <w:b/>
                <w:color w:val="auto"/>
                <w:highlight w:val="none"/>
              </w:rPr>
            </w:pPr>
            <w:r>
              <w:rPr>
                <w:rFonts w:hint="eastAsia" w:ascii="宋体" w:hAnsi="宋体" w:cs="宋体"/>
                <w:b/>
                <w:color w:val="auto"/>
                <w:highlight w:val="none"/>
              </w:rPr>
              <w:t>2、竞标声明必须由法定代表人在规定签章处签字并加盖供应商公章，否则响应文件按无效响应处理。</w:t>
            </w:r>
          </w:p>
          <w:p w14:paraId="34D6BC18">
            <w:pPr>
              <w:snapToGrid w:val="0"/>
              <w:spacing w:line="400" w:lineRule="exact"/>
              <w:ind w:firstLine="422" w:firstLineChars="200"/>
              <w:jc w:val="left"/>
              <w:rPr>
                <w:rFonts w:ascii="宋体" w:hAnsi="宋体" w:cs="宋体"/>
                <w:b/>
                <w:color w:val="auto"/>
                <w:highlight w:val="none"/>
              </w:rPr>
            </w:pPr>
            <w:r>
              <w:rPr>
                <w:rFonts w:hint="eastAsia" w:ascii="宋体" w:hAnsi="宋体" w:cs="宋体"/>
                <w:b/>
                <w:color w:val="auto"/>
                <w:highlight w:val="none"/>
              </w:rPr>
              <w:t>3、供应商直接控股、管理关系信息表必须由法定代表人（或负责人）或者委托代理人在规定签章处签字并加盖供应商公章，否则响应文件按无效响应处理。</w:t>
            </w:r>
          </w:p>
        </w:tc>
      </w:tr>
      <w:tr w14:paraId="093E8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4FD4C0C">
            <w:pPr>
              <w:spacing w:line="400" w:lineRule="exact"/>
              <w:jc w:val="center"/>
              <w:rPr>
                <w:rFonts w:ascii="宋体" w:hAnsi="宋体" w:cs="宋体"/>
                <w:color w:val="auto"/>
                <w:highlight w:val="none"/>
              </w:rPr>
            </w:pPr>
            <w:r>
              <w:rPr>
                <w:rFonts w:hint="eastAsia" w:ascii="宋体" w:hAnsi="宋体" w:cs="宋体"/>
                <w:color w:val="auto"/>
                <w:highlight w:val="none"/>
              </w:rPr>
              <w:t>12.1.2</w:t>
            </w:r>
          </w:p>
        </w:tc>
        <w:tc>
          <w:tcPr>
            <w:tcW w:w="8627" w:type="dxa"/>
            <w:vAlign w:val="center"/>
          </w:tcPr>
          <w:p w14:paraId="39B3F723">
            <w:pPr>
              <w:spacing w:line="400" w:lineRule="exact"/>
              <w:rPr>
                <w:rFonts w:ascii="宋体" w:hAnsi="宋体" w:cs="宋体"/>
                <w:b/>
                <w:bCs/>
                <w:color w:val="auto"/>
                <w:highlight w:val="none"/>
              </w:rPr>
            </w:pPr>
            <w:r>
              <w:rPr>
                <w:rFonts w:hint="eastAsia" w:ascii="宋体" w:hAnsi="宋体" w:cs="宋体"/>
                <w:b/>
                <w:bCs/>
                <w:color w:val="auto"/>
                <w:highlight w:val="none"/>
              </w:rPr>
              <w:t>报价文件</w:t>
            </w:r>
          </w:p>
          <w:p w14:paraId="765342A6">
            <w:pPr>
              <w:spacing w:line="400" w:lineRule="exact"/>
              <w:rPr>
                <w:rFonts w:ascii="宋体" w:hAnsi="宋体" w:cs="宋体"/>
                <w:color w:val="auto"/>
                <w:highlight w:val="none"/>
              </w:rPr>
            </w:pPr>
            <w:r>
              <w:rPr>
                <w:rFonts w:hint="eastAsia" w:ascii="宋体" w:hAnsi="宋体" w:cs="宋体"/>
                <w:color w:val="auto"/>
                <w:highlight w:val="none"/>
              </w:rPr>
              <w:t>1、磋商函（格式后附）；（</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42019A7D">
            <w:pPr>
              <w:spacing w:line="400" w:lineRule="exact"/>
              <w:rPr>
                <w:rFonts w:ascii="宋体" w:hAnsi="宋体" w:cs="宋体"/>
                <w:b/>
                <w:color w:val="auto"/>
                <w:highlight w:val="none"/>
              </w:rPr>
            </w:pPr>
            <w:r>
              <w:rPr>
                <w:rFonts w:hint="eastAsia" w:ascii="宋体" w:hAnsi="宋体" w:cs="宋体"/>
                <w:color w:val="auto"/>
                <w:highlight w:val="none"/>
              </w:rPr>
              <w:t>2、磋商函附录（格式后附）；</w:t>
            </w:r>
            <w:r>
              <w:rPr>
                <w:rFonts w:hint="eastAsia" w:ascii="宋体" w:hAnsi="宋体" w:cs="宋体"/>
                <w:b/>
                <w:color w:val="auto"/>
                <w:highlight w:val="none"/>
              </w:rPr>
              <w:t>（必须提供，否则响应文件按无效响应处理）</w:t>
            </w:r>
          </w:p>
          <w:p w14:paraId="4CBCC8F9">
            <w:pPr>
              <w:spacing w:line="400" w:lineRule="exact"/>
              <w:rPr>
                <w:rFonts w:ascii="宋体" w:hAnsi="宋体" w:cs="宋体"/>
                <w:color w:val="auto"/>
                <w:highlight w:val="none"/>
              </w:rPr>
            </w:pPr>
            <w:r>
              <w:rPr>
                <w:rFonts w:hint="eastAsia" w:ascii="宋体" w:hAnsi="宋体" w:cs="宋体"/>
                <w:color w:val="auto"/>
                <w:highlight w:val="none"/>
              </w:rPr>
              <w:t>3、已标价的工程量清单；（</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24E9BA81">
            <w:pPr>
              <w:spacing w:line="400" w:lineRule="exact"/>
              <w:rPr>
                <w:rFonts w:ascii="宋体" w:hAnsi="宋体" w:cs="宋体"/>
                <w:b/>
                <w:color w:val="auto"/>
                <w:highlight w:val="none"/>
              </w:rPr>
            </w:pPr>
            <w:r>
              <w:rPr>
                <w:rFonts w:hint="eastAsia" w:ascii="宋体" w:hAnsi="宋体" w:cs="宋体"/>
                <w:color w:val="auto"/>
                <w:highlight w:val="none"/>
              </w:rPr>
              <w:t>4、供应商认为需要提供的其他有关资料。</w:t>
            </w:r>
          </w:p>
          <w:p w14:paraId="1A5744F4">
            <w:pPr>
              <w:snapToGrid w:val="0"/>
              <w:spacing w:line="400" w:lineRule="exact"/>
              <w:jc w:val="left"/>
              <w:rPr>
                <w:rFonts w:ascii="宋体" w:hAnsi="宋体" w:cs="宋体"/>
                <w:b/>
                <w:color w:val="auto"/>
                <w:highlight w:val="none"/>
              </w:rPr>
            </w:pPr>
            <w:r>
              <w:rPr>
                <w:rFonts w:hint="eastAsia" w:ascii="宋体" w:hAnsi="宋体" w:cs="宋体"/>
                <w:b/>
                <w:color w:val="auto"/>
                <w:highlight w:val="none"/>
              </w:rPr>
              <w:t>注：以上标明“必须提供”的材料属于复印件的，必须加盖供应商公章，否则响应文件按无效响应处理。</w:t>
            </w:r>
          </w:p>
        </w:tc>
      </w:tr>
      <w:tr w14:paraId="60BA7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FB6162D">
            <w:pPr>
              <w:spacing w:line="400" w:lineRule="exact"/>
              <w:jc w:val="center"/>
              <w:rPr>
                <w:rFonts w:ascii="宋体" w:hAnsi="宋体" w:cs="宋体"/>
                <w:color w:val="auto"/>
                <w:highlight w:val="none"/>
              </w:rPr>
            </w:pPr>
            <w:r>
              <w:rPr>
                <w:rFonts w:hint="eastAsia" w:ascii="宋体" w:hAnsi="宋体" w:cs="宋体"/>
                <w:color w:val="auto"/>
                <w:highlight w:val="none"/>
              </w:rPr>
              <w:t>12.1.3</w:t>
            </w:r>
          </w:p>
        </w:tc>
        <w:tc>
          <w:tcPr>
            <w:tcW w:w="8627" w:type="dxa"/>
            <w:vAlign w:val="center"/>
          </w:tcPr>
          <w:p w14:paraId="6912C93C">
            <w:pPr>
              <w:spacing w:line="400" w:lineRule="exact"/>
              <w:rPr>
                <w:rFonts w:ascii="宋体" w:hAnsi="宋体" w:cs="宋体"/>
                <w:b/>
                <w:bCs/>
                <w:color w:val="auto"/>
                <w:highlight w:val="none"/>
              </w:rPr>
            </w:pPr>
            <w:r>
              <w:rPr>
                <w:rFonts w:hint="eastAsia" w:ascii="宋体" w:hAnsi="宋体" w:cs="宋体"/>
                <w:b/>
                <w:bCs/>
                <w:color w:val="auto"/>
                <w:highlight w:val="none"/>
              </w:rPr>
              <w:t>商务技术文件</w:t>
            </w:r>
          </w:p>
          <w:p w14:paraId="666E8A32">
            <w:pPr>
              <w:spacing w:line="400" w:lineRule="exact"/>
              <w:rPr>
                <w:rFonts w:ascii="宋体" w:hAnsi="宋体" w:cs="宋体"/>
                <w:color w:val="auto"/>
                <w:highlight w:val="none"/>
              </w:rPr>
            </w:pPr>
            <w:r>
              <w:rPr>
                <w:rFonts w:hint="eastAsia" w:ascii="宋体" w:hAnsi="宋体" w:cs="宋体"/>
                <w:color w:val="auto"/>
                <w:highlight w:val="none"/>
              </w:rPr>
              <w:t>1、无串通竞标行为的承诺函（格式后附）；（</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7768CD4E">
            <w:pPr>
              <w:snapToGrid w:val="0"/>
              <w:spacing w:line="400" w:lineRule="exact"/>
              <w:jc w:val="left"/>
              <w:rPr>
                <w:rFonts w:ascii="宋体" w:hAnsi="宋体" w:cs="宋体"/>
                <w:color w:val="auto"/>
                <w:highlight w:val="none"/>
              </w:rPr>
            </w:pPr>
            <w:r>
              <w:rPr>
                <w:rFonts w:hint="eastAsia" w:ascii="宋体" w:hAnsi="宋体" w:cs="宋体"/>
                <w:color w:val="auto"/>
                <w:highlight w:val="none"/>
              </w:rPr>
              <w:t>2、法定代表人身份证明及法定代表人有效身份证正反面复印件（格式后附）；（</w:t>
            </w:r>
            <w:r>
              <w:rPr>
                <w:rFonts w:hint="eastAsia" w:ascii="宋体" w:hAnsi="宋体" w:cs="宋体"/>
                <w:b/>
                <w:bCs/>
                <w:color w:val="auto"/>
                <w:highlight w:val="none"/>
              </w:rPr>
              <w:t>自然人参加时，只需要提供身份证复印件，</w:t>
            </w:r>
            <w:r>
              <w:rPr>
                <w:rFonts w:hint="eastAsia" w:ascii="宋体" w:hAnsi="宋体" w:cs="宋体"/>
                <w:b/>
                <w:color w:val="auto"/>
                <w:highlight w:val="none"/>
              </w:rPr>
              <w:t>必须提供，否则按无效响应处理</w:t>
            </w:r>
            <w:r>
              <w:rPr>
                <w:rFonts w:hint="eastAsia" w:ascii="宋体" w:hAnsi="宋体" w:cs="宋体"/>
                <w:color w:val="auto"/>
                <w:highlight w:val="none"/>
              </w:rPr>
              <w:t>）</w:t>
            </w:r>
          </w:p>
          <w:p w14:paraId="59CBC3FC">
            <w:pPr>
              <w:spacing w:line="400" w:lineRule="exact"/>
              <w:rPr>
                <w:rFonts w:ascii="宋体" w:hAnsi="宋体" w:cs="宋体"/>
                <w:color w:val="auto"/>
                <w:highlight w:val="none"/>
              </w:rPr>
            </w:pPr>
            <w:r>
              <w:rPr>
                <w:rFonts w:hint="eastAsia" w:ascii="宋体" w:hAnsi="宋体" w:cs="宋体"/>
                <w:color w:val="auto"/>
                <w:highlight w:val="none"/>
              </w:rPr>
              <w:t>3、授权委托书及委托代理人有效身份证正反面复印件（格式后附）；（</w:t>
            </w:r>
            <w:r>
              <w:rPr>
                <w:rFonts w:hint="eastAsia" w:ascii="宋体" w:hAnsi="宋体" w:cs="宋体"/>
                <w:b/>
                <w:color w:val="auto"/>
                <w:highlight w:val="none"/>
              </w:rPr>
              <w:t>委托时必须提供，否则响应文件按无效响应处理</w:t>
            </w:r>
            <w:r>
              <w:rPr>
                <w:rFonts w:hint="eastAsia" w:ascii="宋体" w:hAnsi="宋体" w:cs="宋体"/>
                <w:color w:val="auto"/>
                <w:highlight w:val="none"/>
              </w:rPr>
              <w:t>）</w:t>
            </w:r>
          </w:p>
          <w:p w14:paraId="21942800">
            <w:pPr>
              <w:spacing w:line="400" w:lineRule="exact"/>
              <w:rPr>
                <w:rFonts w:ascii="宋体" w:hAnsi="宋体" w:cs="宋体"/>
                <w:color w:val="auto"/>
                <w:highlight w:val="none"/>
              </w:rPr>
            </w:pPr>
            <w:r>
              <w:rPr>
                <w:rFonts w:hint="eastAsia" w:ascii="宋体" w:hAnsi="宋体" w:cs="宋体"/>
                <w:color w:val="auto"/>
                <w:highlight w:val="none"/>
              </w:rPr>
              <w:t>4、建设工程项目管理承诺书（格式后附）；（</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546D4F48">
            <w:pPr>
              <w:spacing w:line="400" w:lineRule="exact"/>
              <w:rPr>
                <w:rFonts w:ascii="宋体" w:hAnsi="宋体" w:cs="宋体"/>
                <w:color w:val="auto"/>
                <w:highlight w:val="none"/>
              </w:rPr>
            </w:pPr>
            <w:r>
              <w:rPr>
                <w:rFonts w:hint="eastAsia" w:ascii="宋体" w:hAnsi="宋体" w:cs="宋体"/>
                <w:color w:val="auto"/>
                <w:highlight w:val="none"/>
              </w:rPr>
              <w:t>5、</w:t>
            </w:r>
            <w:r>
              <w:rPr>
                <w:rFonts w:hint="eastAsia" w:ascii="宋体" w:hAnsi="宋体" w:cs="宋体"/>
                <w:color w:val="auto"/>
                <w:kern w:val="0"/>
                <w:highlight w:val="none"/>
              </w:rPr>
              <w:t>供应商类似业绩的证明文件</w:t>
            </w:r>
            <w:r>
              <w:rPr>
                <w:rFonts w:hint="eastAsia" w:ascii="宋体" w:hAnsi="宋体" w:cs="宋体"/>
                <w:color w:val="auto"/>
                <w:highlight w:val="none"/>
              </w:rPr>
              <w:t>；（如有）</w:t>
            </w:r>
          </w:p>
          <w:p w14:paraId="3AFD2750">
            <w:pPr>
              <w:spacing w:line="400" w:lineRule="exact"/>
              <w:rPr>
                <w:rFonts w:ascii="宋体" w:hAnsi="宋体" w:cs="宋体"/>
                <w:color w:val="auto"/>
                <w:highlight w:val="none"/>
              </w:rPr>
            </w:pPr>
            <w:r>
              <w:rPr>
                <w:rFonts w:hint="eastAsia" w:ascii="宋体" w:hAnsi="宋体" w:cs="宋体"/>
                <w:color w:val="auto"/>
                <w:highlight w:val="none"/>
              </w:rPr>
              <w:t>6、施工组织设计；（</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343F909F">
            <w:pPr>
              <w:spacing w:line="400" w:lineRule="exact"/>
              <w:rPr>
                <w:rFonts w:ascii="宋体" w:hAnsi="宋体" w:cs="宋体"/>
                <w:color w:val="auto"/>
                <w:highlight w:val="none"/>
              </w:rPr>
            </w:pPr>
            <w:r>
              <w:rPr>
                <w:rFonts w:hint="eastAsia" w:ascii="宋体" w:hAnsi="宋体" w:cs="宋体"/>
                <w:color w:val="auto"/>
                <w:highlight w:val="none"/>
              </w:rPr>
              <w:t>7、项目管理机构配备情况；（</w:t>
            </w:r>
            <w:r>
              <w:rPr>
                <w:rFonts w:hint="eastAsia" w:ascii="宋体" w:hAnsi="宋体" w:cs="宋体"/>
                <w:b/>
                <w:color w:val="auto"/>
                <w:highlight w:val="none"/>
              </w:rPr>
              <w:t>必须提供，否则响应文件按无效响应处理</w:t>
            </w:r>
            <w:r>
              <w:rPr>
                <w:rFonts w:hint="eastAsia" w:ascii="宋体" w:hAnsi="宋体" w:cs="宋体"/>
                <w:color w:val="auto"/>
                <w:highlight w:val="none"/>
              </w:rPr>
              <w:t>）</w:t>
            </w:r>
          </w:p>
          <w:p w14:paraId="7DD9290C">
            <w:pPr>
              <w:spacing w:line="400" w:lineRule="exact"/>
              <w:rPr>
                <w:rFonts w:ascii="宋体" w:hAnsi="宋体" w:cs="宋体"/>
                <w:b/>
                <w:color w:val="auto"/>
                <w:highlight w:val="none"/>
              </w:rPr>
            </w:pPr>
            <w:r>
              <w:rPr>
                <w:rFonts w:hint="eastAsia" w:ascii="宋体" w:hAnsi="宋体" w:cs="宋体"/>
                <w:color w:val="auto"/>
                <w:highlight w:val="none"/>
              </w:rPr>
              <w:t>8、供应商认为需要提供的其他有关资料。</w:t>
            </w:r>
          </w:p>
          <w:p w14:paraId="3AB20C1D">
            <w:pPr>
              <w:snapToGrid w:val="0"/>
              <w:spacing w:line="400" w:lineRule="exact"/>
              <w:ind w:firstLine="422" w:firstLineChars="200"/>
              <w:jc w:val="left"/>
              <w:rPr>
                <w:rFonts w:ascii="宋体" w:hAnsi="宋体" w:cs="宋体"/>
                <w:b/>
                <w:color w:val="auto"/>
                <w:highlight w:val="none"/>
              </w:rPr>
            </w:pPr>
            <w:r>
              <w:rPr>
                <w:rFonts w:hint="eastAsia" w:ascii="宋体" w:hAnsi="宋体" w:cs="宋体"/>
                <w:b/>
                <w:color w:val="auto"/>
                <w:highlight w:val="none"/>
              </w:rPr>
              <w:t>注：以上标明“必须提供”的材料属于复印件的，必须加盖供应商公章，否则响应文件按无效响应处理。</w:t>
            </w:r>
          </w:p>
        </w:tc>
      </w:tr>
      <w:tr w14:paraId="1AD71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65733C6">
            <w:pPr>
              <w:spacing w:line="400" w:lineRule="exact"/>
              <w:jc w:val="center"/>
              <w:rPr>
                <w:rFonts w:ascii="宋体" w:hAnsi="宋体" w:cs="宋体"/>
                <w:color w:val="auto"/>
                <w:highlight w:val="none"/>
              </w:rPr>
            </w:pPr>
            <w:r>
              <w:rPr>
                <w:rFonts w:hint="eastAsia" w:ascii="宋体" w:hAnsi="宋体" w:cs="宋体"/>
                <w:color w:val="auto"/>
                <w:highlight w:val="none"/>
              </w:rPr>
              <w:t>15.2</w:t>
            </w:r>
          </w:p>
        </w:tc>
        <w:tc>
          <w:tcPr>
            <w:tcW w:w="8627" w:type="dxa"/>
            <w:vAlign w:val="center"/>
          </w:tcPr>
          <w:p w14:paraId="63D378B8">
            <w:pPr>
              <w:snapToGrid w:val="0"/>
              <w:spacing w:line="400" w:lineRule="exact"/>
              <w:jc w:val="left"/>
              <w:rPr>
                <w:rFonts w:ascii="宋体" w:hAnsi="宋体" w:cs="宋体"/>
                <w:color w:val="auto"/>
                <w:highlight w:val="none"/>
              </w:rPr>
            </w:pPr>
            <w:r>
              <w:rPr>
                <w:rFonts w:hint="eastAsia" w:ascii="宋体" w:hAnsi="宋体" w:cs="宋体"/>
                <w:color w:val="auto"/>
                <w:highlight w:val="none"/>
              </w:rPr>
              <w:t>竞标报价内容及要求：</w:t>
            </w:r>
          </w:p>
          <w:p w14:paraId="55BFF527">
            <w:pPr>
              <w:snapToGrid w:val="0"/>
              <w:spacing w:line="400" w:lineRule="exact"/>
              <w:jc w:val="left"/>
              <w:rPr>
                <w:rFonts w:ascii="宋体" w:hAnsi="宋体" w:cs="宋体"/>
                <w:color w:val="auto"/>
                <w:highlight w:val="none"/>
              </w:rPr>
            </w:pPr>
            <w:r>
              <w:rPr>
                <w:rFonts w:hint="eastAsia" w:ascii="宋体" w:hAnsi="宋体" w:cs="宋体"/>
                <w:color w:val="auto"/>
                <w:highlight w:val="none"/>
              </w:rPr>
              <w:t>1、本工程磋商报价采用工程量清单报价。</w:t>
            </w:r>
          </w:p>
          <w:p w14:paraId="5D4A3262">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（1)供应商必须就所竞标的全部内容作完整报价，漏项报价的或有选择的或有条件的报价，其竞标将视为无效。</w:t>
            </w:r>
          </w:p>
          <w:p w14:paraId="38A182A4">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2)本项目采用工程量清单报价方式，供应商应提交PDF版本或EXCEL版本的电子工程量清单，填写单价和计算总额价，完成已标价工程量清单的编制。严禁供应商修改工程量清单的项目结构、标段名称、单项工程名称、单位工程名称、项目编码、项目名称、项目特征、计量单位、工程量、清单顺序和序号。供应商不得对工程量清单项目进行增减调整。</w:t>
            </w:r>
          </w:p>
          <w:p w14:paraId="27CC87F4">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3）因设计变更引起工程项目、工程量变化的，工程量清单报价表中有相同细目的按供应商竞标时的成交单价进行结算，工程量清单报价表中有类似细目的参考类似成交单价结算：新增项目有定额的套定额计算，其中材料价格有信息的按信息价，无信息的按市场价：新增项目无定额可套的，由发包人、承包人根据市场价格协商决定：新增项目的单价应经有资质的审核机构审定。国家和自治区政策性调整有关费用标准的，按文件规定执行。</w:t>
            </w:r>
          </w:p>
          <w:p w14:paraId="40052515">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（4）磋商单位应认真填写工程量清单中所列的所有各细目的单价和合价，填写工程量清单时应注意：</w:t>
            </w:r>
          </w:p>
          <w:p w14:paraId="0B89D8D1">
            <w:pPr>
              <w:snapToGrid w:val="0"/>
              <w:spacing w:line="400" w:lineRule="exact"/>
              <w:ind w:firstLine="420" w:firstLineChars="200"/>
              <w:jc w:val="left"/>
              <w:rPr>
                <w:rFonts w:ascii="宋体" w:hAnsi="宋体" w:cs="宋体"/>
                <w:color w:val="auto"/>
                <w:highlight w:val="none"/>
              </w:rPr>
            </w:pPr>
            <w:r>
              <w:rPr>
                <w:rFonts w:hint="eastAsia" w:ascii="宋体" w:hAnsi="宋体" w:cs="宋体"/>
                <w:color w:val="auto"/>
                <w:highlight w:val="none"/>
              </w:rPr>
              <w:t>①有工程数量的应报单价和合价。</w:t>
            </w:r>
          </w:p>
          <w:p w14:paraId="04325C78">
            <w:pPr>
              <w:snapToGrid w:val="0"/>
              <w:spacing w:line="400" w:lineRule="exact"/>
              <w:ind w:firstLine="420" w:firstLineChars="200"/>
              <w:jc w:val="left"/>
              <w:rPr>
                <w:rFonts w:ascii="宋体" w:hAnsi="宋体" w:cs="宋体"/>
                <w:color w:val="auto"/>
                <w:highlight w:val="none"/>
              </w:rPr>
            </w:pPr>
            <w:r>
              <w:rPr>
                <w:rFonts w:hint="eastAsia" w:ascii="宋体" w:hAnsi="宋体" w:cs="宋体"/>
                <w:color w:val="auto"/>
                <w:highlight w:val="none"/>
              </w:rPr>
              <w:t>②无工程数量的项目不报价。</w:t>
            </w:r>
          </w:p>
          <w:p w14:paraId="428C5C92">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5）磋商供应商应按采购代理机构提供的工程量清单中列出的工程项目和工程量填报单价和合价。每一项目只允许有一个报价。任何有选择的报价将不予接受。磋商供应商未填单价或合价的工程项目在实施后，业主将不予以支付，并视为该项费用已包括在其他有价款的单价或合价内，磋商供应商必须完成工程量清单中未填入单价或总额价的工程细目，但不能得到支付与结算。</w:t>
            </w:r>
          </w:p>
          <w:p w14:paraId="240AB3FA">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6）采购人所提供的工程量清单，应认为已包括按正常施工工艺完成工程量清单项目各单项的有关内容。凡工程量清单所示工程所必不可少的附属工程、相关工程、衔接与后续工程所需的费用，供应商应计入相关项目的单价中。</w:t>
            </w:r>
          </w:p>
          <w:p w14:paraId="3D3A1D87">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（7）供应商的竞标报价须按竞争性磋商文件及澄清答疑中所确认的工程量清单及清单顺序进行报价，否则，将视为实质上不响应竞争性磋商文件的要求。</w:t>
            </w:r>
          </w:p>
          <w:p w14:paraId="43200CE5">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（8）按采购预算控制价明细施工，工程最终按实际工程结算。</w:t>
            </w:r>
          </w:p>
          <w:p w14:paraId="5ADBA60B">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（9）承包方式：综合单价包干，包工包料。</w:t>
            </w:r>
          </w:p>
          <w:p w14:paraId="79F07065">
            <w:pPr>
              <w:snapToGrid w:val="0"/>
              <w:spacing w:line="400" w:lineRule="exact"/>
              <w:jc w:val="left"/>
              <w:rPr>
                <w:rFonts w:ascii="宋体" w:hAnsi="宋体" w:cs="宋体"/>
                <w:color w:val="auto"/>
                <w:highlight w:val="none"/>
              </w:rPr>
            </w:pPr>
            <w:r>
              <w:rPr>
                <w:rFonts w:hint="eastAsia" w:ascii="宋体" w:hAnsi="宋体" w:cs="宋体"/>
                <w:color w:val="auto"/>
                <w:highlight w:val="none"/>
              </w:rPr>
              <w:t xml:space="preserve">  （10）磋商供应商的临时占地（含预制厂、料厂、拌和站、借弃土场、项目部驻地等）租用费（含拆迁补偿）、临时用地的环保、恢复及所有临时性占地的青苗补偿及地面附着物发生的费用均由磋商供应商负责；由于磋商供应商原因引起工期延长造成磋商供应商临时占地的租用费增加由磋商供应商负责。以上费用在磋商价中自行考虑。</w:t>
            </w:r>
          </w:p>
          <w:p w14:paraId="4AA2F328">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（11）磋商供应商在报价中所报的单价和合价，以及磋商报价汇总表中的价格均包括完成该工程项目的成本、利润、税金、开办费、技术措施费、大型机械进出场费、风险费、政策性文件规定费用等所有费用。</w:t>
            </w:r>
          </w:p>
          <w:p w14:paraId="68236196">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（12）磋商供应商可先到工地踏勘以充分了解工地位置、情况、道路、储存空间、装卸限制及任何其他足以影响承包价的情况，任何因忽视或误解工地情况而导致的索赔或工期延长申请将不被批准。</w:t>
            </w:r>
          </w:p>
          <w:p w14:paraId="03F5B4CF">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（13） 磋商货币</w:t>
            </w:r>
          </w:p>
          <w:p w14:paraId="7DC95055">
            <w:pPr>
              <w:snapToGrid w:val="0"/>
              <w:spacing w:line="400" w:lineRule="exact"/>
              <w:ind w:firstLine="420" w:firstLineChars="200"/>
              <w:jc w:val="left"/>
              <w:rPr>
                <w:rFonts w:ascii="宋体" w:hAnsi="宋体" w:cs="宋体"/>
                <w:color w:val="auto"/>
                <w:highlight w:val="none"/>
              </w:rPr>
            </w:pPr>
            <w:r>
              <w:rPr>
                <w:rFonts w:hint="eastAsia" w:ascii="宋体" w:hAnsi="宋体" w:cs="宋体"/>
                <w:color w:val="auto"/>
                <w:highlight w:val="none"/>
              </w:rPr>
              <w:t>响应文件报价中的单价和合价全部采用人民币表示。</w:t>
            </w:r>
          </w:p>
          <w:p w14:paraId="31A8FB55">
            <w:pPr>
              <w:snapToGrid w:val="0"/>
              <w:spacing w:line="400" w:lineRule="exact"/>
              <w:ind w:firstLine="210" w:firstLineChars="100"/>
              <w:jc w:val="left"/>
              <w:rPr>
                <w:rFonts w:ascii="宋体" w:hAnsi="宋体" w:cs="宋体"/>
                <w:color w:val="auto"/>
                <w:highlight w:val="none"/>
              </w:rPr>
            </w:pPr>
            <w:r>
              <w:rPr>
                <w:rFonts w:hint="eastAsia" w:ascii="宋体" w:hAnsi="宋体" w:cs="宋体"/>
                <w:color w:val="auto"/>
                <w:highlight w:val="none"/>
              </w:rPr>
              <w:t>（14）本次磋商报价为二次报价，在最终报价不超出采购预算价的范围内为有效报价。如第二次报价与第一次报价有变动，请在第二次报价时附上相应的已标价工程量清单。</w:t>
            </w:r>
          </w:p>
        </w:tc>
      </w:tr>
      <w:tr w14:paraId="60FB0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C2D277B">
            <w:pPr>
              <w:spacing w:line="400" w:lineRule="exact"/>
              <w:jc w:val="center"/>
              <w:rPr>
                <w:rFonts w:ascii="宋体" w:hAnsi="宋体" w:cs="宋体"/>
                <w:color w:val="auto"/>
                <w:highlight w:val="none"/>
              </w:rPr>
            </w:pPr>
            <w:r>
              <w:rPr>
                <w:rFonts w:hint="eastAsia" w:ascii="宋体" w:hAnsi="宋体" w:cs="宋体"/>
                <w:color w:val="auto"/>
                <w:highlight w:val="none"/>
              </w:rPr>
              <w:t>16.2</w:t>
            </w:r>
          </w:p>
        </w:tc>
        <w:tc>
          <w:tcPr>
            <w:tcW w:w="8627" w:type="dxa"/>
            <w:vAlign w:val="center"/>
          </w:tcPr>
          <w:p w14:paraId="4D21DB9C">
            <w:pPr>
              <w:spacing w:line="400" w:lineRule="exact"/>
              <w:rPr>
                <w:rFonts w:ascii="宋体" w:hAnsi="宋体" w:cs="宋体"/>
                <w:color w:val="auto"/>
                <w:highlight w:val="none"/>
              </w:rPr>
            </w:pPr>
            <w:r>
              <w:rPr>
                <w:rFonts w:hint="eastAsia" w:ascii="宋体" w:hAnsi="宋体" w:cs="宋体"/>
                <w:color w:val="auto"/>
                <w:highlight w:val="none"/>
              </w:rPr>
              <w:t>竞标有效期：首次响应文件提交截止之日起60天内。</w:t>
            </w:r>
          </w:p>
        </w:tc>
      </w:tr>
      <w:tr w14:paraId="6A6DB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D67D82C">
            <w:pPr>
              <w:spacing w:line="400" w:lineRule="exact"/>
              <w:jc w:val="center"/>
              <w:rPr>
                <w:rFonts w:ascii="宋体" w:hAnsi="宋体" w:cs="宋体"/>
                <w:color w:val="auto"/>
                <w:highlight w:val="none"/>
              </w:rPr>
            </w:pPr>
            <w:r>
              <w:rPr>
                <w:rFonts w:hint="eastAsia" w:ascii="宋体" w:hAnsi="宋体" w:cs="宋体"/>
                <w:color w:val="auto"/>
                <w:highlight w:val="none"/>
              </w:rPr>
              <w:t>17.1</w:t>
            </w:r>
          </w:p>
        </w:tc>
        <w:tc>
          <w:tcPr>
            <w:tcW w:w="8627" w:type="dxa"/>
            <w:vAlign w:val="center"/>
          </w:tcPr>
          <w:p w14:paraId="2C855DA1">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本项目不收取磋商保证金。</w:t>
            </w:r>
          </w:p>
        </w:tc>
      </w:tr>
      <w:tr w14:paraId="73E3C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6D391B8">
            <w:pPr>
              <w:spacing w:line="400" w:lineRule="exact"/>
              <w:jc w:val="center"/>
              <w:rPr>
                <w:rFonts w:ascii="宋体" w:hAnsi="宋体" w:cs="宋体"/>
                <w:color w:val="auto"/>
                <w:highlight w:val="none"/>
              </w:rPr>
            </w:pPr>
            <w:r>
              <w:rPr>
                <w:rFonts w:hint="eastAsia" w:ascii="宋体" w:hAnsi="宋体" w:cs="宋体"/>
                <w:color w:val="auto"/>
                <w:highlight w:val="none"/>
              </w:rPr>
              <w:t>18.2</w:t>
            </w:r>
          </w:p>
        </w:tc>
        <w:tc>
          <w:tcPr>
            <w:tcW w:w="8627" w:type="dxa"/>
            <w:vAlign w:val="center"/>
          </w:tcPr>
          <w:p w14:paraId="1BEF4A6C">
            <w:pPr>
              <w:spacing w:line="400" w:lineRule="exact"/>
              <w:rPr>
                <w:rFonts w:ascii="宋体" w:hAnsi="宋体" w:cs="宋体"/>
                <w:color w:val="auto"/>
                <w:highlight w:val="none"/>
              </w:rPr>
            </w:pPr>
            <w:r>
              <w:rPr>
                <w:rFonts w:hint="eastAsia" w:ascii="宋体" w:hAnsi="宋体" w:cs="宋体"/>
                <w:color w:val="auto"/>
                <w:highlight w:val="none"/>
              </w:rPr>
              <w:t>响应文件应按资格证明文件、报价文件、商务技术文件分别编制，并按</w:t>
            </w:r>
            <w:r>
              <w:rPr>
                <w:rFonts w:hint="eastAsia" w:ascii="宋体" w:hAnsi="宋体" w:cs="宋体"/>
                <w:bCs/>
                <w:color w:val="auto"/>
                <w:kern w:val="0"/>
                <w:highlight w:val="none"/>
              </w:rPr>
              <w:t>广西政府采购云平台</w:t>
            </w:r>
            <w:r>
              <w:rPr>
                <w:rFonts w:hint="eastAsia" w:ascii="宋体" w:hAnsi="宋体" w:cs="宋体"/>
                <w:color w:val="auto"/>
                <w:highlight w:val="none"/>
              </w:rPr>
              <w:t>的要求编制、加密、上传。</w:t>
            </w:r>
          </w:p>
        </w:tc>
      </w:tr>
      <w:tr w14:paraId="6C2EC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AD867C2">
            <w:pPr>
              <w:spacing w:line="400" w:lineRule="exact"/>
              <w:jc w:val="center"/>
              <w:rPr>
                <w:rFonts w:ascii="宋体" w:hAnsi="宋体" w:cs="宋体"/>
                <w:color w:val="auto"/>
                <w:highlight w:val="none"/>
              </w:rPr>
            </w:pPr>
            <w:r>
              <w:rPr>
                <w:rFonts w:hint="eastAsia" w:ascii="宋体" w:hAnsi="宋体" w:cs="宋体"/>
                <w:color w:val="auto"/>
                <w:highlight w:val="none"/>
              </w:rPr>
              <w:t>20.1</w:t>
            </w:r>
          </w:p>
        </w:tc>
        <w:tc>
          <w:tcPr>
            <w:tcW w:w="8627" w:type="dxa"/>
            <w:vAlign w:val="center"/>
          </w:tcPr>
          <w:p w14:paraId="49830A72">
            <w:pPr>
              <w:spacing w:line="400" w:lineRule="exact"/>
              <w:contextualSpacing/>
              <w:rPr>
                <w:rFonts w:ascii="宋体" w:hAnsi="宋体" w:cs="宋体"/>
                <w:color w:val="auto"/>
                <w:highlight w:val="none"/>
              </w:rPr>
            </w:pPr>
            <w:r>
              <w:rPr>
                <w:rFonts w:hint="eastAsia" w:ascii="宋体" w:hAnsi="宋体" w:cs="宋体"/>
                <w:color w:val="auto"/>
                <w:highlight w:val="none"/>
              </w:rPr>
              <w:t>首次响应文件提交截止时间：详见竞争性磋商公告。</w:t>
            </w:r>
          </w:p>
          <w:p w14:paraId="51C44F5A">
            <w:pPr>
              <w:spacing w:line="400" w:lineRule="exact"/>
              <w:contextualSpacing/>
              <w:rPr>
                <w:rFonts w:ascii="宋体" w:hAnsi="宋体" w:cs="宋体"/>
                <w:color w:val="auto"/>
                <w:highlight w:val="none"/>
              </w:rPr>
            </w:pPr>
            <w:r>
              <w:rPr>
                <w:rFonts w:hint="eastAsia" w:ascii="宋体" w:hAnsi="宋体" w:cs="宋体"/>
                <w:color w:val="auto"/>
                <w:highlight w:val="none"/>
              </w:rPr>
              <w:t>首次响应文件提交地点：详见竞争性磋商公告。</w:t>
            </w:r>
          </w:p>
        </w:tc>
      </w:tr>
      <w:tr w14:paraId="54D53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86C6D4F">
            <w:pPr>
              <w:spacing w:line="400" w:lineRule="exact"/>
              <w:jc w:val="center"/>
              <w:rPr>
                <w:rFonts w:ascii="宋体" w:hAnsi="宋体" w:cs="宋体"/>
                <w:color w:val="auto"/>
                <w:highlight w:val="none"/>
              </w:rPr>
            </w:pPr>
            <w:r>
              <w:rPr>
                <w:rFonts w:hint="eastAsia" w:ascii="宋体" w:hAnsi="宋体" w:cs="宋体"/>
                <w:color w:val="auto"/>
                <w:highlight w:val="none"/>
              </w:rPr>
              <w:t>24.1</w:t>
            </w:r>
          </w:p>
        </w:tc>
        <w:tc>
          <w:tcPr>
            <w:tcW w:w="8627" w:type="dxa"/>
            <w:vAlign w:val="center"/>
          </w:tcPr>
          <w:p w14:paraId="4BDECF3A">
            <w:pPr>
              <w:snapToGrid w:val="0"/>
              <w:spacing w:line="400" w:lineRule="exact"/>
              <w:rPr>
                <w:rFonts w:ascii="宋体" w:hAnsi="宋体" w:cs="宋体"/>
                <w:color w:val="auto"/>
                <w:highlight w:val="none"/>
              </w:rPr>
            </w:pPr>
            <w:r>
              <w:rPr>
                <w:rFonts w:hint="eastAsia" w:ascii="宋体" w:hAnsi="宋体" w:cs="宋体"/>
                <w:color w:val="auto"/>
                <w:highlight w:val="none"/>
              </w:rPr>
              <w:t>磋商小组的人数：3人。</w:t>
            </w:r>
          </w:p>
          <w:p w14:paraId="02E8364D">
            <w:pPr>
              <w:snapToGrid w:val="0"/>
              <w:spacing w:line="400" w:lineRule="exact"/>
              <w:rPr>
                <w:rFonts w:ascii="宋体" w:hAnsi="宋体" w:cs="宋体"/>
                <w:color w:val="auto"/>
                <w:highlight w:val="none"/>
              </w:rPr>
            </w:pPr>
            <w:r>
              <w:rPr>
                <w:rFonts w:hint="eastAsia" w:ascii="宋体" w:hAnsi="宋体" w:cs="宋体"/>
                <w:color w:val="auto"/>
                <w:highlight w:val="none"/>
              </w:rPr>
              <w:t>是否远程抽取：</w:t>
            </w:r>
            <w:r>
              <w:rPr>
                <w:rFonts w:hint="eastAsia" w:ascii="宋体" w:hAnsi="宋体" w:cs="宋体"/>
                <w:color w:val="auto"/>
                <w:highlight w:val="none"/>
              </w:rPr>
              <w:sym w:font="Wingdings" w:char="00A8"/>
            </w:r>
            <w:r>
              <w:rPr>
                <w:rFonts w:hint="eastAsia" w:ascii="宋体" w:hAnsi="宋体" w:cs="宋体"/>
                <w:color w:val="auto"/>
                <w:highlight w:val="none"/>
              </w:rPr>
              <w:t xml:space="preserve">是   </w:t>
            </w:r>
            <w:r>
              <w:rPr>
                <w:rFonts w:hint="eastAsia" w:ascii="宋体" w:hAnsi="宋体" w:cs="宋体"/>
                <w:color w:val="auto"/>
                <w:highlight w:val="none"/>
              </w:rPr>
              <w:sym w:font="Wingdings" w:char="00FE"/>
            </w:r>
            <w:r>
              <w:rPr>
                <w:rFonts w:hint="eastAsia" w:ascii="宋体" w:hAnsi="宋体" w:cs="宋体"/>
                <w:color w:val="auto"/>
                <w:highlight w:val="none"/>
              </w:rPr>
              <w:t>否</w:t>
            </w:r>
          </w:p>
        </w:tc>
      </w:tr>
      <w:tr w14:paraId="1C83B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E8BC232">
            <w:pPr>
              <w:spacing w:line="400" w:lineRule="exact"/>
              <w:jc w:val="center"/>
              <w:rPr>
                <w:rFonts w:ascii="宋体" w:hAnsi="宋体" w:cs="宋体"/>
                <w:color w:val="auto"/>
                <w:highlight w:val="none"/>
              </w:rPr>
            </w:pPr>
            <w:r>
              <w:rPr>
                <w:rFonts w:hint="eastAsia" w:ascii="宋体" w:hAnsi="宋体" w:cs="宋体"/>
                <w:color w:val="auto"/>
                <w:highlight w:val="none"/>
              </w:rPr>
              <w:t>25.2</w:t>
            </w:r>
          </w:p>
        </w:tc>
        <w:tc>
          <w:tcPr>
            <w:tcW w:w="8627" w:type="dxa"/>
            <w:vAlign w:val="center"/>
          </w:tcPr>
          <w:p w14:paraId="129396A4">
            <w:pPr>
              <w:snapToGrid w:val="0"/>
              <w:spacing w:line="400" w:lineRule="exact"/>
              <w:rPr>
                <w:rFonts w:ascii="宋体" w:hAnsi="宋体" w:cs="宋体"/>
                <w:color w:val="auto"/>
                <w:highlight w:val="none"/>
              </w:rPr>
            </w:pPr>
            <w:r>
              <w:rPr>
                <w:rFonts w:hint="eastAsia" w:ascii="宋体" w:hAnsi="宋体" w:cs="宋体"/>
                <w:color w:val="auto"/>
                <w:highlight w:val="none"/>
              </w:rPr>
              <w:t>采购代理机构将依托电子交易平台发起开始解密指令，</w:t>
            </w:r>
            <w:r>
              <w:rPr>
                <w:rFonts w:hint="eastAsia" w:ascii="宋体" w:hAnsi="宋体" w:cs="宋体"/>
                <w:b/>
                <w:color w:val="auto"/>
                <w:highlight w:val="none"/>
              </w:rPr>
              <w:t>供应商的法定代表人或其委托代理人须携带加密时所用的CA锁按平台提示和采购文件的规定登录到广西政府采购云平台电子开标大厅签到并在发起解密指令之时起30分钟内完成对电子响应文件在线解密。</w:t>
            </w:r>
            <w:r>
              <w:rPr>
                <w:rFonts w:hint="eastAsia" w:ascii="宋体" w:hAnsi="宋体" w:cs="宋体"/>
                <w:b/>
                <w:bCs/>
                <w:color w:val="auto"/>
                <w:highlight w:val="none"/>
              </w:rPr>
              <w:t>响应文件未按时解密的，</w:t>
            </w:r>
            <w:r>
              <w:rPr>
                <w:rFonts w:hint="eastAsia" w:ascii="宋体" w:hAnsi="宋体" w:cs="宋体"/>
                <w:b/>
                <w:color w:val="auto"/>
                <w:highlight w:val="none"/>
              </w:rPr>
              <w:t>视为响应</w:t>
            </w:r>
            <w:r>
              <w:rPr>
                <w:rFonts w:hint="eastAsia" w:ascii="宋体" w:hAnsi="宋体" w:cs="宋体"/>
                <w:b/>
                <w:bCs/>
                <w:color w:val="auto"/>
                <w:highlight w:val="none"/>
              </w:rPr>
              <w:t>文件无效。</w:t>
            </w:r>
          </w:p>
        </w:tc>
      </w:tr>
      <w:tr w14:paraId="3168F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restart"/>
            <w:vAlign w:val="center"/>
          </w:tcPr>
          <w:p w14:paraId="01108946">
            <w:pPr>
              <w:spacing w:line="400" w:lineRule="exact"/>
              <w:jc w:val="center"/>
              <w:rPr>
                <w:rFonts w:ascii="宋体" w:hAnsi="宋体" w:cs="宋体"/>
                <w:color w:val="auto"/>
                <w:highlight w:val="none"/>
              </w:rPr>
            </w:pPr>
            <w:r>
              <w:rPr>
                <w:rFonts w:hint="eastAsia" w:ascii="宋体" w:hAnsi="宋体" w:cs="宋体"/>
                <w:color w:val="auto"/>
                <w:highlight w:val="none"/>
              </w:rPr>
              <w:t>26</w:t>
            </w:r>
          </w:p>
        </w:tc>
        <w:tc>
          <w:tcPr>
            <w:tcW w:w="8627" w:type="dxa"/>
            <w:vAlign w:val="center"/>
          </w:tcPr>
          <w:p w14:paraId="7F5E3D17">
            <w:pPr>
              <w:snapToGrid w:val="0"/>
              <w:spacing w:line="400" w:lineRule="exact"/>
              <w:rPr>
                <w:rFonts w:ascii="宋体" w:hAnsi="宋体" w:cs="宋体"/>
                <w:color w:val="auto"/>
                <w:highlight w:val="none"/>
              </w:rPr>
            </w:pPr>
            <w:r>
              <w:rPr>
                <w:rFonts w:hint="eastAsia" w:ascii="宋体" w:hAnsi="宋体" w:cs="宋体"/>
                <w:color w:val="auto"/>
                <w:highlight w:val="none"/>
              </w:rPr>
              <w:t>商务要求评审中允许负偏离的条款数为</w:t>
            </w:r>
            <w:r>
              <w:rPr>
                <w:rFonts w:hint="eastAsia" w:ascii="宋体" w:hAnsi="宋体" w:cs="宋体"/>
                <w:color w:val="auto"/>
                <w:highlight w:val="none"/>
                <w:u w:val="single"/>
              </w:rPr>
              <w:t xml:space="preserve">0 </w:t>
            </w:r>
            <w:r>
              <w:rPr>
                <w:rFonts w:hint="eastAsia" w:ascii="宋体" w:hAnsi="宋体" w:cs="宋体"/>
                <w:color w:val="auto"/>
                <w:highlight w:val="none"/>
              </w:rPr>
              <w:t xml:space="preserve">项 </w:t>
            </w:r>
          </w:p>
          <w:p w14:paraId="50DAD9A3">
            <w:pPr>
              <w:snapToGrid w:val="0"/>
              <w:spacing w:line="400" w:lineRule="exact"/>
              <w:rPr>
                <w:rFonts w:ascii="宋体" w:hAnsi="宋体" w:cs="宋体"/>
                <w:color w:val="auto"/>
                <w:highlight w:val="none"/>
              </w:rPr>
            </w:pPr>
            <w:r>
              <w:rPr>
                <w:rFonts w:hint="eastAsia" w:ascii="宋体" w:hAnsi="宋体" w:cs="宋体"/>
                <w:color w:val="auto"/>
                <w:highlight w:val="none"/>
              </w:rPr>
              <w:t>技术要求评审中允许负偏离的条款数为</w:t>
            </w:r>
            <w:r>
              <w:rPr>
                <w:rFonts w:hint="eastAsia" w:ascii="宋体" w:hAnsi="宋体" w:cs="宋体"/>
                <w:color w:val="auto"/>
                <w:highlight w:val="none"/>
                <w:u w:val="single"/>
              </w:rPr>
              <w:t xml:space="preserve">0 </w:t>
            </w:r>
            <w:r>
              <w:rPr>
                <w:rFonts w:hint="eastAsia" w:ascii="宋体" w:hAnsi="宋体" w:cs="宋体"/>
                <w:color w:val="auto"/>
                <w:highlight w:val="none"/>
              </w:rPr>
              <w:t xml:space="preserve">项 </w:t>
            </w:r>
          </w:p>
        </w:tc>
      </w:tr>
      <w:tr w14:paraId="1D9E7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14:paraId="39FB9B6C">
            <w:pPr>
              <w:spacing w:line="400" w:lineRule="exact"/>
              <w:jc w:val="center"/>
              <w:rPr>
                <w:rFonts w:ascii="宋体" w:hAnsi="宋体" w:cs="宋体"/>
                <w:color w:val="auto"/>
                <w:highlight w:val="none"/>
              </w:rPr>
            </w:pPr>
          </w:p>
        </w:tc>
        <w:tc>
          <w:tcPr>
            <w:tcW w:w="8627" w:type="dxa"/>
            <w:vAlign w:val="center"/>
          </w:tcPr>
          <w:p w14:paraId="00320427">
            <w:pPr>
              <w:pStyle w:val="17"/>
              <w:spacing w:line="400" w:lineRule="exact"/>
              <w:jc w:val="both"/>
              <w:rPr>
                <w:rFonts w:ascii="宋体" w:hAnsi="宋体" w:cs="宋体"/>
                <w:b/>
                <w:color w:val="auto"/>
                <w:sz w:val="21"/>
                <w:szCs w:val="21"/>
                <w:highlight w:val="none"/>
              </w:rPr>
            </w:pPr>
            <w:r>
              <w:rPr>
                <w:rFonts w:hint="eastAsia" w:ascii="宋体" w:hAnsi="宋体" w:cs="宋体"/>
                <w:color w:val="auto"/>
                <w:sz w:val="21"/>
                <w:szCs w:val="21"/>
                <w:highlight w:val="none"/>
              </w:rPr>
              <w:t>截标时间后30分钟内磋商供应商可以登录</w:t>
            </w:r>
            <w:r>
              <w:rPr>
                <w:rFonts w:hint="eastAsia" w:ascii="宋体" w:hAnsi="宋体" w:cs="宋体"/>
                <w:bCs/>
                <w:color w:val="auto"/>
                <w:sz w:val="21"/>
                <w:szCs w:val="21"/>
                <w:highlight w:val="none"/>
              </w:rPr>
              <w:t>广西政府采购云平台</w:t>
            </w:r>
            <w:r>
              <w:rPr>
                <w:rFonts w:hint="eastAsia" w:ascii="宋体" w:hAnsi="宋体" w:cs="宋体"/>
                <w:color w:val="auto"/>
                <w:sz w:val="21"/>
                <w:szCs w:val="21"/>
                <w:highlight w:val="none"/>
              </w:rPr>
              <w:t>，用“项目采购-开标评标”功能进行解密磋商响应文件。若磋商供应商在规定时间内无法解密或解密失败，可以以提交的电子备份磋商响应文件作为依据，如若电子备份磋商响应文件件与</w:t>
            </w:r>
            <w:r>
              <w:rPr>
                <w:rFonts w:hint="eastAsia" w:ascii="宋体" w:hAnsi="宋体" w:cs="宋体"/>
                <w:bCs/>
                <w:color w:val="auto"/>
                <w:sz w:val="21"/>
                <w:szCs w:val="21"/>
                <w:highlight w:val="none"/>
              </w:rPr>
              <w:t>广西政府采购云平台</w:t>
            </w:r>
            <w:r>
              <w:rPr>
                <w:rFonts w:hint="eastAsia" w:ascii="宋体" w:hAnsi="宋体" w:cs="宋体"/>
                <w:color w:val="auto"/>
                <w:sz w:val="21"/>
                <w:szCs w:val="21"/>
                <w:highlight w:val="none"/>
              </w:rPr>
              <w:t>上传的电子磋商响应文件被识别为不一致的，以电子备份磋商响应文件作为评审依据；磋商供应商按时在线解密响应文件的，以在线解密的响应文件作为评审依据。若磋商供应商在规定时间内无法解密或解密失败且未提供电子备份磋商响应文件的，视为响应文件撤回。</w:t>
            </w:r>
          </w:p>
        </w:tc>
      </w:tr>
      <w:tr w14:paraId="5129B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132EE6">
            <w:pPr>
              <w:spacing w:line="400" w:lineRule="exact"/>
              <w:jc w:val="center"/>
              <w:rPr>
                <w:rFonts w:ascii="宋体" w:hAnsi="宋体" w:cs="宋体"/>
                <w:color w:val="auto"/>
                <w:highlight w:val="none"/>
              </w:rPr>
            </w:pPr>
            <w:r>
              <w:rPr>
                <w:rFonts w:hint="eastAsia" w:ascii="宋体" w:hAnsi="宋体" w:cs="宋体"/>
                <w:color w:val="auto"/>
                <w:highlight w:val="none"/>
              </w:rPr>
              <w:t>28.1</w:t>
            </w:r>
          </w:p>
        </w:tc>
        <w:tc>
          <w:tcPr>
            <w:tcW w:w="8627" w:type="dxa"/>
            <w:vAlign w:val="center"/>
          </w:tcPr>
          <w:p w14:paraId="1211C8C3">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本项目不收取履约保证金。</w:t>
            </w:r>
          </w:p>
        </w:tc>
      </w:tr>
      <w:tr w14:paraId="6D3E4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B2A1969">
            <w:pPr>
              <w:spacing w:line="400" w:lineRule="exact"/>
              <w:jc w:val="center"/>
              <w:rPr>
                <w:rFonts w:ascii="宋体" w:hAnsi="宋体" w:cs="宋体"/>
                <w:color w:val="auto"/>
                <w:highlight w:val="none"/>
              </w:rPr>
            </w:pPr>
            <w:r>
              <w:rPr>
                <w:rFonts w:hint="eastAsia" w:ascii="宋体" w:hAnsi="宋体" w:cs="宋体"/>
                <w:color w:val="auto"/>
                <w:highlight w:val="none"/>
              </w:rPr>
              <w:t>29.1</w:t>
            </w:r>
          </w:p>
        </w:tc>
        <w:tc>
          <w:tcPr>
            <w:tcW w:w="8627" w:type="dxa"/>
            <w:vAlign w:val="center"/>
          </w:tcPr>
          <w:p w14:paraId="60BD595C">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 xml:space="preserve">签订合同携带的证明材料： </w:t>
            </w:r>
          </w:p>
          <w:p w14:paraId="43CF05EA">
            <w:pPr>
              <w:autoSpaceDE w:val="0"/>
              <w:autoSpaceDN w:val="0"/>
              <w:snapToGrid w:val="0"/>
              <w:spacing w:line="400" w:lineRule="exact"/>
              <w:textAlignment w:val="bottom"/>
              <w:rPr>
                <w:rFonts w:ascii="宋体" w:hAnsi="宋体" w:cs="宋体"/>
                <w:color w:val="auto"/>
                <w:highlight w:val="none"/>
              </w:rPr>
            </w:pPr>
            <w:r>
              <w:rPr>
                <w:rFonts w:hint="eastAsia" w:ascii="宋体" w:hAnsi="宋体" w:cs="宋体"/>
                <w:color w:val="auto"/>
                <w:highlight w:val="none"/>
              </w:rPr>
              <w:t>1、委托代理人负责签订合同的，须携带授权委托书及委托代理人身份证原件等其他资格证件。</w:t>
            </w:r>
          </w:p>
          <w:p w14:paraId="551A6B8C">
            <w:pPr>
              <w:snapToGrid w:val="0"/>
              <w:spacing w:line="400" w:lineRule="exact"/>
              <w:rPr>
                <w:rFonts w:ascii="宋体" w:hAnsi="宋体" w:cs="宋体"/>
                <w:color w:val="auto"/>
                <w:highlight w:val="none"/>
              </w:rPr>
            </w:pPr>
            <w:r>
              <w:rPr>
                <w:rFonts w:hint="eastAsia" w:ascii="宋体" w:hAnsi="宋体" w:cs="宋体"/>
                <w:color w:val="auto"/>
                <w:highlight w:val="none"/>
              </w:rPr>
              <w:t>2、法定代表人负责签订合同的，须携带法定代表人身份证明原件及身份证原件等其他证明材料。</w:t>
            </w:r>
          </w:p>
        </w:tc>
      </w:tr>
      <w:tr w14:paraId="78060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DACAC35">
            <w:pPr>
              <w:spacing w:line="400" w:lineRule="exact"/>
              <w:jc w:val="center"/>
              <w:rPr>
                <w:rFonts w:ascii="宋体" w:hAnsi="宋体" w:cs="宋体"/>
                <w:color w:val="auto"/>
                <w:highlight w:val="none"/>
              </w:rPr>
            </w:pPr>
            <w:r>
              <w:rPr>
                <w:rFonts w:hint="eastAsia" w:ascii="宋体" w:hAnsi="宋体" w:cs="宋体"/>
                <w:color w:val="auto"/>
                <w:highlight w:val="none"/>
              </w:rPr>
              <w:t>31.2</w:t>
            </w:r>
          </w:p>
        </w:tc>
        <w:tc>
          <w:tcPr>
            <w:tcW w:w="8627" w:type="dxa"/>
            <w:vAlign w:val="center"/>
          </w:tcPr>
          <w:p w14:paraId="6F76898F">
            <w:pPr>
              <w:pStyle w:val="25"/>
              <w:snapToGrid w:val="0"/>
              <w:spacing w:line="400" w:lineRule="exact"/>
              <w:rPr>
                <w:rFonts w:hAnsi="宋体" w:cs="宋体"/>
                <w:color w:val="auto"/>
                <w:szCs w:val="21"/>
                <w:highlight w:val="none"/>
              </w:rPr>
            </w:pPr>
            <w:r>
              <w:rPr>
                <w:rFonts w:hint="eastAsia" w:hAnsi="宋体" w:cs="宋体"/>
                <w:color w:val="auto"/>
                <w:szCs w:val="21"/>
                <w:highlight w:val="none"/>
              </w:rPr>
              <w:t>接收质疑函方式：以纸质书面形式现场递交。</w:t>
            </w:r>
          </w:p>
          <w:p w14:paraId="6081EAAA">
            <w:pPr>
              <w:spacing w:line="400" w:lineRule="exact"/>
              <w:rPr>
                <w:rFonts w:ascii="宋体" w:hAnsi="宋体" w:cs="宋体"/>
                <w:color w:val="auto"/>
                <w:highlight w:val="none"/>
              </w:rPr>
            </w:pPr>
            <w:r>
              <w:rPr>
                <w:rFonts w:hint="eastAsia" w:ascii="宋体" w:hAnsi="宋体" w:cs="宋体"/>
                <w:color w:val="auto"/>
                <w:highlight w:val="none"/>
              </w:rPr>
              <w:t>质疑联系部门及联系方式：</w:t>
            </w:r>
            <w:r>
              <w:rPr>
                <w:rFonts w:hint="eastAsia" w:ascii="宋体" w:hAnsi="宋体" w:cs="宋体"/>
                <w:color w:val="auto"/>
                <w:highlight w:val="none"/>
                <w:lang w:eastAsia="zh-CN"/>
              </w:rPr>
              <w:t>广西众联工程项目管理有限公司</w:t>
            </w:r>
            <w:r>
              <w:rPr>
                <w:rFonts w:hint="eastAsia" w:ascii="宋体" w:hAnsi="宋体" w:cs="宋体"/>
                <w:color w:val="auto"/>
                <w:highlight w:val="none"/>
              </w:rPr>
              <w:t>，质疑联系人：</w:t>
            </w:r>
            <w:r>
              <w:rPr>
                <w:rFonts w:hint="eastAsia" w:ascii="宋体" w:hAnsi="宋体" w:cs="宋体"/>
                <w:color w:val="auto"/>
                <w:highlight w:val="none"/>
                <w:lang w:val="en-US" w:eastAsia="zh-CN"/>
              </w:rPr>
              <w:t>朱工</w:t>
            </w:r>
            <w:r>
              <w:rPr>
                <w:rFonts w:hint="eastAsia" w:ascii="宋体" w:hAnsi="宋体" w:cs="宋体"/>
                <w:color w:val="auto"/>
                <w:highlight w:val="none"/>
              </w:rPr>
              <w:t xml:space="preserve">  联系电话： </w:t>
            </w:r>
            <w:r>
              <w:rPr>
                <w:rFonts w:hint="eastAsia" w:ascii="宋体" w:hAnsi="宋体" w:cs="宋体"/>
                <w:color w:val="auto"/>
                <w:highlight w:val="none"/>
                <w:lang w:eastAsia="zh-CN"/>
              </w:rPr>
              <w:t>0775-4364531</w:t>
            </w:r>
            <w:r>
              <w:rPr>
                <w:rFonts w:hint="eastAsia" w:ascii="宋体" w:hAnsi="宋体" w:cs="宋体"/>
                <w:color w:val="auto"/>
                <w:highlight w:val="none"/>
              </w:rPr>
              <w:t>，通讯地址：</w:t>
            </w:r>
            <w:r>
              <w:rPr>
                <w:rFonts w:hint="eastAsia" w:ascii="宋体" w:hAnsi="宋体" w:cs="宋体"/>
                <w:color w:val="auto"/>
                <w:highlight w:val="none"/>
                <w:lang w:eastAsia="zh-CN"/>
              </w:rPr>
              <w:t>贵港市港北区港宁花园B区7幢103号北面</w:t>
            </w:r>
            <w:r>
              <w:rPr>
                <w:rFonts w:hint="eastAsia" w:ascii="宋体" w:hAnsi="宋体" w:cs="宋体"/>
                <w:color w:val="auto"/>
                <w:highlight w:val="none"/>
              </w:rPr>
              <w:t>　</w:t>
            </w:r>
          </w:p>
          <w:p w14:paraId="6D2BD930">
            <w:pPr>
              <w:pStyle w:val="25"/>
              <w:snapToGrid w:val="0"/>
              <w:spacing w:line="400" w:lineRule="exact"/>
              <w:rPr>
                <w:rFonts w:hAnsi="宋体" w:cs="宋体"/>
                <w:color w:val="auto"/>
                <w:szCs w:val="21"/>
                <w:highlight w:val="none"/>
              </w:rPr>
            </w:pPr>
            <w:r>
              <w:rPr>
                <w:rFonts w:hint="eastAsia" w:hAnsi="宋体" w:cs="宋体"/>
                <w:color w:val="auto"/>
                <w:szCs w:val="21"/>
                <w:highlight w:val="none"/>
              </w:rPr>
              <w:t>现场提交质疑办理业务时间：工作日，上午8:00-12:00；下午15:00-18:00（北京时间）</w:t>
            </w:r>
          </w:p>
        </w:tc>
      </w:tr>
      <w:tr w14:paraId="66700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E1104B4">
            <w:pPr>
              <w:spacing w:line="400" w:lineRule="exact"/>
              <w:jc w:val="center"/>
              <w:rPr>
                <w:rFonts w:ascii="宋体" w:hAnsi="宋体" w:cs="宋体"/>
                <w:color w:val="auto"/>
                <w:highlight w:val="none"/>
              </w:rPr>
            </w:pPr>
            <w:r>
              <w:rPr>
                <w:rFonts w:hint="eastAsia" w:ascii="宋体" w:hAnsi="宋体" w:cs="宋体"/>
                <w:color w:val="auto"/>
                <w:highlight w:val="none"/>
              </w:rPr>
              <w:t>32.1</w:t>
            </w:r>
          </w:p>
        </w:tc>
        <w:tc>
          <w:tcPr>
            <w:tcW w:w="8627" w:type="dxa"/>
            <w:vAlign w:val="center"/>
          </w:tcPr>
          <w:p w14:paraId="090E6383">
            <w:pPr>
              <w:pStyle w:val="25"/>
              <w:keepNext w:val="0"/>
              <w:keepLines w:val="0"/>
              <w:pageBreakBefore w:val="0"/>
              <w:widowControl w:val="0"/>
              <w:kinsoku/>
              <w:wordWrap/>
              <w:overflowPunct/>
              <w:topLinePunct w:val="0"/>
              <w:bidi w:val="0"/>
              <w:snapToGrid w:val="0"/>
              <w:spacing w:line="360" w:lineRule="auto"/>
              <w:rPr>
                <w:rFonts w:hint="eastAsia" w:hAnsi="宋体" w:cs="宋体"/>
                <w:color w:val="auto"/>
                <w:sz w:val="21"/>
                <w:highlight w:val="none"/>
                <w:lang w:val="en-US" w:eastAsia="zh-CN"/>
              </w:rPr>
            </w:pPr>
            <w:r>
              <w:rPr>
                <w:rFonts w:hint="eastAsia" w:hAnsi="宋体" w:cs="宋体"/>
                <w:color w:val="auto"/>
                <w:sz w:val="21"/>
                <w:highlight w:val="none"/>
                <w:lang w:val="en-US" w:eastAsia="zh-CN"/>
              </w:rPr>
              <w:t>1.采购代理费收取方式：</w:t>
            </w:r>
          </w:p>
          <w:p w14:paraId="3AD120CE">
            <w:pPr>
              <w:pStyle w:val="25"/>
              <w:keepNext w:val="0"/>
              <w:keepLines w:val="0"/>
              <w:pageBreakBefore w:val="0"/>
              <w:widowControl w:val="0"/>
              <w:kinsoku/>
              <w:wordWrap/>
              <w:overflowPunct/>
              <w:topLinePunct w:val="0"/>
              <w:bidi w:val="0"/>
              <w:snapToGrid w:val="0"/>
              <w:spacing w:line="360" w:lineRule="auto"/>
              <w:ind w:firstLine="210" w:firstLineChars="100"/>
              <w:rPr>
                <w:rFonts w:hint="eastAsia" w:hAnsi="宋体" w:cs="宋体"/>
                <w:color w:val="auto"/>
                <w:sz w:val="21"/>
                <w:highlight w:val="none"/>
                <w:lang w:val="en-US" w:eastAsia="zh-CN"/>
              </w:rPr>
            </w:pPr>
            <w:r>
              <w:rPr>
                <w:rFonts w:hint="eastAsia" w:hAnsi="宋体" w:cs="宋体"/>
                <w:color w:val="auto"/>
                <w:highlight w:val="none"/>
                <w:lang w:val="en-US" w:eastAsia="zh-CN"/>
              </w:rPr>
              <w:t>☑</w:t>
            </w:r>
            <w:r>
              <w:rPr>
                <w:rFonts w:hint="eastAsia" w:hAnsi="宋体" w:cs="宋体"/>
                <w:color w:val="auto"/>
                <w:sz w:val="21"/>
                <w:highlight w:val="none"/>
                <w:lang w:val="en-US" w:eastAsia="zh-CN"/>
              </w:rPr>
              <w:t>本项目代理服务费由</w:t>
            </w:r>
            <w:r>
              <w:rPr>
                <w:rFonts w:hint="eastAsia" w:hAnsi="宋体" w:cs="宋体"/>
                <w:color w:val="auto"/>
                <w:sz w:val="21"/>
                <w:highlight w:val="none"/>
                <w:u w:val="single"/>
                <w:lang w:val="en-US" w:eastAsia="zh-CN"/>
              </w:rPr>
              <w:t>成交供应商</w:t>
            </w:r>
            <w:r>
              <w:rPr>
                <w:rFonts w:hint="eastAsia" w:hAnsi="宋体" w:cs="宋体"/>
                <w:color w:val="auto"/>
                <w:sz w:val="21"/>
                <w:highlight w:val="none"/>
                <w:lang w:val="en-US" w:eastAsia="zh-CN"/>
              </w:rPr>
              <w:t>向采购代理机构支付。</w:t>
            </w:r>
          </w:p>
          <w:p w14:paraId="289CF910">
            <w:pPr>
              <w:pStyle w:val="25"/>
              <w:keepNext w:val="0"/>
              <w:keepLines w:val="0"/>
              <w:pageBreakBefore w:val="0"/>
              <w:widowControl w:val="0"/>
              <w:kinsoku/>
              <w:wordWrap/>
              <w:overflowPunct/>
              <w:topLinePunct w:val="0"/>
              <w:bidi w:val="0"/>
              <w:snapToGrid w:val="0"/>
              <w:spacing w:line="360" w:lineRule="auto"/>
              <w:ind w:firstLine="210" w:firstLineChars="100"/>
              <w:rPr>
                <w:rFonts w:hint="eastAsia" w:hAnsi="宋体" w:cs="宋体"/>
                <w:color w:val="auto"/>
                <w:sz w:val="21"/>
                <w:highlight w:val="none"/>
                <w:lang w:val="en-US" w:eastAsia="zh-CN"/>
              </w:rPr>
            </w:pPr>
            <w:r>
              <w:rPr>
                <w:rFonts w:hint="eastAsia" w:hAnsi="宋体" w:cs="宋体"/>
                <w:color w:val="auto"/>
                <w:sz w:val="21"/>
                <w:highlight w:val="none"/>
                <w:lang w:val="en-US" w:eastAsia="zh-CN"/>
              </w:rPr>
              <w:t>□采购人支付。</w:t>
            </w:r>
          </w:p>
          <w:p w14:paraId="342A9E9F">
            <w:pPr>
              <w:pStyle w:val="25"/>
              <w:keepNext w:val="0"/>
              <w:keepLines w:val="0"/>
              <w:pageBreakBefore w:val="0"/>
              <w:widowControl w:val="0"/>
              <w:kinsoku/>
              <w:wordWrap/>
              <w:overflowPunct/>
              <w:topLinePunct w:val="0"/>
              <w:bidi w:val="0"/>
              <w:snapToGrid w:val="0"/>
              <w:spacing w:line="360" w:lineRule="auto"/>
              <w:rPr>
                <w:rFonts w:hint="eastAsia" w:hAnsi="宋体" w:cs="宋体"/>
                <w:color w:val="auto"/>
                <w:sz w:val="21"/>
                <w:highlight w:val="none"/>
                <w:lang w:val="en-US" w:eastAsia="zh-CN"/>
              </w:rPr>
            </w:pPr>
            <w:r>
              <w:rPr>
                <w:rFonts w:hint="eastAsia" w:hAnsi="宋体" w:cs="宋体"/>
                <w:color w:val="auto"/>
                <w:sz w:val="21"/>
                <w:highlight w:val="none"/>
                <w:lang w:val="en-US" w:eastAsia="zh-CN"/>
              </w:rPr>
              <w:t>2.采购代理费收取标准：</w:t>
            </w:r>
          </w:p>
          <w:p w14:paraId="49EE974B">
            <w:pPr>
              <w:pStyle w:val="25"/>
              <w:keepNext w:val="0"/>
              <w:keepLines w:val="0"/>
              <w:pageBreakBefore w:val="0"/>
              <w:widowControl w:val="0"/>
              <w:kinsoku/>
              <w:wordWrap/>
              <w:overflowPunct/>
              <w:topLinePunct w:val="0"/>
              <w:bidi w:val="0"/>
              <w:snapToGrid w:val="0"/>
              <w:spacing w:line="360" w:lineRule="auto"/>
              <w:rPr>
                <w:rFonts w:hint="eastAsia" w:hAnsi="宋体" w:cs="宋体"/>
                <w:color w:val="auto"/>
                <w:sz w:val="21"/>
                <w:highlight w:val="none"/>
                <w:lang w:val="en-US" w:eastAsia="zh-CN"/>
              </w:rPr>
            </w:pPr>
            <w:r>
              <w:rPr>
                <w:rFonts w:hint="eastAsia" w:hAnsi="宋体" w:cs="宋体"/>
                <w:color w:val="auto"/>
                <w:sz w:val="21"/>
                <w:highlight w:val="none"/>
                <w:lang w:val="en-US" w:eastAsia="zh-CN"/>
              </w:rPr>
              <w:t>☑本项目采购代理服务费按国家发展改革委《关于进一步放开建设项目专业服务价格的通知 》发改价格〔2015〕299号文执行，按固定金额收费：人民币壹万玖仟元整（¥19000.00）。成交人在领取中标（成交）通知书前，中标（成交）人应向采购代理机构一次性付清采购代理服务费。</w:t>
            </w:r>
          </w:p>
          <w:p w14:paraId="0665F1B3">
            <w:pPr>
              <w:pStyle w:val="25"/>
              <w:keepNext w:val="0"/>
              <w:keepLines w:val="0"/>
              <w:pageBreakBefore w:val="0"/>
              <w:widowControl w:val="0"/>
              <w:kinsoku/>
              <w:wordWrap/>
              <w:overflowPunct/>
              <w:topLinePunct w:val="0"/>
              <w:bidi w:val="0"/>
              <w:snapToGrid w:val="0"/>
              <w:spacing w:line="360" w:lineRule="auto"/>
              <w:rPr>
                <w:rFonts w:hint="eastAsia" w:ascii="宋体" w:hAnsi="宋体" w:cs="宋体"/>
                <w:color w:val="auto"/>
                <w:sz w:val="21"/>
                <w:highlight w:val="none"/>
                <w:lang w:val="en-US" w:eastAsia="zh-CN"/>
              </w:rPr>
            </w:pPr>
            <w:r>
              <w:rPr>
                <w:rFonts w:hint="eastAsia" w:ascii="宋体" w:hAnsi="宋体" w:cs="宋体"/>
                <w:color w:val="auto"/>
                <w:sz w:val="21"/>
                <w:highlight w:val="none"/>
                <w:lang w:val="en-US" w:eastAsia="zh-CN"/>
              </w:rPr>
              <w:t>3. 采购代理费收取银行账户</w:t>
            </w:r>
          </w:p>
          <w:p w14:paraId="39DC4DBD">
            <w:pPr>
              <w:pStyle w:val="25"/>
              <w:keepNext w:val="0"/>
              <w:keepLines w:val="0"/>
              <w:pageBreakBefore w:val="0"/>
              <w:widowControl w:val="0"/>
              <w:kinsoku/>
              <w:wordWrap/>
              <w:overflowPunct/>
              <w:topLinePunct w:val="0"/>
              <w:bidi w:val="0"/>
              <w:snapToGrid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账户名称：广西众联工程项目管理有限公司贵港分公司</w:t>
            </w:r>
          </w:p>
          <w:p w14:paraId="39D71AC8">
            <w:pPr>
              <w:pStyle w:val="25"/>
              <w:keepNext w:val="0"/>
              <w:keepLines w:val="0"/>
              <w:pageBreakBefore w:val="0"/>
              <w:widowControl w:val="0"/>
              <w:kinsoku/>
              <w:wordWrap/>
              <w:overflowPunct/>
              <w:topLinePunct w:val="0"/>
              <w:bidi w:val="0"/>
              <w:snapToGrid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开户银行：广西北部湾银行贵港市迎宾大道支行</w:t>
            </w:r>
          </w:p>
          <w:p w14:paraId="74038764">
            <w:pPr>
              <w:pStyle w:val="25"/>
              <w:keepNext w:val="0"/>
              <w:keepLines w:val="0"/>
              <w:pageBreakBefore w:val="0"/>
              <w:widowControl w:val="0"/>
              <w:kinsoku/>
              <w:wordWrap/>
              <w:overflowPunct/>
              <w:topLinePunct w:val="0"/>
              <w:bidi w:val="0"/>
              <w:snapToGrid w:val="0"/>
              <w:spacing w:line="360" w:lineRule="auto"/>
              <w:rPr>
                <w:rFonts w:hAnsi="宋体" w:cs="宋体"/>
                <w:color w:val="auto"/>
                <w:szCs w:val="21"/>
                <w:highlight w:val="none"/>
              </w:rPr>
            </w:pPr>
            <w:r>
              <w:rPr>
                <w:rFonts w:hint="eastAsia" w:ascii="宋体" w:hAnsi="宋体" w:eastAsia="宋体" w:cs="宋体"/>
                <w:color w:val="auto"/>
                <w:highlight w:val="none"/>
                <w:lang w:val="en-US" w:eastAsia="zh-CN"/>
              </w:rPr>
              <w:t>银行账号：805316130800001</w:t>
            </w:r>
          </w:p>
        </w:tc>
      </w:tr>
      <w:tr w14:paraId="7EA7A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C466BF6">
            <w:pPr>
              <w:spacing w:line="400" w:lineRule="exact"/>
              <w:jc w:val="center"/>
              <w:rPr>
                <w:rFonts w:ascii="宋体" w:hAnsi="宋体" w:cs="宋体"/>
                <w:color w:val="auto"/>
                <w:highlight w:val="none"/>
              </w:rPr>
            </w:pPr>
            <w:r>
              <w:rPr>
                <w:rFonts w:hint="eastAsia" w:ascii="宋体" w:hAnsi="宋体" w:cs="宋体"/>
                <w:color w:val="auto"/>
                <w:highlight w:val="none"/>
              </w:rPr>
              <w:t>33.1</w:t>
            </w:r>
          </w:p>
        </w:tc>
        <w:tc>
          <w:tcPr>
            <w:tcW w:w="8627" w:type="dxa"/>
            <w:vAlign w:val="center"/>
          </w:tcPr>
          <w:p w14:paraId="02D7ED28">
            <w:pPr>
              <w:pStyle w:val="25"/>
              <w:snapToGrid w:val="0"/>
              <w:spacing w:line="400" w:lineRule="exact"/>
              <w:rPr>
                <w:rFonts w:hAnsi="宋体" w:cs="宋体"/>
                <w:color w:val="auto"/>
                <w:szCs w:val="21"/>
                <w:highlight w:val="none"/>
              </w:rPr>
            </w:pPr>
            <w:r>
              <w:rPr>
                <w:rFonts w:hint="eastAsia" w:hAnsi="宋体" w:cs="宋体"/>
                <w:color w:val="auto"/>
                <w:szCs w:val="21"/>
                <w:highlight w:val="none"/>
              </w:rPr>
              <w:t>解释：构成本磋商文件的各个组成文件应互为解释，互为说明；除磋商文件中有特别规定外，仅适用于竞标阶段的规定，按更正公告（澄清公告）、竞争性磋商公告、供应商须知、采购需求、评审程序、评审方法和评审标准、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7242B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46E1D1A">
            <w:pPr>
              <w:spacing w:line="400" w:lineRule="exact"/>
              <w:jc w:val="center"/>
              <w:rPr>
                <w:rFonts w:ascii="宋体" w:hAnsi="宋体" w:cs="宋体"/>
                <w:color w:val="auto"/>
                <w:highlight w:val="none"/>
              </w:rPr>
            </w:pPr>
            <w:r>
              <w:rPr>
                <w:rFonts w:hint="eastAsia" w:ascii="宋体" w:hAnsi="宋体" w:cs="宋体"/>
                <w:color w:val="auto"/>
                <w:highlight w:val="none"/>
              </w:rPr>
              <w:t>33.2</w:t>
            </w:r>
          </w:p>
        </w:tc>
        <w:tc>
          <w:tcPr>
            <w:tcW w:w="8627" w:type="dxa"/>
            <w:vAlign w:val="center"/>
          </w:tcPr>
          <w:p w14:paraId="45FD213C">
            <w:pPr>
              <w:pStyle w:val="25"/>
              <w:snapToGrid w:val="0"/>
              <w:spacing w:line="400" w:lineRule="exact"/>
              <w:rPr>
                <w:rFonts w:hAnsi="宋体" w:cs="宋体"/>
                <w:color w:val="auto"/>
                <w:szCs w:val="21"/>
                <w:highlight w:val="none"/>
              </w:rPr>
            </w:pPr>
            <w:r>
              <w:rPr>
                <w:rFonts w:hint="eastAsia" w:hAnsi="宋体" w:cs="宋体"/>
                <w:color w:val="auto"/>
                <w:szCs w:val="21"/>
                <w:highlight w:val="none"/>
              </w:rPr>
              <w:t>1、本磋商文件中描述供应商的“公章”是指根据我国对公章的管理规定，用供应商法定主体行为名称制作的印章【含通过指定电子化政府采购平台办理数字证书（CA认证）获得的以法定主体行为名称制作的电子印章】，除本磋商文件有特殊规定外，供应商的财务章、部门章、分公司章、工会章、合同章、竞标/投标专用章、业务专用章及银行的转账章、现金收讫章、现金付讫章等其他形式印章均不能代替公章。</w:t>
            </w:r>
          </w:p>
          <w:p w14:paraId="35151056">
            <w:pPr>
              <w:pStyle w:val="25"/>
              <w:snapToGrid w:val="0"/>
              <w:spacing w:line="400" w:lineRule="exact"/>
              <w:rPr>
                <w:rFonts w:hAnsi="宋体" w:cs="宋体"/>
                <w:color w:val="auto"/>
                <w:szCs w:val="21"/>
                <w:highlight w:val="none"/>
              </w:rPr>
            </w:pPr>
            <w:r>
              <w:rPr>
                <w:rFonts w:hint="eastAsia" w:hAnsi="宋体" w:cs="宋体"/>
                <w:color w:val="auto"/>
                <w:szCs w:val="21"/>
                <w:highlight w:val="none"/>
              </w:rPr>
              <w:t>2、供应商为其他组织或者自然人时，本磋商文件规定的法定代表人指负责人或者自然人。本磋商文件所称负责人是指参加竞标的其他组织</w:t>
            </w:r>
            <w:r>
              <w:rPr>
                <w:rFonts w:hint="eastAsia" w:hAnsi="宋体" w:cs="宋体"/>
                <w:bCs/>
                <w:color w:val="auto"/>
                <w:szCs w:val="21"/>
                <w:highlight w:val="none"/>
              </w:rPr>
              <w:t>营业执照或者执业许可证等证照上的</w:t>
            </w:r>
            <w:r>
              <w:rPr>
                <w:rFonts w:hint="eastAsia" w:hAnsi="宋体" w:cs="宋体"/>
                <w:color w:val="auto"/>
                <w:szCs w:val="21"/>
                <w:highlight w:val="none"/>
              </w:rPr>
              <w:t>负责人，本磋商文件所称自然人指参与竞标的自然人本人，</w:t>
            </w:r>
            <w:r>
              <w:rPr>
                <w:rFonts w:hint="eastAsia" w:hAnsi="宋体" w:cs="宋体"/>
                <w:bCs/>
                <w:color w:val="auto"/>
                <w:szCs w:val="21"/>
                <w:highlight w:val="none"/>
              </w:rPr>
              <w:t>且应具备独立承担民事责任能力，自然人应当为年满18岁以上成年人（十六周岁以上的未成年人，以自己的劳动收入为主要生活来源的，视为完全民事行为能力人）。</w:t>
            </w:r>
          </w:p>
          <w:p w14:paraId="2CD60577">
            <w:pPr>
              <w:pStyle w:val="25"/>
              <w:snapToGrid w:val="0"/>
              <w:spacing w:line="400" w:lineRule="exact"/>
              <w:rPr>
                <w:rFonts w:hAnsi="宋体" w:cs="宋体"/>
                <w:color w:val="auto"/>
                <w:szCs w:val="21"/>
                <w:highlight w:val="none"/>
              </w:rPr>
            </w:pPr>
            <w:r>
              <w:rPr>
                <w:rFonts w:hint="eastAsia" w:hAnsi="宋体" w:cs="宋体"/>
                <w:color w:val="auto"/>
                <w:szCs w:val="21"/>
                <w:highlight w:val="none"/>
              </w:rPr>
              <w:t>3、本磋商文件中描述供应商的“签字”是指供应商的法定代表人（或负责人）或者委托代理人在文件规定签署处签名【含通过指定电子化政府采购平台办理数字证书（CA认证）获得的以供应商法定代表人（负责人）或者委托代理人姓名制作的电子印章】的行为，私章、印鉴等其他形式均不能代替签字。</w:t>
            </w:r>
          </w:p>
          <w:p w14:paraId="7AA25DA1">
            <w:pPr>
              <w:pStyle w:val="25"/>
              <w:snapToGrid w:val="0"/>
              <w:spacing w:line="400" w:lineRule="exact"/>
              <w:rPr>
                <w:rFonts w:hAnsi="宋体" w:cs="宋体"/>
                <w:color w:val="auto"/>
                <w:szCs w:val="21"/>
                <w:highlight w:val="none"/>
              </w:rPr>
            </w:pPr>
            <w:r>
              <w:rPr>
                <w:rFonts w:hint="eastAsia" w:hAnsi="宋体" w:cs="宋体"/>
                <w:color w:val="auto"/>
                <w:szCs w:val="21"/>
                <w:highlight w:val="none"/>
              </w:rPr>
              <w:t>4、自然人竞标的，磋商文件规定盖公章处由自然人摁手指指印。</w:t>
            </w:r>
          </w:p>
          <w:p w14:paraId="59C293A9">
            <w:pPr>
              <w:pStyle w:val="25"/>
              <w:snapToGrid w:val="0"/>
              <w:spacing w:line="400" w:lineRule="exact"/>
              <w:rPr>
                <w:rFonts w:hAnsi="宋体" w:cs="宋体"/>
                <w:color w:val="auto"/>
                <w:szCs w:val="21"/>
                <w:highlight w:val="none"/>
              </w:rPr>
            </w:pPr>
            <w:r>
              <w:rPr>
                <w:rFonts w:hint="eastAsia" w:hAnsi="宋体" w:cs="宋体"/>
                <w:color w:val="auto"/>
                <w:szCs w:val="21"/>
                <w:highlight w:val="none"/>
              </w:rPr>
              <w:t>5、本磋商文件所称的“以上”“以下”“以内”“届满”，包括本数；所称的“不满”“超过”“以外”，不包括本数。</w:t>
            </w:r>
          </w:p>
        </w:tc>
      </w:tr>
    </w:tbl>
    <w:p w14:paraId="5C54C7A5">
      <w:pPr>
        <w:rPr>
          <w:rFonts w:ascii="宋体" w:hAnsi="宋体" w:cs="宋体"/>
          <w:b/>
          <w:bCs/>
          <w:color w:val="auto"/>
          <w:sz w:val="36"/>
          <w:szCs w:val="36"/>
          <w:highlight w:val="none"/>
        </w:rPr>
      </w:pPr>
      <w:r>
        <w:rPr>
          <w:rFonts w:ascii="宋体" w:hAnsi="宋体"/>
          <w:b/>
          <w:color w:val="auto"/>
          <w:sz w:val="32"/>
          <w:szCs w:val="32"/>
          <w:highlight w:val="none"/>
        </w:rPr>
        <w:br w:type="page"/>
      </w:r>
      <w:bookmarkEnd w:id="21"/>
      <w:bookmarkEnd w:id="45"/>
      <w:bookmarkEnd w:id="46"/>
    </w:p>
    <w:p w14:paraId="3E5F547F">
      <w:pPr>
        <w:spacing w:line="360" w:lineRule="exact"/>
        <w:jc w:val="center"/>
        <w:rPr>
          <w:rFonts w:ascii="宋体" w:hAnsi="宋体"/>
          <w:b/>
          <w:color w:val="auto"/>
          <w:sz w:val="32"/>
          <w:szCs w:val="32"/>
          <w:highlight w:val="none"/>
        </w:rPr>
      </w:pPr>
      <w:bookmarkStart w:id="47" w:name="_Toc2218"/>
      <w:bookmarkStart w:id="48" w:name="_Toc1266"/>
      <w:r>
        <w:rPr>
          <w:rFonts w:hint="eastAsia" w:ascii="宋体" w:hAnsi="宋体"/>
          <w:b/>
          <w:color w:val="auto"/>
          <w:sz w:val="32"/>
          <w:szCs w:val="32"/>
          <w:highlight w:val="none"/>
        </w:rPr>
        <w:t>供应商须知正文</w:t>
      </w:r>
    </w:p>
    <w:p w14:paraId="40BD91C5">
      <w:pPr>
        <w:spacing w:line="360" w:lineRule="exact"/>
        <w:jc w:val="center"/>
        <w:rPr>
          <w:rFonts w:ascii="宋体" w:hAnsi="宋体"/>
          <w:b/>
          <w:color w:val="auto"/>
          <w:sz w:val="32"/>
          <w:szCs w:val="32"/>
          <w:highlight w:val="none"/>
        </w:rPr>
      </w:pPr>
    </w:p>
    <w:p w14:paraId="54DF6AB8">
      <w:pPr>
        <w:spacing w:line="360" w:lineRule="exact"/>
        <w:jc w:val="center"/>
        <w:rPr>
          <w:rFonts w:ascii="宋体" w:hAnsi="宋体"/>
          <w:color w:val="auto"/>
          <w:highlight w:val="none"/>
        </w:rPr>
      </w:pPr>
      <w:r>
        <w:rPr>
          <w:rFonts w:hint="eastAsia" w:ascii="宋体" w:hAnsi="宋体"/>
          <w:b/>
          <w:bCs/>
          <w:color w:val="auto"/>
          <w:sz w:val="32"/>
          <w:szCs w:val="32"/>
          <w:highlight w:val="none"/>
        </w:rPr>
        <w:t>一、总则</w:t>
      </w:r>
    </w:p>
    <w:p w14:paraId="4881E813">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1.适用范围</w:t>
      </w:r>
    </w:p>
    <w:p w14:paraId="617306E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1.1本项目采购人、采购代理机构、供应商、磋商小组的相关行为均受《中华人民共和国政府采购法》《中华人民共和国政府采购法实施条例》</w:t>
      </w:r>
      <w:r>
        <w:rPr>
          <w:rFonts w:hint="eastAsia" w:ascii="宋体" w:hAnsi="宋体"/>
          <w:color w:val="auto"/>
          <w:highlight w:val="none"/>
        </w:rPr>
        <w:t>《政府采购竞争性磋商采购方式管理暂行办法》《财政部关于政府采购竞争性磋商采购方式管理暂行办法有关问题的补充通知》</w:t>
      </w:r>
      <w:r>
        <w:rPr>
          <w:rFonts w:hint="eastAsia" w:ascii="宋体" w:hAnsi="宋体" w:cs="宋体"/>
          <w:color w:val="auto"/>
          <w:highlight w:val="none"/>
        </w:rPr>
        <w:t>及本项目本级和上级财政部门政府采购有关规定的约束和保护。</w:t>
      </w:r>
    </w:p>
    <w:p w14:paraId="71E2E1E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1.2</w:t>
      </w:r>
      <w:r>
        <w:rPr>
          <w:rFonts w:hint="eastAsia" w:ascii="宋体" w:hAnsi="宋体" w:cs="宋体"/>
          <w:color w:val="auto"/>
          <w:spacing w:val="-6"/>
          <w:highlight w:val="none"/>
        </w:rPr>
        <w:t>本竞争性磋商文件（以下简称磋商文件）适用于本项目的所有采购程序和环节（法律、法规另有规定的，从其规定）。</w:t>
      </w:r>
    </w:p>
    <w:p w14:paraId="044E5CFD">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2.定义</w:t>
      </w:r>
    </w:p>
    <w:p w14:paraId="6DCD8EF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2.1“采购人”是指依法进行政府采购的国家机关、事业单位、团体组织。</w:t>
      </w:r>
    </w:p>
    <w:p w14:paraId="24C28189">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2.2“采购代理机构”是指政府采购集中采购机构和集中采购机构以外的采购代理机构。</w:t>
      </w:r>
    </w:p>
    <w:p w14:paraId="1B4D668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2.3“供应商”是指向采购人提供货物、工程或者服务的法人、其他组织或者自然人。</w:t>
      </w:r>
    </w:p>
    <w:p w14:paraId="6E5BA056">
      <w:pPr>
        <w:spacing w:line="360" w:lineRule="auto"/>
        <w:ind w:firstLine="420" w:firstLineChars="200"/>
        <w:rPr>
          <w:rFonts w:ascii="宋体" w:hAnsi="宋体" w:cs="宋体"/>
          <w:color w:val="auto"/>
          <w:highlight w:val="none"/>
        </w:rPr>
      </w:pPr>
      <w:r>
        <w:rPr>
          <w:rFonts w:hint="eastAsia" w:ascii="宋体" w:hAnsi="宋体"/>
          <w:color w:val="auto"/>
          <w:highlight w:val="none"/>
        </w:rPr>
        <w:t>2.4“服务”是指除货物和工程以外的其他政府采购对象。</w:t>
      </w:r>
    </w:p>
    <w:p w14:paraId="038B81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ascii="宋体" w:hAnsi="宋体" w:cs="宋体"/>
          <w:color w:val="auto"/>
          <w:highlight w:val="none"/>
        </w:rPr>
        <w:t>5</w:t>
      </w:r>
      <w:r>
        <w:rPr>
          <w:rFonts w:hint="eastAsia" w:ascii="宋体" w:hAnsi="宋体" w:cs="宋体"/>
          <w:color w:val="auto"/>
          <w:highlight w:val="none"/>
        </w:rPr>
        <w:t>“竞标”是指供应商按照本项目竞争性磋商公告或者邀请函规定的方式获取磋商文件、提交响应文件并希望获得标的的行为。</w:t>
      </w:r>
    </w:p>
    <w:p w14:paraId="63BD1160">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2.6“书面形式”是指合同书、信件和数据电文（包括电报、电传、传真、电子数据交换和电子邮件）等可以有形地表现所载内容的形式。</w:t>
      </w:r>
    </w:p>
    <w:p w14:paraId="63AC81E6">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2.7“响应文件”</w:t>
      </w:r>
      <w:r>
        <w:rPr>
          <w:rFonts w:hint="eastAsia" w:ascii="宋体" w:hAnsi="宋体" w:cs="宋体"/>
          <w:color w:val="auto"/>
          <w:spacing w:val="-6"/>
          <w:highlight w:val="none"/>
        </w:rPr>
        <w:t>是指：供应商根据本磋商文件要求，编制包含资格证明、报价商务技术等所有内容的文件。</w:t>
      </w:r>
    </w:p>
    <w:p w14:paraId="08DDBC23">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2.8“实质性要求”是指磋商文件中已经指明不满足则响应文件按无效响应处理的条款，或者不能负偏离的条款，或者采购需求中带“▲”的条款。</w:t>
      </w:r>
    </w:p>
    <w:p w14:paraId="776CC0D9">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2.9“正偏离”，是指响应文件对磋商文件“采购需求”中有关条款作出的响应优于条款要求并有利于采购人的情形。</w:t>
      </w:r>
    </w:p>
    <w:p w14:paraId="3DF2B99B">
      <w:pPr>
        <w:spacing w:line="360" w:lineRule="auto"/>
        <w:ind w:firstLine="420" w:firstLineChars="200"/>
        <w:contextualSpacing/>
        <w:rPr>
          <w:rFonts w:ascii="宋体" w:hAnsi="宋体" w:cs="宋体"/>
          <w:color w:val="auto"/>
          <w:highlight w:val="none"/>
        </w:rPr>
      </w:pPr>
      <w:r>
        <w:rPr>
          <w:rFonts w:ascii="宋体" w:hAnsi="宋体" w:cs="宋体"/>
          <w:color w:val="auto"/>
          <w:highlight w:val="none"/>
        </w:rPr>
        <w:t>2.</w:t>
      </w:r>
      <w:r>
        <w:rPr>
          <w:rFonts w:hint="eastAsia" w:ascii="宋体" w:hAnsi="宋体" w:cs="宋体"/>
          <w:color w:val="auto"/>
          <w:highlight w:val="none"/>
        </w:rPr>
        <w:t>10“负偏离”，是指响应文件对磋商文件“采购需求”中有关条款作出的响应不满足条款要求，导致采购人要求不能得到满足的情形。</w:t>
      </w:r>
    </w:p>
    <w:p w14:paraId="03DA781A">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2.11“允许负偏离的条款”是指采购需求中的不属于“实质性要求”的条款。</w:t>
      </w:r>
    </w:p>
    <w:p w14:paraId="5C5C6ABB">
      <w:pPr>
        <w:spacing w:line="360" w:lineRule="auto"/>
        <w:ind w:firstLine="420" w:firstLineChars="200"/>
        <w:contextualSpacing/>
        <w:rPr>
          <w:rFonts w:ascii="宋体" w:hAnsi="宋体" w:cs="宋体"/>
          <w:color w:val="auto"/>
          <w:highlight w:val="none"/>
        </w:rPr>
      </w:pPr>
      <w:r>
        <w:rPr>
          <w:rFonts w:hint="eastAsia" w:ascii="宋体" w:hAnsi="宋体" w:cs="宋体"/>
          <w:color w:val="auto"/>
          <w:highlight w:val="none"/>
        </w:rPr>
        <w:t>2.</w:t>
      </w:r>
      <w:r>
        <w:rPr>
          <w:rFonts w:ascii="宋体" w:hAnsi="宋体" w:cs="宋体"/>
          <w:color w:val="auto"/>
          <w:highlight w:val="none"/>
        </w:rPr>
        <w:t>1</w:t>
      </w:r>
      <w:r>
        <w:rPr>
          <w:rFonts w:hint="eastAsia" w:ascii="宋体" w:hAnsi="宋体" w:cs="宋体"/>
          <w:color w:val="auto"/>
          <w:highlight w:val="none"/>
        </w:rPr>
        <w:t>2“首次报价”是指供应商提交的首次响应文件中的报价。</w:t>
      </w:r>
    </w:p>
    <w:p w14:paraId="77529399">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3.供应商的资格条件</w:t>
      </w:r>
    </w:p>
    <w:p w14:paraId="637E05E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供应商的资格条件详见“供应商须知前附表”。</w:t>
      </w:r>
    </w:p>
    <w:p w14:paraId="61CBD1DA">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4.竞标费用</w:t>
      </w:r>
    </w:p>
    <w:p w14:paraId="6AAD06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供应商应承担参与本次采购活动有关的所有费用，包括但不限于获取磋商文件、勘查现场、编制和提交响应文件、参加磋商与应答、签订合同等，不论竞标结果如何，均应自行承担。</w:t>
      </w:r>
    </w:p>
    <w:p w14:paraId="49EC2059">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5.联合体竞标</w:t>
      </w:r>
    </w:p>
    <w:p w14:paraId="7A8CC43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5.1本项目是否接受联合体竞标，详见“供应商须知前附表”。</w:t>
      </w:r>
    </w:p>
    <w:p w14:paraId="1B2B60E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5.2</w:t>
      </w:r>
      <w:r>
        <w:rPr>
          <w:rFonts w:hint="eastAsia" w:ascii="宋体" w:hAnsi="宋体"/>
          <w:color w:val="auto"/>
          <w:highlight w:val="none"/>
        </w:rPr>
        <w:t>如接受联合体竞标，</w:t>
      </w:r>
      <w:r>
        <w:rPr>
          <w:rFonts w:hint="eastAsia" w:ascii="宋体" w:hAnsi="宋体" w:cs="宋体"/>
          <w:color w:val="auto"/>
          <w:highlight w:val="none"/>
        </w:rPr>
        <w:t>联合体竞标要求详见“供应商须知前附表”。</w:t>
      </w:r>
    </w:p>
    <w:p w14:paraId="1A96FA6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5.3</w:t>
      </w:r>
      <w:bookmarkStart w:id="49" w:name="_Hlk66782192"/>
      <w:r>
        <w:rPr>
          <w:rFonts w:hint="eastAsia" w:ascii="宋体" w:hAnsi="宋体"/>
          <w:color w:val="auto"/>
          <w:highlight w:val="none"/>
        </w:rPr>
        <w:t>根据《政府采购促进中小企业发展管理办法》（财库〔2020〕46号）第九条第二款的规定，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的扣除，用扣除后的价格参加评审。</w:t>
      </w:r>
      <w:bookmarkEnd w:id="49"/>
    </w:p>
    <w:p w14:paraId="06241AF7">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 xml:space="preserve">6.转包与分包             </w:t>
      </w:r>
    </w:p>
    <w:p w14:paraId="72EF1D1E">
      <w:pPr>
        <w:pStyle w:val="6"/>
        <w:keepNext w:val="0"/>
        <w:keepLines w:val="0"/>
        <w:spacing w:before="0" w:after="0" w:line="360" w:lineRule="auto"/>
        <w:ind w:left="420" w:leftChars="200"/>
        <w:rPr>
          <w:rFonts w:ascii="宋体" w:hAnsi="宋体"/>
          <w:b w:val="0"/>
          <w:color w:val="auto"/>
          <w:sz w:val="21"/>
          <w:szCs w:val="21"/>
          <w:highlight w:val="none"/>
        </w:rPr>
      </w:pPr>
      <w:bookmarkStart w:id="50" w:name="_Toc254970532"/>
      <w:bookmarkStart w:id="51" w:name="_Toc254970673"/>
      <w:r>
        <w:rPr>
          <w:rFonts w:hint="eastAsia" w:ascii="宋体" w:hAnsi="宋体"/>
          <w:b w:val="0"/>
          <w:color w:val="auto"/>
          <w:sz w:val="21"/>
          <w:szCs w:val="21"/>
          <w:highlight w:val="none"/>
        </w:rPr>
        <w:t>6.1本项目不允许转包。</w:t>
      </w:r>
    </w:p>
    <w:p w14:paraId="742187C9">
      <w:pPr>
        <w:pStyle w:val="6"/>
        <w:keepNext w:val="0"/>
        <w:keepLines w:val="0"/>
        <w:spacing w:before="0" w:after="0" w:line="360" w:lineRule="auto"/>
        <w:ind w:firstLine="315" w:firstLineChars="150"/>
        <w:rPr>
          <w:rFonts w:ascii="宋体" w:hAnsi="宋体"/>
          <w:b w:val="0"/>
          <w:color w:val="auto"/>
          <w:sz w:val="21"/>
          <w:szCs w:val="21"/>
          <w:highlight w:val="none"/>
        </w:rPr>
      </w:pPr>
      <w:r>
        <w:rPr>
          <w:rFonts w:hint="eastAsia" w:ascii="宋体" w:hAnsi="宋体"/>
          <w:b w:val="0"/>
          <w:color w:val="auto"/>
          <w:sz w:val="21"/>
          <w:szCs w:val="21"/>
          <w:highlight w:val="none"/>
        </w:rPr>
        <w:t xml:space="preserve"> 6.2本项目是否允许分包详见“供应商须知前附表”，本项目不允许违法分包。允许分包的非主体、非关键性工作，根据法律法规规定承担该工作需要行政许可的，如该工作由供应商自行承担，供应商应具备相应的行政许可，如供应商不具备相应的行政许可必须采用分包的方式，但分包供应商应具备相应行政许可。</w:t>
      </w:r>
    </w:p>
    <w:p w14:paraId="79F0ECA7">
      <w:pPr>
        <w:pStyle w:val="6"/>
        <w:keepNext w:val="0"/>
        <w:keepLines w:val="0"/>
        <w:spacing w:before="0" w:after="0" w:line="360" w:lineRule="auto"/>
        <w:ind w:firstLine="315" w:firstLineChars="150"/>
        <w:rPr>
          <w:rFonts w:ascii="宋体" w:hAnsi="宋体"/>
          <w:b w:val="0"/>
          <w:color w:val="auto"/>
          <w:sz w:val="21"/>
          <w:szCs w:val="21"/>
          <w:highlight w:val="none"/>
        </w:rPr>
      </w:pPr>
      <w:r>
        <w:rPr>
          <w:rFonts w:hint="eastAsia" w:ascii="宋体" w:hAnsi="宋体"/>
          <w:b w:val="0"/>
          <w:color w:val="auto"/>
          <w:sz w:val="21"/>
          <w:szCs w:val="21"/>
          <w:highlight w:val="none"/>
        </w:rPr>
        <w:t xml:space="preserve"> 6.3供应商根据磋商文件的规定和采购项目的实际情况，拟在成交后将成交项目的非主体、非关键性工作分包的，应当在响应文件中载明分包承担主体，分包承担主体应当具备相应资质条件且不得再次分包。</w:t>
      </w:r>
    </w:p>
    <w:p w14:paraId="05789922">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7.特别说明</w:t>
      </w:r>
      <w:bookmarkEnd w:id="50"/>
      <w:bookmarkEnd w:id="51"/>
    </w:p>
    <w:p w14:paraId="651FAEBA">
      <w:pPr>
        <w:spacing w:line="360" w:lineRule="auto"/>
        <w:ind w:firstLine="420" w:firstLineChars="200"/>
        <w:rPr>
          <w:rFonts w:ascii="宋体" w:hAnsi="宋体" w:cs="宋体"/>
          <w:color w:val="auto"/>
          <w:highlight w:val="none"/>
        </w:rPr>
      </w:pPr>
      <w:bookmarkStart w:id="52" w:name="_8.1提供相同品牌产品且通过资格审查、符合性审查的不同投标人参加同一合"/>
      <w:bookmarkEnd w:id="52"/>
      <w:r>
        <w:rPr>
          <w:rFonts w:hint="eastAsia" w:ascii="宋体" w:hAnsi="宋体" w:cs="宋体"/>
          <w:color w:val="auto"/>
          <w:highlight w:val="none"/>
        </w:rPr>
        <w:t>7.</w:t>
      </w:r>
      <w:r>
        <w:rPr>
          <w:rFonts w:ascii="宋体" w:hAnsi="宋体" w:cs="宋体"/>
          <w:color w:val="auto"/>
          <w:highlight w:val="none"/>
        </w:rPr>
        <w:t>1</w:t>
      </w:r>
      <w:bookmarkStart w:id="53" w:name="_Hlk65832145"/>
      <w:r>
        <w:rPr>
          <w:rFonts w:hint="eastAsia" w:ascii="宋体" w:hAnsi="宋体"/>
          <w:color w:val="auto"/>
          <w:highlight w:val="none"/>
        </w:rPr>
        <w:t xml:space="preserve">如果本磋商文件要求提供供应商或制造商的资格、信誉、荣誉、业绩与企业认证等材料的，资格、信誉、荣誉、业绩与企业认证等必须为供应商或者制造商所拥有或自身获得 </w:t>
      </w:r>
      <w:r>
        <w:rPr>
          <w:rFonts w:hint="eastAsia" w:ascii="宋体" w:hAnsi="宋体" w:cs="宋体"/>
          <w:color w:val="auto"/>
          <w:highlight w:val="none"/>
        </w:rPr>
        <w:t>。</w:t>
      </w:r>
    </w:p>
    <w:bookmarkEnd w:id="53"/>
    <w:p w14:paraId="43E8CD7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2</w:t>
      </w:r>
      <w:r>
        <w:rPr>
          <w:rFonts w:hint="eastAsia" w:ascii="宋体" w:hAnsi="宋体" w:cs="宋体"/>
          <w:color w:val="auto"/>
          <w:highlight w:val="none"/>
        </w:rPr>
        <w:t>供应商应仔细阅读磋商文件的所有内容，按照磋商文件的要求提交响应文件，并对所提供的全部资料的真实性承担法律责任。</w:t>
      </w:r>
    </w:p>
    <w:p w14:paraId="33507FD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3</w:t>
      </w:r>
      <w:r>
        <w:rPr>
          <w:rFonts w:hint="eastAsia" w:ascii="宋体" w:hAnsi="宋体" w:cs="宋体"/>
          <w:color w:val="auto"/>
          <w:highlight w:val="none"/>
        </w:rPr>
        <w:t>供应商在竞标活动中提供任何疑似虚假材料，将报监管部门查处；签订合同后发现的，成交供应商须依法赔偿采购人，且民事赔偿并不免除违法供应商的行政与刑事责任。</w:t>
      </w:r>
    </w:p>
    <w:p w14:paraId="2DED4C5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4</w:t>
      </w:r>
      <w:r>
        <w:rPr>
          <w:rFonts w:hint="eastAsia" w:ascii="宋体" w:hAnsi="宋体" w:cs="宋体"/>
          <w:color w:val="auto"/>
          <w:highlight w:val="none"/>
        </w:rPr>
        <w:t>在政府采购活动中，采购人员及相关人员与供应商有下列利害关系之一的，应当回避：</w:t>
      </w:r>
    </w:p>
    <w:p w14:paraId="2A4DAAB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（1）参加采购活动前3年内与供应商存在劳动关系；</w:t>
      </w:r>
    </w:p>
    <w:p w14:paraId="490FDCE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（2）参加采购活动前3年内担任供应商的董事、监事；</w:t>
      </w:r>
    </w:p>
    <w:p w14:paraId="1CAEAF7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（3）参加采购活动前3年内是供应商的控股股东或者实际控制人；</w:t>
      </w:r>
    </w:p>
    <w:p w14:paraId="24ED823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（4）与供应商的法定代表人或者负责人有夫妻、直系血亲、三代以内旁系血亲或者近姻亲关系；</w:t>
      </w:r>
    </w:p>
    <w:p w14:paraId="002E418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（5）与供应商有其他可能影响政府采购活动公平、公正进行的关系。</w:t>
      </w:r>
    </w:p>
    <w:p w14:paraId="76823C9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08BF91B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5</w:t>
      </w:r>
      <w:r>
        <w:rPr>
          <w:rFonts w:hint="eastAsia" w:ascii="宋体" w:hAnsi="宋体" w:cs="宋体"/>
          <w:color w:val="auto"/>
          <w:highlight w:val="none"/>
        </w:rPr>
        <w:t>有下列情形之一的视为供应商相互串通竞标，响应文件将被视为无效：</w:t>
      </w:r>
    </w:p>
    <w:p w14:paraId="5B923BF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（1）不同供应商的响应文件由同一单位或者个人编制； </w:t>
      </w:r>
    </w:p>
    <w:p w14:paraId="2128157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（2）不同供应商委托同一单位或者个人办理竞标事宜；</w:t>
      </w:r>
    </w:p>
    <w:p w14:paraId="232C3C7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（3）不同的供应商的响应文件载明的项目管理员为同一个人；</w:t>
      </w:r>
    </w:p>
    <w:p w14:paraId="6C79EEF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（4）不同供应商的响应文件异常一致或者报价呈规律性差异；</w:t>
      </w:r>
    </w:p>
    <w:p w14:paraId="75FF843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（5）不同供应商的响应文件相互混装；</w:t>
      </w:r>
    </w:p>
    <w:p w14:paraId="786FD4CE">
      <w:pPr>
        <w:tabs>
          <w:tab w:val="left" w:pos="6931"/>
        </w:tabs>
        <w:spacing w:line="360" w:lineRule="auto"/>
        <w:ind w:firstLine="420" w:firstLineChars="200"/>
        <w:rPr>
          <w:rFonts w:ascii="宋体" w:hAnsi="宋体" w:cs="宋体"/>
          <w:color w:val="auto"/>
          <w:highlight w:val="none"/>
        </w:rPr>
      </w:pPr>
      <w:r>
        <w:rPr>
          <w:rFonts w:hint="eastAsia" w:ascii="宋体" w:hAnsi="宋体" w:cs="宋体"/>
          <w:color w:val="auto"/>
          <w:highlight w:val="none"/>
        </w:rPr>
        <w:t>（6）不同供应商的磋商保证金从同一单位或者个人账户转出。</w:t>
      </w:r>
      <w:r>
        <w:rPr>
          <w:rFonts w:ascii="宋体" w:hAnsi="宋体" w:cs="宋体"/>
          <w:color w:val="auto"/>
          <w:highlight w:val="none"/>
        </w:rPr>
        <w:tab/>
      </w:r>
    </w:p>
    <w:p w14:paraId="4B5C49D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6</w:t>
      </w:r>
      <w:r>
        <w:rPr>
          <w:rFonts w:hint="eastAsia" w:ascii="宋体" w:hAnsi="宋体" w:cs="宋体"/>
          <w:color w:val="auto"/>
          <w:highlight w:val="none"/>
        </w:rPr>
        <w:t>供应商有下列情形之一的，属于恶意串通行为，将报同级监督管理部门：</w:t>
      </w:r>
    </w:p>
    <w:p w14:paraId="6DCA1A6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（1）供应商直接或者间接从采购人或者采购代理机构处获得其他供应商的相关信息并修改其响应文件；</w:t>
      </w:r>
    </w:p>
    <w:p w14:paraId="07EA8AB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（2）供应商按照采购人或者采购代理机构的授意撤换、修改响应文件；</w:t>
      </w:r>
    </w:p>
    <w:p w14:paraId="6008554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（3）供应商之间协商报价、技术方案等响应文件或者响应文件的实质性内容；</w:t>
      </w:r>
    </w:p>
    <w:p w14:paraId="0868A2D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（4）属于同一集团、协会、商会等组织成员的供应商按照该组织要求协同参加政府采购活动；</w:t>
      </w:r>
    </w:p>
    <w:p w14:paraId="3336192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（5）供应商之间事先约定一致抬高或者压低报价，或者在政府采购活动中事先约定轮流以高价位或者低价位成交，或者事先约定由某一特定供应商成交，然后再参加竞标；</w:t>
      </w:r>
    </w:p>
    <w:p w14:paraId="453F223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（6）供应商之间商定部分供应商放弃参加政府采购活动或者放弃成交；</w:t>
      </w:r>
    </w:p>
    <w:p w14:paraId="3C4F19E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（7）供应商与采购人或者采购代理机构之间、供应商相互之间，为谋求特定供应商成交或者排斥其他供应商的其他串通行为。</w:t>
      </w:r>
    </w:p>
    <w:p w14:paraId="7A2A6BF3">
      <w:pPr>
        <w:spacing w:line="360" w:lineRule="auto"/>
        <w:ind w:left="1" w:firstLine="417" w:firstLineChars="199"/>
        <w:jc w:val="center"/>
        <w:rPr>
          <w:rFonts w:ascii="宋体" w:hAnsi="宋体"/>
          <w:color w:val="auto"/>
          <w:highlight w:val="none"/>
        </w:rPr>
      </w:pPr>
      <w:bookmarkStart w:id="54" w:name="_Toc254970675"/>
      <w:bookmarkStart w:id="55" w:name="_Toc254970534"/>
    </w:p>
    <w:p w14:paraId="5A54C3A0">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二、磋商文件</w:t>
      </w:r>
      <w:bookmarkEnd w:id="54"/>
      <w:bookmarkEnd w:id="55"/>
    </w:p>
    <w:p w14:paraId="66D8BFEF">
      <w:pPr>
        <w:spacing w:line="360" w:lineRule="auto"/>
        <w:ind w:firstLine="482" w:firstLineChars="200"/>
        <w:rPr>
          <w:rFonts w:ascii="黑体" w:hAnsi="黑体" w:eastAsia="黑体" w:cs="宋体"/>
          <w:b/>
          <w:bCs/>
          <w:color w:val="auto"/>
          <w:sz w:val="24"/>
          <w:highlight w:val="none"/>
        </w:rPr>
      </w:pPr>
    </w:p>
    <w:p w14:paraId="37614BC4">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8.磋商文件的构成</w:t>
      </w:r>
    </w:p>
    <w:p w14:paraId="2DC6B9F5">
      <w:pPr>
        <w:spacing w:line="360" w:lineRule="auto"/>
        <w:ind w:firstLine="420" w:firstLineChars="200"/>
        <w:jc w:val="left"/>
        <w:rPr>
          <w:rFonts w:ascii="宋体" w:hAnsi="宋体"/>
          <w:color w:val="auto"/>
          <w:highlight w:val="none"/>
        </w:rPr>
      </w:pPr>
      <w:r>
        <w:rPr>
          <w:rFonts w:hint="eastAsia" w:ascii="宋体" w:hAnsi="宋体"/>
          <w:color w:val="auto"/>
          <w:highlight w:val="none"/>
        </w:rPr>
        <w:t>（1）竞争性磋商公告；</w:t>
      </w:r>
    </w:p>
    <w:p w14:paraId="01578C97">
      <w:pPr>
        <w:spacing w:line="360" w:lineRule="auto"/>
        <w:ind w:firstLine="420" w:firstLineChars="200"/>
        <w:jc w:val="left"/>
        <w:rPr>
          <w:rFonts w:ascii="宋体" w:hAnsi="宋体"/>
          <w:color w:val="auto"/>
          <w:highlight w:val="none"/>
        </w:rPr>
      </w:pPr>
      <w:r>
        <w:rPr>
          <w:rFonts w:hint="eastAsia" w:ascii="宋体" w:hAnsi="宋体"/>
          <w:color w:val="auto"/>
          <w:highlight w:val="none"/>
        </w:rPr>
        <w:t xml:space="preserve">（2）供应商须知； </w:t>
      </w:r>
    </w:p>
    <w:p w14:paraId="3DD07974">
      <w:pPr>
        <w:spacing w:line="360" w:lineRule="auto"/>
        <w:ind w:firstLine="420" w:firstLineChars="200"/>
        <w:jc w:val="left"/>
        <w:rPr>
          <w:rFonts w:ascii="宋体" w:hAnsi="宋体"/>
          <w:color w:val="auto"/>
          <w:highlight w:val="none"/>
        </w:rPr>
      </w:pPr>
      <w:r>
        <w:rPr>
          <w:rFonts w:hint="eastAsia" w:ascii="宋体" w:hAnsi="宋体"/>
          <w:color w:val="auto"/>
          <w:highlight w:val="none"/>
        </w:rPr>
        <w:t>（3）采购需求；</w:t>
      </w:r>
    </w:p>
    <w:p w14:paraId="79F6CC8B">
      <w:pPr>
        <w:spacing w:line="360" w:lineRule="auto"/>
        <w:ind w:firstLine="420" w:firstLineChars="200"/>
        <w:jc w:val="left"/>
        <w:rPr>
          <w:rFonts w:ascii="宋体" w:hAnsi="宋体"/>
          <w:color w:val="auto"/>
          <w:highlight w:val="none"/>
        </w:rPr>
      </w:pPr>
      <w:r>
        <w:rPr>
          <w:rFonts w:hint="eastAsia" w:ascii="宋体" w:hAnsi="宋体"/>
          <w:color w:val="auto"/>
          <w:highlight w:val="none"/>
        </w:rPr>
        <w:t>（4）评审程序、评审方法和评审标准；</w:t>
      </w:r>
    </w:p>
    <w:p w14:paraId="25098ABD">
      <w:pPr>
        <w:spacing w:line="360" w:lineRule="auto"/>
        <w:ind w:firstLine="420" w:firstLineChars="200"/>
        <w:jc w:val="left"/>
        <w:rPr>
          <w:rFonts w:ascii="宋体" w:hAnsi="宋体"/>
          <w:color w:val="auto"/>
          <w:highlight w:val="none"/>
        </w:rPr>
      </w:pPr>
      <w:r>
        <w:rPr>
          <w:rFonts w:hint="eastAsia" w:ascii="宋体" w:hAnsi="宋体"/>
          <w:color w:val="auto"/>
          <w:highlight w:val="none"/>
        </w:rPr>
        <w:t>（5）响应文件格式；</w:t>
      </w:r>
    </w:p>
    <w:p w14:paraId="341B3711">
      <w:pPr>
        <w:spacing w:line="360" w:lineRule="auto"/>
        <w:ind w:firstLine="420" w:firstLineChars="200"/>
        <w:jc w:val="left"/>
        <w:rPr>
          <w:rFonts w:ascii="宋体" w:hAnsi="宋体"/>
          <w:color w:val="auto"/>
          <w:highlight w:val="none"/>
        </w:rPr>
      </w:pPr>
      <w:r>
        <w:rPr>
          <w:rFonts w:hint="eastAsia" w:ascii="宋体" w:hAnsi="宋体"/>
          <w:color w:val="auto"/>
          <w:highlight w:val="none"/>
        </w:rPr>
        <w:t>（6）合同文本。</w:t>
      </w:r>
    </w:p>
    <w:p w14:paraId="4EB61B02">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9.供应商的询问</w:t>
      </w:r>
    </w:p>
    <w:p w14:paraId="58080D42">
      <w:pPr>
        <w:spacing w:line="360" w:lineRule="auto"/>
        <w:ind w:firstLine="420" w:firstLineChars="200"/>
        <w:rPr>
          <w:rFonts w:ascii="宋体" w:hAnsi="宋体"/>
          <w:color w:val="auto"/>
          <w:highlight w:val="none"/>
        </w:rPr>
      </w:pPr>
      <w:r>
        <w:rPr>
          <w:rFonts w:hint="eastAsia" w:ascii="宋体" w:hAnsi="宋体"/>
          <w:color w:val="auto"/>
          <w:highlight w:val="none"/>
        </w:rPr>
        <w:t>供应商应认真阅读磋商文件的采购需求，如供应商对磋商文件有疑问的，如要求采购人作出澄清或者修改的，供应商尽可能在</w:t>
      </w:r>
      <w:r>
        <w:rPr>
          <w:rFonts w:ascii="宋体" w:hAnsi="宋体"/>
          <w:color w:val="auto"/>
          <w:highlight w:val="none"/>
        </w:rPr>
        <w:t>提交首次响应文件截止之日前</w:t>
      </w:r>
      <w:r>
        <w:rPr>
          <w:rFonts w:hint="eastAsia" w:ascii="宋体" w:hAnsi="宋体"/>
          <w:color w:val="auto"/>
          <w:highlight w:val="none"/>
        </w:rPr>
        <w:t>，以纸质书面形式向</w:t>
      </w:r>
      <w:r>
        <w:rPr>
          <w:rFonts w:ascii="宋体" w:hAnsi="宋体"/>
          <w:color w:val="auto"/>
          <w:highlight w:val="none"/>
        </w:rPr>
        <w:t>采购人、采购代理机构</w:t>
      </w:r>
      <w:r>
        <w:rPr>
          <w:rFonts w:hint="eastAsia" w:ascii="宋体" w:hAnsi="宋体"/>
          <w:color w:val="auto"/>
          <w:highlight w:val="none"/>
        </w:rPr>
        <w:t>提出</w:t>
      </w:r>
      <w:r>
        <w:rPr>
          <w:rFonts w:hint="eastAsia" w:ascii="宋体" w:hAnsi="宋体" w:cs="宋体"/>
          <w:color w:val="auto"/>
          <w:highlight w:val="none"/>
        </w:rPr>
        <w:t>，否则，由此产生的后果由供应商自行负责。</w:t>
      </w:r>
    </w:p>
    <w:p w14:paraId="1EF793FF">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10.磋商文件的澄清和修改</w:t>
      </w:r>
    </w:p>
    <w:p w14:paraId="5E3343EF">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10.1提交首次响应文件截止之日前，采购人、采购代理机构或者磋商小组可以对已发出的磋商文件进行必要的澄清或者修改，澄清或者修改的内容作为磋商文件的组成部分。澄清或者修改将在原公告发布媒体上发布更正公告。澄清或者修改的内容可能影响响应文件编制的，采购人、采购代理机构应当在提交首次响应文件截止时间至少</w:t>
      </w:r>
      <w:r>
        <w:rPr>
          <w:rFonts w:ascii="宋体" w:hAnsi="宋体" w:cs="宋体"/>
          <w:color w:val="auto"/>
          <w:highlight w:val="none"/>
        </w:rPr>
        <w:t>5</w:t>
      </w:r>
      <w:r>
        <w:rPr>
          <w:rFonts w:hint="eastAsia" w:ascii="宋体" w:hAnsi="宋体" w:cs="宋体"/>
          <w:color w:val="auto"/>
          <w:highlight w:val="none"/>
        </w:rPr>
        <w:t>日前，在原公告发布媒体上发布更正公告；不足</w:t>
      </w:r>
      <w:r>
        <w:rPr>
          <w:rFonts w:ascii="宋体" w:hAnsi="宋体" w:cs="宋体"/>
          <w:color w:val="auto"/>
          <w:highlight w:val="none"/>
        </w:rPr>
        <w:t>5</w:t>
      </w:r>
      <w:r>
        <w:rPr>
          <w:rFonts w:hint="eastAsia" w:ascii="宋体" w:hAnsi="宋体" w:cs="宋体"/>
          <w:color w:val="auto"/>
          <w:highlight w:val="none"/>
        </w:rPr>
        <w:t>日的，采购人、采购代理机构应当顺延提交首次响应文件截止时间。</w:t>
      </w:r>
    </w:p>
    <w:p w14:paraId="78E10734">
      <w:pPr>
        <w:spacing w:line="400" w:lineRule="exact"/>
        <w:ind w:firstLine="420" w:firstLineChars="200"/>
        <w:rPr>
          <w:rFonts w:ascii="宋体" w:hAnsi="宋体"/>
          <w:color w:val="auto"/>
          <w:highlight w:val="none"/>
        </w:rPr>
      </w:pPr>
      <w:r>
        <w:rPr>
          <w:rFonts w:hint="eastAsia" w:ascii="宋体" w:hAnsi="宋体" w:cs="宋体"/>
          <w:color w:val="auto"/>
          <w:highlight w:val="none"/>
        </w:rPr>
        <w:t>10.2采购人和采购代理机构可以视采购具体情况，变更首次响应文件提交截止时间和开启时间，</w:t>
      </w:r>
      <w:r>
        <w:rPr>
          <w:rFonts w:hint="eastAsia" w:ascii="宋体" w:hAnsi="宋体"/>
          <w:color w:val="auto"/>
          <w:highlight w:val="none"/>
        </w:rPr>
        <w:t>并在原公告发布媒体上发布更正公告。</w:t>
      </w:r>
    </w:p>
    <w:p w14:paraId="6F649616">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10.3磋商文件</w:t>
      </w:r>
      <w:r>
        <w:rPr>
          <w:rFonts w:hint="eastAsia" w:ascii="宋体" w:hAnsi="宋体"/>
          <w:color w:val="auto"/>
          <w:highlight w:val="none"/>
        </w:rPr>
        <w:t>澄清、答复、修改、补充的内容为</w:t>
      </w:r>
      <w:r>
        <w:rPr>
          <w:rFonts w:hint="eastAsia" w:ascii="宋体" w:hAnsi="宋体" w:cs="宋体"/>
          <w:color w:val="auto"/>
          <w:highlight w:val="none"/>
        </w:rPr>
        <w:t>磋商文件</w:t>
      </w:r>
      <w:r>
        <w:rPr>
          <w:rFonts w:hint="eastAsia" w:ascii="宋体" w:hAnsi="宋体"/>
          <w:color w:val="auto"/>
          <w:highlight w:val="none"/>
        </w:rPr>
        <w:t>的组成部分。</w:t>
      </w:r>
      <w:r>
        <w:rPr>
          <w:rFonts w:hint="eastAsia" w:ascii="宋体" w:hAnsi="宋体"/>
          <w:b/>
          <w:color w:val="auto"/>
          <w:highlight w:val="none"/>
        </w:rPr>
        <w:t>当</w:t>
      </w:r>
      <w:r>
        <w:rPr>
          <w:rFonts w:hint="eastAsia" w:ascii="宋体" w:hAnsi="宋体" w:cs="宋体"/>
          <w:b/>
          <w:color w:val="auto"/>
          <w:highlight w:val="none"/>
        </w:rPr>
        <w:t>磋商文件</w:t>
      </w:r>
      <w:r>
        <w:rPr>
          <w:rFonts w:hint="eastAsia" w:ascii="宋体" w:hAnsi="宋体"/>
          <w:b/>
          <w:color w:val="auto"/>
          <w:highlight w:val="none"/>
        </w:rPr>
        <w:t>与</w:t>
      </w:r>
      <w:r>
        <w:rPr>
          <w:rFonts w:hint="eastAsia" w:ascii="宋体" w:hAnsi="宋体" w:cs="宋体"/>
          <w:b/>
          <w:color w:val="auto"/>
          <w:highlight w:val="none"/>
        </w:rPr>
        <w:t>磋商文件</w:t>
      </w:r>
      <w:r>
        <w:rPr>
          <w:rFonts w:hint="eastAsia" w:ascii="宋体" w:hAnsi="宋体"/>
          <w:b/>
          <w:color w:val="auto"/>
          <w:highlight w:val="none"/>
        </w:rPr>
        <w:t>的澄清、答复、修改、补充通知就同一内容的表述不一致时，以最后发出的文件为准。</w:t>
      </w:r>
    </w:p>
    <w:p w14:paraId="6BFA4B88">
      <w:pPr>
        <w:spacing w:line="400" w:lineRule="exact"/>
        <w:ind w:firstLine="422" w:firstLineChars="200"/>
        <w:rPr>
          <w:rFonts w:ascii="宋体" w:hAnsi="宋体"/>
          <w:b/>
          <w:color w:val="auto"/>
          <w:highlight w:val="none"/>
        </w:rPr>
      </w:pPr>
      <w:r>
        <w:rPr>
          <w:rFonts w:hint="eastAsia" w:ascii="宋体" w:hAnsi="宋体" w:cs="宋体"/>
          <w:b/>
          <w:color w:val="auto"/>
          <w:highlight w:val="none"/>
        </w:rPr>
        <w:t>10.4</w:t>
      </w:r>
      <w:r>
        <w:rPr>
          <w:rFonts w:hint="eastAsia" w:ascii="宋体" w:hAnsi="宋体"/>
          <w:b/>
          <w:color w:val="auto"/>
          <w:highlight w:val="none"/>
        </w:rPr>
        <w:t>响应文件未按磋商文件的澄清、修改后的内容编制的，其响应文件作无效响应处理。</w:t>
      </w:r>
    </w:p>
    <w:p w14:paraId="141DB5B5">
      <w:pPr>
        <w:spacing w:line="400" w:lineRule="exact"/>
        <w:ind w:firstLine="422" w:firstLineChars="200"/>
        <w:rPr>
          <w:rFonts w:ascii="宋体" w:hAnsi="宋体"/>
          <w:b/>
          <w:color w:val="auto"/>
          <w:highlight w:val="none"/>
        </w:rPr>
      </w:pPr>
    </w:p>
    <w:p w14:paraId="682A8BE0">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三、响应文件的编制</w:t>
      </w:r>
    </w:p>
    <w:p w14:paraId="2C9B8AD6">
      <w:pPr>
        <w:spacing w:line="360" w:lineRule="auto"/>
        <w:ind w:firstLine="482" w:firstLineChars="200"/>
        <w:rPr>
          <w:rFonts w:ascii="黑体" w:hAnsi="黑体" w:eastAsia="黑体" w:cs="宋体"/>
          <w:b/>
          <w:bCs/>
          <w:color w:val="auto"/>
          <w:sz w:val="24"/>
          <w:highlight w:val="none"/>
        </w:rPr>
      </w:pPr>
    </w:p>
    <w:p w14:paraId="328106E6">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11.响应文件的编制原则</w:t>
      </w:r>
    </w:p>
    <w:p w14:paraId="08146DA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供应商必须按照磋商文件的要求编制响应文件，并对其提交的响应文件的真实性、合法性承担法律责任。响应文件必须对磋商文件作出实质性响应。</w:t>
      </w:r>
    </w:p>
    <w:p w14:paraId="70420BA0">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12.响应文件的组成</w:t>
      </w:r>
    </w:p>
    <w:p w14:paraId="1A71F68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12.1响应文件由资格证明文件、报价商务技术文件两部分组成。</w:t>
      </w:r>
    </w:p>
    <w:p w14:paraId="6F1B5B3A">
      <w:pPr>
        <w:spacing w:line="360" w:lineRule="auto"/>
        <w:ind w:left="840" w:leftChars="200" w:hanging="420" w:hangingChars="200"/>
        <w:rPr>
          <w:rFonts w:ascii="宋体" w:hAnsi="宋体" w:cs="宋体"/>
          <w:color w:val="auto"/>
          <w:highlight w:val="none"/>
        </w:rPr>
      </w:pPr>
      <w:r>
        <w:rPr>
          <w:rFonts w:hint="eastAsia" w:ascii="宋体" w:hAnsi="宋体" w:cs="宋体"/>
          <w:color w:val="auto"/>
          <w:highlight w:val="none"/>
        </w:rPr>
        <w:t>1</w:t>
      </w:r>
      <w:r>
        <w:rPr>
          <w:rFonts w:ascii="宋体" w:hAnsi="宋体" w:cs="宋体"/>
          <w:color w:val="auto"/>
          <w:highlight w:val="none"/>
        </w:rPr>
        <w:t>2.1.1</w:t>
      </w:r>
      <w:r>
        <w:rPr>
          <w:rFonts w:hint="eastAsia" w:ascii="宋体" w:hAnsi="宋体" w:cs="宋体"/>
          <w:color w:val="auto"/>
          <w:highlight w:val="none"/>
        </w:rPr>
        <w:t>资格证明文件：详见须知前附表</w:t>
      </w:r>
    </w:p>
    <w:p w14:paraId="3E41FB26">
      <w:pPr>
        <w:spacing w:line="360" w:lineRule="auto"/>
        <w:ind w:left="840" w:leftChars="200" w:hanging="420" w:hangingChars="200"/>
        <w:rPr>
          <w:rFonts w:ascii="宋体" w:hAnsi="宋体" w:cs="宋体"/>
          <w:color w:val="auto"/>
          <w:highlight w:val="none"/>
        </w:rPr>
      </w:pPr>
      <w:r>
        <w:rPr>
          <w:rFonts w:hint="eastAsia" w:ascii="宋体" w:hAnsi="宋体" w:cs="宋体"/>
          <w:color w:val="auto"/>
          <w:highlight w:val="none"/>
        </w:rPr>
        <w:t>1</w:t>
      </w:r>
      <w:r>
        <w:rPr>
          <w:rFonts w:ascii="宋体" w:hAnsi="宋体" w:cs="宋体"/>
          <w:color w:val="auto"/>
          <w:highlight w:val="none"/>
        </w:rPr>
        <w:t>2.1.2</w:t>
      </w:r>
      <w:r>
        <w:rPr>
          <w:rFonts w:hint="eastAsia" w:ascii="宋体" w:hAnsi="宋体" w:cs="宋体"/>
          <w:color w:val="auto"/>
          <w:highlight w:val="none"/>
        </w:rPr>
        <w:t>报价商务技术文件文件：详见须知前附表</w:t>
      </w:r>
    </w:p>
    <w:p w14:paraId="2EAB813E">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13.计量单位</w:t>
      </w:r>
    </w:p>
    <w:p w14:paraId="16F4E36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磋商文件已有明确规定的，使用磋商文件规定的计量单位；磋商文件没有规定的，应采用中华人民共和国法定计量单位，货币种类为人民币，否则视同未响应。</w:t>
      </w:r>
    </w:p>
    <w:p w14:paraId="6C9DE3AE">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14.竞标的风险</w:t>
      </w:r>
    </w:p>
    <w:p w14:paraId="4D82175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供应商没有按照磋商文件要求提供全部资料，或者供应商没有对磋商文件在各方面作出实质性响应可能导致其响应无效，是供应商应当考虑的风险。</w:t>
      </w:r>
    </w:p>
    <w:p w14:paraId="196D0CAA">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15.竞标报价</w:t>
      </w:r>
    </w:p>
    <w:p w14:paraId="51308697">
      <w:pPr>
        <w:tabs>
          <w:tab w:val="left" w:pos="2492"/>
        </w:tabs>
        <w:spacing w:line="360" w:lineRule="auto"/>
        <w:ind w:firstLine="420" w:firstLineChars="200"/>
        <w:rPr>
          <w:rFonts w:ascii="宋体" w:hAnsi="宋体" w:cs="宋体"/>
          <w:color w:val="auto"/>
          <w:highlight w:val="none"/>
        </w:rPr>
      </w:pPr>
      <w:r>
        <w:rPr>
          <w:rFonts w:hint="eastAsia" w:ascii="宋体" w:hAnsi="宋体" w:cs="宋体"/>
          <w:color w:val="auto"/>
          <w:highlight w:val="none"/>
        </w:rPr>
        <w:t>15.1竞标报价应按磋商文件中“竞标报价表”格式填写。</w:t>
      </w:r>
    </w:p>
    <w:p w14:paraId="31B76125">
      <w:pPr>
        <w:tabs>
          <w:tab w:val="left" w:pos="2492"/>
        </w:tabs>
        <w:spacing w:line="360" w:lineRule="auto"/>
        <w:ind w:firstLine="420" w:firstLineChars="200"/>
        <w:rPr>
          <w:rFonts w:ascii="宋体" w:hAnsi="宋体" w:cs="宋体"/>
          <w:color w:val="auto"/>
          <w:highlight w:val="none"/>
        </w:rPr>
      </w:pPr>
      <w:r>
        <w:rPr>
          <w:rFonts w:hint="eastAsia" w:ascii="宋体" w:hAnsi="宋体" w:cs="宋体"/>
          <w:color w:val="auto"/>
          <w:highlight w:val="none"/>
        </w:rPr>
        <w:t>15.2竞标报价的内容及要求见“供应商须知前附表”。</w:t>
      </w:r>
    </w:p>
    <w:p w14:paraId="780E6AA0">
      <w:pPr>
        <w:spacing w:line="360" w:lineRule="auto"/>
        <w:ind w:firstLine="422" w:firstLineChars="200"/>
        <w:rPr>
          <w:rFonts w:ascii="宋体" w:hAnsi="宋体" w:cs="宋体"/>
          <w:b/>
          <w:color w:val="auto"/>
          <w:highlight w:val="none"/>
        </w:rPr>
      </w:pPr>
      <w:r>
        <w:rPr>
          <w:rFonts w:hint="eastAsia" w:ascii="宋体" w:hAnsi="宋体" w:cs="宋体"/>
          <w:b/>
          <w:color w:val="auto"/>
          <w:highlight w:val="none"/>
        </w:rPr>
        <w:t>1</w:t>
      </w:r>
      <w:r>
        <w:rPr>
          <w:rFonts w:ascii="宋体" w:hAnsi="宋体" w:cs="宋体"/>
          <w:b/>
          <w:color w:val="auto"/>
          <w:highlight w:val="none"/>
        </w:rPr>
        <w:t>5.3.1</w:t>
      </w:r>
      <w:r>
        <w:rPr>
          <w:rFonts w:hint="eastAsia" w:ascii="宋体" w:hAnsi="宋体" w:cs="宋体"/>
          <w:b/>
          <w:color w:val="auto"/>
          <w:highlight w:val="none"/>
        </w:rPr>
        <w:t>供应商的竞标报价应符合以下要求，否则响应文件按无效响应处理：</w:t>
      </w:r>
    </w:p>
    <w:p w14:paraId="77E8A7A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（1）供应商必须就“采购需求”中所竞标的每个分标的全部内容分别作完整唯一总价报价，不得存在漏项报价；</w:t>
      </w:r>
    </w:p>
    <w:p w14:paraId="5B20EF9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）供应商必须就所竞标的分标的单项内容作唯一报价。</w:t>
      </w:r>
    </w:p>
    <w:p w14:paraId="73585D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15.3.</w:t>
      </w:r>
      <w:r>
        <w:rPr>
          <w:rFonts w:ascii="宋体" w:hAnsi="宋体" w:cs="宋体"/>
          <w:color w:val="auto"/>
          <w:highlight w:val="none"/>
        </w:rPr>
        <w:t>2</w:t>
      </w:r>
      <w:r>
        <w:rPr>
          <w:rFonts w:hint="eastAsia" w:ascii="宋体" w:hAnsi="宋体" w:cs="宋体"/>
          <w:color w:val="auto"/>
          <w:highlight w:val="none"/>
        </w:rPr>
        <w:t>最后报价超过所竞标分标规定的采购预算金额或者最高限价的，其响应文件将按无效响应处理。</w:t>
      </w:r>
      <w:bookmarkStart w:id="56" w:name="_Hlk42592874"/>
    </w:p>
    <w:bookmarkEnd w:id="56"/>
    <w:p w14:paraId="7A37B2C3">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16.竞标有效期</w:t>
      </w:r>
    </w:p>
    <w:p w14:paraId="427AAF7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16.1竞标有效期是指为保证采购人有足够的时间在提交响应文件后完成评审、确定成交供应商、合同签订等工作而要求供应商提交的响应文件在一定时间内保持有效的期限。</w:t>
      </w:r>
    </w:p>
    <w:p w14:paraId="0DD6F80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16.2 竞标有效期应由供应商按“供应商须知前附表”规定的期限作出响应。</w:t>
      </w:r>
    </w:p>
    <w:p w14:paraId="5D6B049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16.3供应商的响应文件在竞标有效期内均保持有效。</w:t>
      </w:r>
    </w:p>
    <w:p w14:paraId="73266776">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17.磋商保证金</w:t>
      </w:r>
    </w:p>
    <w:p w14:paraId="5CD85672">
      <w:pPr>
        <w:spacing w:line="360" w:lineRule="auto"/>
        <w:ind w:left="420" w:leftChars="200"/>
        <w:rPr>
          <w:rFonts w:ascii="宋体" w:hAnsi="宋体" w:cs="宋体"/>
          <w:color w:val="auto"/>
          <w:highlight w:val="none"/>
        </w:rPr>
      </w:pPr>
      <w:r>
        <w:rPr>
          <w:rFonts w:hint="eastAsia" w:ascii="宋体" w:hAnsi="宋体" w:cs="宋体"/>
          <w:color w:val="auto"/>
          <w:highlight w:val="none"/>
        </w:rPr>
        <w:t>17.1供应商须按“供应商须知前附表”的规定提交磋商保证金。</w:t>
      </w:r>
    </w:p>
    <w:p w14:paraId="2CFBA360">
      <w:pPr>
        <w:spacing w:line="360" w:lineRule="auto"/>
        <w:ind w:left="420" w:leftChars="200"/>
        <w:rPr>
          <w:rFonts w:ascii="宋体" w:hAnsi="宋体" w:cs="宋体"/>
          <w:color w:val="auto"/>
          <w:highlight w:val="none"/>
        </w:rPr>
      </w:pPr>
      <w:r>
        <w:rPr>
          <w:rFonts w:hint="eastAsia" w:ascii="宋体" w:hAnsi="宋体" w:cs="宋体"/>
          <w:color w:val="auto"/>
          <w:highlight w:val="none"/>
        </w:rPr>
        <w:t>17.2磋商保证金的退还</w:t>
      </w:r>
    </w:p>
    <w:p w14:paraId="6BED1E72">
      <w:pPr>
        <w:spacing w:line="360" w:lineRule="auto"/>
        <w:ind w:firstLine="420" w:firstLineChars="200"/>
        <w:rPr>
          <w:rFonts w:ascii="宋体" w:hAnsi="宋体" w:cs="宋体"/>
          <w:color w:val="auto"/>
          <w:highlight w:val="none"/>
        </w:rPr>
      </w:pPr>
      <w:bookmarkStart w:id="57" w:name="_Hlk66782243"/>
      <w:r>
        <w:rPr>
          <w:rFonts w:hint="eastAsia" w:ascii="宋体" w:hAnsi="宋体" w:cs="宋体"/>
          <w:color w:val="auto"/>
          <w:highlight w:val="none"/>
        </w:rPr>
        <w:t>未</w:t>
      </w:r>
      <w:r>
        <w:rPr>
          <w:rFonts w:hint="eastAsia" w:ascii="宋体" w:hAnsi="宋体" w:cs="宋体"/>
          <w:color w:val="auto"/>
          <w:spacing w:val="-6"/>
          <w:highlight w:val="none"/>
        </w:rPr>
        <w:t>成交供应商的磋商保证金自成交通知书发出之日起</w:t>
      </w:r>
      <w:r>
        <w:rPr>
          <w:rFonts w:ascii="宋体" w:hAnsi="宋体" w:cs="宋体"/>
          <w:color w:val="auto"/>
          <w:spacing w:val="-6"/>
          <w:highlight w:val="none"/>
        </w:rPr>
        <w:t>5</w:t>
      </w:r>
      <w:r>
        <w:rPr>
          <w:rFonts w:hint="eastAsia" w:ascii="宋体" w:hAnsi="宋体" w:cs="宋体"/>
          <w:color w:val="auto"/>
          <w:spacing w:val="-6"/>
          <w:highlight w:val="none"/>
        </w:rPr>
        <w:t>个工作日内退还；</w:t>
      </w:r>
      <w:r>
        <w:rPr>
          <w:rFonts w:hint="eastAsia" w:ascii="宋体" w:hAnsi="宋体" w:cs="宋体"/>
          <w:color w:val="auto"/>
          <w:highlight w:val="none"/>
        </w:rPr>
        <w:t>成交供应商的磋商保证金自签订合同之日起</w:t>
      </w:r>
      <w:r>
        <w:rPr>
          <w:rFonts w:ascii="宋体" w:hAnsi="宋体" w:cs="宋体"/>
          <w:color w:val="auto"/>
          <w:highlight w:val="none"/>
        </w:rPr>
        <w:t>5</w:t>
      </w:r>
      <w:r>
        <w:rPr>
          <w:rFonts w:hint="eastAsia" w:ascii="宋体" w:hAnsi="宋体" w:cs="宋体"/>
          <w:color w:val="auto"/>
          <w:highlight w:val="none"/>
        </w:rPr>
        <w:t>个工作日内退还。</w:t>
      </w:r>
      <w:bookmarkEnd w:id="57"/>
    </w:p>
    <w:p w14:paraId="7C36E03A">
      <w:pPr>
        <w:spacing w:line="360" w:lineRule="auto"/>
        <w:ind w:left="420" w:leftChars="200"/>
        <w:rPr>
          <w:rFonts w:ascii="宋体" w:hAnsi="宋体" w:cs="宋体"/>
          <w:color w:val="auto"/>
          <w:highlight w:val="none"/>
        </w:rPr>
      </w:pPr>
      <w:r>
        <w:rPr>
          <w:rFonts w:hint="eastAsia" w:ascii="宋体" w:hAnsi="宋体" w:cs="宋体"/>
          <w:color w:val="auto"/>
          <w:highlight w:val="none"/>
        </w:rPr>
        <w:t>17.3磋商保证金不计息。</w:t>
      </w:r>
    </w:p>
    <w:p w14:paraId="3A4D6030">
      <w:pPr>
        <w:spacing w:line="360" w:lineRule="auto"/>
        <w:ind w:left="420" w:leftChars="200"/>
        <w:rPr>
          <w:rFonts w:ascii="宋体" w:hAnsi="宋体" w:cs="宋体"/>
          <w:color w:val="auto"/>
          <w:highlight w:val="none"/>
        </w:rPr>
      </w:pPr>
      <w:r>
        <w:rPr>
          <w:rFonts w:hint="eastAsia" w:ascii="宋体" w:hAnsi="宋体" w:cs="宋体"/>
          <w:color w:val="auto"/>
          <w:highlight w:val="none"/>
        </w:rPr>
        <w:t xml:space="preserve">17.4供应商有下列情形之一的，磋商保证金将不予退还： </w:t>
      </w:r>
    </w:p>
    <w:p w14:paraId="6259CA08">
      <w:pPr>
        <w:spacing w:line="360" w:lineRule="auto"/>
        <w:ind w:left="420" w:leftChars="200"/>
        <w:rPr>
          <w:rFonts w:ascii="宋体" w:hAnsi="宋体" w:cs="宋体"/>
          <w:color w:val="auto"/>
          <w:highlight w:val="none"/>
        </w:rPr>
      </w:pPr>
      <w:r>
        <w:rPr>
          <w:rFonts w:hint="eastAsia" w:ascii="宋体" w:hAnsi="宋体" w:cs="宋体"/>
          <w:color w:val="auto"/>
          <w:highlight w:val="none"/>
        </w:rPr>
        <w:t>（1）供应商在提交首次响应文件截止时间后撤回响应文件的；</w:t>
      </w:r>
    </w:p>
    <w:p w14:paraId="5E64D229">
      <w:pPr>
        <w:spacing w:line="360" w:lineRule="auto"/>
        <w:ind w:left="420" w:leftChars="200"/>
        <w:rPr>
          <w:rFonts w:ascii="宋体" w:hAnsi="宋体" w:cs="宋体"/>
          <w:color w:val="auto"/>
          <w:highlight w:val="none"/>
        </w:rPr>
      </w:pPr>
      <w:r>
        <w:rPr>
          <w:rFonts w:hint="eastAsia" w:ascii="宋体" w:hAnsi="宋体"/>
          <w:color w:val="auto"/>
          <w:highlight w:val="none"/>
        </w:rPr>
        <w:t>（2）未按规定提交履约保证金的；</w:t>
      </w:r>
    </w:p>
    <w:p w14:paraId="3914D4A9">
      <w:pPr>
        <w:spacing w:line="360" w:lineRule="auto"/>
        <w:ind w:left="420" w:leftChars="200"/>
        <w:rPr>
          <w:rFonts w:ascii="宋体" w:hAnsi="宋体" w:cs="宋体"/>
          <w:color w:val="auto"/>
          <w:highlight w:val="none"/>
        </w:rPr>
      </w:pPr>
      <w:r>
        <w:rPr>
          <w:rFonts w:hint="eastAsia" w:ascii="宋体" w:hAnsi="宋体" w:cs="宋体"/>
          <w:color w:val="auto"/>
          <w:highlight w:val="none"/>
        </w:rPr>
        <w:t>（3）供应商在响应文件中提供虚假材料的；</w:t>
      </w:r>
    </w:p>
    <w:p w14:paraId="6C0BE1A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（4）除因不可抗力或者磋商文件认可的情形以外，成交供应商不与采购人签订合同的；</w:t>
      </w:r>
    </w:p>
    <w:p w14:paraId="17CAB939">
      <w:pPr>
        <w:spacing w:line="360" w:lineRule="auto"/>
        <w:ind w:left="420" w:leftChars="200"/>
        <w:rPr>
          <w:rFonts w:ascii="宋体" w:hAnsi="宋体" w:cs="宋体"/>
          <w:color w:val="auto"/>
          <w:highlight w:val="none"/>
        </w:rPr>
      </w:pPr>
      <w:r>
        <w:rPr>
          <w:rFonts w:hint="eastAsia" w:ascii="宋体" w:hAnsi="宋体" w:cs="宋体"/>
          <w:color w:val="auto"/>
          <w:highlight w:val="none"/>
        </w:rPr>
        <w:t>（5）供应商与采购人、其他供应商或者采购代理机构恶意串通的；</w:t>
      </w:r>
    </w:p>
    <w:p w14:paraId="2A4F0D30">
      <w:pPr>
        <w:spacing w:line="360" w:lineRule="auto"/>
        <w:ind w:left="420" w:leftChars="200"/>
        <w:rPr>
          <w:rFonts w:ascii="宋体" w:hAnsi="宋体" w:cs="宋体"/>
          <w:color w:val="auto"/>
          <w:highlight w:val="none"/>
        </w:rPr>
      </w:pPr>
      <w:r>
        <w:rPr>
          <w:rFonts w:hint="eastAsia" w:ascii="宋体" w:hAnsi="宋体" w:cs="宋体"/>
          <w:color w:val="auto"/>
          <w:highlight w:val="none"/>
        </w:rPr>
        <w:t>（6）法律法规规定的其他情形。</w:t>
      </w:r>
    </w:p>
    <w:p w14:paraId="44C32FA9">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18.响应文件编制的要求</w:t>
      </w:r>
    </w:p>
    <w:p w14:paraId="4C65FE1E">
      <w:pPr>
        <w:spacing w:line="360" w:lineRule="auto"/>
        <w:ind w:firstLine="420" w:firstLineChars="200"/>
        <w:rPr>
          <w:rFonts w:ascii="宋体" w:hAnsi="宋体" w:cs="宋体"/>
          <w:color w:val="auto"/>
          <w:spacing w:val="-6"/>
          <w:highlight w:val="none"/>
        </w:rPr>
      </w:pPr>
      <w:r>
        <w:rPr>
          <w:rFonts w:hint="eastAsia" w:ascii="宋体" w:hAnsi="宋体" w:cs="宋体"/>
          <w:color w:val="auto"/>
          <w:highlight w:val="none"/>
        </w:rPr>
        <w:t>18.1供应商应按本磋商文件规定的格式和顺序编制响应文件并标注页码，响应文件内容</w:t>
      </w:r>
      <w:r>
        <w:rPr>
          <w:rFonts w:hint="eastAsia" w:ascii="宋体" w:hAnsi="宋体" w:cs="宋体"/>
          <w:color w:val="auto"/>
          <w:spacing w:val="-6"/>
          <w:highlight w:val="none"/>
        </w:rPr>
        <w:t>不完整、编排混乱导致响应文件被误读、漏读或者查找不到相关内容的，</w:t>
      </w:r>
      <w:r>
        <w:rPr>
          <w:rFonts w:hint="eastAsia" w:ascii="宋体" w:hAnsi="宋体"/>
          <w:color w:val="auto"/>
          <w:highlight w:val="none"/>
        </w:rPr>
        <w:t>由此引发的</w:t>
      </w:r>
      <w:r>
        <w:rPr>
          <w:rFonts w:hint="eastAsia" w:ascii="宋体" w:hAnsi="宋体" w:cs="宋体"/>
          <w:color w:val="auto"/>
          <w:spacing w:val="-6"/>
          <w:highlight w:val="none"/>
        </w:rPr>
        <w:t>后果由供应商承担。</w:t>
      </w:r>
    </w:p>
    <w:p w14:paraId="30CB00B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18.2响应文件应按资格证明文件、报价商务技术文件分别编制电子文件，并按</w:t>
      </w:r>
      <w:r>
        <w:rPr>
          <w:rFonts w:hint="eastAsia" w:ascii="宋体" w:hAnsi="宋体" w:cs="宋体"/>
          <w:bCs/>
          <w:color w:val="auto"/>
          <w:kern w:val="0"/>
          <w:highlight w:val="none"/>
        </w:rPr>
        <w:t>广西政府采购云平台</w:t>
      </w:r>
      <w:r>
        <w:rPr>
          <w:rFonts w:hint="eastAsia" w:ascii="宋体" w:hAnsi="宋体" w:cs="宋体"/>
          <w:color w:val="auto"/>
          <w:highlight w:val="none"/>
        </w:rPr>
        <w:t>的要求编制、加密、上传。</w:t>
      </w:r>
    </w:p>
    <w:p w14:paraId="43336FB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18.</w:t>
      </w:r>
      <w:bookmarkStart w:id="58" w:name="_Hlk65832699"/>
      <w:r>
        <w:rPr>
          <w:rFonts w:hint="eastAsia" w:ascii="宋体" w:hAnsi="宋体" w:cs="宋体"/>
          <w:color w:val="auto"/>
          <w:highlight w:val="none"/>
        </w:rPr>
        <w:t>3</w:t>
      </w:r>
      <w:r>
        <w:rPr>
          <w:rFonts w:hint="eastAsia" w:ascii="宋体" w:hAnsi="宋体"/>
          <w:color w:val="auto"/>
          <w:highlight w:val="none"/>
        </w:rPr>
        <w:t>响应文件须由供应商在规定位置盖公章并签字</w:t>
      </w:r>
      <w:bookmarkStart w:id="59" w:name="_Hlk65832569"/>
      <w:r>
        <w:rPr>
          <w:rFonts w:hint="eastAsia" w:ascii="宋体" w:hAnsi="宋体"/>
          <w:color w:val="auto"/>
          <w:highlight w:val="none"/>
        </w:rPr>
        <w:t>（具体以供应商须知前附表或响应文件格式规定为准）</w:t>
      </w:r>
      <w:bookmarkEnd w:id="58"/>
      <w:bookmarkEnd w:id="59"/>
      <w:r>
        <w:rPr>
          <w:rFonts w:hint="eastAsia" w:ascii="宋体" w:hAnsi="宋体" w:cs="宋体"/>
          <w:color w:val="auto"/>
          <w:highlight w:val="none"/>
        </w:rPr>
        <w:t>，否则其响应文件按无效响应处理。</w:t>
      </w:r>
    </w:p>
    <w:p w14:paraId="2D5917B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18.4响应文件成交的供应商名称应与营业执照（事业单位法人证书、执业许可证、自然人身份证）及公章一致，否则其响应文件按无效响应处理。</w:t>
      </w:r>
    </w:p>
    <w:p w14:paraId="02078D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18.5响应文件应尽量避免涂改、行间插字或者删除。如果出现上述情况，改动之处应由供应商的法定代表人或者其委托代理人签字或者加盖公章。响应文件因涂改、行间插字或者删除导致字迹潦草或者表达不清所引起的后果由供应商承担。</w:t>
      </w:r>
    </w:p>
    <w:p w14:paraId="444406CC">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19.响应文件的加密、解密</w:t>
      </w:r>
    </w:p>
    <w:p w14:paraId="2E19A620">
      <w:pPr>
        <w:spacing w:line="360" w:lineRule="auto"/>
        <w:ind w:firstLine="420" w:firstLineChars="200"/>
        <w:rPr>
          <w:rFonts w:ascii="宋体" w:hAnsi="宋体" w:cs="宋体"/>
          <w:color w:val="auto"/>
          <w:highlight w:val="none"/>
        </w:rPr>
      </w:pPr>
      <w:r>
        <w:rPr>
          <w:rFonts w:hint="eastAsia" w:ascii="宋体" w:hAnsi="宋体"/>
          <w:color w:val="auto"/>
          <w:highlight w:val="none"/>
        </w:rPr>
        <w:t>19.1电子</w:t>
      </w:r>
      <w:r>
        <w:rPr>
          <w:rFonts w:hint="eastAsia" w:ascii="宋体" w:hAnsi="宋体" w:cs="宋体"/>
          <w:color w:val="auto"/>
          <w:highlight w:val="none"/>
        </w:rPr>
        <w:t>响应文件</w:t>
      </w:r>
      <w:r>
        <w:rPr>
          <w:rFonts w:hint="eastAsia" w:ascii="宋体" w:hAnsi="宋体"/>
          <w:color w:val="auto"/>
          <w:highlight w:val="none"/>
        </w:rPr>
        <w:t>编制完成后，供应商应按</w:t>
      </w:r>
      <w:r>
        <w:rPr>
          <w:rFonts w:hint="eastAsia" w:ascii="宋体" w:hAnsi="宋体" w:cs="宋体"/>
          <w:bCs/>
          <w:color w:val="auto"/>
          <w:kern w:val="0"/>
          <w:highlight w:val="none"/>
        </w:rPr>
        <w:t>广西政府采购云平台</w:t>
      </w:r>
      <w:r>
        <w:rPr>
          <w:rFonts w:hint="eastAsia" w:ascii="宋体" w:hAnsi="宋体"/>
          <w:color w:val="auto"/>
          <w:highlight w:val="none"/>
        </w:rPr>
        <w:t>的要求进行加密，并在规定时间内解密，否则，由此产生的后果由供应商自行负责。</w:t>
      </w:r>
    </w:p>
    <w:p w14:paraId="47E3A62A">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20.响应文件的提交</w:t>
      </w:r>
    </w:p>
    <w:p w14:paraId="2342BBF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20.1供应商必须在“供应商须知前附表”规定的时间和地点提交响应文件。</w:t>
      </w:r>
    </w:p>
    <w:p w14:paraId="2D0BD6EE">
      <w:pPr>
        <w:widowControl/>
        <w:spacing w:line="360" w:lineRule="auto"/>
        <w:ind w:firstLine="420" w:firstLineChars="200"/>
        <w:rPr>
          <w:rFonts w:ascii="宋体" w:hAnsi="宋体" w:cs="宋体"/>
          <w:b/>
          <w:color w:val="auto"/>
          <w:highlight w:val="none"/>
        </w:rPr>
      </w:pPr>
      <w:r>
        <w:rPr>
          <w:rFonts w:hint="eastAsia" w:ascii="宋体" w:hAnsi="宋体" w:cs="宋体"/>
          <w:color w:val="auto"/>
          <w:highlight w:val="none"/>
        </w:rPr>
        <w:t>20.2本项目为全流程电子化政府采购项目，通过</w:t>
      </w:r>
      <w:r>
        <w:rPr>
          <w:rFonts w:hint="eastAsia" w:ascii="宋体" w:hAnsi="宋体" w:cs="宋体"/>
          <w:bCs/>
          <w:color w:val="auto"/>
          <w:kern w:val="0"/>
          <w:highlight w:val="none"/>
        </w:rPr>
        <w:t>广西政府采购云平台</w:t>
      </w:r>
      <w:r>
        <w:rPr>
          <w:rFonts w:hint="eastAsia" w:ascii="宋体" w:hAnsi="宋体" w:cs="宋体"/>
          <w:color w:val="auto"/>
          <w:highlight w:val="none"/>
        </w:rPr>
        <w:t>实行在线电子竞标，供应商应先安装“</w:t>
      </w:r>
      <w:r>
        <w:rPr>
          <w:rFonts w:hint="eastAsia" w:ascii="宋体" w:hAnsi="宋体" w:cs="宋体"/>
          <w:bCs/>
          <w:color w:val="auto"/>
          <w:kern w:val="0"/>
          <w:highlight w:val="none"/>
        </w:rPr>
        <w:t>广西政府采购云平台</w:t>
      </w:r>
      <w:r>
        <w:rPr>
          <w:rFonts w:hint="eastAsia" w:ascii="宋体" w:hAnsi="宋体" w:cs="宋体"/>
          <w:color w:val="auto"/>
          <w:highlight w:val="none"/>
        </w:rPr>
        <w:t>电子交易客户端”（请自行前往</w:t>
      </w:r>
      <w:r>
        <w:rPr>
          <w:rFonts w:hint="eastAsia" w:ascii="宋体" w:hAnsi="宋体" w:cs="宋体"/>
          <w:bCs/>
          <w:color w:val="auto"/>
          <w:kern w:val="0"/>
          <w:highlight w:val="none"/>
        </w:rPr>
        <w:t>广西政府采购云平台</w:t>
      </w:r>
      <w:r>
        <w:rPr>
          <w:rFonts w:hint="eastAsia" w:ascii="宋体" w:hAnsi="宋体" w:cs="宋体"/>
          <w:color w:val="auto"/>
          <w:highlight w:val="none"/>
        </w:rPr>
        <w:t>进行下载），并按照本项目竞争性磋商文件和</w:t>
      </w:r>
      <w:r>
        <w:rPr>
          <w:rFonts w:hint="eastAsia" w:ascii="宋体" w:hAnsi="宋体" w:cs="宋体"/>
          <w:bCs/>
          <w:color w:val="auto"/>
          <w:kern w:val="0"/>
          <w:highlight w:val="none"/>
        </w:rPr>
        <w:t>广西政府采购云平台</w:t>
      </w:r>
      <w:r>
        <w:rPr>
          <w:rFonts w:hint="eastAsia" w:ascii="宋体" w:hAnsi="宋体" w:cs="宋体"/>
          <w:color w:val="auto"/>
          <w:highlight w:val="none"/>
        </w:rPr>
        <w:t>的要求编制、加密后在首次响应文件提交截止时间前通过网络上传至</w:t>
      </w:r>
      <w:r>
        <w:rPr>
          <w:rFonts w:hint="eastAsia" w:ascii="宋体" w:hAnsi="宋体" w:cs="宋体"/>
          <w:bCs/>
          <w:color w:val="auto"/>
          <w:kern w:val="0"/>
          <w:highlight w:val="none"/>
        </w:rPr>
        <w:t>广西政府采购云平台</w:t>
      </w:r>
      <w:r>
        <w:rPr>
          <w:rFonts w:hint="eastAsia" w:ascii="宋体" w:hAnsi="宋体" w:cs="宋体"/>
          <w:color w:val="auto"/>
          <w:highlight w:val="none"/>
        </w:rPr>
        <w:t>，</w:t>
      </w:r>
      <w:r>
        <w:rPr>
          <w:rFonts w:hint="eastAsia" w:ascii="宋体" w:hAnsi="宋体" w:cs="宋体"/>
          <w:b/>
          <w:color w:val="auto"/>
          <w:highlight w:val="none"/>
        </w:rPr>
        <w:t>供应商在广西政府采购云平台提交电子版响应文件时，请填写参加远程开标活动经办人联系方式。</w:t>
      </w:r>
    </w:p>
    <w:p w14:paraId="0A354960">
      <w:pPr>
        <w:pStyle w:val="6"/>
        <w:keepNext w:val="0"/>
        <w:keepLines w:val="0"/>
        <w:spacing w:before="0" w:after="0" w:line="360" w:lineRule="auto"/>
        <w:ind w:firstLine="420" w:firstLineChars="200"/>
        <w:jc w:val="left"/>
        <w:rPr>
          <w:rFonts w:ascii="宋体" w:hAnsi="宋体"/>
          <w:b w:val="0"/>
          <w:color w:val="auto"/>
          <w:sz w:val="21"/>
          <w:szCs w:val="21"/>
          <w:highlight w:val="none"/>
        </w:rPr>
      </w:pPr>
      <w:r>
        <w:rPr>
          <w:rFonts w:hint="eastAsia" w:ascii="宋体" w:hAnsi="宋体"/>
          <w:b w:val="0"/>
          <w:color w:val="auto"/>
          <w:sz w:val="21"/>
          <w:szCs w:val="21"/>
          <w:highlight w:val="none"/>
        </w:rPr>
        <w:t>20.3未在规定时间内上传或者未按</w:t>
      </w:r>
      <w:r>
        <w:rPr>
          <w:rFonts w:hint="eastAsia" w:ascii="宋体" w:hAnsi="宋体" w:cs="宋体"/>
          <w:b w:val="0"/>
          <w:color w:val="auto"/>
          <w:kern w:val="2"/>
          <w:sz w:val="21"/>
          <w:szCs w:val="21"/>
          <w:highlight w:val="none"/>
        </w:rPr>
        <w:t>广西政府采购云平台</w:t>
      </w:r>
      <w:r>
        <w:rPr>
          <w:rFonts w:hint="eastAsia" w:ascii="宋体" w:hAnsi="宋体"/>
          <w:b w:val="0"/>
          <w:color w:val="auto"/>
          <w:sz w:val="21"/>
          <w:szCs w:val="21"/>
          <w:highlight w:val="none"/>
        </w:rPr>
        <w:t>的要求编制、加密的电子响应文件，</w:t>
      </w:r>
      <w:r>
        <w:rPr>
          <w:rFonts w:hint="eastAsia" w:ascii="宋体" w:hAnsi="宋体" w:cs="宋体"/>
          <w:b w:val="0"/>
          <w:color w:val="auto"/>
          <w:kern w:val="2"/>
          <w:sz w:val="21"/>
          <w:szCs w:val="21"/>
          <w:highlight w:val="none"/>
        </w:rPr>
        <w:t>广西政府采购云平台</w:t>
      </w:r>
      <w:r>
        <w:rPr>
          <w:rFonts w:hint="eastAsia" w:ascii="宋体" w:hAnsi="宋体"/>
          <w:b w:val="0"/>
          <w:color w:val="auto"/>
          <w:sz w:val="21"/>
          <w:szCs w:val="21"/>
          <w:highlight w:val="none"/>
        </w:rPr>
        <w:t>将拒收。</w:t>
      </w:r>
    </w:p>
    <w:p w14:paraId="4804F0B6">
      <w:pPr>
        <w:pStyle w:val="7"/>
        <w:rPr>
          <w:rFonts w:ascii="宋体" w:hAnsi="宋体" w:cs="宋体"/>
          <w:color w:val="auto"/>
          <w:sz w:val="21"/>
          <w:szCs w:val="21"/>
          <w:highlight w:val="none"/>
        </w:rPr>
      </w:pPr>
      <w:r>
        <w:rPr>
          <w:rFonts w:hint="eastAsia" w:ascii="宋体" w:hAnsi="宋体"/>
          <w:color w:val="auto"/>
          <w:sz w:val="21"/>
          <w:szCs w:val="21"/>
          <w:highlight w:val="none"/>
        </w:rPr>
        <w:t>20.4电子</w:t>
      </w:r>
      <w:r>
        <w:rPr>
          <w:rFonts w:hint="eastAsia" w:ascii="宋体" w:hAnsi="宋体" w:cs="宋体"/>
          <w:color w:val="auto"/>
          <w:sz w:val="21"/>
          <w:szCs w:val="21"/>
          <w:highlight w:val="none"/>
        </w:rPr>
        <w:t>响应文件</w:t>
      </w:r>
      <w:r>
        <w:rPr>
          <w:rFonts w:hint="eastAsia" w:ascii="宋体" w:hAnsi="宋体"/>
          <w:color w:val="auto"/>
          <w:sz w:val="21"/>
          <w:szCs w:val="21"/>
          <w:highlight w:val="none"/>
        </w:rPr>
        <w:t>提交方</w:t>
      </w:r>
      <w:r>
        <w:rPr>
          <w:rFonts w:hint="eastAsia" w:ascii="宋体" w:hAnsi="宋体"/>
          <w:bCs/>
          <w:color w:val="auto"/>
          <w:sz w:val="21"/>
          <w:szCs w:val="21"/>
          <w:highlight w:val="none"/>
        </w:rPr>
        <w:t>式见“竞争性磋商公告”</w:t>
      </w:r>
      <w:r>
        <w:rPr>
          <w:rFonts w:hint="eastAsia" w:ascii="宋体" w:hAnsi="宋体"/>
          <w:color w:val="auto"/>
          <w:sz w:val="21"/>
          <w:szCs w:val="21"/>
          <w:highlight w:val="none"/>
        </w:rPr>
        <w:t>中“四、响应文件提交”。</w:t>
      </w:r>
    </w:p>
    <w:p w14:paraId="66258ADC">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21.首次响应文件的补充、修改与撤回</w:t>
      </w:r>
    </w:p>
    <w:p w14:paraId="56CA835C">
      <w:pPr>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21.1供应商应当在首次响应文件提交截止时间前完成电子响应文件的上传、递交，首次响应文件提交截止时间前可以补充、修改或者撤回响应文件。补充或者修改响应文件的，应当先行撤回原文件，补充、修改后重新上传、递交。首次响应文件提交截止时间前未完成上传、递交的，视为撤回响应文件。首次响应文件提交截止时间以后上传递交的响应文件，</w:t>
      </w:r>
      <w:r>
        <w:rPr>
          <w:rFonts w:hint="eastAsia" w:ascii="宋体" w:hAnsi="宋体" w:cs="宋体"/>
          <w:color w:val="auto"/>
          <w:highlight w:val="none"/>
        </w:rPr>
        <w:t>广西政府采购云平台</w:t>
      </w:r>
      <w:r>
        <w:rPr>
          <w:rFonts w:hint="eastAsia" w:ascii="宋体" w:hAnsi="宋体" w:cs="宋体"/>
          <w:bCs/>
          <w:color w:val="auto"/>
          <w:highlight w:val="none"/>
        </w:rPr>
        <w:t>将予以拒收。</w:t>
      </w:r>
    </w:p>
    <w:p w14:paraId="21CC431B">
      <w:pPr>
        <w:spacing w:line="360" w:lineRule="auto"/>
        <w:ind w:firstLine="482" w:firstLineChars="200"/>
        <w:rPr>
          <w:rFonts w:ascii="黑体" w:hAnsi="黑体" w:eastAsia="黑体" w:cs="宋体"/>
          <w:b/>
          <w:bCs/>
          <w:color w:val="auto"/>
          <w:sz w:val="24"/>
          <w:highlight w:val="none"/>
        </w:rPr>
      </w:pPr>
      <w:bookmarkStart w:id="60" w:name="_Hlk45702405"/>
      <w:r>
        <w:rPr>
          <w:rFonts w:hint="eastAsia" w:ascii="黑体" w:hAnsi="黑体" w:eastAsia="黑体" w:cs="宋体"/>
          <w:b/>
          <w:bCs/>
          <w:color w:val="auto"/>
          <w:sz w:val="24"/>
          <w:highlight w:val="none"/>
        </w:rPr>
        <w:t>22. 首次响应文件的退回</w:t>
      </w:r>
    </w:p>
    <w:p w14:paraId="7023056F">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22.1在首次响应文件提交截止时间止提交响应文件的供应商不足3家时，</w:t>
      </w:r>
      <w:r>
        <w:rPr>
          <w:rFonts w:hint="eastAsia" w:ascii="宋体" w:hAnsi="宋体"/>
          <w:color w:val="auto"/>
          <w:highlight w:val="none"/>
        </w:rPr>
        <w:t>采购代理机构将根据</w:t>
      </w:r>
      <w:r>
        <w:rPr>
          <w:rFonts w:hint="eastAsia" w:ascii="宋体" w:hAnsi="宋体" w:cs="宋体"/>
          <w:color w:val="auto"/>
          <w:highlight w:val="none"/>
        </w:rPr>
        <w:t>广西政府采购云平台</w:t>
      </w:r>
      <w:r>
        <w:rPr>
          <w:rFonts w:hint="eastAsia" w:ascii="宋体" w:hAnsi="宋体"/>
          <w:color w:val="auto"/>
          <w:highlight w:val="none"/>
        </w:rPr>
        <w:t>的操作将电子版响应文件退回，</w:t>
      </w:r>
      <w:r>
        <w:rPr>
          <w:rFonts w:hint="eastAsia" w:ascii="宋体" w:hAnsi="宋体" w:cs="宋体"/>
          <w:color w:val="auto"/>
          <w:highlight w:val="none"/>
        </w:rPr>
        <w:t>除此之外采购人和采购代理机构对已提交的电子响应文件概不退回。</w:t>
      </w:r>
    </w:p>
    <w:p w14:paraId="600EF9EA">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23. 截止时间后的撤回</w:t>
      </w:r>
    </w:p>
    <w:p w14:paraId="7E0E176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23.1供应商在首次响应文件提交截止时间后书面通知采购人、采购代理机构书面撤回响应文件的，将根据本须知正文17.4的规定不予退还其磋商保证金。</w:t>
      </w:r>
    </w:p>
    <w:bookmarkEnd w:id="60"/>
    <w:p w14:paraId="6916FE52">
      <w:pPr>
        <w:spacing w:line="360" w:lineRule="auto"/>
        <w:rPr>
          <w:rFonts w:ascii="宋体" w:hAnsi="宋体"/>
          <w:color w:val="auto"/>
          <w:highlight w:val="none"/>
        </w:rPr>
      </w:pPr>
    </w:p>
    <w:p w14:paraId="68F78A92">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四、评审及磋商</w:t>
      </w:r>
    </w:p>
    <w:p w14:paraId="24C63D8A">
      <w:pPr>
        <w:spacing w:line="360" w:lineRule="auto"/>
        <w:ind w:firstLine="482" w:firstLineChars="200"/>
        <w:rPr>
          <w:rFonts w:ascii="黑体" w:hAnsi="黑体" w:eastAsia="黑体" w:cs="宋体"/>
          <w:b/>
          <w:bCs/>
          <w:color w:val="auto"/>
          <w:sz w:val="24"/>
          <w:highlight w:val="none"/>
        </w:rPr>
      </w:pPr>
    </w:p>
    <w:p w14:paraId="022E3CAD">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24.磋商小组成立</w:t>
      </w:r>
    </w:p>
    <w:p w14:paraId="500C04A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24.1磋商小组由采购人代表和评审专家共3人以上单数组成，具体人数见“供应商须知前附表”，其中评审专家人数不得少于磋商小组成员总数的2/3。采购人代表不得以评审专家身份参加本部门或者本单位采购项目的评审。采购代理机构人员不得参加本机构代理的采购项目的评审。达到公开招标数额标准的货物或者服务采购项目，或者达到公开招标规模标准的政府采购工程，经批准采用竞争性磋商方式采购的，磋商小组由5人以上单数组成。</w:t>
      </w:r>
    </w:p>
    <w:p w14:paraId="17A1CE2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24.2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1名法律专家。</w:t>
      </w:r>
    </w:p>
    <w:p w14:paraId="398C7BAF">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25.</w:t>
      </w:r>
      <w:r>
        <w:rPr>
          <w:rFonts w:hint="eastAsia" w:ascii="黑体" w:hAnsi="黑体" w:eastAsia="黑体" w:cs="宋体"/>
          <w:b/>
          <w:bCs/>
          <w:color w:val="auto"/>
          <w:sz w:val="24"/>
          <w:highlight w:val="none"/>
        </w:rPr>
        <w:t>首次响应文件的开启</w:t>
      </w:r>
    </w:p>
    <w:p w14:paraId="35515BD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25.1首次响应文件由磋商小组或者采购代理机构在“供应商须知前附表”规定的时间开启。</w:t>
      </w:r>
    </w:p>
    <w:p w14:paraId="681E45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25.2 响应文件解密：采购代理机构将在“供应商须知前附表”规定的时间通过电子交易平台组织响应文件开启，采购代理机构将依托电子交易平台发起开始解密指令，</w:t>
      </w:r>
      <w:r>
        <w:rPr>
          <w:rFonts w:hint="eastAsia" w:ascii="宋体" w:hAnsi="宋体" w:cs="宋体"/>
          <w:b/>
          <w:color w:val="auto"/>
          <w:highlight w:val="none"/>
        </w:rPr>
        <w:t>供应商的法定代表人或其委托代理人须携带加密时所用的CA锁按平台提示和采购文件的规定登录到广西政府采购云平</w:t>
      </w:r>
      <w:r>
        <w:rPr>
          <w:rFonts w:hint="eastAsia" w:ascii="宋体" w:hAnsi="宋体" w:cs="宋体"/>
          <w:color w:val="auto"/>
          <w:highlight w:val="none"/>
        </w:rPr>
        <w:t>台</w:t>
      </w:r>
      <w:r>
        <w:rPr>
          <w:rFonts w:hint="eastAsia" w:ascii="宋体" w:hAnsi="宋体" w:cs="宋体"/>
          <w:b/>
          <w:color w:val="auto"/>
          <w:highlight w:val="none"/>
        </w:rPr>
        <w:t>电子开标大厅签到并在发起解密指令之时起30分钟内完成对电子响应文件在线解密。</w:t>
      </w:r>
      <w:r>
        <w:rPr>
          <w:rFonts w:hint="eastAsia" w:ascii="宋体" w:hAnsi="宋体"/>
          <w:b/>
          <w:bCs/>
          <w:color w:val="auto"/>
          <w:highlight w:val="none"/>
        </w:rPr>
        <w:t>响应文件未按时解密的，</w:t>
      </w:r>
      <w:r>
        <w:rPr>
          <w:rFonts w:hint="eastAsia" w:ascii="宋体" w:hAnsi="宋体" w:cs="宋体"/>
          <w:b/>
          <w:color w:val="auto"/>
          <w:highlight w:val="none"/>
        </w:rPr>
        <w:t>视为响应</w:t>
      </w:r>
      <w:r>
        <w:rPr>
          <w:rFonts w:hint="eastAsia" w:ascii="宋体" w:hAnsi="宋体"/>
          <w:b/>
          <w:bCs/>
          <w:color w:val="auto"/>
          <w:highlight w:val="none"/>
        </w:rPr>
        <w:t>文件无效。</w:t>
      </w:r>
      <w:r>
        <w:rPr>
          <w:rFonts w:hint="eastAsia" w:ascii="宋体" w:hAnsi="宋体" w:cs="宋体"/>
          <w:color w:val="auto"/>
          <w:highlight w:val="none"/>
        </w:rPr>
        <w:t>（解密异常情况处理：详见本章26.2电子交易活动的中止。）</w:t>
      </w:r>
    </w:p>
    <w:p w14:paraId="6C393D6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25.3成功解密响应文件的供应商不足3家的，不得磋商。</w:t>
      </w:r>
    </w:p>
    <w:p w14:paraId="19E7EF2A">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26</w:t>
      </w:r>
      <w:r>
        <w:rPr>
          <w:rFonts w:hint="eastAsia" w:ascii="黑体" w:hAnsi="黑体" w:eastAsia="黑体" w:cs="宋体"/>
          <w:b/>
          <w:bCs/>
          <w:color w:val="auto"/>
          <w:sz w:val="24"/>
          <w:highlight w:val="none"/>
        </w:rPr>
        <w:t>.评审程序、评审方法和评审标准</w:t>
      </w:r>
    </w:p>
    <w:p w14:paraId="7867F6D0">
      <w:pPr>
        <w:spacing w:line="360" w:lineRule="auto"/>
        <w:ind w:firstLine="420" w:firstLineChars="200"/>
        <w:rPr>
          <w:rFonts w:ascii="宋体" w:hAnsi="宋体" w:cs="宋体"/>
          <w:color w:val="auto"/>
          <w:highlight w:val="none"/>
        </w:rPr>
      </w:pPr>
      <w:r>
        <w:rPr>
          <w:rFonts w:ascii="宋体" w:hAnsi="宋体" w:cs="宋体"/>
          <w:color w:val="auto"/>
          <w:highlight w:val="none"/>
        </w:rPr>
        <w:t>26.</w:t>
      </w:r>
      <w:r>
        <w:rPr>
          <w:rFonts w:hint="eastAsia" w:ascii="宋体" w:hAnsi="宋体" w:cs="宋体"/>
          <w:color w:val="auto"/>
          <w:highlight w:val="none"/>
        </w:rPr>
        <w:t>1磋商小组</w:t>
      </w:r>
      <w:r>
        <w:rPr>
          <w:rFonts w:ascii="宋体" w:hAnsi="宋体" w:cs="宋体"/>
          <w:color w:val="auto"/>
          <w:highlight w:val="none"/>
        </w:rPr>
        <w:t>按照</w:t>
      </w:r>
      <w:r>
        <w:rPr>
          <w:rFonts w:hint="eastAsia" w:ascii="宋体" w:hAnsi="宋体" w:cs="宋体"/>
          <w:color w:val="auto"/>
          <w:highlight w:val="none"/>
        </w:rPr>
        <w:t>“第四章 评审程序、评审方法和评审标准”</w:t>
      </w:r>
      <w:r>
        <w:rPr>
          <w:rFonts w:ascii="宋体" w:hAnsi="宋体" w:cs="宋体"/>
          <w:color w:val="auto"/>
          <w:highlight w:val="none"/>
        </w:rPr>
        <w:t>规定的方法、评审因素、标准和程序对</w:t>
      </w:r>
      <w:r>
        <w:rPr>
          <w:rFonts w:hint="eastAsia" w:ascii="宋体" w:hAnsi="宋体" w:cs="宋体"/>
          <w:color w:val="auto"/>
          <w:highlight w:val="none"/>
        </w:rPr>
        <w:t>响应</w:t>
      </w:r>
      <w:r>
        <w:rPr>
          <w:rFonts w:ascii="宋体" w:hAnsi="宋体" w:cs="宋体"/>
          <w:color w:val="auto"/>
          <w:highlight w:val="none"/>
        </w:rPr>
        <w:t>文件进行评审。</w:t>
      </w:r>
    </w:p>
    <w:p w14:paraId="6779B8FE">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26.2电子交易活动的中止。采购过程中出现以下情形，导致电子交易平台无法正常运行，或者无法保证电子交易的公平、公正和安全时，采购机构可中止电子交易活动：</w:t>
      </w:r>
    </w:p>
    <w:p w14:paraId="1E72F4D1">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 xml:space="preserve">（1）电子交易平台发生故障而无法登录访问的； </w:t>
      </w:r>
    </w:p>
    <w:p w14:paraId="12EB23F2">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（2）电子交易平台应用或数据库出现错误，不能进行正常操作的；</w:t>
      </w:r>
    </w:p>
    <w:p w14:paraId="2B764D3A">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（3）电子交易平台发现严重安全漏洞，有潜在泄密危险的；</w:t>
      </w:r>
    </w:p>
    <w:p w14:paraId="2222A7FE">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 xml:space="preserve">（4）病毒发作导致不能进行正常操作的； </w:t>
      </w:r>
    </w:p>
    <w:p w14:paraId="6AB8DEFE">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（4）其他无法保证电子交易的公平、公正和安全的情况。</w:t>
      </w:r>
    </w:p>
    <w:p w14:paraId="29404210">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26.3出现以上情形，不影响采购公平、公正性的，采购代理机构可以待上述情形消除后继续组织电子交易活动；影响或可能影响采购公平、公正性的，经采购代理机构确认后，应当重新采购。</w:t>
      </w:r>
    </w:p>
    <w:p w14:paraId="400EF6FA">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27</w:t>
      </w:r>
      <w:r>
        <w:rPr>
          <w:rFonts w:hint="eastAsia" w:ascii="黑体" w:hAnsi="黑体" w:eastAsia="黑体" w:cs="宋体"/>
          <w:b/>
          <w:bCs/>
          <w:color w:val="auto"/>
          <w:sz w:val="24"/>
          <w:highlight w:val="none"/>
        </w:rPr>
        <w:t>.确定成交供应商及结果公告</w:t>
      </w:r>
    </w:p>
    <w:p w14:paraId="5EB97DF7">
      <w:pPr>
        <w:spacing w:line="360" w:lineRule="auto"/>
        <w:ind w:firstLine="420" w:firstLineChars="200"/>
        <w:rPr>
          <w:rFonts w:ascii="宋体" w:hAnsi="宋体" w:cs="宋体"/>
          <w:color w:val="auto"/>
          <w:highlight w:val="none"/>
        </w:rPr>
      </w:pPr>
      <w:r>
        <w:rPr>
          <w:rFonts w:ascii="宋体" w:hAnsi="宋体" w:cs="宋体"/>
          <w:color w:val="auto"/>
          <w:highlight w:val="none"/>
        </w:rPr>
        <w:t>27</w:t>
      </w:r>
      <w:r>
        <w:rPr>
          <w:rFonts w:hint="eastAsia" w:ascii="宋体" w:hAnsi="宋体" w:cs="宋体"/>
          <w:color w:val="auto"/>
          <w:highlight w:val="none"/>
        </w:rPr>
        <w:t>.1采购代理机构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6E420A1">
      <w:pPr>
        <w:spacing w:line="360" w:lineRule="auto"/>
        <w:ind w:firstLine="420" w:firstLineChars="200"/>
        <w:rPr>
          <w:rFonts w:ascii="宋体" w:hAnsi="宋体" w:cs="宋体"/>
          <w:color w:val="auto"/>
          <w:highlight w:val="none"/>
        </w:rPr>
      </w:pPr>
      <w:r>
        <w:rPr>
          <w:rFonts w:ascii="宋体" w:hAnsi="宋体" w:cs="宋体"/>
          <w:color w:val="auto"/>
          <w:highlight w:val="none"/>
        </w:rPr>
        <w:t>27</w:t>
      </w:r>
      <w:r>
        <w:rPr>
          <w:rFonts w:hint="eastAsia" w:ascii="宋体" w:hAnsi="宋体" w:cs="宋体"/>
          <w:color w:val="auto"/>
          <w:highlight w:val="none"/>
        </w:rPr>
        <w:t>.2采购代理机构应当在</w:t>
      </w:r>
      <w:r>
        <w:rPr>
          <w:rFonts w:hint="eastAsia" w:ascii="宋体" w:hAnsi="宋体" w:cs="宋体"/>
          <w:color w:val="auto"/>
          <w:kern w:val="0"/>
          <w:highlight w:val="none"/>
        </w:rPr>
        <w:t>成交</w:t>
      </w:r>
      <w:r>
        <w:rPr>
          <w:rFonts w:hint="eastAsia" w:ascii="宋体" w:hAnsi="宋体" w:cs="宋体"/>
          <w:color w:val="auto"/>
          <w:highlight w:val="none"/>
        </w:rPr>
        <w:t>供应商确定后2个工作日内，在省级以上财政部门指定的媒体上公告成交结果，同时向成交供应商发出成交通知书。</w:t>
      </w:r>
      <w:r>
        <w:rPr>
          <w:rFonts w:hint="eastAsia" w:ascii="宋体" w:hAnsi="宋体" w:cs="宋体"/>
          <w:b/>
          <w:color w:val="auto"/>
          <w:highlight w:val="none"/>
        </w:rPr>
        <w:t>采购人或者采购代理机构发出成交通知书前，应当对成交供应商信用进行查询，对列入失信被执行人、重大税收违法案件当事人名单、政府采购严重违法失信行为记录名单及其他不符合《中华人民共和国政府采购法》第二十二条规定条件的供应商，取消其成交资格，并确定排名第二的成交候选人为成交供应商。</w:t>
      </w:r>
      <w:r>
        <w:rPr>
          <w:rFonts w:hint="eastAsia" w:ascii="宋体" w:hAnsi="宋体" w:cs="宋体"/>
          <w:color w:val="auto"/>
          <w:highlight w:val="none"/>
        </w:rPr>
        <w:t>排名第二的成交候选人因上述规定的同样原因被取消成交资格的，采购人可以确定排名第三的成交候选人为成交供应商，以此类推。以上信息查询记录及相关证据与磋商文件一并保存。</w:t>
      </w:r>
      <w:bookmarkStart w:id="61" w:name="_Hlk66782294"/>
      <w:r>
        <w:rPr>
          <w:rFonts w:hint="eastAsia" w:ascii="宋体" w:hAnsi="宋体" w:cs="Courier New"/>
          <w:color w:val="auto"/>
          <w:highlight w:val="none"/>
        </w:rPr>
        <w:t>成交供应商享受</w:t>
      </w:r>
      <w:r>
        <w:rPr>
          <w:rFonts w:hint="eastAsia" w:ascii="宋体" w:hAnsi="宋体"/>
          <w:color w:val="auto"/>
          <w:highlight w:val="none"/>
        </w:rPr>
        <w:t>《政府采购促进中小企业发展管理办法》（财库〔2020〕46号）规定的中小企业扶持</w:t>
      </w:r>
      <w:r>
        <w:rPr>
          <w:rFonts w:hint="eastAsia" w:ascii="宋体" w:hAnsi="宋体" w:cs="Courier New"/>
          <w:color w:val="auto"/>
          <w:highlight w:val="none"/>
        </w:rPr>
        <w:t>政策的，采购人、采购代理机构应当随成交结果公开成交供应商的《中小企业声明函》。</w:t>
      </w:r>
      <w:bookmarkEnd w:id="61"/>
    </w:p>
    <w:p w14:paraId="2F4F60DC">
      <w:pPr>
        <w:spacing w:line="360" w:lineRule="auto"/>
        <w:ind w:firstLine="420" w:firstLineChars="200"/>
        <w:rPr>
          <w:rFonts w:ascii="宋体" w:hAnsi="宋体" w:cs="Courier New"/>
          <w:color w:val="auto"/>
          <w:highlight w:val="none"/>
        </w:rPr>
      </w:pPr>
      <w:r>
        <w:rPr>
          <w:rFonts w:hint="eastAsia" w:ascii="宋体" w:hAnsi="宋体" w:cs="宋体"/>
          <w:color w:val="auto"/>
          <w:highlight w:val="none"/>
        </w:rPr>
        <w:t>2</w:t>
      </w:r>
      <w:r>
        <w:rPr>
          <w:rFonts w:ascii="宋体" w:hAnsi="宋体" w:cs="宋体"/>
          <w:color w:val="auto"/>
          <w:highlight w:val="none"/>
        </w:rPr>
        <w:t>7.3</w:t>
      </w:r>
      <w:r>
        <w:rPr>
          <w:rFonts w:hint="eastAsia" w:ascii="宋体" w:hAnsi="宋体" w:cs="Courier New"/>
          <w:color w:val="auto"/>
          <w:highlight w:val="none"/>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w:t>
      </w:r>
      <w:r>
        <w:rPr>
          <w:rFonts w:ascii="宋体" w:hAnsi="宋体" w:cs="Courier New"/>
          <w:color w:val="auto"/>
          <w:highlight w:val="none"/>
        </w:rPr>
        <w:t>拒绝签订政府采购合同的成交供应商不得参加对该项目重新开展的采购活动。</w:t>
      </w:r>
    </w:p>
    <w:p w14:paraId="57575A9C">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28</w:t>
      </w:r>
      <w:r>
        <w:rPr>
          <w:rFonts w:hint="eastAsia" w:ascii="黑体" w:hAnsi="黑体" w:eastAsia="黑体" w:cs="宋体"/>
          <w:b/>
          <w:bCs/>
          <w:color w:val="auto"/>
          <w:sz w:val="24"/>
          <w:highlight w:val="none"/>
        </w:rPr>
        <w:t>.履约保证金</w:t>
      </w:r>
    </w:p>
    <w:p w14:paraId="0C179869">
      <w:pPr>
        <w:spacing w:line="360" w:lineRule="auto"/>
        <w:ind w:firstLine="424" w:firstLineChars="202"/>
        <w:rPr>
          <w:rFonts w:ascii="宋体" w:hAnsi="宋体" w:cs="宋体"/>
          <w:color w:val="auto"/>
          <w:highlight w:val="none"/>
        </w:rPr>
      </w:pPr>
      <w:r>
        <w:rPr>
          <w:rFonts w:ascii="宋体" w:hAnsi="宋体" w:cs="宋体"/>
          <w:color w:val="auto"/>
          <w:highlight w:val="none"/>
        </w:rPr>
        <w:t>28</w:t>
      </w:r>
      <w:r>
        <w:rPr>
          <w:rFonts w:hint="eastAsia" w:ascii="宋体" w:hAnsi="宋体" w:cs="宋体"/>
          <w:color w:val="auto"/>
          <w:highlight w:val="none"/>
        </w:rPr>
        <w:t>.1履约保证金的金额、提交方式、退付的时间和条件详见 “供应商须知前附表”。成交供应商未按规定提交履约保证金的，视为拒绝</w:t>
      </w:r>
      <w:r>
        <w:rPr>
          <w:rFonts w:ascii="宋体" w:hAnsi="宋体"/>
          <w:color w:val="auto"/>
          <w:highlight w:val="none"/>
        </w:rPr>
        <w:t>与采购人</w:t>
      </w:r>
      <w:r>
        <w:rPr>
          <w:rFonts w:hint="eastAsia" w:ascii="宋体" w:hAnsi="宋体" w:cs="宋体"/>
          <w:color w:val="auto"/>
          <w:highlight w:val="none"/>
        </w:rPr>
        <w:t>签订合同。</w:t>
      </w:r>
    </w:p>
    <w:p w14:paraId="127D990A">
      <w:pPr>
        <w:spacing w:line="360" w:lineRule="auto"/>
        <w:ind w:firstLine="424" w:firstLineChars="202"/>
        <w:rPr>
          <w:rFonts w:ascii="宋体" w:hAnsi="宋体" w:cs="宋体"/>
          <w:color w:val="auto"/>
          <w:highlight w:val="none"/>
        </w:rPr>
      </w:pPr>
      <w:r>
        <w:rPr>
          <w:rFonts w:ascii="宋体" w:hAnsi="宋体" w:cs="宋体"/>
          <w:color w:val="auto"/>
          <w:highlight w:val="none"/>
        </w:rPr>
        <w:t>28</w:t>
      </w:r>
      <w:r>
        <w:rPr>
          <w:rFonts w:hint="eastAsia" w:ascii="宋体" w:hAnsi="宋体" w:cs="宋体"/>
          <w:color w:val="auto"/>
          <w:highlight w:val="none"/>
        </w:rPr>
        <w:t>.2在履约保证金退还日期前，若成交供应商的开户名称、开户银行、帐号有变动的，请以书面形式通知履约保证金收取单位，否则由此产生的后果由成交供应商自行承担。</w:t>
      </w:r>
    </w:p>
    <w:p w14:paraId="3D018350">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29</w:t>
      </w:r>
      <w:r>
        <w:rPr>
          <w:rFonts w:hint="eastAsia" w:ascii="黑体" w:hAnsi="黑体" w:eastAsia="黑体" w:cs="宋体"/>
          <w:b/>
          <w:bCs/>
          <w:color w:val="auto"/>
          <w:sz w:val="24"/>
          <w:highlight w:val="none"/>
        </w:rPr>
        <w:t>.签订合同</w:t>
      </w:r>
    </w:p>
    <w:p w14:paraId="0B5934E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29.1签</w:t>
      </w:r>
      <w:r>
        <w:rPr>
          <w:rFonts w:hint="eastAsia" w:ascii="宋体" w:hAnsi="宋体" w:cs="宋体"/>
          <w:color w:val="auto"/>
          <w:highlight w:val="none"/>
          <w:lang w:val="en-US" w:eastAsia="zh-CN"/>
        </w:rPr>
        <w:t>订</w:t>
      </w:r>
      <w:r>
        <w:rPr>
          <w:rFonts w:hint="eastAsia" w:ascii="宋体" w:hAnsi="宋体" w:cs="宋体"/>
          <w:color w:val="auto"/>
          <w:highlight w:val="none"/>
        </w:rPr>
        <w:t>电子采购合同：成交供应商领取电子成交通知书（书面或电子）后，在规定的日期、时间、地点，由法定代表人或其授权代表与采购人代表签订电子采购合同。如成交供应商为联合体的，由联合体成员各方法定代表人或其授权代表与采购人代表签订合同。</w:t>
      </w:r>
    </w:p>
    <w:p w14:paraId="719269DF">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线下签订纸质合同：供应商领取成交通知书后，按“供应商须知前附表”规定向采购人出示相关证明材料，经采购人核验合格后方可签订合同。</w:t>
      </w:r>
    </w:p>
    <w:p w14:paraId="3E102B57">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29.2签订合同时间：按成交通知书规定的时间与采购人签订政府采购合同（最长不能超过25日）。</w:t>
      </w:r>
    </w:p>
    <w:p w14:paraId="1FDB4129">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29.3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68AE6FF1">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29.4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1A1C85B6">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29.5采购人或成交供应商不得单方面向合同另一方提出任何磋商文件没有约定的条件或不合理的要求，作为签订合同的条件：也不得协商另行订立背离磋商文件和合同实质性内容的协议。</w:t>
      </w:r>
    </w:p>
    <w:p w14:paraId="36102E51">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29.6如签订合同并生效后，供应商无故拒绝或延期，除按照合同条款处理外，将承担相应的法律责任。</w:t>
      </w:r>
    </w:p>
    <w:p w14:paraId="11D9BD50">
      <w:pPr>
        <w:spacing w:line="360" w:lineRule="auto"/>
        <w:ind w:firstLine="424" w:firstLineChars="202"/>
        <w:rPr>
          <w:rFonts w:ascii="宋体" w:hAnsi="宋体" w:cs="宋体"/>
          <w:color w:val="auto"/>
          <w:highlight w:val="none"/>
        </w:rPr>
      </w:pPr>
      <w:r>
        <w:rPr>
          <w:rFonts w:hint="eastAsia" w:ascii="宋体" w:hAnsi="宋体" w:cs="宋体"/>
          <w:color w:val="auto"/>
          <w:highlight w:val="none"/>
        </w:rPr>
        <w:t>29.7政府采购合同履行中，采购人需追加与合同标的相同的货物、工程或者服务的，在不改变合同其他条款的前提下，可以与供应商协商签订补充合同，但所有补充合同的采购金额不得超过原合同采购金额的10%。</w:t>
      </w:r>
    </w:p>
    <w:p w14:paraId="42A6ABE5">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30</w:t>
      </w:r>
      <w:r>
        <w:rPr>
          <w:rFonts w:hint="eastAsia" w:ascii="黑体" w:hAnsi="黑体" w:eastAsia="黑体" w:cs="宋体"/>
          <w:b/>
          <w:bCs/>
          <w:color w:val="auto"/>
          <w:sz w:val="24"/>
          <w:highlight w:val="none"/>
        </w:rPr>
        <w:t>.政府采购合同公告</w:t>
      </w:r>
    </w:p>
    <w:p w14:paraId="6964E1F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w:t>
      </w:r>
    </w:p>
    <w:p w14:paraId="304BB261">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31</w:t>
      </w:r>
      <w:r>
        <w:rPr>
          <w:rFonts w:hint="eastAsia" w:ascii="黑体" w:hAnsi="黑体" w:eastAsia="黑体" w:cs="宋体"/>
          <w:b/>
          <w:bCs/>
          <w:color w:val="auto"/>
          <w:sz w:val="24"/>
          <w:highlight w:val="none"/>
        </w:rPr>
        <w:t>. 询问、质疑和投诉</w:t>
      </w:r>
    </w:p>
    <w:p w14:paraId="26956816">
      <w:pPr>
        <w:pStyle w:val="7"/>
        <w:spacing w:line="360" w:lineRule="auto"/>
        <w:rPr>
          <w:rFonts w:ascii="宋体" w:hAnsi="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1</w:t>
      </w:r>
      <w:r>
        <w:rPr>
          <w:rFonts w:hint="eastAsia" w:ascii="宋体" w:hAnsi="宋体" w:cs="宋体"/>
          <w:color w:val="auto"/>
          <w:sz w:val="21"/>
          <w:szCs w:val="21"/>
          <w:highlight w:val="none"/>
        </w:rPr>
        <w:t>.1供应商对政府采购活动事项有疑问的，可以向采购人、采购代理机构提出询问，采购人或者采购代理机构应当在3个工作日内对供应商依法提出的询问作出答复，</w:t>
      </w:r>
      <w:r>
        <w:rPr>
          <w:rFonts w:hint="eastAsia" w:ascii="宋体" w:hAnsi="宋体"/>
          <w:color w:val="auto"/>
          <w:sz w:val="21"/>
          <w:szCs w:val="21"/>
          <w:highlight w:val="none"/>
        </w:rPr>
        <w:t>但答复的内容不得涉及商业秘密</w:t>
      </w:r>
      <w:r>
        <w:rPr>
          <w:rFonts w:hint="eastAsia" w:ascii="宋体" w:hAnsi="宋体" w:cs="宋体"/>
          <w:color w:val="auto"/>
          <w:sz w:val="21"/>
          <w:szCs w:val="21"/>
          <w:highlight w:val="none"/>
        </w:rPr>
        <w:t>。</w:t>
      </w:r>
    </w:p>
    <w:p w14:paraId="60A529B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1</w:t>
      </w:r>
      <w:r>
        <w:rPr>
          <w:rFonts w:hint="eastAsia" w:ascii="宋体" w:hAnsi="宋体" w:cs="宋体"/>
          <w:color w:val="auto"/>
          <w:highlight w:val="none"/>
        </w:rPr>
        <w:t>.2供应商认为磋商文件、采购过程或者成交结果使自己的合法权益受到损害的，应当在知道或者应知其权益受到损害之日起7个工作日内，以纸质书面形式向采购人、采购代理机构提出质疑，</w:t>
      </w:r>
      <w:r>
        <w:rPr>
          <w:rFonts w:ascii="宋体" w:hAnsi="宋体" w:cs="Arial"/>
          <w:color w:val="auto"/>
          <w:highlight w:val="none"/>
          <w:shd w:val="clear" w:color="auto" w:fill="FFFFFF"/>
        </w:rPr>
        <w:t>接收质疑函的方式、联系部门、联系电话和通讯地址等信息</w:t>
      </w:r>
      <w:r>
        <w:rPr>
          <w:rFonts w:hint="eastAsia" w:ascii="宋体" w:hAnsi="宋体" w:cs="Arial"/>
          <w:color w:val="auto"/>
          <w:highlight w:val="none"/>
          <w:shd w:val="clear" w:color="auto" w:fill="FFFFFF"/>
        </w:rPr>
        <w:t>详见</w:t>
      </w:r>
      <w:r>
        <w:rPr>
          <w:rFonts w:hint="eastAsia" w:ascii="宋体" w:hAnsi="宋体" w:cs="宋体"/>
          <w:color w:val="auto"/>
          <w:highlight w:val="none"/>
        </w:rPr>
        <w:t>“供应商须知前附表”。具体质疑起算时间如下：</w:t>
      </w:r>
    </w:p>
    <w:p w14:paraId="1D4BF16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（1）对可以质疑的磋商文件提出质疑的，为收到磋商文件之日或者</w:t>
      </w:r>
      <w:r>
        <w:rPr>
          <w:rFonts w:hint="eastAsia" w:ascii="宋体" w:hAnsi="宋体"/>
          <w:color w:val="auto"/>
          <w:highlight w:val="none"/>
        </w:rPr>
        <w:t>竞争性磋商公告期限届满之日</w:t>
      </w:r>
      <w:r>
        <w:rPr>
          <w:rFonts w:hint="eastAsia" w:ascii="宋体" w:hAnsi="宋体" w:cs="宋体"/>
          <w:color w:val="auto"/>
          <w:highlight w:val="none"/>
        </w:rPr>
        <w:t>；</w:t>
      </w:r>
    </w:p>
    <w:p w14:paraId="5634DBF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（2）对采购过程提出质疑的，为各采购程序环节结束之日；</w:t>
      </w:r>
    </w:p>
    <w:p w14:paraId="575FE02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（3）对成交结果提出质疑的，为成交结果公告期限届满之日。</w:t>
      </w:r>
    </w:p>
    <w:p w14:paraId="38EAED1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1</w:t>
      </w:r>
      <w:r>
        <w:rPr>
          <w:rFonts w:hint="eastAsia" w:ascii="宋体" w:hAnsi="宋体" w:cs="宋体"/>
          <w:color w:val="auto"/>
          <w:highlight w:val="none"/>
        </w:rPr>
        <w:t>.3供应商提出的询问或者质疑超出采购人对采购代理机构委托授权范围的，采购代理机构应当告知供应商向采购人提出。政府采购评审专家应当配合采购人或者采购代理机构答复供应商的询问和质疑。</w:t>
      </w:r>
    </w:p>
    <w:p w14:paraId="3524378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1</w:t>
      </w:r>
      <w:r>
        <w:rPr>
          <w:rFonts w:hint="eastAsia" w:ascii="宋体" w:hAnsi="宋体" w:cs="宋体"/>
          <w:color w:val="auto"/>
          <w:highlight w:val="none"/>
        </w:rPr>
        <w:t>.4 供应商提出质疑应当提交质疑函和必要的证明材料，针对同一采购程序环节的质疑必须在法定质疑期内一次性提出。质疑函应当包括下列内容</w:t>
      </w:r>
      <w:r>
        <w:rPr>
          <w:rFonts w:hint="eastAsia" w:hAnsi="宋体"/>
          <w:bCs/>
          <w:color w:val="auto"/>
          <w:highlight w:val="none"/>
        </w:rPr>
        <w:t>（质疑函格式后附）</w:t>
      </w:r>
      <w:r>
        <w:rPr>
          <w:rFonts w:hint="eastAsia" w:ascii="宋体" w:hAnsi="宋体" w:cs="宋体"/>
          <w:color w:val="auto"/>
          <w:highlight w:val="none"/>
        </w:rPr>
        <w:t>：</w:t>
      </w:r>
    </w:p>
    <w:p w14:paraId="7EB1167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（1）供应商的姓名或者名称、地址、邮编、联系人及联系电话；</w:t>
      </w:r>
    </w:p>
    <w:p w14:paraId="21EC1D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（2）质疑项目的名称、编号；</w:t>
      </w:r>
    </w:p>
    <w:p w14:paraId="2595D1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（3）具体、明确的质疑事项和与质疑事项相关的请求；</w:t>
      </w:r>
    </w:p>
    <w:p w14:paraId="2D3AC30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（4）事实依据；</w:t>
      </w:r>
    </w:p>
    <w:p w14:paraId="54DC2C3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（5）必要的法律依据；</w:t>
      </w:r>
    </w:p>
    <w:p w14:paraId="6E43B26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（6）提出质疑的日期。</w:t>
      </w:r>
    </w:p>
    <w:p w14:paraId="19C732B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供应商为自然人的，应当由本人签字；供应商为法人或者其他组织的，应当由法定代表人、主要负责人，或者其委托代理人签字或者盖章，并加盖公章。</w:t>
      </w:r>
    </w:p>
    <w:p w14:paraId="7C55BAE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1.5</w:t>
      </w:r>
      <w:r>
        <w:rPr>
          <w:rFonts w:hint="eastAsia" w:ascii="宋体" w:hAnsi="宋体" w:cs="宋体"/>
          <w:color w:val="auto"/>
          <w:highlight w:val="none"/>
        </w:rPr>
        <w:t>采购人、采购代理机构认为供应商质疑不成立，或者成立但未对成交结果构成影响的，继续开展采购活动；认为供应商质疑成立且影响或者可能影响成交结果的，按照下列情况处理：</w:t>
      </w:r>
    </w:p>
    <w:p w14:paraId="0A0495A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（1）对采购文件提出的质疑，依法通过澄清或者修改可以继续开展采购活动的，澄清或者修改采购文件后继续开展采购活动；否则应当修改采购文件后重新开展采购活动。</w:t>
      </w:r>
    </w:p>
    <w:p w14:paraId="3EA84C1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（2）对采购过程或者成交结果提出的质疑，合格供应商符合法定数量时，可以从合格的成交候选人中另行确定成交供应商的，应当依法另行确定成交供应商；否则应当重新开展采购活动。</w:t>
      </w:r>
    </w:p>
    <w:p w14:paraId="4A3D33F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质疑答复导致成交结果改变的，采购人或者采购代理机构应当将有关情况书面报告本级财政部门。</w:t>
      </w:r>
    </w:p>
    <w:p w14:paraId="037CC455">
      <w:pPr>
        <w:spacing w:line="360" w:lineRule="auto"/>
        <w:ind w:firstLine="420" w:firstLineChars="200"/>
        <w:rPr>
          <w:rFonts w:ascii="宋体" w:hAnsi="宋体" w:cs="宋体"/>
          <w:color w:val="auto"/>
          <w:highlight w:val="none"/>
        </w:rPr>
      </w:pPr>
      <w:r>
        <w:rPr>
          <w:rFonts w:ascii="宋体" w:hAnsi="宋体" w:cs="宋体"/>
          <w:color w:val="auto"/>
          <w:highlight w:val="none"/>
        </w:rPr>
        <w:t>31</w:t>
      </w:r>
      <w:r>
        <w:rPr>
          <w:rFonts w:hint="eastAsia" w:ascii="宋体" w:hAnsi="宋体" w:cs="宋体"/>
          <w:color w:val="auto"/>
          <w:highlight w:val="none"/>
        </w:rPr>
        <w:t>.</w:t>
      </w:r>
      <w:r>
        <w:rPr>
          <w:rFonts w:ascii="宋体" w:hAnsi="宋体" w:cs="宋体"/>
          <w:color w:val="auto"/>
          <w:highlight w:val="none"/>
        </w:rPr>
        <w:t>6</w:t>
      </w:r>
      <w:r>
        <w:rPr>
          <w:rFonts w:hint="eastAsia" w:ascii="宋体" w:hAnsi="宋体" w:cs="宋体"/>
          <w:color w:val="auto"/>
          <w:highlight w:val="none"/>
        </w:rPr>
        <w:t>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w:t>
      </w:r>
    </w:p>
    <w:p w14:paraId="652A5BBD">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32</w:t>
      </w:r>
      <w:r>
        <w:rPr>
          <w:rFonts w:hint="eastAsia" w:ascii="黑体" w:hAnsi="黑体" w:eastAsia="黑体" w:cs="宋体"/>
          <w:b/>
          <w:bCs/>
          <w:color w:val="auto"/>
          <w:sz w:val="24"/>
          <w:highlight w:val="none"/>
        </w:rPr>
        <w:t>.其他内容</w:t>
      </w:r>
    </w:p>
    <w:p w14:paraId="7209489A">
      <w:pPr>
        <w:tabs>
          <w:tab w:val="left" w:pos="2835"/>
        </w:tabs>
        <w:spacing w:line="360" w:lineRule="auto"/>
        <w:ind w:firstLine="420" w:firstLineChars="200"/>
        <w:rPr>
          <w:rFonts w:ascii="宋体" w:hAnsi="宋体" w:cs="宋体"/>
          <w:color w:val="auto"/>
          <w:highlight w:val="none"/>
        </w:rPr>
      </w:pPr>
      <w:r>
        <w:rPr>
          <w:rFonts w:ascii="宋体" w:hAnsi="宋体" w:cs="宋体"/>
          <w:color w:val="auto"/>
          <w:highlight w:val="none"/>
        </w:rPr>
        <w:t>32</w:t>
      </w:r>
      <w:r>
        <w:rPr>
          <w:rFonts w:hint="eastAsia" w:ascii="宋体" w:hAnsi="宋体" w:cs="宋体"/>
          <w:color w:val="auto"/>
          <w:highlight w:val="none"/>
        </w:rPr>
        <w:t>.1代理服务费：代理服务收取标准及缴费账户详见“供应商须知前附表”，供应商为联合体的，可以由联合体中的一方或者多方共同交纳代理服务费。</w:t>
      </w:r>
    </w:p>
    <w:p w14:paraId="5A2ED15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3.需要补充的其他内容</w:t>
      </w:r>
    </w:p>
    <w:p w14:paraId="35106A50">
      <w:pPr>
        <w:pStyle w:val="25"/>
        <w:spacing w:line="360" w:lineRule="auto"/>
        <w:ind w:firstLine="420" w:firstLineChars="200"/>
        <w:textAlignment w:val="center"/>
        <w:rPr>
          <w:rFonts w:hAnsi="宋体" w:cs="宋体"/>
          <w:color w:val="auto"/>
          <w:kern w:val="2"/>
          <w:szCs w:val="21"/>
          <w:highlight w:val="none"/>
        </w:rPr>
      </w:pPr>
      <w:r>
        <w:rPr>
          <w:rFonts w:hint="eastAsia" w:hAnsi="宋体" w:cs="宋体"/>
          <w:color w:val="auto"/>
          <w:kern w:val="2"/>
          <w:szCs w:val="21"/>
          <w:highlight w:val="none"/>
        </w:rPr>
        <w:t>3</w:t>
      </w:r>
      <w:r>
        <w:rPr>
          <w:rFonts w:hAnsi="宋体" w:cs="宋体"/>
          <w:color w:val="auto"/>
          <w:kern w:val="2"/>
          <w:szCs w:val="21"/>
          <w:highlight w:val="none"/>
        </w:rPr>
        <w:t>3.1</w:t>
      </w:r>
      <w:r>
        <w:rPr>
          <w:rFonts w:hint="eastAsia" w:hAnsi="宋体" w:cs="宋体"/>
          <w:color w:val="auto"/>
          <w:kern w:val="2"/>
          <w:szCs w:val="21"/>
          <w:highlight w:val="none"/>
        </w:rPr>
        <w:t>本磋商文件解释规则详见“供应商须知前附表”。</w:t>
      </w:r>
    </w:p>
    <w:p w14:paraId="27A5AC0C">
      <w:pPr>
        <w:pStyle w:val="25"/>
        <w:spacing w:line="360" w:lineRule="auto"/>
        <w:ind w:firstLine="420" w:firstLineChars="200"/>
        <w:textAlignment w:val="center"/>
        <w:rPr>
          <w:rFonts w:hAnsi="宋体" w:cs="宋体"/>
          <w:color w:val="auto"/>
          <w:kern w:val="2"/>
          <w:szCs w:val="21"/>
          <w:highlight w:val="none"/>
        </w:rPr>
      </w:pPr>
      <w:r>
        <w:rPr>
          <w:rFonts w:hAnsi="宋体" w:cs="宋体"/>
          <w:color w:val="auto"/>
          <w:kern w:val="2"/>
          <w:szCs w:val="21"/>
          <w:highlight w:val="none"/>
        </w:rPr>
        <w:t>33.2</w:t>
      </w:r>
      <w:r>
        <w:rPr>
          <w:rFonts w:hint="eastAsia" w:hAnsi="宋体" w:cs="宋体"/>
          <w:color w:val="auto"/>
          <w:kern w:val="2"/>
          <w:szCs w:val="21"/>
          <w:highlight w:val="none"/>
        </w:rPr>
        <w:t xml:space="preserve"> 其他事项详见“供应商须知前附表”。</w:t>
      </w:r>
    </w:p>
    <w:p w14:paraId="18ED1A7C">
      <w:pPr>
        <w:pStyle w:val="25"/>
        <w:spacing w:line="360" w:lineRule="auto"/>
        <w:ind w:firstLine="420" w:firstLineChars="200"/>
        <w:textAlignment w:val="center"/>
        <w:rPr>
          <w:rFonts w:hAnsi="宋体" w:cs="宋体"/>
          <w:color w:val="auto"/>
          <w:kern w:val="2"/>
          <w:szCs w:val="21"/>
          <w:highlight w:val="none"/>
        </w:rPr>
      </w:pPr>
      <w:r>
        <w:rPr>
          <w:rFonts w:hint="eastAsia" w:hAnsi="宋体" w:cs="宋体"/>
          <w:color w:val="auto"/>
          <w:kern w:val="2"/>
          <w:szCs w:val="21"/>
          <w:highlight w:val="none"/>
        </w:rPr>
        <w:t>3</w:t>
      </w:r>
      <w:r>
        <w:rPr>
          <w:rFonts w:hAnsi="宋体" w:cs="宋体"/>
          <w:color w:val="auto"/>
          <w:kern w:val="2"/>
          <w:szCs w:val="21"/>
          <w:highlight w:val="none"/>
        </w:rPr>
        <w:t>3.3</w:t>
      </w:r>
      <w:r>
        <w:rPr>
          <w:rFonts w:hint="eastAsia" w:hAnsi="宋体" w:cs="宋体"/>
          <w:color w:val="auto"/>
          <w:kern w:val="2"/>
          <w:szCs w:val="21"/>
          <w:highlight w:val="none"/>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2486DC1A">
      <w:pPr>
        <w:pStyle w:val="25"/>
        <w:spacing w:line="360" w:lineRule="auto"/>
        <w:ind w:firstLine="420" w:firstLineChars="200"/>
        <w:contextualSpacing/>
        <w:rPr>
          <w:rFonts w:hAnsi="宋体"/>
          <w:color w:val="auto"/>
          <w:szCs w:val="21"/>
          <w:highlight w:val="none"/>
        </w:rPr>
      </w:pPr>
      <w:r>
        <w:rPr>
          <w:rFonts w:hint="eastAsia" w:hAnsi="宋体"/>
          <w:color w:val="auto"/>
          <w:szCs w:val="21"/>
          <w:highlight w:val="none"/>
        </w:rPr>
        <w:t>（1）在货物采购项目中，货物由中小企业制造，即货物由中小企业生产且使用该中小企业商号或者注册商标，不对其中涉及的工程承建商和服务的承接商作出要求；</w:t>
      </w:r>
    </w:p>
    <w:p w14:paraId="2C8374BF">
      <w:pPr>
        <w:pStyle w:val="25"/>
        <w:spacing w:line="360" w:lineRule="auto"/>
        <w:ind w:firstLine="420" w:firstLineChars="200"/>
        <w:contextualSpacing/>
        <w:rPr>
          <w:rFonts w:hAnsi="宋体"/>
          <w:color w:val="auto"/>
          <w:szCs w:val="21"/>
          <w:highlight w:val="none"/>
        </w:rPr>
      </w:pPr>
      <w:r>
        <w:rPr>
          <w:rFonts w:hint="eastAsia" w:hAnsi="宋体"/>
          <w:color w:val="auto"/>
          <w:szCs w:val="21"/>
          <w:highlight w:val="none"/>
        </w:rPr>
        <w:t>（2）在工程采购项目中，工程由中小企业承建，即工程施工单位为中小企业，不对其中涉及的货物的制造商和服务的承接商作出要求；</w:t>
      </w:r>
    </w:p>
    <w:p w14:paraId="63025E83">
      <w:pPr>
        <w:pStyle w:val="25"/>
        <w:spacing w:line="360" w:lineRule="auto"/>
        <w:ind w:firstLine="420" w:firstLineChars="200"/>
        <w:contextualSpacing/>
        <w:rPr>
          <w:rFonts w:hAnsi="宋体"/>
          <w:color w:val="auto"/>
          <w:szCs w:val="21"/>
          <w:highlight w:val="none"/>
        </w:rPr>
      </w:pPr>
      <w:r>
        <w:rPr>
          <w:rFonts w:hint="eastAsia" w:hAnsi="宋体"/>
          <w:color w:val="auto"/>
          <w:szCs w:val="21"/>
          <w:highlight w:val="none"/>
        </w:rPr>
        <w:t>（3）在服务采购项目中，服务由中小企业承接，即提供服务的人员为中小企业依照《中华人民共和国劳动合同法》订立劳动合同的从业人员，不对其中涉及的货物的制造商和工程承建商作出要求。</w:t>
      </w:r>
    </w:p>
    <w:p w14:paraId="41AFC4AA">
      <w:pPr>
        <w:pStyle w:val="25"/>
        <w:spacing w:line="360" w:lineRule="auto"/>
        <w:ind w:firstLine="420" w:firstLineChars="200"/>
        <w:textAlignment w:val="center"/>
        <w:rPr>
          <w:rFonts w:hAnsi="宋体" w:cs="宋体"/>
          <w:color w:val="auto"/>
          <w:kern w:val="2"/>
          <w:szCs w:val="21"/>
          <w:highlight w:val="none"/>
        </w:rPr>
      </w:pPr>
      <w:r>
        <w:rPr>
          <w:rFonts w:hint="eastAsia" w:hAnsi="宋体" w:cs="宋体"/>
          <w:color w:val="auto"/>
          <w:kern w:val="2"/>
          <w:szCs w:val="21"/>
          <w:highlight w:val="none"/>
        </w:rPr>
        <w:t>在货物采购项目中，供应商提供的货物既有中小企业制造货物，也有大型企业制造货物的，不享受本磋商文件规定的中小企业扶持政策。以联合体形式参加政府采购活动，联合体各方均为中小企业的，联合体视同中小企业。其中，联合体各方均为小微企业的，联合体视同小微企业。</w:t>
      </w:r>
    </w:p>
    <w:p w14:paraId="043EA7AE">
      <w:pPr>
        <w:pStyle w:val="25"/>
        <w:spacing w:line="360" w:lineRule="auto"/>
        <w:ind w:firstLine="420" w:firstLineChars="200"/>
        <w:textAlignment w:val="center"/>
        <w:rPr>
          <w:rFonts w:hAnsi="宋体" w:cs="宋体"/>
          <w:color w:val="auto"/>
          <w:kern w:val="2"/>
          <w:szCs w:val="21"/>
          <w:highlight w:val="none"/>
        </w:rPr>
      </w:pPr>
      <w:r>
        <w:rPr>
          <w:rFonts w:hint="eastAsia" w:hAnsi="宋体" w:cs="宋体"/>
          <w:color w:val="auto"/>
          <w:kern w:val="2"/>
          <w:szCs w:val="21"/>
          <w:highlight w:val="none"/>
        </w:rPr>
        <w:t>依据本磋商文件规定享受扶持政策获得政府采购合同的，小微企业不得将合同分包给大中型企业，中型企业不得将合同分包给大型企业。</w:t>
      </w:r>
    </w:p>
    <w:p w14:paraId="6DA119BE">
      <w:pPr>
        <w:rPr>
          <w:rStyle w:val="72"/>
          <w:rFonts w:ascii="宋体" w:hAnsi="宋体" w:eastAsia="宋体" w:cs="宋体"/>
          <w:bCs/>
          <w:color w:val="auto"/>
          <w:sz w:val="21"/>
          <w:highlight w:val="none"/>
        </w:rPr>
      </w:pPr>
      <w:r>
        <w:rPr>
          <w:rStyle w:val="72"/>
          <w:rFonts w:hint="eastAsia" w:ascii="宋体" w:hAnsi="宋体" w:eastAsia="宋体" w:cs="宋体"/>
          <w:bCs/>
          <w:color w:val="auto"/>
          <w:sz w:val="21"/>
          <w:highlight w:val="none"/>
        </w:rPr>
        <w:br w:type="page"/>
      </w:r>
    </w:p>
    <w:p w14:paraId="42BA1591">
      <w:pPr>
        <w:jc w:val="center"/>
        <w:outlineLvl w:val="0"/>
        <w:rPr>
          <w:rStyle w:val="72"/>
          <w:rFonts w:ascii="宋体" w:hAnsi="宋体" w:eastAsia="宋体" w:cs="宋体"/>
          <w:bCs/>
          <w:color w:val="auto"/>
          <w:sz w:val="36"/>
          <w:szCs w:val="36"/>
          <w:highlight w:val="none"/>
        </w:rPr>
      </w:pPr>
      <w:bookmarkStart w:id="62" w:name="_Toc7492"/>
      <w:bookmarkStart w:id="63" w:name="_Toc29282"/>
      <w:r>
        <w:rPr>
          <w:rStyle w:val="72"/>
          <w:rFonts w:hint="eastAsia" w:ascii="宋体" w:hAnsi="宋体" w:eastAsia="宋体" w:cs="宋体"/>
          <w:bCs/>
          <w:color w:val="auto"/>
          <w:sz w:val="36"/>
          <w:szCs w:val="36"/>
          <w:highlight w:val="none"/>
        </w:rPr>
        <w:t>第三章</w:t>
      </w:r>
      <w:bookmarkStart w:id="64" w:name="_Toc6795_WPSOffice_Level1"/>
      <w:r>
        <w:rPr>
          <w:rStyle w:val="72"/>
          <w:rFonts w:hint="eastAsia" w:ascii="宋体" w:hAnsi="宋体" w:cs="宋体"/>
          <w:bCs/>
          <w:color w:val="auto"/>
          <w:sz w:val="36"/>
          <w:szCs w:val="36"/>
          <w:highlight w:val="none"/>
        </w:rPr>
        <w:t xml:space="preserve"> </w:t>
      </w:r>
      <w:r>
        <w:rPr>
          <w:rStyle w:val="72"/>
          <w:rFonts w:hint="eastAsia" w:ascii="宋体" w:hAnsi="宋体" w:eastAsia="宋体" w:cs="宋体"/>
          <w:bCs/>
          <w:color w:val="auto"/>
          <w:sz w:val="36"/>
          <w:szCs w:val="36"/>
          <w:highlight w:val="none"/>
        </w:rPr>
        <w:t>项目需求</w:t>
      </w:r>
      <w:bookmarkEnd w:id="47"/>
      <w:bookmarkEnd w:id="48"/>
      <w:bookmarkEnd w:id="62"/>
      <w:bookmarkEnd w:id="63"/>
    </w:p>
    <w:p w14:paraId="47804752">
      <w:pPr>
        <w:spacing w:line="380" w:lineRule="exact"/>
        <w:ind w:firstLine="422" w:firstLineChars="200"/>
        <w:rPr>
          <w:rFonts w:ascii="宋体" w:hAnsi="宋体" w:cs="宋体"/>
          <w:b/>
          <w:bCs/>
          <w:color w:val="auto"/>
          <w:highlight w:val="none"/>
        </w:rPr>
      </w:pPr>
      <w:bookmarkStart w:id="65" w:name="_Toc78604604"/>
      <w:bookmarkStart w:id="66" w:name="_Toc26454"/>
      <w:bookmarkStart w:id="67" w:name="_Toc16719"/>
      <w:bookmarkStart w:id="68" w:name="_Toc21034"/>
      <w:r>
        <w:rPr>
          <w:rFonts w:hint="eastAsia" w:ascii="宋体" w:hAnsi="宋体" w:cs="宋体"/>
          <w:b/>
          <w:bCs/>
          <w:color w:val="auto"/>
          <w:highlight w:val="none"/>
        </w:rPr>
        <w:t>一、项目</w:t>
      </w:r>
      <w:bookmarkEnd w:id="65"/>
      <w:r>
        <w:rPr>
          <w:rFonts w:hint="eastAsia" w:ascii="宋体" w:hAnsi="宋体" w:cs="宋体"/>
          <w:b/>
          <w:bCs/>
          <w:color w:val="auto"/>
          <w:highlight w:val="none"/>
        </w:rPr>
        <w:t>概况：</w:t>
      </w:r>
    </w:p>
    <w:p w14:paraId="28D69517">
      <w:pPr>
        <w:pStyle w:val="20"/>
        <w:spacing w:line="380" w:lineRule="exact"/>
        <w:rPr>
          <w:rFonts w:ascii="宋体" w:hAnsi="宋体" w:cs="宋体"/>
          <w:bCs/>
          <w:color w:val="auto"/>
          <w:sz w:val="21"/>
          <w:szCs w:val="21"/>
          <w:highlight w:val="none"/>
        </w:rPr>
      </w:pPr>
      <w:r>
        <w:rPr>
          <w:rFonts w:hint="eastAsia" w:ascii="宋体" w:hAnsi="宋体" w:cs="宋体"/>
          <w:bCs/>
          <w:color w:val="auto"/>
          <w:sz w:val="21"/>
          <w:szCs w:val="21"/>
          <w:highlight w:val="none"/>
        </w:rPr>
        <w:t>项目名称：</w:t>
      </w:r>
      <w:r>
        <w:rPr>
          <w:rFonts w:hint="eastAsia" w:ascii="宋体" w:hAnsi="宋体" w:cs="宋体"/>
          <w:bCs/>
          <w:color w:val="auto"/>
          <w:sz w:val="21"/>
          <w:szCs w:val="21"/>
          <w:highlight w:val="none"/>
          <w:lang w:eastAsia="zh-CN"/>
        </w:rPr>
        <w:t>桂平市2025年平坡至雅英岭等12个安防工程项目</w:t>
      </w:r>
    </w:p>
    <w:p w14:paraId="5A2104F7">
      <w:pPr>
        <w:pStyle w:val="20"/>
        <w:spacing w:line="380" w:lineRule="exact"/>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rPr>
        <w:t>建设地点：</w:t>
      </w:r>
      <w:r>
        <w:rPr>
          <w:rFonts w:hint="eastAsia" w:ascii="宋体" w:hAnsi="宋体" w:cs="宋体"/>
          <w:bCs/>
          <w:color w:val="auto"/>
          <w:sz w:val="21"/>
          <w:szCs w:val="21"/>
          <w:highlight w:val="none"/>
          <w:lang w:eastAsia="zh-CN"/>
        </w:rPr>
        <w:t>桂平市</w:t>
      </w:r>
    </w:p>
    <w:p w14:paraId="57BFF1CF">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招标控制价：</w:t>
      </w:r>
      <w:r>
        <w:rPr>
          <w:rFonts w:hint="eastAsia" w:ascii="宋体" w:hAnsi="宋体" w:cs="宋体"/>
          <w:color w:val="auto"/>
          <w:highlight w:val="none"/>
          <w:lang w:val="en-US" w:eastAsia="zh-CN"/>
        </w:rPr>
        <w:t>人民币贰佰贰拾贰万壹仟肆佰柒拾陆元整（¥2221476.00）</w:t>
      </w:r>
      <w:r>
        <w:rPr>
          <w:rFonts w:hint="eastAsia" w:ascii="宋体" w:hAnsi="宋体" w:cs="宋体"/>
          <w:color w:val="auto"/>
          <w:highlight w:val="none"/>
        </w:rPr>
        <w:t>。</w:t>
      </w:r>
    </w:p>
    <w:p w14:paraId="4BD13D22">
      <w:pPr>
        <w:pStyle w:val="20"/>
        <w:spacing w:line="380" w:lineRule="exact"/>
        <w:rPr>
          <w:rFonts w:ascii="宋体" w:hAnsi="宋体" w:cs="宋体"/>
          <w:bCs/>
          <w:color w:val="auto"/>
          <w:sz w:val="21"/>
          <w:szCs w:val="21"/>
          <w:highlight w:val="none"/>
        </w:rPr>
      </w:pPr>
      <w:r>
        <w:rPr>
          <w:rFonts w:hint="eastAsia" w:ascii="宋体" w:hAnsi="宋体" w:cs="宋体"/>
          <w:bCs/>
          <w:color w:val="auto"/>
          <w:sz w:val="21"/>
          <w:szCs w:val="21"/>
          <w:highlight w:val="none"/>
        </w:rPr>
        <w:t>最高限价：与预算金额一致</w:t>
      </w:r>
    </w:p>
    <w:p w14:paraId="31B97CEA">
      <w:pPr>
        <w:pStyle w:val="178"/>
        <w:spacing w:line="360" w:lineRule="exact"/>
        <w:ind w:firstLine="420" w:firstLineChars="200"/>
        <w:rPr>
          <w:rFonts w:hAnsi="宋体" w:cs="宋体"/>
          <w:bCs/>
          <w:color w:val="auto"/>
          <w:szCs w:val="21"/>
          <w:highlight w:val="none"/>
        </w:rPr>
      </w:pPr>
      <w:r>
        <w:rPr>
          <w:rFonts w:hint="eastAsia" w:hAnsi="宋体" w:cs="宋体"/>
          <w:bCs/>
          <w:color w:val="auto"/>
          <w:szCs w:val="21"/>
          <w:highlight w:val="none"/>
        </w:rPr>
        <w:t>计划开工时间：202</w:t>
      </w:r>
      <w:r>
        <w:rPr>
          <w:rFonts w:hint="eastAsia" w:hAnsi="宋体" w:cs="宋体"/>
          <w:bCs/>
          <w:color w:val="auto"/>
          <w:szCs w:val="21"/>
          <w:highlight w:val="none"/>
          <w:lang w:val="en-US" w:eastAsia="zh-CN"/>
        </w:rPr>
        <w:t>5</w:t>
      </w:r>
      <w:r>
        <w:rPr>
          <w:rFonts w:hint="eastAsia" w:hAnsi="宋体" w:cs="宋体"/>
          <w:bCs/>
          <w:color w:val="auto"/>
          <w:szCs w:val="21"/>
          <w:highlight w:val="none"/>
        </w:rPr>
        <w:t>年</w:t>
      </w:r>
      <w:r>
        <w:rPr>
          <w:rFonts w:hint="eastAsia" w:hAnsi="宋体" w:cs="宋体"/>
          <w:bCs/>
          <w:color w:val="auto"/>
          <w:szCs w:val="21"/>
          <w:highlight w:val="none"/>
          <w:lang w:val="en-US" w:eastAsia="zh-CN"/>
        </w:rPr>
        <w:t xml:space="preserve">  </w:t>
      </w:r>
      <w:r>
        <w:rPr>
          <w:rFonts w:hint="eastAsia" w:hAnsi="宋体" w:cs="宋体"/>
          <w:bCs/>
          <w:color w:val="auto"/>
          <w:szCs w:val="21"/>
          <w:highlight w:val="none"/>
        </w:rPr>
        <w:t>月</w:t>
      </w:r>
    </w:p>
    <w:p w14:paraId="304CDF6C">
      <w:pPr>
        <w:pStyle w:val="178"/>
        <w:spacing w:line="360" w:lineRule="exact"/>
        <w:ind w:firstLine="420" w:firstLineChars="200"/>
        <w:rPr>
          <w:rFonts w:hAnsi="宋体" w:cs="宋体"/>
          <w:bCs/>
          <w:color w:val="auto"/>
          <w:szCs w:val="21"/>
          <w:highlight w:val="none"/>
        </w:rPr>
      </w:pPr>
      <w:r>
        <w:rPr>
          <w:rFonts w:hint="eastAsia" w:hAnsi="宋体" w:cs="宋体"/>
          <w:bCs/>
          <w:color w:val="auto"/>
          <w:szCs w:val="21"/>
          <w:highlight w:val="none"/>
        </w:rPr>
        <w:t>要求工期：</w:t>
      </w:r>
      <w:r>
        <w:rPr>
          <w:rFonts w:hint="eastAsia" w:hAnsi="宋体" w:cs="宋体"/>
          <w:bCs/>
          <w:color w:val="auto"/>
          <w:szCs w:val="21"/>
          <w:highlight w:val="none"/>
          <w:lang w:val="en-US" w:eastAsia="zh-CN"/>
        </w:rPr>
        <w:t>90</w:t>
      </w:r>
      <w:r>
        <w:rPr>
          <w:rFonts w:hint="eastAsia" w:hAnsi="宋体" w:cs="宋体"/>
          <w:bCs/>
          <w:color w:val="auto"/>
          <w:szCs w:val="21"/>
          <w:highlight w:val="none"/>
        </w:rPr>
        <w:t>天（日历天）</w:t>
      </w:r>
    </w:p>
    <w:p w14:paraId="6F10752E">
      <w:pPr>
        <w:pStyle w:val="178"/>
        <w:spacing w:line="360" w:lineRule="exact"/>
        <w:ind w:firstLine="420" w:firstLineChars="200"/>
        <w:rPr>
          <w:rFonts w:hAnsi="宋体" w:cs="宋体"/>
          <w:bCs/>
          <w:color w:val="auto"/>
          <w:szCs w:val="21"/>
          <w:highlight w:val="none"/>
        </w:rPr>
      </w:pPr>
      <w:r>
        <w:rPr>
          <w:rFonts w:hint="eastAsia" w:hAnsi="宋体" w:cs="宋体"/>
          <w:bCs/>
          <w:color w:val="auto"/>
          <w:szCs w:val="21"/>
          <w:highlight w:val="none"/>
        </w:rPr>
        <w:t>质量标准：符合国家施工验收规范合格标准。</w:t>
      </w:r>
    </w:p>
    <w:p w14:paraId="6E3BF0FA">
      <w:p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二、基本情况</w:t>
      </w:r>
      <w:r>
        <w:rPr>
          <w:rFonts w:hint="eastAsia" w:ascii="宋体" w:hAnsi="宋体" w:cs="宋体"/>
          <w:b/>
          <w:color w:val="auto"/>
          <w:highlight w:val="none"/>
        </w:rPr>
        <w:tab/>
      </w:r>
    </w:p>
    <w:p w14:paraId="44601C5B">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项目概况：</w:t>
      </w:r>
      <w:r>
        <w:rPr>
          <w:rFonts w:hint="eastAsia" w:ascii="宋体" w:hAnsi="宋体" w:eastAsia="宋体" w:cs="宋体"/>
          <w:color w:val="auto"/>
          <w:highlight w:val="none"/>
          <w:lang w:eastAsia="zh-CN"/>
        </w:rPr>
        <w:t>本工程为</w:t>
      </w:r>
      <w:r>
        <w:rPr>
          <w:rFonts w:hint="eastAsia" w:ascii="宋体" w:hAnsi="宋体" w:cs="宋体"/>
          <w:color w:val="auto"/>
          <w:highlight w:val="none"/>
          <w:lang w:eastAsia="zh-CN"/>
        </w:rPr>
        <w:t>桂平市2025年平坡至雅英岭等12个安防工程项目</w:t>
      </w:r>
      <w:r>
        <w:rPr>
          <w:rFonts w:hint="eastAsia" w:ascii="宋体" w:hAnsi="宋体" w:eastAsia="宋体" w:cs="宋体"/>
          <w:color w:val="auto"/>
          <w:highlight w:val="none"/>
          <w:lang w:eastAsia="zh-CN"/>
        </w:rPr>
        <w:t>，项目建设内容：</w:t>
      </w:r>
      <w:r>
        <w:rPr>
          <w:rFonts w:hint="eastAsia" w:ascii="宋体" w:hAnsi="宋体" w:eastAsia="宋体" w:cs="宋体"/>
          <w:color w:val="auto"/>
          <w:highlight w:val="none"/>
          <w:lang w:val="en-US" w:eastAsia="zh-CN"/>
        </w:rPr>
        <w:t>桂平市油麻镇安平村委至果得塘道路安防工程、桂平市油麻镇古都桥至平田道路安防工程、桂平市中沙镇竹山塝至姚屋道路安防工程等12个安防工程</w:t>
      </w:r>
      <w:r>
        <w:rPr>
          <w:rFonts w:hint="eastAsia" w:ascii="宋体" w:hAnsi="宋体" w:eastAsia="宋体" w:cs="宋体"/>
          <w:color w:val="auto"/>
          <w:highlight w:val="none"/>
          <w:lang w:eastAsia="zh-CN"/>
        </w:rPr>
        <w:t>。</w:t>
      </w:r>
      <w:r>
        <w:rPr>
          <w:rFonts w:hint="eastAsia" w:ascii="宋体" w:hAnsi="宋体" w:cs="宋体"/>
          <w:color w:val="auto"/>
          <w:highlight w:val="none"/>
        </w:rPr>
        <w:t>如需进一步了解详细内容，详见工程量清单及图纸。</w:t>
      </w:r>
    </w:p>
    <w:p w14:paraId="6F0D0602">
      <w:pPr>
        <w:spacing w:line="400" w:lineRule="exact"/>
        <w:ind w:firstLine="420" w:firstLineChars="200"/>
        <w:rPr>
          <w:rFonts w:ascii="宋体" w:hAnsi="宋体" w:cs="宋体"/>
          <w:bCs/>
          <w:color w:val="auto"/>
          <w:highlight w:val="none"/>
        </w:rPr>
      </w:pPr>
      <w:r>
        <w:rPr>
          <w:rFonts w:hint="eastAsia" w:ascii="宋体" w:hAnsi="宋体" w:cs="宋体"/>
          <w:bCs/>
          <w:color w:val="auto"/>
          <w:highlight w:val="none"/>
        </w:rPr>
        <w:t>建设单位：</w:t>
      </w:r>
      <w:r>
        <w:rPr>
          <w:rFonts w:hint="eastAsia" w:ascii="宋体" w:hAnsi="宋体" w:cs="宋体"/>
          <w:bCs/>
          <w:color w:val="auto"/>
          <w:highlight w:val="none"/>
          <w:lang w:eastAsia="zh-CN"/>
        </w:rPr>
        <w:t xml:space="preserve">桂平市公路管理所 </w:t>
      </w:r>
      <w:r>
        <w:rPr>
          <w:rFonts w:hint="eastAsia" w:ascii="宋体" w:hAnsi="宋体" w:cs="宋体"/>
          <w:bCs/>
          <w:color w:val="auto"/>
          <w:highlight w:val="none"/>
        </w:rPr>
        <w:t>。</w:t>
      </w:r>
    </w:p>
    <w:p w14:paraId="38B90726">
      <w:pPr>
        <w:numPr>
          <w:ilvl w:val="0"/>
          <w:numId w:val="6"/>
        </w:numPr>
        <w:spacing w:line="400" w:lineRule="exact"/>
        <w:ind w:firstLine="422" w:firstLineChars="200"/>
        <w:rPr>
          <w:rFonts w:ascii="宋体" w:hAnsi="宋体" w:cs="宋体"/>
          <w:b/>
          <w:color w:val="auto"/>
          <w:highlight w:val="none"/>
        </w:rPr>
      </w:pPr>
      <w:r>
        <w:rPr>
          <w:rFonts w:hint="eastAsia" w:ascii="宋体" w:hAnsi="宋体" w:cs="宋体"/>
          <w:b/>
          <w:color w:val="auto"/>
          <w:highlight w:val="none"/>
        </w:rPr>
        <w:t>商务条款</w:t>
      </w:r>
    </w:p>
    <w:p w14:paraId="384ED882">
      <w:pPr>
        <w:spacing w:line="400" w:lineRule="exact"/>
        <w:ind w:firstLine="420" w:firstLineChars="200"/>
        <w:rPr>
          <w:rFonts w:ascii="宋体" w:hAnsi="宋体"/>
          <w:bCs/>
          <w:color w:val="auto"/>
          <w:highlight w:val="none"/>
        </w:rPr>
      </w:pPr>
      <w:r>
        <w:rPr>
          <w:rFonts w:hint="eastAsia" w:ascii="宋体" w:hAnsi="宋体"/>
          <w:bCs/>
          <w:color w:val="auto"/>
          <w:highlight w:val="none"/>
        </w:rPr>
        <w:t>1、合同签订期：自成交通知书发出之日起25日内。</w:t>
      </w:r>
    </w:p>
    <w:p w14:paraId="2014412E">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2、磋商报价要求：工程量清单报价。磋商上限控制价同招标控制价，</w:t>
      </w:r>
      <w:r>
        <w:rPr>
          <w:rFonts w:hint="eastAsia" w:ascii="宋体" w:hAnsi="宋体"/>
          <w:bCs/>
          <w:color w:val="auto"/>
          <w:highlight w:val="none"/>
        </w:rPr>
        <w:t>最后报价与首次报价不一致的，须上传与最后报价一致的已标价工程量清单作为附件</w:t>
      </w:r>
      <w:r>
        <w:rPr>
          <w:rFonts w:hint="eastAsia" w:ascii="宋体" w:hAnsi="宋体" w:cs="宋体"/>
          <w:color w:val="auto"/>
          <w:highlight w:val="none"/>
        </w:rPr>
        <w:t>。</w:t>
      </w:r>
    </w:p>
    <w:p w14:paraId="493854D4">
      <w:pPr>
        <w:pStyle w:val="33"/>
        <w:rPr>
          <w:rFonts w:hint="eastAsia" w:eastAsia="宋体"/>
          <w:color w:val="auto"/>
          <w:highlight w:val="none"/>
          <w:lang w:val="en-US" w:eastAsia="zh-CN"/>
        </w:rPr>
      </w:pPr>
      <w:r>
        <w:rPr>
          <w:rFonts w:hint="eastAsia" w:ascii="宋体" w:hAnsi="宋体" w:cs="宋体"/>
          <w:color w:val="auto"/>
          <w:highlight w:val="none"/>
          <w:lang w:val="en-US" w:eastAsia="zh-CN"/>
        </w:rPr>
        <w:t xml:space="preserve">  </w:t>
      </w:r>
      <w:r>
        <w:rPr>
          <w:rFonts w:hint="eastAsia" w:ascii="宋体" w:hAnsi="宋体" w:eastAsia="宋体" w:cs="宋体"/>
          <w:b w:val="0"/>
          <w:bCs w:val="0"/>
          <w:caps w:val="0"/>
          <w:color w:val="auto"/>
          <w:kern w:val="2"/>
          <w:sz w:val="21"/>
          <w:szCs w:val="21"/>
          <w:highlight w:val="none"/>
          <w:lang w:val="en-US" w:eastAsia="zh-CN" w:bidi="ar-SA"/>
        </w:rPr>
        <w:t xml:space="preserve">  3、本工程计价时采用的增值税计税方法为：</w:t>
      </w:r>
      <w:r>
        <w:rPr>
          <w:rFonts w:hint="eastAsia" w:ascii="宋体" w:hAnsi="宋体" w:cs="宋体"/>
          <w:b w:val="0"/>
          <w:bCs w:val="0"/>
          <w:caps w:val="0"/>
          <w:color w:val="auto"/>
          <w:kern w:val="2"/>
          <w:sz w:val="21"/>
          <w:szCs w:val="21"/>
          <w:highlight w:val="none"/>
          <w:lang w:val="en-US" w:eastAsia="zh-CN" w:bidi="ar-SA"/>
        </w:rPr>
        <w:t>一般计税法</w:t>
      </w:r>
      <w:r>
        <w:rPr>
          <w:rFonts w:hint="eastAsia" w:ascii="宋体" w:hAnsi="宋体" w:eastAsia="宋体" w:cs="宋体"/>
          <w:b w:val="0"/>
          <w:bCs w:val="0"/>
          <w:caps w:val="0"/>
          <w:color w:val="auto"/>
          <w:kern w:val="2"/>
          <w:sz w:val="21"/>
          <w:szCs w:val="21"/>
          <w:highlight w:val="none"/>
          <w:lang w:val="en-US" w:eastAsia="zh-CN" w:bidi="ar-SA"/>
        </w:rPr>
        <w:t>。</w:t>
      </w:r>
    </w:p>
    <w:p w14:paraId="4AEB66EA">
      <w:pPr>
        <w:spacing w:line="400" w:lineRule="exact"/>
        <w:ind w:firstLine="420" w:firstLineChars="200"/>
        <w:rPr>
          <w:rFonts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、工程款付款方式：</w:t>
      </w:r>
    </w:p>
    <w:p w14:paraId="7F83794A">
      <w:pPr>
        <w:spacing w:line="400" w:lineRule="exact"/>
        <w:ind w:firstLine="420" w:firstLineChars="200"/>
        <w:rPr>
          <w:rFonts w:hint="eastAsia" w:ascii="宋体" w:hAnsi="宋体"/>
          <w:bCs/>
          <w:color w:val="auto"/>
          <w:highlight w:val="none"/>
        </w:rPr>
      </w:pPr>
      <w:r>
        <w:rPr>
          <w:rFonts w:hint="eastAsia" w:ascii="宋体" w:hAnsi="宋体"/>
          <w:bCs/>
          <w:color w:val="auto"/>
          <w:highlight w:val="none"/>
        </w:rPr>
        <w:t>（1）预付款：合同价款的30%。</w:t>
      </w:r>
    </w:p>
    <w:p w14:paraId="6F2DC409">
      <w:pPr>
        <w:spacing w:line="400" w:lineRule="exact"/>
        <w:ind w:firstLine="420" w:firstLineChars="200"/>
        <w:rPr>
          <w:rFonts w:hint="eastAsia" w:ascii="宋体" w:hAnsi="宋体"/>
          <w:bCs/>
          <w:color w:val="auto"/>
          <w:highlight w:val="none"/>
          <w:lang w:eastAsia="zh-CN"/>
        </w:rPr>
      </w:pPr>
      <w:r>
        <w:rPr>
          <w:rFonts w:hint="eastAsia" w:ascii="宋体" w:hAnsi="宋体"/>
          <w:bCs/>
          <w:color w:val="auto"/>
          <w:highlight w:val="none"/>
        </w:rPr>
        <w:t>（2）工程款支付方式：</w:t>
      </w:r>
      <w:r>
        <w:rPr>
          <w:rFonts w:hint="eastAsia" w:ascii="宋体" w:hAnsi="宋体"/>
          <w:bCs/>
          <w:color w:val="auto"/>
          <w:highlight w:val="none"/>
          <w:lang w:val="en-US" w:eastAsia="zh-CN"/>
        </w:rPr>
        <w:t>原则上工程款按工程进度支付，</w:t>
      </w:r>
      <w:r>
        <w:rPr>
          <w:rFonts w:hint="eastAsia" w:ascii="宋体" w:hAnsi="宋体"/>
          <w:bCs/>
          <w:color w:val="auto"/>
          <w:highlight w:val="none"/>
          <w:lang w:eastAsia="zh-CN"/>
        </w:rPr>
        <w:t>合同内进度款支付限额为已完成工程量的</w:t>
      </w:r>
      <w:r>
        <w:rPr>
          <w:rFonts w:hint="eastAsia" w:ascii="宋体" w:hAnsi="宋体"/>
          <w:bCs/>
          <w:color w:val="auto"/>
          <w:highlight w:val="none"/>
        </w:rPr>
        <w:t>85%，工程完工验收达到质量要求，结算经审计部门审定后</w:t>
      </w:r>
      <w:r>
        <w:rPr>
          <w:rFonts w:hint="eastAsia" w:ascii="宋体" w:hAnsi="宋体"/>
          <w:bCs/>
          <w:color w:val="auto"/>
          <w:highlight w:val="none"/>
          <w:lang w:eastAsia="zh-CN"/>
        </w:rPr>
        <w:t>，</w:t>
      </w:r>
      <w:r>
        <w:rPr>
          <w:rFonts w:hint="eastAsia" w:ascii="宋体" w:hAnsi="宋体" w:cs="宋体"/>
          <w:b w:val="0"/>
          <w:bCs w:val="0"/>
          <w:color w:val="auto"/>
          <w:kern w:val="0"/>
          <w:sz w:val="21"/>
          <w:szCs w:val="21"/>
          <w:highlight w:val="none"/>
          <w:lang w:val="en-US" w:eastAsia="zh-CN" w:bidi="ar-SA"/>
        </w:rPr>
        <w:t>成交人向采购人支付合同总额的3%作为项目质保金后，</w:t>
      </w:r>
      <w:r>
        <w:rPr>
          <w:rFonts w:hint="eastAsia" w:ascii="宋体" w:hAnsi="宋体" w:eastAsia="宋体" w:cs="宋体"/>
          <w:b w:val="0"/>
          <w:bCs w:val="0"/>
          <w:color w:val="auto"/>
          <w:kern w:val="0"/>
          <w:sz w:val="21"/>
          <w:szCs w:val="21"/>
          <w:highlight w:val="none"/>
          <w:lang w:val="en-US" w:eastAsia="zh-CN" w:bidi="ar-SA"/>
        </w:rPr>
        <w:t>采购人向成交人支付</w:t>
      </w:r>
      <w:r>
        <w:rPr>
          <w:rFonts w:hint="eastAsia" w:ascii="宋体" w:hAnsi="宋体" w:cs="宋体"/>
          <w:b w:val="0"/>
          <w:bCs w:val="0"/>
          <w:color w:val="auto"/>
          <w:kern w:val="0"/>
          <w:sz w:val="21"/>
          <w:szCs w:val="21"/>
          <w:highlight w:val="none"/>
          <w:lang w:val="en-US" w:eastAsia="zh-CN" w:bidi="ar-SA"/>
        </w:rPr>
        <w:t>至</w:t>
      </w:r>
      <w:r>
        <w:rPr>
          <w:rFonts w:hint="eastAsia" w:ascii="宋体" w:hAnsi="宋体" w:eastAsia="宋体" w:cs="宋体"/>
          <w:b w:val="0"/>
          <w:bCs w:val="0"/>
          <w:color w:val="auto"/>
          <w:kern w:val="0"/>
          <w:sz w:val="21"/>
          <w:szCs w:val="21"/>
          <w:highlight w:val="none"/>
          <w:lang w:val="en-US" w:eastAsia="zh-CN" w:bidi="ar-SA"/>
        </w:rPr>
        <w:t>合同总金额的</w:t>
      </w:r>
      <w:r>
        <w:rPr>
          <w:rFonts w:hint="eastAsia" w:ascii="宋体" w:hAnsi="宋体" w:cs="宋体"/>
          <w:b w:val="0"/>
          <w:bCs w:val="0"/>
          <w:color w:val="auto"/>
          <w:kern w:val="0"/>
          <w:sz w:val="21"/>
          <w:szCs w:val="21"/>
          <w:highlight w:val="none"/>
          <w:lang w:val="en-US" w:eastAsia="zh-CN" w:bidi="ar-SA"/>
        </w:rPr>
        <w:t>100</w:t>
      </w:r>
      <w:r>
        <w:rPr>
          <w:rFonts w:hint="eastAsia" w:ascii="宋体" w:hAnsi="宋体" w:eastAsia="宋体" w:cs="宋体"/>
          <w:b w:val="0"/>
          <w:bCs w:val="0"/>
          <w:color w:val="auto"/>
          <w:kern w:val="0"/>
          <w:sz w:val="21"/>
          <w:szCs w:val="21"/>
          <w:highlight w:val="none"/>
          <w:lang w:val="en-US" w:eastAsia="zh-CN" w:bidi="ar-SA"/>
        </w:rPr>
        <w:t>%，</w:t>
      </w:r>
      <w:r>
        <w:rPr>
          <w:rFonts w:hint="eastAsia" w:ascii="宋体" w:hAnsi="宋体"/>
          <w:bCs/>
          <w:color w:val="auto"/>
          <w:highlight w:val="none"/>
        </w:rPr>
        <w:t>待工程质量保修期满，经发包人、承包人及监理单位三方验收合格后，无息拨付给承包人</w:t>
      </w:r>
      <w:r>
        <w:rPr>
          <w:rFonts w:hint="eastAsia" w:ascii="宋体" w:hAnsi="宋体"/>
          <w:bCs/>
          <w:color w:val="auto"/>
          <w:highlight w:val="none"/>
          <w:lang w:eastAsia="zh-CN"/>
        </w:rPr>
        <w:t>。</w:t>
      </w:r>
      <w:r>
        <w:rPr>
          <w:rFonts w:hint="eastAsia" w:ascii="宋体" w:hAnsi="宋体" w:cs="宋体"/>
          <w:color w:val="auto"/>
          <w:kern w:val="0"/>
          <w:sz w:val="21"/>
          <w:highlight w:val="none"/>
          <w:u w:val="none"/>
          <w:lang w:val="en-US" w:eastAsia="zh-CN"/>
        </w:rPr>
        <w:t>（注：工程款项拨付时间以财政实际拨付为准。</w:t>
      </w:r>
      <w:r>
        <w:rPr>
          <w:rFonts w:hint="eastAsia" w:ascii="宋体" w:hAnsi="宋体" w:cs="宋体"/>
          <w:color w:val="auto"/>
          <w:kern w:val="0"/>
          <w:sz w:val="21"/>
          <w:highlight w:val="none"/>
          <w:u w:val="none"/>
          <w:lang w:val="zh-CN" w:eastAsia="zh-CN"/>
        </w:rPr>
        <w:t>）</w:t>
      </w:r>
    </w:p>
    <w:p w14:paraId="20D0098A">
      <w:pPr>
        <w:pStyle w:val="2"/>
        <w:numPr>
          <w:ilvl w:val="0"/>
          <w:numId w:val="0"/>
        </w:numPr>
        <w:tabs>
          <w:tab w:val="left" w:pos="3055"/>
          <w:tab w:val="clear" w:pos="1080"/>
        </w:tabs>
        <w:spacing w:line="440" w:lineRule="exact"/>
        <w:jc w:val="center"/>
        <w:rPr>
          <w:rFonts w:hint="eastAsia" w:eastAsia="宋体"/>
          <w:bCs/>
          <w:color w:val="auto"/>
          <w:szCs w:val="44"/>
          <w:highlight w:val="none"/>
        </w:rPr>
      </w:pPr>
    </w:p>
    <w:p w14:paraId="004A7C2D">
      <w:pPr>
        <w:rPr>
          <w:rFonts w:hint="eastAsia" w:eastAsia="宋体"/>
          <w:bCs/>
          <w:color w:val="auto"/>
          <w:szCs w:val="44"/>
          <w:highlight w:val="none"/>
        </w:rPr>
      </w:pPr>
    </w:p>
    <w:p w14:paraId="270A4F73">
      <w:pPr>
        <w:pStyle w:val="69"/>
        <w:rPr>
          <w:rFonts w:hint="eastAsia" w:eastAsia="宋体"/>
          <w:bCs/>
          <w:color w:val="auto"/>
          <w:szCs w:val="44"/>
          <w:highlight w:val="none"/>
        </w:rPr>
      </w:pPr>
    </w:p>
    <w:p w14:paraId="7A6F4709">
      <w:pPr>
        <w:rPr>
          <w:rFonts w:hint="eastAsia" w:eastAsia="宋体"/>
          <w:bCs/>
          <w:color w:val="auto"/>
          <w:szCs w:val="44"/>
          <w:highlight w:val="none"/>
        </w:rPr>
      </w:pPr>
    </w:p>
    <w:p w14:paraId="5BF5FD23">
      <w:pPr>
        <w:pStyle w:val="69"/>
        <w:rPr>
          <w:rFonts w:hint="eastAsia" w:eastAsia="宋体"/>
          <w:bCs/>
          <w:color w:val="auto"/>
          <w:szCs w:val="44"/>
          <w:highlight w:val="none"/>
        </w:rPr>
      </w:pPr>
    </w:p>
    <w:p w14:paraId="2439FCB4">
      <w:pPr>
        <w:rPr>
          <w:rFonts w:hint="eastAsia" w:eastAsia="宋体"/>
          <w:bCs/>
          <w:color w:val="auto"/>
          <w:szCs w:val="44"/>
          <w:highlight w:val="none"/>
        </w:rPr>
      </w:pPr>
    </w:p>
    <w:p w14:paraId="13AFDA7B">
      <w:pPr>
        <w:pStyle w:val="69"/>
        <w:rPr>
          <w:rFonts w:hint="eastAsia" w:eastAsia="宋体"/>
          <w:bCs/>
          <w:color w:val="auto"/>
          <w:szCs w:val="44"/>
          <w:highlight w:val="none"/>
        </w:rPr>
      </w:pPr>
    </w:p>
    <w:p w14:paraId="3DA53BD3">
      <w:pPr>
        <w:rPr>
          <w:rFonts w:hint="eastAsia" w:eastAsia="宋体"/>
          <w:bCs/>
          <w:color w:val="auto"/>
          <w:szCs w:val="44"/>
          <w:highlight w:val="none"/>
        </w:rPr>
      </w:pPr>
    </w:p>
    <w:p w14:paraId="3F0649B0">
      <w:pPr>
        <w:pStyle w:val="69"/>
        <w:rPr>
          <w:rFonts w:hint="eastAsia" w:eastAsia="宋体"/>
          <w:bCs/>
          <w:color w:val="auto"/>
          <w:szCs w:val="44"/>
          <w:highlight w:val="none"/>
        </w:rPr>
      </w:pPr>
    </w:p>
    <w:p w14:paraId="7EE68454">
      <w:pPr>
        <w:rPr>
          <w:rFonts w:hint="eastAsia"/>
          <w:color w:val="auto"/>
          <w:highlight w:val="none"/>
        </w:rPr>
      </w:pPr>
    </w:p>
    <w:p w14:paraId="44350022">
      <w:pPr>
        <w:pStyle w:val="2"/>
        <w:numPr>
          <w:ilvl w:val="0"/>
          <w:numId w:val="0"/>
        </w:numPr>
        <w:tabs>
          <w:tab w:val="left" w:pos="3055"/>
          <w:tab w:val="clear" w:pos="1080"/>
        </w:tabs>
        <w:spacing w:line="440" w:lineRule="exact"/>
        <w:jc w:val="center"/>
        <w:rPr>
          <w:rFonts w:hint="eastAsia" w:eastAsia="宋体"/>
          <w:bCs/>
          <w:color w:val="auto"/>
          <w:szCs w:val="44"/>
          <w:highlight w:val="none"/>
        </w:rPr>
      </w:pPr>
    </w:p>
    <w:p w14:paraId="2F2FE845">
      <w:pPr>
        <w:pStyle w:val="2"/>
        <w:numPr>
          <w:ilvl w:val="0"/>
          <w:numId w:val="0"/>
        </w:numPr>
        <w:tabs>
          <w:tab w:val="left" w:pos="3055"/>
          <w:tab w:val="clear" w:pos="1080"/>
        </w:tabs>
        <w:spacing w:line="440" w:lineRule="exact"/>
        <w:jc w:val="center"/>
        <w:rPr>
          <w:rFonts w:eastAsia="宋体"/>
          <w:bCs/>
          <w:color w:val="auto"/>
          <w:szCs w:val="44"/>
          <w:highlight w:val="none"/>
        </w:rPr>
      </w:pPr>
      <w:bookmarkStart w:id="69" w:name="_Toc32212"/>
      <w:r>
        <w:rPr>
          <w:rFonts w:hint="eastAsia" w:eastAsia="宋体"/>
          <w:bCs/>
          <w:color w:val="auto"/>
          <w:szCs w:val="44"/>
          <w:highlight w:val="none"/>
        </w:rPr>
        <w:t>第四章 工程量清单</w:t>
      </w:r>
      <w:bookmarkEnd w:id="66"/>
      <w:bookmarkEnd w:id="69"/>
    </w:p>
    <w:p w14:paraId="5F94D394">
      <w:pPr>
        <w:jc w:val="center"/>
        <w:rPr>
          <w:b/>
          <w:bCs/>
          <w:color w:val="auto"/>
          <w:kern w:val="44"/>
          <w:sz w:val="44"/>
          <w:szCs w:val="44"/>
          <w:highlight w:val="none"/>
        </w:rPr>
      </w:pPr>
      <w:r>
        <w:rPr>
          <w:rFonts w:hint="eastAsia"/>
          <w:b/>
          <w:bCs/>
          <w:color w:val="auto"/>
          <w:kern w:val="44"/>
          <w:sz w:val="44"/>
          <w:szCs w:val="44"/>
          <w:highlight w:val="none"/>
        </w:rPr>
        <w:t>（另附）</w:t>
      </w:r>
    </w:p>
    <w:p w14:paraId="1AB9EDF5">
      <w:pPr>
        <w:pStyle w:val="2"/>
        <w:numPr>
          <w:ilvl w:val="0"/>
          <w:numId w:val="0"/>
        </w:numPr>
        <w:spacing w:line="440" w:lineRule="exact"/>
        <w:jc w:val="center"/>
        <w:rPr>
          <w:rFonts w:eastAsia="宋体"/>
          <w:bCs/>
          <w:color w:val="auto"/>
          <w:highlight w:val="none"/>
        </w:rPr>
      </w:pPr>
      <w:r>
        <w:rPr>
          <w:color w:val="auto"/>
          <w:highlight w:val="none"/>
        </w:rPr>
        <w:br w:type="page"/>
      </w:r>
      <w:bookmarkStart w:id="70" w:name="_Toc18464"/>
      <w:bookmarkStart w:id="71" w:name="_Toc27698"/>
      <w:r>
        <w:rPr>
          <w:rFonts w:hint="eastAsia" w:eastAsia="宋体"/>
          <w:bCs/>
          <w:color w:val="auto"/>
          <w:highlight w:val="none"/>
        </w:rPr>
        <w:t>第五章  评审程序、评审方法和评审标准</w:t>
      </w:r>
      <w:bookmarkEnd w:id="70"/>
      <w:bookmarkEnd w:id="71"/>
    </w:p>
    <w:p w14:paraId="0B2AEA38">
      <w:pPr>
        <w:spacing w:line="400" w:lineRule="exact"/>
        <w:jc w:val="center"/>
        <w:rPr>
          <w:rFonts w:ascii="黑体" w:hAnsi="黑体" w:eastAsia="黑体" w:cs="宋体"/>
          <w:b/>
          <w:bCs/>
          <w:color w:val="auto"/>
          <w:sz w:val="24"/>
          <w:highlight w:val="none"/>
        </w:rPr>
      </w:pPr>
      <w:r>
        <w:rPr>
          <w:rFonts w:hint="eastAsia" w:ascii="宋体" w:hAnsi="宋体"/>
          <w:b/>
          <w:color w:val="auto"/>
          <w:sz w:val="32"/>
          <w:szCs w:val="32"/>
          <w:highlight w:val="none"/>
        </w:rPr>
        <w:t>一、评审程序和评审方法</w:t>
      </w:r>
    </w:p>
    <w:p w14:paraId="4BB1115E">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1</w:t>
      </w:r>
      <w:r>
        <w:rPr>
          <w:rFonts w:hint="eastAsia" w:ascii="黑体" w:hAnsi="黑体" w:eastAsia="黑体" w:cs="宋体"/>
          <w:b/>
          <w:bCs/>
          <w:color w:val="auto"/>
          <w:sz w:val="24"/>
          <w:highlight w:val="none"/>
        </w:rPr>
        <w:t>.资格审查</w:t>
      </w:r>
    </w:p>
    <w:p w14:paraId="1D962649">
      <w:pPr>
        <w:snapToGrid w:val="0"/>
        <w:spacing w:line="360" w:lineRule="auto"/>
        <w:ind w:firstLine="420" w:firstLineChars="200"/>
        <w:rPr>
          <w:rFonts w:ascii="宋体" w:hAnsi="宋体"/>
          <w:color w:val="auto"/>
          <w:highlight w:val="none"/>
        </w:rPr>
      </w:pPr>
      <w:r>
        <w:rPr>
          <w:rFonts w:ascii="宋体" w:hAnsi="宋体" w:cs="宋体"/>
          <w:color w:val="auto"/>
          <w:highlight w:val="none"/>
        </w:rPr>
        <w:t>1</w:t>
      </w:r>
      <w:r>
        <w:rPr>
          <w:rFonts w:hint="eastAsia" w:ascii="宋体" w:hAnsi="宋体" w:cs="宋体"/>
          <w:color w:val="auto"/>
          <w:highlight w:val="none"/>
        </w:rPr>
        <w:t>.1</w:t>
      </w:r>
      <w:r>
        <w:rPr>
          <w:rFonts w:hint="eastAsia" w:ascii="宋体" w:hAnsi="宋体"/>
          <w:color w:val="auto"/>
          <w:highlight w:val="none"/>
        </w:rPr>
        <w:t>响应文件开启后，磋商小组依法对供应商的资格证明文件进行审查。</w:t>
      </w:r>
    </w:p>
    <w:p w14:paraId="156E4730">
      <w:pPr>
        <w:snapToGrid w:val="0"/>
        <w:spacing w:line="360" w:lineRule="auto"/>
        <w:ind w:firstLine="420" w:firstLineChars="200"/>
        <w:jc w:val="left"/>
        <w:rPr>
          <w:rFonts w:ascii="宋体" w:hAnsi="宋体" w:cs="宋体"/>
          <w:color w:val="auto"/>
          <w:highlight w:val="none"/>
        </w:rPr>
      </w:pPr>
      <w:r>
        <w:rPr>
          <w:rFonts w:hint="eastAsia" w:ascii="宋体" w:hAnsi="宋体" w:cs="宋体"/>
          <w:color w:val="auto"/>
          <w:highlight w:val="none"/>
        </w:rPr>
        <w:t>（1）查询渠道：</w:t>
      </w:r>
      <w:r>
        <w:rPr>
          <w:rFonts w:ascii="宋体" w:hAnsi="宋体" w:cs="宋体"/>
          <w:color w:val="auto"/>
          <w:highlight w:val="none"/>
        </w:rPr>
        <w:t>“信用中国”网站（www.creditchina.gov.cn）、中国政府采购网（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cs="宋体"/>
          <w:color w:val="auto"/>
          <w:highlight w:val="none"/>
        </w:rPr>
        <w:t>www.ccgp.gov.cn</w:t>
      </w:r>
      <w:r>
        <w:rPr>
          <w:rFonts w:cs="宋体"/>
          <w:color w:val="auto"/>
          <w:highlight w:val="none"/>
        </w:rPr>
        <w:fldChar w:fldCharType="end"/>
      </w:r>
      <w:r>
        <w:rPr>
          <w:rFonts w:ascii="宋体" w:hAnsi="宋体" w:cs="宋体"/>
          <w:color w:val="auto"/>
          <w:highlight w:val="none"/>
        </w:rPr>
        <w:t>）</w:t>
      </w:r>
      <w:r>
        <w:rPr>
          <w:rFonts w:hint="eastAsia" w:ascii="宋体" w:hAnsi="宋体" w:cs="宋体"/>
          <w:color w:val="auto"/>
          <w:highlight w:val="none"/>
        </w:rPr>
        <w:t>。</w:t>
      </w:r>
    </w:p>
    <w:p w14:paraId="624619E7">
      <w:pPr>
        <w:snapToGrid w:val="0"/>
        <w:spacing w:line="360" w:lineRule="auto"/>
        <w:ind w:firstLine="420" w:firstLineChars="200"/>
        <w:jc w:val="left"/>
        <w:rPr>
          <w:rFonts w:ascii="宋体" w:hAnsi="宋体" w:cs="宋体"/>
          <w:color w:val="auto"/>
          <w:highlight w:val="none"/>
        </w:rPr>
      </w:pPr>
      <w:r>
        <w:rPr>
          <w:rFonts w:hint="eastAsia" w:ascii="宋体" w:hAnsi="宋体" w:cs="宋体"/>
          <w:color w:val="auto"/>
          <w:highlight w:val="none"/>
        </w:rPr>
        <w:t>（2）信用查询截止时点：</w:t>
      </w:r>
      <w:r>
        <w:rPr>
          <w:rFonts w:ascii="宋体" w:hAnsi="宋体" w:cs="宋体"/>
          <w:color w:val="auto"/>
          <w:highlight w:val="none"/>
        </w:rPr>
        <w:t>资格审查结束前</w:t>
      </w:r>
      <w:r>
        <w:rPr>
          <w:rFonts w:hint="eastAsia" w:ascii="宋体" w:hAnsi="宋体" w:cs="宋体"/>
          <w:color w:val="auto"/>
          <w:highlight w:val="none"/>
        </w:rPr>
        <w:t>。</w:t>
      </w:r>
    </w:p>
    <w:p w14:paraId="2CCC7B49">
      <w:pPr>
        <w:snapToGrid w:val="0"/>
        <w:spacing w:line="360" w:lineRule="auto"/>
        <w:ind w:firstLine="420" w:firstLineChars="200"/>
        <w:jc w:val="left"/>
        <w:rPr>
          <w:rFonts w:ascii="宋体" w:hAnsi="宋体" w:cs="宋体"/>
          <w:color w:val="auto"/>
          <w:highlight w:val="none"/>
        </w:rPr>
      </w:pPr>
      <w:r>
        <w:rPr>
          <w:rFonts w:hint="eastAsia" w:ascii="宋体" w:hAnsi="宋体" w:cs="宋体"/>
          <w:color w:val="auto"/>
          <w:highlight w:val="none"/>
        </w:rPr>
        <w:t>（3）查询记录和证据留存方式：通过</w:t>
      </w:r>
      <w:r>
        <w:rPr>
          <w:rFonts w:hint="eastAsia" w:ascii="宋体" w:hAnsi="宋体" w:cs="宋体"/>
          <w:bCs/>
          <w:color w:val="auto"/>
          <w:kern w:val="0"/>
          <w:highlight w:val="none"/>
        </w:rPr>
        <w:t>广西政府采购云平台</w:t>
      </w:r>
      <w:r>
        <w:rPr>
          <w:rFonts w:hint="eastAsia" w:ascii="宋体" w:hAnsi="宋体" w:cs="宋体"/>
          <w:color w:val="auto"/>
          <w:highlight w:val="none"/>
        </w:rPr>
        <w:t>链接到相关查询网站进行查询及记录。</w:t>
      </w:r>
    </w:p>
    <w:p w14:paraId="25EBB917">
      <w:pPr>
        <w:snapToGrid w:val="0"/>
        <w:spacing w:line="360" w:lineRule="auto"/>
        <w:ind w:firstLine="420" w:firstLineChars="200"/>
        <w:jc w:val="left"/>
        <w:rPr>
          <w:rFonts w:ascii="宋体" w:hAnsi="宋体" w:cs="宋体"/>
          <w:color w:val="auto"/>
          <w:highlight w:val="none"/>
        </w:rPr>
      </w:pPr>
      <w:r>
        <w:rPr>
          <w:rFonts w:hint="eastAsia" w:ascii="宋体" w:hAnsi="宋体" w:cs="宋体"/>
          <w:color w:val="auto"/>
          <w:highlight w:val="none"/>
        </w:rPr>
        <w:t>（4）信用信息使用规则：根据财政部《关于在政府采购活动中查询及使用信用记录有关问题的通知》（财库〔2016〕125号）的规定，对在“信用中国”网站(www.creditchina.gov.cn)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不得参与政府采购活动。</w:t>
      </w:r>
    </w:p>
    <w:p w14:paraId="4497C198">
      <w:pPr>
        <w:snapToGrid w:val="0"/>
        <w:spacing w:line="360" w:lineRule="auto"/>
        <w:ind w:firstLine="420" w:firstLineChars="200"/>
        <w:jc w:val="left"/>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.2资格审查标准为本磋商文件中载明对供应商资格要求的条件。资格审查采用合格制，凡符合磋商文件规定的供应商资格要求的响应文件均通过资格审查。</w:t>
      </w:r>
    </w:p>
    <w:p w14:paraId="040F7333">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.3供应商有下列情形之一的，资格审查不通过，其响应文件按无效响应处理：</w:t>
      </w:r>
    </w:p>
    <w:p w14:paraId="72F31C5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）不具备磋商文件中规定的资格要求的；</w:t>
      </w:r>
    </w:p>
    <w:p w14:paraId="3C05B5B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（2）响应文件的资格证明文件缺少任一项“供应商须知前附表”资格证明文件规定的“必须提供”的文件资料的；</w:t>
      </w:r>
    </w:p>
    <w:p w14:paraId="1C65746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（3）响应文件中的资格证明文件出现任一项不符合“供应商须知前附表”资格证明文件规定的“必须提供”的文件资料要求或者无效的；</w:t>
      </w:r>
    </w:p>
    <w:p w14:paraId="085D28D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（4）同一合同项下的不同供应商，单位负责人为同一人或者存在直接控股、管理关系的；为本项目提供过整体设计、规范编制或者项目管理、监理、检测等服务的供应商，再参加该采购项目的其他采购活动的。</w:t>
      </w:r>
    </w:p>
    <w:p w14:paraId="77F7F0CD">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.4通过资格审查的合格供应商不足3家的，不得进入符合性审查环节，</w:t>
      </w:r>
      <w:r>
        <w:rPr>
          <w:rFonts w:hint="eastAsia" w:ascii="宋体" w:hAnsi="宋体"/>
          <w:color w:val="auto"/>
          <w:highlight w:val="none"/>
        </w:rPr>
        <w:t>采购人或者采购代理机构应当重新开展采购活动。</w:t>
      </w:r>
    </w:p>
    <w:p w14:paraId="06A19506">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2</w:t>
      </w:r>
      <w:r>
        <w:rPr>
          <w:rFonts w:hint="eastAsia" w:ascii="黑体" w:hAnsi="黑体" w:eastAsia="黑体" w:cs="宋体"/>
          <w:b/>
          <w:bCs/>
          <w:color w:val="auto"/>
          <w:sz w:val="24"/>
          <w:highlight w:val="none"/>
        </w:rPr>
        <w:t>.符合性审查</w:t>
      </w:r>
    </w:p>
    <w:p w14:paraId="47152842">
      <w:pPr>
        <w:spacing w:line="360" w:lineRule="auto"/>
        <w:ind w:firstLine="420" w:firstLineChars="200"/>
        <w:rPr>
          <w:rFonts w:ascii="宋体" w:hAnsi="宋体" w:cs="宋体"/>
          <w:color w:val="auto"/>
          <w:highlight w:val="none"/>
        </w:rPr>
      </w:pPr>
      <w:bookmarkStart w:id="72" w:name="_Hlk42528882"/>
      <w:r>
        <w:rPr>
          <w:rFonts w:ascii="宋体" w:hAnsi="宋体" w:cs="宋体"/>
          <w:color w:val="auto"/>
          <w:highlight w:val="none"/>
        </w:rPr>
        <w:t>2.1</w:t>
      </w:r>
      <w:r>
        <w:rPr>
          <w:rFonts w:hint="eastAsia" w:ascii="宋体" w:hAnsi="宋体" w:cs="宋体"/>
          <w:color w:val="auto"/>
          <w:highlight w:val="none"/>
        </w:rPr>
        <w:t>由磋商小组对</w:t>
      </w:r>
      <w:r>
        <w:rPr>
          <w:rFonts w:hint="eastAsia" w:ascii="宋体" w:hAnsi="宋体"/>
          <w:color w:val="auto"/>
          <w:highlight w:val="none"/>
        </w:rPr>
        <w:t>资格审查的合格供应商</w:t>
      </w:r>
      <w:r>
        <w:rPr>
          <w:rFonts w:hint="eastAsia" w:ascii="宋体" w:hAnsi="宋体" w:cs="宋体"/>
          <w:color w:val="auto"/>
          <w:highlight w:val="none"/>
        </w:rPr>
        <w:t>的响应文件的竞标报价、商务、技术等实质性要求进行符合性审查，以确定其是否满足磋商文件的实质性要求。</w:t>
      </w:r>
    </w:p>
    <w:bookmarkEnd w:id="72"/>
    <w:p w14:paraId="590C85CF">
      <w:pPr>
        <w:spacing w:line="360" w:lineRule="auto"/>
        <w:ind w:firstLine="420" w:firstLineChars="200"/>
        <w:rPr>
          <w:rFonts w:ascii="宋体" w:hAnsi="宋体" w:cs="宋体"/>
          <w:color w:val="auto"/>
          <w:highlight w:val="none"/>
        </w:rPr>
      </w:pPr>
      <w:r>
        <w:rPr>
          <w:rFonts w:ascii="宋体" w:hAnsi="宋体" w:cs="宋体"/>
          <w:color w:val="auto"/>
          <w:highlight w:val="none"/>
        </w:rPr>
        <w:t>2.2</w:t>
      </w:r>
      <w:r>
        <w:rPr>
          <w:rFonts w:hint="eastAsia" w:ascii="宋体" w:hAnsi="宋体" w:cs="宋体"/>
          <w:color w:val="auto"/>
          <w:highlight w:val="none"/>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3D88FDD5">
      <w:pPr>
        <w:spacing w:line="360" w:lineRule="auto"/>
        <w:ind w:firstLine="420" w:firstLineChars="200"/>
        <w:rPr>
          <w:rFonts w:ascii="宋体" w:hAnsi="宋体" w:cs="宋体"/>
          <w:color w:val="auto"/>
          <w:spacing w:val="-6"/>
          <w:highlight w:val="none"/>
        </w:rPr>
      </w:pPr>
      <w:r>
        <w:rPr>
          <w:rFonts w:ascii="宋体" w:hAnsi="宋体" w:cs="宋体"/>
          <w:color w:val="auto"/>
          <w:highlight w:val="none"/>
        </w:rPr>
        <w:t>2</w:t>
      </w:r>
      <w:r>
        <w:rPr>
          <w:rFonts w:hint="eastAsia" w:ascii="宋体" w:hAnsi="宋体" w:cs="宋体"/>
          <w:color w:val="auto"/>
          <w:highlight w:val="none"/>
        </w:rPr>
        <w:t>.</w:t>
      </w:r>
      <w:r>
        <w:rPr>
          <w:rFonts w:ascii="宋体" w:hAnsi="宋体" w:cs="宋体"/>
          <w:color w:val="auto"/>
          <w:highlight w:val="none"/>
        </w:rPr>
        <w:t>3</w:t>
      </w:r>
      <w:r>
        <w:rPr>
          <w:rFonts w:hint="eastAsia" w:ascii="宋体" w:hAnsi="宋体" w:cs="宋体"/>
          <w:color w:val="auto"/>
          <w:highlight w:val="none"/>
        </w:rPr>
        <w:t>磋商小组要求供应商澄清、说明或者更正响应文件应当以电子澄清函形式作出。供应商的澄清、说明或者更正应当以电子回函形式按照磋商小组的要求作出明确的澄清、说明或者更正，未按磋商小组的要求作出明确澄清、说明或者更正的供应商的响应文件将按照有利于采购人的原则由磋商小组进行判定。供应商的澄清、说明或者更正必须由法定代表人或者其授权代表签字或加盖供应商公章</w:t>
      </w:r>
      <w:r>
        <w:rPr>
          <w:rFonts w:hint="eastAsia" w:ascii="宋体" w:hAnsi="宋体" w:cs="宋体"/>
          <w:color w:val="auto"/>
          <w:spacing w:val="-6"/>
          <w:highlight w:val="none"/>
        </w:rPr>
        <w:t>。供应商为自然人的，必须由本人签字并附身份证明。</w:t>
      </w:r>
    </w:p>
    <w:p w14:paraId="3A277B4D">
      <w:pPr>
        <w:spacing w:line="360" w:lineRule="auto"/>
        <w:ind w:firstLine="396" w:firstLineChars="200"/>
        <w:rPr>
          <w:rFonts w:ascii="宋体" w:hAnsi="宋体" w:cs="宋体"/>
          <w:color w:val="auto"/>
          <w:highlight w:val="none"/>
        </w:rPr>
      </w:pPr>
      <w:r>
        <w:rPr>
          <w:rFonts w:ascii="宋体" w:hAnsi="宋体" w:cs="宋体"/>
          <w:color w:val="auto"/>
          <w:spacing w:val="-6"/>
          <w:highlight w:val="none"/>
        </w:rPr>
        <w:t>2.4</w:t>
      </w:r>
      <w:r>
        <w:rPr>
          <w:rFonts w:hint="eastAsia" w:ascii="宋体" w:hAnsi="宋体" w:cs="宋体"/>
          <w:color w:val="auto"/>
          <w:highlight w:val="none"/>
        </w:rPr>
        <w:t xml:space="preserve">首次响应文件报价出现前后不一致的，按照下列规定修正： </w:t>
      </w:r>
    </w:p>
    <w:p w14:paraId="6CBDE94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（1）响应文件中报价表内容与响应文件中相应内容不一致的，以报价表为准；</w:t>
      </w:r>
    </w:p>
    <w:p w14:paraId="042FCB8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（2）大写金额和小写金额不一致的，以大写金额为准；</w:t>
      </w:r>
    </w:p>
    <w:p w14:paraId="55F7CAF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（3）单价金额小数点或者百分比有明显错位的，以报价表的总价为准，并修改单价；</w:t>
      </w:r>
    </w:p>
    <w:p w14:paraId="1C5D6DF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（4）总价金额与按单价汇总金额不一致的，以单价金额计算结果为准。</w:t>
      </w:r>
    </w:p>
    <w:p w14:paraId="3EC7454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同时出现两种以上不一致的，按照以上（1）-（4）规定的顺序逐条进行修正。修正后的报价经供应商确认后产生约束力，供应商不确认的，其响应文件按无效响应处理。</w:t>
      </w:r>
    </w:p>
    <w:p w14:paraId="261E2A44">
      <w:pPr>
        <w:spacing w:line="360" w:lineRule="auto"/>
        <w:ind w:firstLine="420" w:firstLineChars="200"/>
        <w:rPr>
          <w:rFonts w:ascii="宋体" w:hAnsi="宋体" w:cs="宋体"/>
          <w:color w:val="auto"/>
          <w:highlight w:val="none"/>
        </w:rPr>
      </w:pPr>
      <w:r>
        <w:rPr>
          <w:rFonts w:ascii="宋体" w:hAnsi="宋体" w:cs="宋体"/>
          <w:color w:val="auto"/>
          <w:highlight w:val="none"/>
        </w:rPr>
        <w:t>2</w:t>
      </w:r>
      <w:r>
        <w:rPr>
          <w:rFonts w:hint="eastAsia" w:ascii="宋体" w:hAnsi="宋体" w:cs="宋体"/>
          <w:color w:val="auto"/>
          <w:highlight w:val="none"/>
        </w:rPr>
        <w:t>.</w:t>
      </w:r>
      <w:r>
        <w:rPr>
          <w:rFonts w:ascii="宋体" w:hAnsi="宋体" w:cs="宋体"/>
          <w:color w:val="auto"/>
          <w:highlight w:val="none"/>
        </w:rPr>
        <w:t>5</w:t>
      </w:r>
      <w:r>
        <w:rPr>
          <w:rFonts w:hint="eastAsia" w:ascii="宋体" w:hAnsi="宋体" w:cs="宋体"/>
          <w:color w:val="auto"/>
          <w:highlight w:val="none"/>
        </w:rPr>
        <w:t>商务技术报价评审</w:t>
      </w:r>
    </w:p>
    <w:p w14:paraId="6821C09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在评审时，如发现下列情形之一的，将被视为响应文件无效响应处理：</w:t>
      </w:r>
    </w:p>
    <w:p w14:paraId="09C642E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（1）商务技术评审</w:t>
      </w:r>
    </w:p>
    <w:p w14:paraId="3592877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1）响应文件未按磋商文件要求签署、盖章；</w:t>
      </w:r>
    </w:p>
    <w:p w14:paraId="032A990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2）委托代理人未能出具有效身份证或者出具的身份证与授权委托书中的信息不符的； </w:t>
      </w:r>
    </w:p>
    <w:p w14:paraId="29CB057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3）提交的磋商保证金无效的或者未按照磋商文件的规定提交磋商保证金；</w:t>
      </w:r>
    </w:p>
    <w:p w14:paraId="066538F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4）响应文件中的报价商务技术文件出现任一项不符合“供应商须知前附表”中“必须提供”或者“委托时必须提供”文件资料要求的规定或者提供的报价商务技术文件无效。</w:t>
      </w:r>
    </w:p>
    <w:p w14:paraId="5EE756E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5）商务条款成交“▲”的条款发生负偏离或者允许负偏离的条款数超过“供应商须知前附表”规定项数的；</w:t>
      </w:r>
    </w:p>
    <w:p w14:paraId="6C50C4E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6）未对竞标有效期作出响应或者响应文件承诺的竞标有效期不满足磋商文件要求；</w:t>
      </w:r>
    </w:p>
    <w:p w14:paraId="68B5370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7）响应文件的实质性内容未使用中文表述、使用计量单位不符合磋商文件要求；</w:t>
      </w:r>
    </w:p>
    <w:p w14:paraId="2C454D4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8）响应文件中的文件资料因填写不齐全或者内容虚假或者出现其他情形而导致被磋商小组认定无效；</w:t>
      </w:r>
    </w:p>
    <w:p w14:paraId="6D3D419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9）响应文件含有采购人不能接受的附加条件；</w:t>
      </w:r>
    </w:p>
    <w:p w14:paraId="4E5BD76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10）属于“供应商须知正文”第7.</w:t>
      </w:r>
      <w:r>
        <w:rPr>
          <w:rFonts w:ascii="宋体" w:hAnsi="宋体" w:cs="宋体"/>
          <w:color w:val="auto"/>
          <w:highlight w:val="none"/>
        </w:rPr>
        <w:t>5</w:t>
      </w:r>
      <w:r>
        <w:rPr>
          <w:rFonts w:hint="eastAsia" w:ascii="宋体" w:hAnsi="宋体" w:cs="宋体"/>
          <w:color w:val="auto"/>
          <w:highlight w:val="none"/>
        </w:rPr>
        <w:t>条情形；</w:t>
      </w:r>
    </w:p>
    <w:p w14:paraId="16303B74">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1）技术要求成交“▲”的条款发生负偏离或允许负偏离的条款数超过“供应商须知前附表”规定项数的；</w:t>
      </w:r>
    </w:p>
    <w:p w14:paraId="178A3308">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2）虚假竞标，或者出现其他情形而导致被磋商小组认定无效；</w:t>
      </w:r>
    </w:p>
    <w:p w14:paraId="3BC55CB4">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3）</w:t>
      </w:r>
      <w:bookmarkStart w:id="73" w:name="_Hlk71704147"/>
      <w:r>
        <w:rPr>
          <w:rFonts w:hint="eastAsia" w:ascii="宋体" w:hAnsi="宋体" w:cs="宋体"/>
          <w:color w:val="auto"/>
          <w:highlight w:val="none"/>
        </w:rPr>
        <w:t>磋商文件未载明允许提供备选（替代）竞标方案或明确不允许提供备选（替代）竞标方案时，供应商提供了备选（替代）竞标方案的；</w:t>
      </w:r>
      <w:bookmarkEnd w:id="73"/>
    </w:p>
    <w:p w14:paraId="1D93B6EF">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4）响应文件标注的项目名称或者项目编号与磋商文件标注的项目名称或者项目编号不一致的；</w:t>
      </w:r>
    </w:p>
    <w:p w14:paraId="4ACCDBA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15）</w:t>
      </w:r>
      <w:r>
        <w:rPr>
          <w:rFonts w:hint="eastAsia" w:ascii="宋体" w:hAnsi="宋体"/>
          <w:color w:val="auto"/>
          <w:highlight w:val="none"/>
        </w:rPr>
        <w:t>竞争性磋商文件明确不允许分包，响应文件拟分包的；</w:t>
      </w:r>
    </w:p>
    <w:p w14:paraId="6C090804">
      <w:pPr>
        <w:spacing w:line="360" w:lineRule="auto"/>
        <w:ind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6）未响应磋商文件实质性要求；</w:t>
      </w:r>
    </w:p>
    <w:p w14:paraId="6BF24C3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17）法律、法规和磋商文件规定的其他无效情形。</w:t>
      </w:r>
    </w:p>
    <w:p w14:paraId="5ACE29F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）报价评审</w:t>
      </w:r>
    </w:p>
    <w:p w14:paraId="7044696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1）响应文件未提供“供应商须知前附表” 报价商务技术文件中规定的“竞标报价表”；</w:t>
      </w:r>
    </w:p>
    <w:p w14:paraId="1F10625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2）未采用人民币报价或者未按照磋商文件标明的币种报价；</w:t>
      </w:r>
    </w:p>
    <w:p w14:paraId="236AAB3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2E982D0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4）最后报价超过所竞标分标规定的采购预算金额或者最高限价的（如本项目公布了最高限价）；</w:t>
      </w:r>
      <w:bookmarkStart w:id="74" w:name="_Hlk42596405"/>
      <w:bookmarkEnd w:id="74"/>
    </w:p>
    <w:p w14:paraId="36F44F1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5）修正后的报价，供应商不确认的；或者经供应商确认修正后的最后报价超过所竞标分标规定的采购预算金额或者最高限价（如本项目公布了最高限价）；</w:t>
      </w:r>
    </w:p>
    <w:p w14:paraId="2E96F0F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6）</w:t>
      </w:r>
      <w:r>
        <w:rPr>
          <w:rFonts w:hint="eastAsia" w:ascii="宋体" w:hAnsi="宋体"/>
          <w:color w:val="auto"/>
          <w:highlight w:val="none"/>
        </w:rPr>
        <w:t>响应文件响应的标的数量及单位与竞争性磋商采购文件要求实质性不一致的。</w:t>
      </w:r>
    </w:p>
    <w:p w14:paraId="10654C07">
      <w:pPr>
        <w:spacing w:line="360" w:lineRule="auto"/>
        <w:ind w:firstLine="420" w:firstLineChars="200"/>
        <w:rPr>
          <w:rFonts w:ascii="宋体" w:hAnsi="宋体" w:cs="宋体"/>
          <w:color w:val="auto"/>
          <w:highlight w:val="none"/>
        </w:rPr>
      </w:pPr>
      <w:r>
        <w:rPr>
          <w:rFonts w:ascii="宋体" w:hAnsi="宋体" w:cs="宋体"/>
          <w:color w:val="auto"/>
          <w:highlight w:val="none"/>
        </w:rPr>
        <w:t>2.6</w:t>
      </w:r>
      <w:r>
        <w:rPr>
          <w:rFonts w:hint="eastAsia" w:ascii="宋体" w:hAnsi="宋体" w:cs="宋体"/>
          <w:color w:val="auto"/>
          <w:highlight w:val="none"/>
        </w:rPr>
        <w:t>磋商小组对响应文件进行评审，未实质性响应磋商文件的响应文件按无效响应处理，磋商小组应当将资格和符合性不通过的情况告知有关供应商。磋商小组从符合磋商文件规定的相应资格条件的供应商名单中确定不少于3家的供应商参加磋商。</w:t>
      </w:r>
    </w:p>
    <w:p w14:paraId="1EEDF112">
      <w:pPr>
        <w:spacing w:line="360" w:lineRule="auto"/>
        <w:ind w:firstLine="420" w:firstLineChars="200"/>
        <w:rPr>
          <w:rFonts w:ascii="宋体" w:hAnsi="宋体" w:cs="宋体"/>
          <w:color w:val="auto"/>
          <w:highlight w:val="none"/>
        </w:rPr>
      </w:pPr>
      <w:r>
        <w:rPr>
          <w:rFonts w:ascii="宋体" w:hAnsi="宋体" w:cs="宋体"/>
          <w:color w:val="auto"/>
          <w:highlight w:val="none"/>
        </w:rPr>
        <w:t>2.7</w:t>
      </w:r>
      <w:r>
        <w:rPr>
          <w:rFonts w:hint="eastAsia" w:ascii="宋体" w:hAnsi="宋体" w:cs="宋体"/>
          <w:color w:val="auto"/>
          <w:highlight w:val="none"/>
        </w:rPr>
        <w:t>非政府购买服务项目，通过符合性审查的合格供应商不足3家的，不得进入磋商环节，采购人或者采购代理机构应当重新开展采购活动。政府购买服务项目，按《财政部关于政府采购竞争性磋商采购方式管理暂行办法有关问题的补充通知》（财库〔2015〕124号）规定，采购过程中通过符合性审查的供应商（社会资本）只有2家的，磋商采购活动可以继续进行</w:t>
      </w:r>
      <w:r>
        <w:rPr>
          <w:rFonts w:hint="eastAsia" w:ascii="宋体" w:hAnsi="宋体"/>
          <w:color w:val="auto"/>
          <w:highlight w:val="none"/>
        </w:rPr>
        <w:t>。</w:t>
      </w:r>
    </w:p>
    <w:p w14:paraId="654921AC">
      <w:pPr>
        <w:spacing w:line="360" w:lineRule="auto"/>
        <w:ind w:firstLine="482" w:firstLineChars="200"/>
        <w:rPr>
          <w:rFonts w:ascii="黑体" w:hAnsi="黑体" w:eastAsia="黑体" w:cs="宋体"/>
          <w:b/>
          <w:bCs/>
          <w:color w:val="auto"/>
          <w:sz w:val="24"/>
          <w:highlight w:val="none"/>
        </w:rPr>
      </w:pPr>
      <w:r>
        <w:rPr>
          <w:rFonts w:ascii="黑体" w:hAnsi="黑体" w:eastAsia="黑体" w:cs="宋体"/>
          <w:b/>
          <w:bCs/>
          <w:color w:val="auto"/>
          <w:sz w:val="24"/>
          <w:highlight w:val="none"/>
        </w:rPr>
        <w:t>3</w:t>
      </w:r>
      <w:r>
        <w:rPr>
          <w:rFonts w:hint="eastAsia" w:ascii="黑体" w:hAnsi="黑体" w:eastAsia="黑体" w:cs="宋体"/>
          <w:b/>
          <w:bCs/>
          <w:color w:val="auto"/>
          <w:sz w:val="24"/>
          <w:highlight w:val="none"/>
        </w:rPr>
        <w:t>.磋商程序</w:t>
      </w:r>
    </w:p>
    <w:p w14:paraId="20E12285">
      <w:pPr>
        <w:spacing w:line="360" w:lineRule="auto"/>
        <w:ind w:firstLine="420" w:firstLineChars="200"/>
        <w:rPr>
          <w:rFonts w:ascii="宋体" w:hAnsi="宋体" w:cs="宋体"/>
          <w:color w:val="auto"/>
          <w:highlight w:val="none"/>
        </w:rPr>
      </w:pPr>
      <w:r>
        <w:rPr>
          <w:rFonts w:hint="eastAsia" w:ascii="宋体" w:hAnsi="宋体" w:cs="宋体"/>
          <w:color w:val="auto"/>
          <w:kern w:val="0"/>
          <w:highlight w:val="none"/>
        </w:rPr>
        <w:t>3</w:t>
      </w:r>
      <w:r>
        <w:rPr>
          <w:rFonts w:ascii="宋体" w:hAnsi="宋体" w:cs="宋体"/>
          <w:color w:val="auto"/>
          <w:kern w:val="0"/>
          <w:highlight w:val="none"/>
        </w:rPr>
        <w:t>.1</w:t>
      </w:r>
      <w:r>
        <w:rPr>
          <w:rFonts w:hint="eastAsia" w:ascii="宋体" w:hAnsi="宋体" w:cs="宋体"/>
          <w:color w:val="auto"/>
          <w:kern w:val="0"/>
          <w:highlight w:val="none"/>
        </w:rPr>
        <w:t>磋商小组按照“供应商须知前附表”确定的</w:t>
      </w:r>
      <w:r>
        <w:rPr>
          <w:rFonts w:hint="eastAsia" w:ascii="宋体" w:hAnsi="宋体" w:cs="宋体"/>
          <w:color w:val="auto"/>
          <w:highlight w:val="none"/>
        </w:rPr>
        <w:t>顺序，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响应处理。</w:t>
      </w:r>
    </w:p>
    <w:p w14:paraId="72A5E103">
      <w:pPr>
        <w:spacing w:line="360" w:lineRule="auto"/>
        <w:ind w:firstLine="420" w:firstLineChars="200"/>
        <w:rPr>
          <w:rFonts w:ascii="宋体" w:hAnsi="宋体" w:cs="宋体"/>
          <w:color w:val="auto"/>
          <w:highlight w:val="none"/>
        </w:rPr>
      </w:pPr>
      <w:r>
        <w:rPr>
          <w:rFonts w:ascii="宋体" w:hAnsi="宋体" w:cs="宋体"/>
          <w:color w:val="auto"/>
          <w:highlight w:val="none"/>
        </w:rPr>
        <w:t>3.2</w:t>
      </w:r>
      <w:r>
        <w:rPr>
          <w:rFonts w:hint="eastAsia" w:ascii="宋体" w:hAnsi="宋体" w:cs="宋体"/>
          <w:color w:val="auto"/>
          <w:highlight w:val="none"/>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1EE103C2">
      <w:pPr>
        <w:spacing w:line="360" w:lineRule="auto"/>
        <w:ind w:firstLine="420" w:firstLineChars="200"/>
        <w:rPr>
          <w:rFonts w:ascii="宋体" w:hAnsi="宋体" w:cs="宋体"/>
          <w:color w:val="auto"/>
          <w:highlight w:val="none"/>
        </w:rPr>
      </w:pPr>
      <w:r>
        <w:rPr>
          <w:rFonts w:ascii="宋体" w:hAnsi="宋体" w:cs="宋体"/>
          <w:color w:val="auto"/>
          <w:highlight w:val="none"/>
        </w:rPr>
        <w:t>3.3</w:t>
      </w:r>
      <w:r>
        <w:rPr>
          <w:rFonts w:hint="eastAsia" w:ascii="宋体" w:hAnsi="宋体" w:cs="宋体"/>
          <w:color w:val="auto"/>
          <w:highlight w:val="none"/>
        </w:rPr>
        <w:t>对磋商文件作出的实质性变动是磋商文件的有效组成部分，由磋商小组及时以电子磋商记录形式同时通知所有参加磋商的供应商。</w:t>
      </w:r>
    </w:p>
    <w:p w14:paraId="7DE62DDE">
      <w:pPr>
        <w:spacing w:line="360" w:lineRule="auto"/>
        <w:ind w:firstLine="420" w:firstLineChars="200"/>
        <w:rPr>
          <w:rFonts w:ascii="宋体" w:hAnsi="宋体" w:cs="宋体"/>
          <w:color w:val="auto"/>
          <w:highlight w:val="none"/>
        </w:rPr>
      </w:pPr>
      <w:r>
        <w:rPr>
          <w:rFonts w:ascii="宋体" w:hAnsi="宋体" w:cs="宋体"/>
          <w:color w:val="auto"/>
          <w:highlight w:val="none"/>
        </w:rPr>
        <w:t>3.4</w:t>
      </w:r>
      <w:r>
        <w:rPr>
          <w:rFonts w:hint="eastAsia" w:ascii="宋体" w:hAnsi="宋体" w:cs="宋体"/>
          <w:color w:val="auto"/>
          <w:highlight w:val="none"/>
        </w:rPr>
        <w:t>供应商必须按照磋商文件的变动情况和磋商小组的要求以电子回函的形式重新提交响应文件，并由其法定代表人或者授权代表签字或者加盖供应商公章。供应商为自然人的，必须由本人签字并附身份证明。参加磋商的供应商未在规定时间内以电子回函的形式重新提交响应文件的，视同退出磋商。</w:t>
      </w:r>
    </w:p>
    <w:p w14:paraId="73BAAB50">
      <w:pPr>
        <w:spacing w:line="360" w:lineRule="auto"/>
        <w:ind w:firstLine="420" w:firstLineChars="200"/>
        <w:rPr>
          <w:rFonts w:ascii="宋体" w:hAnsi="宋体" w:cs="宋体"/>
          <w:color w:val="auto"/>
          <w:highlight w:val="none"/>
        </w:rPr>
      </w:pPr>
      <w:r>
        <w:rPr>
          <w:rFonts w:ascii="宋体" w:hAnsi="宋体" w:cs="宋体"/>
          <w:color w:val="auto"/>
          <w:highlight w:val="none"/>
        </w:rPr>
        <w:t>3.5</w:t>
      </w:r>
      <w:r>
        <w:rPr>
          <w:rFonts w:hint="eastAsia" w:ascii="宋体" w:hAnsi="宋体" w:cs="宋体"/>
          <w:color w:val="auto"/>
          <w:highlight w:val="none"/>
        </w:rPr>
        <w:t>磋商中，</w:t>
      </w:r>
      <w:r>
        <w:rPr>
          <w:rFonts w:hint="eastAsia" w:ascii="宋体" w:hAnsi="宋体" w:cs="宋体"/>
          <w:color w:val="auto"/>
          <w:spacing w:val="-6"/>
          <w:highlight w:val="none"/>
        </w:rPr>
        <w:t>磋商的任何一方不得透露与磋商有关的其他供应商的技术资料、价格和其他信息。</w:t>
      </w:r>
    </w:p>
    <w:p w14:paraId="45EA9243">
      <w:pPr>
        <w:tabs>
          <w:tab w:val="left" w:pos="2835"/>
        </w:tabs>
        <w:spacing w:line="360" w:lineRule="auto"/>
        <w:ind w:firstLine="420" w:firstLineChars="200"/>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w:t>
      </w:r>
      <w:r>
        <w:rPr>
          <w:rFonts w:hint="eastAsia" w:ascii="宋体" w:hAnsi="宋体" w:cs="宋体"/>
          <w:color w:val="auto"/>
          <w:highlight w:val="none"/>
        </w:rPr>
        <w:t>6</w:t>
      </w:r>
      <w:r>
        <w:rPr>
          <w:rFonts w:hint="eastAsia" w:ascii="宋体" w:hAnsi="宋体"/>
          <w:color w:val="auto"/>
          <w:highlight w:val="none"/>
        </w:rPr>
        <w:t>对磋商过程提交的响应文件进行有效性、完整性和响应程度审查，通过审查的合格供应商不足3家的，采购人或者采购代理机构应当重新开展采购活动。</w:t>
      </w:r>
    </w:p>
    <w:p w14:paraId="2369FD05">
      <w:pPr>
        <w:widowControl/>
        <w:tabs>
          <w:tab w:val="left" w:pos="540"/>
        </w:tabs>
        <w:spacing w:line="360" w:lineRule="auto"/>
        <w:ind w:firstLine="420" w:firstLineChars="200"/>
        <w:jc w:val="left"/>
        <w:rPr>
          <w:rFonts w:ascii="宋体" w:hAnsi="宋体" w:cs="宋体"/>
          <w:color w:val="auto"/>
          <w:highlight w:val="none"/>
        </w:rPr>
      </w:pPr>
      <w:r>
        <w:rPr>
          <w:rFonts w:ascii="宋体" w:hAnsi="宋体" w:cs="宋体"/>
          <w:color w:val="auto"/>
          <w:highlight w:val="none"/>
        </w:rPr>
        <w:t>3.</w:t>
      </w:r>
      <w:r>
        <w:rPr>
          <w:rFonts w:hint="eastAsia" w:ascii="宋体" w:hAnsi="宋体" w:cs="宋体"/>
          <w:color w:val="auto"/>
          <w:highlight w:val="none"/>
        </w:rPr>
        <w:t>7</w:t>
      </w:r>
      <w:r>
        <w:rPr>
          <w:color w:val="auto"/>
          <w:highlight w:val="none"/>
        </w:rPr>
        <w:t>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4EEDB22">
      <w:pPr>
        <w:spacing w:line="360" w:lineRule="auto"/>
        <w:ind w:firstLine="482" w:firstLineChars="200"/>
        <w:rPr>
          <w:rFonts w:ascii="宋体" w:hAnsi="宋体" w:cs="宋体"/>
          <w:color w:val="auto"/>
          <w:highlight w:val="none"/>
        </w:rPr>
      </w:pPr>
      <w:r>
        <w:rPr>
          <w:rFonts w:ascii="黑体" w:hAnsi="黑体" w:eastAsia="黑体" w:cs="宋体"/>
          <w:b/>
          <w:bCs/>
          <w:color w:val="auto"/>
          <w:sz w:val="24"/>
          <w:highlight w:val="none"/>
        </w:rPr>
        <w:t>4.</w:t>
      </w:r>
      <w:r>
        <w:rPr>
          <w:rFonts w:hint="eastAsia" w:ascii="黑体" w:hAnsi="黑体" w:eastAsia="黑体" w:cs="宋体"/>
          <w:b/>
          <w:bCs/>
          <w:color w:val="auto"/>
          <w:sz w:val="24"/>
          <w:highlight w:val="none"/>
        </w:rPr>
        <w:t xml:space="preserve"> 最后报价</w:t>
      </w:r>
    </w:p>
    <w:p w14:paraId="6C6923C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w:t>
      </w:r>
      <w:r>
        <w:rPr>
          <w:rFonts w:ascii="宋体" w:hAnsi="宋体" w:cs="宋体"/>
          <w:color w:val="auto"/>
          <w:highlight w:val="none"/>
        </w:rPr>
        <w:t>.1</w:t>
      </w:r>
      <w:r>
        <w:rPr>
          <w:rFonts w:hint="eastAsia" w:ascii="宋体" w:hAnsi="宋体" w:cs="宋体"/>
          <w:color w:val="auto"/>
          <w:highlight w:val="none"/>
        </w:rPr>
        <w:t>磋商文件能够详细列明采购标的的技术、服务要求的，磋商结束后，由磋商小组要求所有继续参加磋商的供应商在规定时间内以电子文件形式提交最后报价</w:t>
      </w:r>
      <w:r>
        <w:rPr>
          <w:rFonts w:hint="eastAsia" w:ascii="宋体" w:hAnsi="宋体" w:cs="宋体"/>
          <w:b/>
          <w:bCs/>
          <w:color w:val="auto"/>
          <w:highlight w:val="none"/>
        </w:rPr>
        <w:t>（若最后报价有变动，必须将最后报价的固化清单加盖电子签章以附件形式上传，否则最后报价无效，以供应商的首次报价为最后报价）</w:t>
      </w:r>
      <w:r>
        <w:rPr>
          <w:rFonts w:hint="eastAsia" w:ascii="宋体" w:hAnsi="宋体" w:cs="宋体"/>
          <w:color w:val="auto"/>
          <w:highlight w:val="none"/>
        </w:rPr>
        <w:t>，除本章第2.7、3.7、</w:t>
      </w:r>
      <w:r>
        <w:rPr>
          <w:rFonts w:ascii="宋体" w:hAnsi="宋体" w:cs="宋体"/>
          <w:color w:val="auto"/>
          <w:highlight w:val="none"/>
        </w:rPr>
        <w:t>4.3</w:t>
      </w:r>
      <w:r>
        <w:rPr>
          <w:rFonts w:hint="eastAsia" w:ascii="宋体" w:hAnsi="宋体" w:cs="宋体"/>
          <w:color w:val="auto"/>
          <w:highlight w:val="none"/>
        </w:rPr>
        <w:t>条外，提交最后报价的供应商不得少于3家，否则必须重新采购。</w:t>
      </w:r>
    </w:p>
    <w:p w14:paraId="4A18E88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w:t>
      </w:r>
      <w:r>
        <w:rPr>
          <w:rFonts w:ascii="宋体" w:hAnsi="宋体" w:cs="宋体"/>
          <w:color w:val="auto"/>
          <w:highlight w:val="none"/>
        </w:rPr>
        <w:t>.2</w:t>
      </w:r>
      <w:r>
        <w:rPr>
          <w:rFonts w:hint="eastAsia" w:ascii="宋体" w:hAnsi="宋体" w:cs="宋体"/>
          <w:color w:val="auto"/>
          <w:highlight w:val="none"/>
        </w:rPr>
        <w:t>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以电子文件形式提交最后报价。</w:t>
      </w:r>
    </w:p>
    <w:p w14:paraId="09531309">
      <w:pPr>
        <w:spacing w:line="360" w:lineRule="auto"/>
        <w:ind w:firstLine="420" w:firstLineChars="200"/>
        <w:rPr>
          <w:rFonts w:ascii="宋体" w:hAnsi="宋体" w:cs="宋体"/>
          <w:color w:val="auto"/>
          <w:highlight w:val="none"/>
        </w:rPr>
      </w:pPr>
      <w:r>
        <w:rPr>
          <w:rFonts w:ascii="宋体" w:hAnsi="宋体" w:cs="宋体"/>
          <w:color w:val="auto"/>
          <w:highlight w:val="none"/>
        </w:rPr>
        <w:t>4.3</w:t>
      </w:r>
      <w:r>
        <w:rPr>
          <w:rFonts w:hint="eastAsia" w:ascii="宋体" w:hAnsi="宋体" w:cs="宋体"/>
          <w:color w:val="auto"/>
          <w:highlight w:val="none"/>
        </w:rPr>
        <w:t xml:space="preserve"> 最后报价是供应商响应文件的有效组成部分。符合《政府采购竞争性磋商采购方式管理暂行办法》（财库〔2014〕214号）第三条第四项“市场竞争不充分的科研项目，以及需要扶持的科技成果转化项目”和</w:t>
      </w:r>
      <w:r>
        <w:rPr>
          <w:color w:val="auto"/>
          <w:highlight w:val="none"/>
        </w:rPr>
        <w:t>本章第3.</w:t>
      </w:r>
      <w:r>
        <w:rPr>
          <w:rFonts w:hint="eastAsia"/>
          <w:color w:val="auto"/>
          <w:highlight w:val="none"/>
        </w:rPr>
        <w:t>7</w:t>
      </w:r>
      <w:r>
        <w:rPr>
          <w:color w:val="auto"/>
          <w:highlight w:val="none"/>
        </w:rPr>
        <w:t>条情形的，</w:t>
      </w:r>
      <w:r>
        <w:rPr>
          <w:rFonts w:hint="eastAsia" w:ascii="宋体" w:hAnsi="宋体" w:cs="宋体"/>
          <w:color w:val="auto"/>
          <w:highlight w:val="none"/>
        </w:rPr>
        <w:t>提交最后报价的供应商可以为2家。</w:t>
      </w:r>
    </w:p>
    <w:p w14:paraId="48F930F3">
      <w:pPr>
        <w:spacing w:line="360" w:lineRule="auto"/>
        <w:ind w:firstLine="420" w:firstLineChars="200"/>
        <w:rPr>
          <w:rFonts w:ascii="宋体" w:hAnsi="宋体" w:cs="宋体"/>
          <w:color w:val="auto"/>
          <w:highlight w:val="none"/>
        </w:rPr>
      </w:pPr>
      <w:r>
        <w:rPr>
          <w:rFonts w:ascii="宋体" w:hAnsi="宋体" w:cs="宋体"/>
          <w:color w:val="auto"/>
          <w:highlight w:val="none"/>
        </w:rPr>
        <w:t>4.4</w:t>
      </w:r>
      <w:r>
        <w:rPr>
          <w:rFonts w:hint="eastAsia" w:ascii="宋体" w:hAnsi="宋体" w:cs="宋体"/>
          <w:color w:val="auto"/>
          <w:highlight w:val="none"/>
        </w:rPr>
        <w:t>已经提交响应文件的供应商，在提交最后报价之前，可以根据磋商情况退出磋商，退出磋商的供应商的响应文件按无效响应处理。采购人、采购代理机构将退还退出磋商的供应商的保证金。</w:t>
      </w:r>
    </w:p>
    <w:p w14:paraId="4E60E410">
      <w:pPr>
        <w:spacing w:line="360" w:lineRule="auto"/>
        <w:ind w:firstLine="420" w:firstLineChars="200"/>
        <w:rPr>
          <w:rFonts w:ascii="宋体" w:hAnsi="宋体" w:cs="宋体"/>
          <w:color w:val="auto"/>
          <w:highlight w:val="none"/>
        </w:rPr>
      </w:pPr>
      <w:r>
        <w:rPr>
          <w:rFonts w:ascii="宋体" w:hAnsi="宋体" w:cs="宋体"/>
          <w:color w:val="auto"/>
          <w:highlight w:val="none"/>
        </w:rPr>
        <w:t>4.5</w:t>
      </w:r>
      <w:r>
        <w:rPr>
          <w:rFonts w:hint="eastAsia" w:ascii="宋体" w:hAnsi="宋体" w:cs="宋体"/>
          <w:color w:val="auto"/>
          <w:highlight w:val="none"/>
        </w:rPr>
        <w:t>供应商未在规定时间内提交最后报价的，视同退出磋商。</w:t>
      </w:r>
    </w:p>
    <w:p w14:paraId="6E11B741">
      <w:pPr>
        <w:spacing w:line="360" w:lineRule="auto"/>
        <w:ind w:firstLine="420" w:firstLineChars="200"/>
        <w:rPr>
          <w:rFonts w:ascii="宋体" w:hAnsi="宋体" w:cs="宋体"/>
          <w:color w:val="auto"/>
          <w:highlight w:val="none"/>
        </w:rPr>
      </w:pPr>
      <w:r>
        <w:rPr>
          <w:rFonts w:ascii="宋体" w:hAnsi="宋体" w:cs="宋体"/>
          <w:color w:val="auto"/>
          <w:highlight w:val="none"/>
        </w:rPr>
        <w:t>4.6</w:t>
      </w:r>
      <w:r>
        <w:rPr>
          <w:rFonts w:hint="eastAsia" w:ascii="宋体" w:hAnsi="宋体" w:cs="宋体"/>
          <w:color w:val="auto"/>
          <w:highlight w:val="none"/>
        </w:rPr>
        <w:t>磋商小组收齐某一分标最后报价后或达到规定时间后统一开启，磋商小组对最后报价进行有效性、完整性和响应程度的审查。</w:t>
      </w:r>
    </w:p>
    <w:p w14:paraId="03107374">
      <w:pPr>
        <w:spacing w:line="360" w:lineRule="auto"/>
        <w:ind w:firstLine="420" w:firstLineChars="200"/>
        <w:rPr>
          <w:rFonts w:ascii="宋体" w:hAnsi="宋体" w:cs="宋体"/>
          <w:color w:val="auto"/>
          <w:highlight w:val="none"/>
        </w:rPr>
      </w:pPr>
      <w:r>
        <w:rPr>
          <w:rFonts w:ascii="宋体" w:hAnsi="宋体" w:cs="宋体"/>
          <w:color w:val="auto"/>
          <w:highlight w:val="none"/>
        </w:rPr>
        <w:t>4.7</w:t>
      </w:r>
      <w:r>
        <w:rPr>
          <w:rFonts w:hint="eastAsia" w:ascii="宋体" w:hAnsi="宋体" w:cs="宋体"/>
          <w:color w:val="auto"/>
          <w:highlight w:val="none"/>
        </w:rPr>
        <w:t>响应文件最后报价出现前后不一致的，按照本章第</w:t>
      </w:r>
      <w:r>
        <w:rPr>
          <w:rFonts w:ascii="宋体" w:hAnsi="宋体" w:cs="宋体"/>
          <w:color w:val="auto"/>
          <w:highlight w:val="none"/>
        </w:rPr>
        <w:t>2.4</w:t>
      </w:r>
      <w:r>
        <w:rPr>
          <w:rFonts w:hint="eastAsia" w:ascii="宋体" w:hAnsi="宋体" w:cs="宋体"/>
          <w:color w:val="auto"/>
          <w:highlight w:val="none"/>
        </w:rPr>
        <w:t xml:space="preserve">条的规定修正。 </w:t>
      </w:r>
    </w:p>
    <w:p w14:paraId="636F2ACF">
      <w:pPr>
        <w:spacing w:line="360" w:lineRule="auto"/>
        <w:ind w:firstLine="420" w:firstLineChars="200"/>
        <w:rPr>
          <w:rFonts w:ascii="宋体" w:hAnsi="宋体" w:cs="宋体"/>
          <w:color w:val="auto"/>
          <w:highlight w:val="none"/>
        </w:rPr>
      </w:pPr>
      <w:r>
        <w:rPr>
          <w:rFonts w:ascii="宋体" w:hAnsi="宋体" w:cs="宋体"/>
          <w:color w:val="auto"/>
          <w:highlight w:val="none"/>
        </w:rPr>
        <w:t>4.8</w:t>
      </w:r>
      <w:r>
        <w:rPr>
          <w:rFonts w:hint="eastAsia" w:ascii="宋体" w:hAnsi="宋体" w:cs="宋体"/>
          <w:color w:val="auto"/>
          <w:highlight w:val="none"/>
        </w:rPr>
        <w:t>经供应商确认修正后的最后报价作为评审及签订合同的依据。</w:t>
      </w:r>
    </w:p>
    <w:p w14:paraId="555D288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w:t>
      </w:r>
      <w:r>
        <w:rPr>
          <w:rFonts w:ascii="宋体" w:hAnsi="宋体" w:cs="宋体"/>
          <w:color w:val="auto"/>
          <w:highlight w:val="none"/>
        </w:rPr>
        <w:t>9</w:t>
      </w:r>
      <w:r>
        <w:rPr>
          <w:rFonts w:hint="eastAsia" w:ascii="宋体" w:hAnsi="宋体" w:cs="宋体"/>
          <w:color w:val="auto"/>
          <w:highlight w:val="none"/>
        </w:rPr>
        <w:t>供应商出现最后报价按无效响应处理或者响应文件按无效响应处理时</w:t>
      </w:r>
      <w:r>
        <w:rPr>
          <w:rFonts w:hint="eastAsia" w:ascii="宋体" w:hAnsi="宋体"/>
          <w:color w:val="auto"/>
          <w:sz w:val="22"/>
          <w:szCs w:val="22"/>
          <w:highlight w:val="none"/>
        </w:rPr>
        <w:t>，磋商小组应当告知有关供应商</w:t>
      </w:r>
      <w:r>
        <w:rPr>
          <w:rFonts w:hint="eastAsia" w:ascii="宋体" w:hAnsi="宋体" w:cs="宋体"/>
          <w:color w:val="auto"/>
          <w:highlight w:val="none"/>
        </w:rPr>
        <w:t>。</w:t>
      </w:r>
    </w:p>
    <w:p w14:paraId="3DBE4D9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w:t>
      </w:r>
      <w:r>
        <w:rPr>
          <w:rFonts w:ascii="宋体" w:hAnsi="宋体" w:cs="宋体"/>
          <w:color w:val="auto"/>
          <w:highlight w:val="none"/>
        </w:rPr>
        <w:t>.10</w:t>
      </w:r>
      <w:r>
        <w:rPr>
          <w:rFonts w:hint="eastAsia" w:ascii="宋体" w:hAnsi="宋体" w:cs="宋体"/>
          <w:color w:val="auto"/>
          <w:highlight w:val="none"/>
        </w:rPr>
        <w:t>最后报价结束后，磋商小组不得再与供应商进行任何形式的商谈。</w:t>
      </w:r>
    </w:p>
    <w:p w14:paraId="138BF5EF">
      <w:pPr>
        <w:spacing w:line="360" w:lineRule="auto"/>
        <w:ind w:firstLine="482" w:firstLineChars="200"/>
        <w:rPr>
          <w:rFonts w:ascii="黑体" w:hAnsi="黑体" w:eastAsia="黑体" w:cs="宋体"/>
          <w:b/>
          <w:bCs/>
          <w:color w:val="auto"/>
          <w:sz w:val="24"/>
          <w:highlight w:val="none"/>
        </w:rPr>
      </w:pPr>
      <w:r>
        <w:rPr>
          <w:rFonts w:hint="eastAsia" w:ascii="黑体" w:hAnsi="黑体" w:eastAsia="黑体" w:cs="宋体"/>
          <w:b/>
          <w:bCs/>
          <w:color w:val="auto"/>
          <w:sz w:val="24"/>
          <w:highlight w:val="none"/>
        </w:rPr>
        <w:t>5</w:t>
      </w:r>
      <w:r>
        <w:rPr>
          <w:rFonts w:ascii="黑体" w:hAnsi="黑体" w:eastAsia="黑体" w:cs="宋体"/>
          <w:b/>
          <w:bCs/>
          <w:color w:val="auto"/>
          <w:sz w:val="24"/>
          <w:highlight w:val="none"/>
        </w:rPr>
        <w:t>.</w:t>
      </w:r>
      <w:r>
        <w:rPr>
          <w:rFonts w:hint="eastAsia" w:ascii="黑体" w:hAnsi="黑体" w:eastAsia="黑体" w:cs="宋体"/>
          <w:b/>
          <w:bCs/>
          <w:color w:val="auto"/>
          <w:sz w:val="24"/>
          <w:highlight w:val="none"/>
        </w:rPr>
        <w:t>比较与评价</w:t>
      </w:r>
    </w:p>
    <w:p w14:paraId="5F54F9AE">
      <w:pPr>
        <w:spacing w:line="360" w:lineRule="auto"/>
        <w:ind w:firstLine="420" w:firstLineChars="200"/>
        <w:rPr>
          <w:rFonts w:ascii="宋体" w:hAnsi="宋体" w:cs="宋体"/>
          <w:color w:val="auto"/>
          <w:highlight w:val="none"/>
        </w:rPr>
      </w:pPr>
      <w:r>
        <w:rPr>
          <w:rFonts w:ascii="宋体" w:hAnsi="宋体" w:cs="宋体"/>
          <w:color w:val="auto"/>
          <w:highlight w:val="none"/>
        </w:rPr>
        <w:t>5.1</w:t>
      </w:r>
      <w:r>
        <w:rPr>
          <w:rFonts w:hint="eastAsia" w:ascii="宋体" w:hAnsi="宋体" w:cs="宋体"/>
          <w:color w:val="auto"/>
          <w:highlight w:val="none"/>
        </w:rPr>
        <w:t>评审方法：综合评分法。</w:t>
      </w:r>
    </w:p>
    <w:p w14:paraId="5B69BA54">
      <w:pPr>
        <w:spacing w:line="360" w:lineRule="auto"/>
        <w:ind w:firstLine="420" w:firstLineChars="200"/>
        <w:rPr>
          <w:rFonts w:ascii="宋体" w:hAnsi="宋体" w:cs="宋体"/>
          <w:color w:val="auto"/>
          <w:highlight w:val="none"/>
        </w:rPr>
      </w:pPr>
      <w:r>
        <w:rPr>
          <w:rFonts w:ascii="宋体" w:hAnsi="宋体" w:cs="宋体"/>
          <w:color w:val="auto"/>
          <w:highlight w:val="none"/>
        </w:rPr>
        <w:t>5.2</w:t>
      </w:r>
      <w:r>
        <w:rPr>
          <w:rFonts w:hint="eastAsia" w:ascii="宋体" w:hAnsi="宋体" w:cs="宋体"/>
          <w:color w:val="auto"/>
          <w:highlight w:val="none"/>
        </w:rPr>
        <w:t>经磋商确定最终采购需求和提交最后报价的供应商后，由磋商小组采用综合评分法对提交最后报价的供应商的响应文件和最后报价进行综合评分。</w:t>
      </w:r>
    </w:p>
    <w:p w14:paraId="0DEC91CA">
      <w:pPr>
        <w:spacing w:line="360" w:lineRule="auto"/>
        <w:ind w:firstLine="420" w:firstLineChars="200"/>
        <w:rPr>
          <w:rFonts w:ascii="宋体" w:hAnsi="宋体" w:cs="宋体"/>
          <w:color w:val="auto"/>
          <w:highlight w:val="none"/>
        </w:rPr>
      </w:pPr>
      <w:r>
        <w:rPr>
          <w:rFonts w:ascii="宋体" w:hAnsi="宋体" w:cs="宋体"/>
          <w:color w:val="auto"/>
          <w:highlight w:val="none"/>
        </w:rPr>
        <w:t>5.3</w:t>
      </w:r>
      <w:r>
        <w:rPr>
          <w:rFonts w:hint="eastAsia" w:ascii="宋体" w:hAnsi="宋体" w:cs="宋体"/>
          <w:color w:val="auto"/>
          <w:highlight w:val="none"/>
        </w:rPr>
        <w:t>评审时，磋商小组各成员应当独立对每个有效响应的文件进行评价、打分，然后汇总每个供应商每项评分因素的得分。</w:t>
      </w:r>
    </w:p>
    <w:p w14:paraId="2CEE99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（1）磋商小组按照磋商文件中规定的评审标准计算各供应商的报价得分。项目评审过程中，不得去掉最后报价中的最高报价和最低报价。</w:t>
      </w:r>
    </w:p>
    <w:p w14:paraId="6842507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（2）各供应商的得分为磋商小组所有成员的有效评分的算术平均数。</w:t>
      </w:r>
    </w:p>
    <w:p w14:paraId="0F8247AC">
      <w:pPr>
        <w:spacing w:line="360" w:lineRule="auto"/>
        <w:ind w:firstLine="420" w:firstLineChars="200"/>
        <w:rPr>
          <w:rFonts w:ascii="宋体" w:hAnsi="宋体" w:cs="宋体"/>
          <w:color w:val="auto"/>
          <w:highlight w:val="none"/>
        </w:rPr>
      </w:pPr>
      <w:r>
        <w:rPr>
          <w:rFonts w:ascii="宋体" w:hAnsi="宋体" w:cs="宋体"/>
          <w:color w:val="auto"/>
          <w:highlight w:val="none"/>
        </w:rPr>
        <w:t>5.4</w:t>
      </w:r>
      <w:r>
        <w:rPr>
          <w:rFonts w:hint="eastAsia" w:ascii="宋体" w:hAnsi="宋体" w:cs="宋体"/>
          <w:color w:val="auto"/>
          <w:highlight w:val="none"/>
        </w:rPr>
        <w:t>评标价为供应商的最后报价进行政策性扣除后的价格，评标价只是作为评审时使用。最终成交供应商的成交金额等于最后报价（如有修正，以确认修正后的最后报价为准）。</w:t>
      </w:r>
    </w:p>
    <w:p w14:paraId="0CBABA32">
      <w:pPr>
        <w:spacing w:line="360" w:lineRule="auto"/>
        <w:ind w:firstLine="420" w:firstLineChars="200"/>
        <w:rPr>
          <w:rFonts w:ascii="宋体" w:hAnsi="宋体"/>
          <w:color w:val="auto"/>
          <w:kern w:val="0"/>
          <w:highlight w:val="none"/>
        </w:rPr>
      </w:pPr>
      <w:r>
        <w:rPr>
          <w:rFonts w:ascii="宋体" w:hAnsi="宋体" w:cs="宋体"/>
          <w:color w:val="auto"/>
          <w:highlight w:val="none"/>
        </w:rPr>
        <w:t>5.5</w:t>
      </w:r>
      <w:r>
        <w:rPr>
          <w:rFonts w:hint="eastAsia" w:ascii="宋体" w:hAnsi="宋体" w:cs="宋体"/>
          <w:color w:val="auto"/>
          <w:highlight w:val="none"/>
        </w:rPr>
        <w:t>由磋商小组根据综合评分情况，按照评审得分由高到低顺序推荐3名以上成交候选供应商，并编写评</w:t>
      </w:r>
      <w:r>
        <w:rPr>
          <w:rFonts w:hint="eastAsia" w:ascii="宋体" w:hAnsi="宋体"/>
          <w:color w:val="auto"/>
          <w:kern w:val="0"/>
          <w:highlight w:val="none"/>
        </w:rPr>
        <w:t>审报告。符合本章第</w:t>
      </w:r>
      <w:r>
        <w:rPr>
          <w:rFonts w:hint="eastAsia" w:ascii="宋体" w:hAnsi="宋体" w:cs="宋体"/>
          <w:color w:val="auto"/>
          <w:highlight w:val="none"/>
        </w:rPr>
        <w:t>2.7、3.7、</w:t>
      </w:r>
      <w:r>
        <w:rPr>
          <w:rFonts w:ascii="宋体" w:hAnsi="宋体" w:cs="宋体"/>
          <w:color w:val="auto"/>
          <w:highlight w:val="none"/>
        </w:rPr>
        <w:t>4.3</w:t>
      </w:r>
      <w:r>
        <w:rPr>
          <w:rFonts w:hint="eastAsia" w:ascii="宋体" w:hAnsi="宋体"/>
          <w:color w:val="auto"/>
          <w:kern w:val="0"/>
          <w:highlight w:val="none"/>
        </w:rPr>
        <w:t>条情形的，可以推荐2家成交候选供应商。评审得分相同的，按照最后报价由低到高的顺序推荐。评审得分且最后报价相同的，按照技术指标优劣顺序推荐。</w:t>
      </w:r>
    </w:p>
    <w:p w14:paraId="27FACEAF">
      <w:pPr>
        <w:spacing w:line="360" w:lineRule="auto"/>
        <w:ind w:firstLine="420" w:firstLineChars="200"/>
        <w:rPr>
          <w:rFonts w:ascii="宋体" w:hAnsi="宋体" w:cs="宋体"/>
          <w:color w:val="auto"/>
          <w:highlight w:val="none"/>
        </w:rPr>
      </w:pPr>
      <w:r>
        <w:rPr>
          <w:rFonts w:ascii="宋体" w:hAnsi="宋体"/>
          <w:color w:val="auto"/>
          <w:kern w:val="0"/>
          <w:highlight w:val="none"/>
        </w:rPr>
        <w:t>5.6</w:t>
      </w:r>
      <w:r>
        <w:rPr>
          <w:rFonts w:hint="eastAsia" w:ascii="宋体" w:hAnsi="宋体"/>
          <w:color w:val="auto"/>
          <w:kern w:val="0"/>
          <w:highlight w:val="none"/>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F1CCE84">
      <w:pPr>
        <w:spacing w:line="360" w:lineRule="auto"/>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二、评审标准</w:t>
      </w:r>
    </w:p>
    <w:p w14:paraId="67A3D944">
      <w:pPr>
        <w:numPr>
          <w:ilvl w:val="0"/>
          <w:numId w:val="7"/>
        </w:numPr>
        <w:spacing w:line="360" w:lineRule="auto"/>
        <w:ind w:firstLine="420" w:firstLineChars="200"/>
        <w:rPr>
          <w:rFonts w:hint="eastAsia" w:ascii="宋体" w:hAnsi="宋体"/>
          <w:bCs/>
          <w:color w:val="auto"/>
          <w:highlight w:val="none"/>
        </w:rPr>
      </w:pPr>
      <w:r>
        <w:rPr>
          <w:rFonts w:hint="eastAsia" w:ascii="宋体" w:hAnsi="宋体"/>
          <w:bCs/>
          <w:color w:val="auto"/>
          <w:highlight w:val="none"/>
        </w:rPr>
        <w:t>评审依据：磋商小组将以磋商响应文件为评审依据，对供应商的报价、针对本项目的项目实施方案、业绩等方面内容按百分制打分。（计分方法按四舍五入取至百分位）</w:t>
      </w:r>
    </w:p>
    <w:tbl>
      <w:tblPr>
        <w:tblStyle w:val="47"/>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80"/>
        <w:gridCol w:w="709"/>
        <w:gridCol w:w="1529"/>
        <w:gridCol w:w="5380"/>
      </w:tblGrid>
      <w:tr w14:paraId="24C5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30" w:type="dxa"/>
            <w:vAlign w:val="center"/>
          </w:tcPr>
          <w:p w14:paraId="517F4618">
            <w:pPr>
              <w:adjustRightInd w:val="0"/>
              <w:spacing w:line="410" w:lineRule="exact"/>
              <w:jc w:val="center"/>
              <w:textAlignment w:val="baseline"/>
              <w:rPr>
                <w:rFonts w:ascii="宋体" w:hAnsi="宋体"/>
                <w:b/>
                <w:bCs w:val="0"/>
                <w:color w:val="auto"/>
                <w:highlight w:val="none"/>
              </w:rPr>
            </w:pPr>
            <w:r>
              <w:rPr>
                <w:rFonts w:hint="eastAsia" w:ascii="宋体" w:hAnsi="宋体"/>
                <w:b/>
                <w:bCs w:val="0"/>
                <w:color w:val="auto"/>
                <w:highlight w:val="none"/>
              </w:rPr>
              <w:t>序号</w:t>
            </w:r>
          </w:p>
        </w:tc>
        <w:tc>
          <w:tcPr>
            <w:tcW w:w="1280" w:type="dxa"/>
            <w:vAlign w:val="center"/>
          </w:tcPr>
          <w:p w14:paraId="59FADC78">
            <w:pPr>
              <w:adjustRightInd w:val="0"/>
              <w:spacing w:line="410" w:lineRule="exact"/>
              <w:jc w:val="center"/>
              <w:textAlignment w:val="baseline"/>
              <w:rPr>
                <w:rFonts w:ascii="宋体" w:hAnsi="宋体"/>
                <w:b/>
                <w:bCs w:val="0"/>
                <w:color w:val="auto"/>
                <w:highlight w:val="none"/>
              </w:rPr>
            </w:pPr>
            <w:r>
              <w:rPr>
                <w:rFonts w:hint="eastAsia" w:ascii="宋体" w:hAnsi="宋体"/>
                <w:b/>
                <w:bCs w:val="0"/>
                <w:color w:val="auto"/>
                <w:highlight w:val="none"/>
              </w:rPr>
              <w:t>评审因素</w:t>
            </w:r>
          </w:p>
        </w:tc>
        <w:tc>
          <w:tcPr>
            <w:tcW w:w="709" w:type="dxa"/>
            <w:vAlign w:val="center"/>
          </w:tcPr>
          <w:p w14:paraId="070AA48D">
            <w:pPr>
              <w:adjustRightInd w:val="0"/>
              <w:spacing w:line="410" w:lineRule="exact"/>
              <w:jc w:val="center"/>
              <w:textAlignment w:val="baseline"/>
              <w:rPr>
                <w:rFonts w:ascii="宋体" w:hAnsi="宋体"/>
                <w:b/>
                <w:bCs w:val="0"/>
                <w:color w:val="auto"/>
                <w:highlight w:val="none"/>
              </w:rPr>
            </w:pPr>
            <w:r>
              <w:rPr>
                <w:rFonts w:hint="eastAsia" w:ascii="宋体" w:hAnsi="宋体"/>
                <w:b/>
                <w:bCs w:val="0"/>
                <w:color w:val="auto"/>
                <w:highlight w:val="none"/>
              </w:rPr>
              <w:t>分值</w:t>
            </w:r>
          </w:p>
        </w:tc>
        <w:tc>
          <w:tcPr>
            <w:tcW w:w="6909" w:type="dxa"/>
            <w:gridSpan w:val="2"/>
            <w:vAlign w:val="center"/>
          </w:tcPr>
          <w:p w14:paraId="702A378B">
            <w:pPr>
              <w:adjustRightInd w:val="0"/>
              <w:spacing w:line="410" w:lineRule="exact"/>
              <w:jc w:val="center"/>
              <w:textAlignment w:val="baseline"/>
              <w:rPr>
                <w:rFonts w:ascii="宋体" w:hAnsi="宋体"/>
                <w:b/>
                <w:color w:val="auto"/>
                <w:highlight w:val="none"/>
              </w:rPr>
            </w:pPr>
            <w:r>
              <w:rPr>
                <w:rFonts w:hint="eastAsia" w:ascii="宋体" w:hAnsi="宋体"/>
                <w:b/>
                <w:color w:val="auto"/>
                <w:highlight w:val="none"/>
              </w:rPr>
              <w:t>评标标准</w:t>
            </w:r>
          </w:p>
        </w:tc>
      </w:tr>
      <w:tr w14:paraId="0390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0" w:type="dxa"/>
            <w:vAlign w:val="center"/>
          </w:tcPr>
          <w:p w14:paraId="75086ACC">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rPr>
              <w:t>1</w:t>
            </w:r>
          </w:p>
        </w:tc>
        <w:tc>
          <w:tcPr>
            <w:tcW w:w="1280" w:type="dxa"/>
            <w:vAlign w:val="center"/>
          </w:tcPr>
          <w:p w14:paraId="3F9765A7">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rPr>
              <w:t>报价</w:t>
            </w:r>
          </w:p>
        </w:tc>
        <w:tc>
          <w:tcPr>
            <w:tcW w:w="709" w:type="dxa"/>
            <w:vAlign w:val="center"/>
          </w:tcPr>
          <w:p w14:paraId="04CCD1A3">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rPr>
              <w:t>30分</w:t>
            </w:r>
          </w:p>
        </w:tc>
        <w:tc>
          <w:tcPr>
            <w:tcW w:w="6909" w:type="dxa"/>
            <w:gridSpan w:val="2"/>
            <w:vAlign w:val="center"/>
          </w:tcPr>
          <w:p w14:paraId="42DE3F12">
            <w:pPr>
              <w:pStyle w:val="25"/>
              <w:spacing w:line="400" w:lineRule="exact"/>
              <w:ind w:right="267" w:rightChars="127" w:firstLine="420" w:firstLineChars="200"/>
              <w:outlineLvl w:val="2"/>
              <w:rPr>
                <w:rFonts w:ascii="Times New Roman" w:hAnsi="Times New Roman" w:cs="宋体"/>
                <w:color w:val="auto"/>
                <w:kern w:val="0"/>
                <w:szCs w:val="24"/>
                <w:highlight w:val="none"/>
              </w:rPr>
            </w:pPr>
            <w:r>
              <w:rPr>
                <w:rFonts w:hint="eastAsia" w:ascii="Times New Roman" w:hAnsi="Times New Roman" w:cs="宋体"/>
                <w:color w:val="auto"/>
                <w:kern w:val="0"/>
                <w:szCs w:val="24"/>
                <w:highlight w:val="none"/>
              </w:rPr>
              <w:t>（1）评标报价为投标人的投标报价进行政策性扣除后的价格，评标报价只是作为评标时使用。最终中标人的中标金额等于投标报价。</w:t>
            </w:r>
          </w:p>
          <w:p w14:paraId="4830B7C2">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w:t>
            </w:r>
            <w:r>
              <w:rPr>
                <w:rFonts w:hint="eastAsia" w:ascii="Times New Roman" w:hAnsi="Times New Roman" w:eastAsia="宋体" w:cs="宋体"/>
                <w:b w:val="0"/>
                <w:color w:val="auto"/>
                <w:kern w:val="0"/>
                <w:szCs w:val="24"/>
                <w:highlight w:val="none"/>
                <w:lang w:val="en-US" w:eastAsia="zh-CN"/>
              </w:rPr>
              <w:t>2</w:t>
            </w:r>
            <w:r>
              <w:rPr>
                <w:rFonts w:hint="eastAsia" w:ascii="Times New Roman" w:hAnsi="Times New Roman" w:eastAsia="宋体" w:cs="宋体"/>
                <w:b w:val="0"/>
                <w:color w:val="auto"/>
                <w:kern w:val="0"/>
                <w:szCs w:val="24"/>
                <w:highlight w:val="none"/>
              </w:rPr>
              <w:t>）</w:t>
            </w:r>
            <w:r>
              <w:rPr>
                <w:rFonts w:hint="eastAsia" w:ascii="Times New Roman" w:hAnsi="Times New Roman" w:eastAsia="宋体" w:cs="宋体"/>
                <w:b w:val="0"/>
                <w:color w:val="auto"/>
                <w:kern w:val="0"/>
                <w:szCs w:val="24"/>
                <w:highlight w:val="none"/>
                <w:lang w:eastAsia="zh-CN"/>
              </w:rPr>
              <w:t>按照</w:t>
            </w:r>
            <w:r>
              <w:rPr>
                <w:rFonts w:hint="eastAsia" w:ascii="Times New Roman" w:hAnsi="Times New Roman" w:eastAsia="宋体" w:cs="宋体"/>
                <w:b w:val="0"/>
                <w:color w:val="auto"/>
                <w:kern w:val="0"/>
                <w:szCs w:val="24"/>
                <w:highlight w:val="none"/>
              </w:rPr>
              <w:t>《政府采购促进中小企业发展管理办法》（财库[2020]46号）</w:t>
            </w:r>
            <w:r>
              <w:rPr>
                <w:rFonts w:hint="eastAsia" w:ascii="Times New Roman" w:hAnsi="Times New Roman" w:eastAsia="宋体" w:cs="宋体"/>
                <w:b w:val="0"/>
                <w:color w:val="auto"/>
                <w:kern w:val="0"/>
                <w:szCs w:val="24"/>
                <w:highlight w:val="none"/>
                <w:lang w:eastAsia="zh-CN"/>
              </w:rPr>
              <w:t>、《贵港市财政局关于进一步加大政府采购支持中小企业力度的通知》（贵财采〔2022〕</w:t>
            </w:r>
            <w:r>
              <w:rPr>
                <w:rFonts w:hint="eastAsia" w:ascii="Times New Roman" w:hAnsi="Times New Roman" w:eastAsia="宋体" w:cs="宋体"/>
                <w:b w:val="0"/>
                <w:color w:val="auto"/>
                <w:kern w:val="0"/>
                <w:szCs w:val="24"/>
                <w:highlight w:val="none"/>
                <w:lang w:val="en-US" w:eastAsia="zh-CN"/>
              </w:rPr>
              <w:t>7</w:t>
            </w:r>
            <w:r>
              <w:rPr>
                <w:rFonts w:hint="eastAsia" w:ascii="Times New Roman" w:hAnsi="Times New Roman" w:eastAsia="宋体" w:cs="宋体"/>
                <w:b w:val="0"/>
                <w:color w:val="auto"/>
                <w:kern w:val="0"/>
                <w:szCs w:val="24"/>
                <w:highlight w:val="none"/>
                <w:lang w:eastAsia="zh-CN"/>
              </w:rPr>
              <w:t>号）</w:t>
            </w:r>
            <w:r>
              <w:rPr>
                <w:rFonts w:hint="eastAsia" w:ascii="Times New Roman" w:hAnsi="Times New Roman" w:eastAsia="宋体" w:cs="宋体"/>
                <w:b w:val="0"/>
                <w:color w:val="auto"/>
                <w:kern w:val="0"/>
                <w:szCs w:val="24"/>
                <w:highlight w:val="none"/>
              </w:rPr>
              <w:t>的规定，投标人认定为小型和微型企业且所投产品均为小型、微型企业产品的（必须提供中小企业声明函，否则不予以认定），对投标报价给予5%的扣除，扣除后的价格为评标价，即评标价=投标报价×（1-5%）；大中型企业与小型、微型企业组成联合体投标，其中小型、微型企业的协议合同金额占到联合体协议合同总金额30%以上的，联合体投标报价给予2%的扣除，扣除后的价格为评标价，即评标价=投标报价×（1-2%）；除上述情况外，评标价=投标报价。</w:t>
            </w:r>
          </w:p>
          <w:p w14:paraId="372854FC">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参照《关于政府采购支持监狱企业发展有关问题的通知》（财库[2014]68号）、《关于我区政府采购支持监狱企业发展有关问题的通知》（桂财采[2015]24号）的规定，监狱企业视同小型、微型企业，享受小型、微型企业评审中价格扣除的政府采购政策。（必须提供相关证明文件，否则不予以认定）</w:t>
            </w:r>
          </w:p>
          <w:p w14:paraId="14FE85B6">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参照《三部门联合发布关于促进残疾人就业政府采购政策的通知》（财库[2017]141号）的规定，残疾人福利性单位视同小型、微型企业，享受小型、微型企业评审中价格扣除的政府采购政策。（必须提供残疾人福利性单位声明函，否则不予以认定）</w:t>
            </w:r>
          </w:p>
          <w:p w14:paraId="2B9646CB">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w:t>
            </w:r>
            <w:r>
              <w:rPr>
                <w:rFonts w:hint="eastAsia" w:ascii="Times New Roman" w:hAnsi="Times New Roman" w:eastAsia="宋体" w:cs="宋体"/>
                <w:b w:val="0"/>
                <w:color w:val="auto"/>
                <w:kern w:val="0"/>
                <w:szCs w:val="24"/>
                <w:highlight w:val="none"/>
                <w:lang w:val="en-US" w:eastAsia="zh-CN"/>
              </w:rPr>
              <w:t>3</w:t>
            </w:r>
            <w:r>
              <w:rPr>
                <w:rFonts w:hint="eastAsia" w:ascii="Times New Roman" w:hAnsi="Times New Roman" w:eastAsia="宋体" w:cs="宋体"/>
                <w:b w:val="0"/>
                <w:color w:val="auto"/>
                <w:kern w:val="0"/>
                <w:szCs w:val="24"/>
                <w:highlight w:val="none"/>
              </w:rPr>
              <w:t>）除上述情况外，评审报价=报价。</w:t>
            </w:r>
          </w:p>
          <w:p w14:paraId="41B77908">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w:t>
            </w:r>
            <w:r>
              <w:rPr>
                <w:rFonts w:hint="eastAsia" w:ascii="Times New Roman" w:hAnsi="Times New Roman" w:eastAsia="宋体" w:cs="宋体"/>
                <w:b w:val="0"/>
                <w:color w:val="auto"/>
                <w:kern w:val="0"/>
                <w:szCs w:val="24"/>
                <w:highlight w:val="none"/>
                <w:lang w:val="en-US" w:eastAsia="zh-CN"/>
              </w:rPr>
              <w:t>4</w:t>
            </w:r>
            <w:r>
              <w:rPr>
                <w:rFonts w:hint="eastAsia" w:ascii="Times New Roman" w:hAnsi="Times New Roman" w:eastAsia="宋体" w:cs="宋体"/>
                <w:b w:val="0"/>
                <w:color w:val="auto"/>
                <w:kern w:val="0"/>
                <w:szCs w:val="24"/>
                <w:highlight w:val="none"/>
              </w:rPr>
              <w:t>）以进入详评的且最后报价最低的供应商的价格为磋商基准价，其价格分为30分。</w:t>
            </w:r>
          </w:p>
          <w:p w14:paraId="032F6CE7">
            <w:pPr>
              <w:pStyle w:val="25"/>
              <w:spacing w:line="400" w:lineRule="exact"/>
              <w:ind w:right="267" w:rightChars="127" w:firstLine="420" w:firstLineChars="200"/>
              <w:outlineLvl w:val="2"/>
              <w:rPr>
                <w:rFonts w:hint="eastAsia" w:ascii="Times New Roman" w:hAnsi="Times New Roman" w:eastAsia="宋体" w:cs="宋体"/>
                <w:b w:val="0"/>
                <w:color w:val="auto"/>
                <w:kern w:val="0"/>
                <w:szCs w:val="24"/>
                <w:highlight w:val="none"/>
              </w:rPr>
            </w:pPr>
            <w:r>
              <w:rPr>
                <w:rFonts w:hint="eastAsia" w:ascii="Times New Roman" w:hAnsi="Times New Roman" w:eastAsia="宋体" w:cs="宋体"/>
                <w:b w:val="0"/>
                <w:color w:val="auto"/>
                <w:kern w:val="0"/>
                <w:szCs w:val="24"/>
                <w:highlight w:val="none"/>
              </w:rPr>
              <w:t>（</w:t>
            </w:r>
            <w:r>
              <w:rPr>
                <w:rFonts w:hint="eastAsia" w:ascii="Times New Roman" w:hAnsi="Times New Roman" w:eastAsia="宋体" w:cs="宋体"/>
                <w:b w:val="0"/>
                <w:color w:val="auto"/>
                <w:kern w:val="0"/>
                <w:szCs w:val="24"/>
                <w:highlight w:val="none"/>
                <w:lang w:val="en-US" w:eastAsia="zh-CN"/>
              </w:rPr>
              <w:t>5</w:t>
            </w:r>
            <w:r>
              <w:rPr>
                <w:rFonts w:hint="eastAsia" w:ascii="Times New Roman" w:hAnsi="Times New Roman" w:eastAsia="宋体" w:cs="宋体"/>
                <w:b w:val="0"/>
                <w:color w:val="auto"/>
                <w:kern w:val="0"/>
                <w:szCs w:val="24"/>
                <w:highlight w:val="none"/>
              </w:rPr>
              <w:t>）磋商报价得分=（磋商基准价/最后磋商报价）×30分</w:t>
            </w:r>
          </w:p>
          <w:p w14:paraId="4D544EAC">
            <w:pPr>
              <w:pStyle w:val="25"/>
              <w:spacing w:line="420" w:lineRule="exact"/>
              <w:rPr>
                <w:rFonts w:hint="eastAsia" w:hAnsi="宋体" w:cs="Courier New"/>
                <w:bCs/>
                <w:color w:val="auto"/>
                <w:kern w:val="2"/>
                <w:highlight w:val="none"/>
                <w:lang w:eastAsia="zh-CN"/>
              </w:rPr>
            </w:pPr>
            <w:r>
              <w:rPr>
                <w:rFonts w:hint="eastAsia" w:hAnsi="宋体" w:cs="Courier New"/>
                <w:bCs/>
                <w:color w:val="auto"/>
                <w:kern w:val="2"/>
                <w:highlight w:val="none"/>
                <w:lang w:eastAsia="zh-CN"/>
              </w:rPr>
              <w:t>（</w:t>
            </w:r>
            <w:r>
              <w:rPr>
                <w:rFonts w:hint="eastAsia" w:ascii="宋体" w:hAnsi="宋体" w:cs="宋体"/>
                <w:b/>
                <w:bCs w:val="0"/>
                <w:color w:val="auto"/>
                <w:szCs w:val="21"/>
                <w:highlight w:val="none"/>
                <w:lang w:val="en-US" w:eastAsia="zh-CN"/>
              </w:rPr>
              <w:t>如本项目为专门面对中小微企业项目，小微企业、监狱企业、残疾人福利性单位不再执行价格评审优惠的扶持政策，</w:t>
            </w:r>
            <w:r>
              <w:rPr>
                <w:rFonts w:hint="eastAsia" w:hAnsi="宋体"/>
                <w:b/>
                <w:bCs w:val="0"/>
                <w:color w:val="auto"/>
                <w:highlight w:val="none"/>
              </w:rPr>
              <w:t>所有竞标人的</w:t>
            </w:r>
            <w:r>
              <w:rPr>
                <w:rFonts w:hint="eastAsia" w:ascii="宋体" w:hAnsi="宋体" w:cs="宋体"/>
                <w:b/>
                <w:bCs w:val="0"/>
                <w:color w:val="auto"/>
                <w:szCs w:val="21"/>
                <w:highlight w:val="none"/>
                <w:lang w:val="en-US" w:eastAsia="zh-CN"/>
              </w:rPr>
              <w:t>评审价=最后报价。</w:t>
            </w:r>
            <w:r>
              <w:rPr>
                <w:rFonts w:hint="eastAsia" w:hAnsi="宋体" w:cs="Courier New"/>
                <w:bCs/>
                <w:color w:val="auto"/>
                <w:kern w:val="2"/>
                <w:highlight w:val="none"/>
                <w:lang w:eastAsia="zh-CN"/>
              </w:rPr>
              <w:t>）</w:t>
            </w:r>
          </w:p>
          <w:p w14:paraId="3DC9F402">
            <w:pPr>
              <w:pStyle w:val="25"/>
              <w:spacing w:line="420" w:lineRule="exact"/>
              <w:rPr>
                <w:rFonts w:hint="eastAsia" w:hAnsi="宋体" w:cs="Courier New"/>
                <w:bCs/>
                <w:color w:val="auto"/>
                <w:kern w:val="2"/>
                <w:highlight w:val="none"/>
                <w:lang w:eastAsia="zh-CN"/>
              </w:rPr>
            </w:pPr>
          </w:p>
        </w:tc>
      </w:tr>
      <w:tr w14:paraId="58E7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30" w:type="dxa"/>
            <w:vMerge w:val="restart"/>
            <w:vAlign w:val="center"/>
          </w:tcPr>
          <w:p w14:paraId="14EBE6C7">
            <w:pPr>
              <w:adjustRightInd w:val="0"/>
              <w:spacing w:line="360" w:lineRule="auto"/>
              <w:jc w:val="center"/>
              <w:textAlignment w:val="baseline"/>
              <w:rPr>
                <w:rFonts w:hint="eastAsia" w:ascii="宋体" w:hAnsi="宋体" w:eastAsia="宋体"/>
                <w:b/>
                <w:color w:val="auto"/>
                <w:highlight w:val="none"/>
                <w:lang w:eastAsia="zh-CN"/>
              </w:rPr>
            </w:pPr>
            <w:r>
              <w:rPr>
                <w:rFonts w:hint="eastAsia" w:ascii="宋体" w:hAnsi="宋体"/>
                <w:b/>
                <w:color w:val="auto"/>
                <w:highlight w:val="none"/>
                <w:lang w:val="en-US" w:eastAsia="zh-CN"/>
              </w:rPr>
              <w:t>2</w:t>
            </w:r>
          </w:p>
        </w:tc>
        <w:tc>
          <w:tcPr>
            <w:tcW w:w="1280" w:type="dxa"/>
            <w:vMerge w:val="restart"/>
            <w:vAlign w:val="center"/>
          </w:tcPr>
          <w:p w14:paraId="4A5F3B0F">
            <w:pPr>
              <w:spacing w:line="400" w:lineRule="exact"/>
              <w:jc w:val="left"/>
              <w:rPr>
                <w:rFonts w:ascii="宋体" w:hAnsi="宋体" w:cs="宋体"/>
                <w:b/>
                <w:bCs w:val="0"/>
                <w:color w:val="auto"/>
                <w:highlight w:val="none"/>
              </w:rPr>
            </w:pPr>
            <w:r>
              <w:rPr>
                <w:rFonts w:hint="eastAsia" w:ascii="宋体" w:hAnsi="宋体" w:cs="宋体"/>
                <w:b/>
                <w:bCs w:val="0"/>
                <w:color w:val="auto"/>
                <w:kern w:val="0"/>
                <w:highlight w:val="none"/>
              </w:rPr>
              <w:t>施工组织设计</w:t>
            </w:r>
          </w:p>
        </w:tc>
        <w:tc>
          <w:tcPr>
            <w:tcW w:w="709" w:type="dxa"/>
            <w:vMerge w:val="restart"/>
            <w:vAlign w:val="center"/>
          </w:tcPr>
          <w:p w14:paraId="01AC0D9A">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lang w:val="en-US" w:eastAsia="zh-CN"/>
              </w:rPr>
              <w:t>52.00</w:t>
            </w:r>
            <w:r>
              <w:rPr>
                <w:rFonts w:hint="eastAsia" w:ascii="宋体" w:hAnsi="宋体"/>
                <w:b/>
                <w:bCs w:val="0"/>
                <w:color w:val="auto"/>
                <w:highlight w:val="none"/>
              </w:rPr>
              <w:t>分</w:t>
            </w:r>
          </w:p>
        </w:tc>
        <w:tc>
          <w:tcPr>
            <w:tcW w:w="1529" w:type="dxa"/>
            <w:vAlign w:val="center"/>
          </w:tcPr>
          <w:p w14:paraId="7D078D38">
            <w:pPr>
              <w:spacing w:line="400" w:lineRule="exact"/>
              <w:jc w:val="left"/>
              <w:rPr>
                <w:rFonts w:ascii="宋体" w:hAnsi="宋体"/>
                <w:bCs/>
                <w:color w:val="auto"/>
                <w:highlight w:val="none"/>
              </w:rPr>
            </w:pPr>
            <w:r>
              <w:rPr>
                <w:rFonts w:hint="eastAsia" w:ascii="宋体" w:hAnsi="宋体"/>
                <w:bCs/>
                <w:color w:val="auto"/>
                <w:highlight w:val="none"/>
                <w:lang w:val="zh-CN" w:eastAsia="zh-CN"/>
              </w:rPr>
              <w:t>施工</w:t>
            </w:r>
            <w:r>
              <w:rPr>
                <w:rFonts w:hint="eastAsia" w:ascii="宋体" w:hAnsi="宋体"/>
                <w:bCs/>
                <w:color w:val="auto"/>
                <w:highlight w:val="none"/>
                <w:lang w:val="zh-CN"/>
              </w:rPr>
              <w:t>实施方案</w:t>
            </w:r>
            <w:r>
              <w:rPr>
                <w:rFonts w:hint="eastAsia" w:ascii="宋体" w:hAnsi="宋体"/>
                <w:bCs/>
                <w:color w:val="auto"/>
                <w:highlight w:val="none"/>
              </w:rPr>
              <w:t>（1</w:t>
            </w:r>
            <w:r>
              <w:rPr>
                <w:rFonts w:hint="eastAsia" w:ascii="宋体" w:hAnsi="宋体"/>
                <w:bCs/>
                <w:color w:val="auto"/>
                <w:highlight w:val="none"/>
                <w:lang w:val="en-US" w:eastAsia="zh-CN"/>
              </w:rPr>
              <w:t>5</w:t>
            </w:r>
            <w:r>
              <w:rPr>
                <w:rFonts w:hint="eastAsia" w:ascii="宋体" w:hAnsi="宋体"/>
                <w:bCs/>
                <w:color w:val="auto"/>
                <w:highlight w:val="none"/>
              </w:rPr>
              <w:t>分）</w:t>
            </w:r>
          </w:p>
        </w:tc>
        <w:tc>
          <w:tcPr>
            <w:tcW w:w="5380" w:type="dxa"/>
            <w:vAlign w:val="center"/>
          </w:tcPr>
          <w:p w14:paraId="789C1F13">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磋商小组根据供应商提供的项目实施方案，包括但不限于项目实施机构、拟采用的施工方法、技术方案、质量保证措施、质量承诺、</w:t>
            </w:r>
            <w:r>
              <w:rPr>
                <w:rFonts w:hint="eastAsia" w:ascii="宋体" w:hAnsi="宋体" w:cs="宋体"/>
                <w:color w:val="auto"/>
                <w:highlight w:val="none"/>
              </w:rPr>
              <w:t>突发情况的承诺和应急措施</w:t>
            </w:r>
            <w:r>
              <w:rPr>
                <w:rFonts w:hint="eastAsia" w:ascii="宋体" w:hAnsi="宋体" w:cs="宋体"/>
                <w:color w:val="auto"/>
                <w:highlight w:val="none"/>
                <w:lang w:val="en-US" w:eastAsia="zh-CN"/>
              </w:rPr>
              <w:t>等内容进行综合评审，</w:t>
            </w:r>
            <w:r>
              <w:rPr>
                <w:rFonts w:hint="eastAsia" w:ascii="宋体" w:hAnsi="宋体" w:cs="宋体"/>
                <w:color w:val="auto"/>
                <w:highlight w:val="none"/>
              </w:rPr>
              <w:t>以下各项不重复计分：</w:t>
            </w:r>
          </w:p>
          <w:p w14:paraId="70F86B37">
            <w:pPr>
              <w:spacing w:line="400" w:lineRule="exact"/>
              <w:ind w:firstLine="420" w:firstLineChars="200"/>
              <w:jc w:val="left"/>
              <w:rPr>
                <w:rFonts w:hint="eastAsia" w:ascii="宋体" w:hAnsi="宋体" w:cs="宋体"/>
                <w:color w:val="auto"/>
                <w:highlight w:val="none"/>
                <w:lang w:eastAsia="zh-CN"/>
              </w:rPr>
            </w:pPr>
            <w:r>
              <w:rPr>
                <w:rFonts w:hint="eastAsia" w:ascii="宋体" w:hAnsi="宋体" w:cs="宋体"/>
                <w:color w:val="auto"/>
                <w:highlight w:val="none"/>
                <w:lang w:val="en-US" w:eastAsia="zh-CN"/>
              </w:rPr>
              <w:t>一档（5分）：供应商提供的项目实施方案满足项目采购需求，组建有项目实施机构，组织管控措施得力；拟采用的施工方法、施工技术方案符合本项目所涉及的主要维修项目工程施工要求，得5分；</w:t>
            </w:r>
          </w:p>
          <w:p w14:paraId="0921C64B">
            <w:pPr>
              <w:spacing w:line="400" w:lineRule="exact"/>
              <w:ind w:firstLine="420" w:firstLineChars="200"/>
              <w:jc w:val="left"/>
              <w:rPr>
                <w:rFonts w:hint="eastAsia" w:ascii="宋体" w:hAnsi="宋体" w:cs="宋体"/>
                <w:color w:val="auto"/>
                <w:highlight w:val="none"/>
                <w:lang w:eastAsia="zh-CN"/>
              </w:rPr>
            </w:pPr>
            <w:r>
              <w:rPr>
                <w:rFonts w:hint="eastAsia" w:ascii="宋体" w:hAnsi="宋体" w:cs="宋体"/>
                <w:color w:val="auto"/>
                <w:highlight w:val="none"/>
                <w:lang w:eastAsia="zh-CN"/>
              </w:rPr>
              <w:t>二</w:t>
            </w:r>
            <w:r>
              <w:rPr>
                <w:rFonts w:hint="eastAsia" w:ascii="宋体" w:hAnsi="宋体" w:cs="宋体"/>
                <w:color w:val="auto"/>
                <w:highlight w:val="none"/>
                <w:lang w:val="en-US" w:eastAsia="zh-CN"/>
              </w:rPr>
              <w:t>档</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10分</w:t>
            </w:r>
            <w:r>
              <w:rPr>
                <w:rFonts w:hint="eastAsia" w:ascii="宋体" w:hAnsi="宋体" w:cs="宋体"/>
                <w:color w:val="auto"/>
                <w:highlight w:val="none"/>
                <w:lang w:eastAsia="zh-CN"/>
              </w:rPr>
              <w:t>）：在</w:t>
            </w:r>
            <w:r>
              <w:rPr>
                <w:rFonts w:hint="eastAsia" w:ascii="宋体" w:hAnsi="宋体" w:cs="宋体"/>
                <w:color w:val="auto"/>
                <w:highlight w:val="none"/>
                <w:lang w:val="en-US" w:eastAsia="zh-CN"/>
              </w:rPr>
              <w:t>一档的基础上</w:t>
            </w:r>
            <w:r>
              <w:rPr>
                <w:rFonts w:hint="eastAsia" w:ascii="宋体" w:hAnsi="宋体" w:cs="宋体"/>
                <w:color w:val="auto"/>
                <w:highlight w:val="none"/>
              </w:rPr>
              <w:t>，</w:t>
            </w:r>
            <w:r>
              <w:rPr>
                <w:rFonts w:hint="eastAsia" w:ascii="宋体" w:hAnsi="宋体" w:cs="宋体"/>
                <w:color w:val="auto"/>
                <w:highlight w:val="none"/>
                <w:lang w:val="en-US" w:eastAsia="zh-CN"/>
              </w:rPr>
              <w:t>针对本项目涉及的主要维修项目工程的主要工序有质量技术保证措施和手段，自控体系完整，能有效保证施工质量</w:t>
            </w:r>
            <w:r>
              <w:rPr>
                <w:rFonts w:hint="eastAsia" w:ascii="宋体" w:hAnsi="宋体" w:cs="宋体"/>
                <w:color w:val="auto"/>
                <w:highlight w:val="none"/>
              </w:rPr>
              <w:t>，得</w:t>
            </w:r>
            <w:r>
              <w:rPr>
                <w:rFonts w:hint="eastAsia" w:ascii="宋体" w:hAnsi="宋体" w:cs="宋体"/>
                <w:color w:val="auto"/>
                <w:highlight w:val="none"/>
                <w:lang w:val="en-US" w:eastAsia="zh-CN"/>
              </w:rPr>
              <w:t>10</w:t>
            </w:r>
            <w:r>
              <w:rPr>
                <w:rFonts w:hint="eastAsia" w:ascii="宋体" w:hAnsi="宋体" w:cs="宋体"/>
                <w:color w:val="auto"/>
                <w:highlight w:val="none"/>
              </w:rPr>
              <w:t>分</w:t>
            </w:r>
            <w:r>
              <w:rPr>
                <w:rFonts w:hint="eastAsia" w:ascii="宋体" w:hAnsi="宋体" w:cs="宋体"/>
                <w:color w:val="auto"/>
                <w:highlight w:val="none"/>
                <w:lang w:eastAsia="zh-CN"/>
              </w:rPr>
              <w:t>；</w:t>
            </w:r>
          </w:p>
          <w:p w14:paraId="7E042176">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三档（15分）：在</w:t>
            </w:r>
            <w:r>
              <w:rPr>
                <w:rFonts w:hint="eastAsia" w:ascii="宋体" w:hAnsi="宋体" w:cs="宋体"/>
                <w:color w:val="auto"/>
                <w:highlight w:val="none"/>
                <w:lang w:eastAsia="zh-CN"/>
              </w:rPr>
              <w:t>二</w:t>
            </w:r>
            <w:r>
              <w:rPr>
                <w:rFonts w:hint="eastAsia" w:ascii="宋体" w:hAnsi="宋体" w:cs="宋体"/>
                <w:color w:val="auto"/>
                <w:highlight w:val="none"/>
                <w:lang w:val="en-US" w:eastAsia="zh-CN"/>
              </w:rPr>
              <w:t>档的基础上，有专门的质量技术管理班子和制度，且人员配备合理，制度健全，</w:t>
            </w:r>
            <w:r>
              <w:rPr>
                <w:rFonts w:hint="eastAsia" w:ascii="宋体" w:hAnsi="宋体" w:cs="宋体"/>
                <w:color w:val="auto"/>
                <w:highlight w:val="none"/>
              </w:rPr>
              <w:t>质量保证措施方案</w:t>
            </w:r>
            <w:r>
              <w:rPr>
                <w:rFonts w:hint="eastAsia" w:ascii="宋体" w:hAnsi="宋体" w:cs="宋体"/>
                <w:color w:val="auto"/>
                <w:highlight w:val="none"/>
                <w:lang w:val="en-US" w:eastAsia="zh-CN"/>
              </w:rPr>
              <w:t>能完全响应项目采购需求；承诺严格按国家有关技术规范及操作规程进行施工，工程质量达到国家建设工程施工质量验收规范合格标准的；</w:t>
            </w:r>
            <w:r>
              <w:rPr>
                <w:rFonts w:hint="eastAsia" w:ascii="宋体" w:hAnsi="宋体" w:cs="宋体"/>
                <w:color w:val="auto"/>
                <w:highlight w:val="none"/>
              </w:rPr>
              <w:t>针对项目实施过程中出现的突发情况有及时响应的承诺和应急措施</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得15分。</w:t>
            </w:r>
          </w:p>
          <w:p w14:paraId="3EE3343F">
            <w:pPr>
              <w:spacing w:line="400" w:lineRule="exact"/>
              <w:jc w:val="left"/>
              <w:rPr>
                <w:rFonts w:ascii="宋体" w:hAnsi="宋体" w:cs="宋体"/>
                <w:color w:val="auto"/>
                <w:highlight w:val="none"/>
              </w:rPr>
            </w:pPr>
            <w:r>
              <w:rPr>
                <w:rFonts w:hint="eastAsia" w:ascii="宋体" w:hAnsi="宋体" w:cs="宋体"/>
                <w:color w:val="auto"/>
                <w:highlight w:val="none"/>
                <w:lang w:val="en-US" w:eastAsia="zh-CN"/>
              </w:rPr>
              <w:t>注：供应商未提供</w:t>
            </w:r>
            <w:r>
              <w:rPr>
                <w:rFonts w:hint="eastAsia" w:ascii="宋体" w:hAnsi="宋体" w:cs="宋体"/>
                <w:color w:val="auto"/>
                <w:highlight w:val="none"/>
                <w:lang w:val="zh-CN"/>
              </w:rPr>
              <w:t>项目实施方案</w:t>
            </w:r>
            <w:r>
              <w:rPr>
                <w:rFonts w:hint="eastAsia" w:ascii="宋体" w:hAnsi="宋体" w:cs="宋体"/>
                <w:color w:val="auto"/>
                <w:highlight w:val="none"/>
                <w:lang w:val="en-US" w:eastAsia="zh-CN"/>
              </w:rPr>
              <w:t>或</w:t>
            </w:r>
            <w:r>
              <w:rPr>
                <w:rFonts w:hint="eastAsia" w:ascii="宋体" w:hAnsi="宋体" w:cs="宋体"/>
                <w:color w:val="auto"/>
                <w:highlight w:val="none"/>
                <w:lang w:val="zh-CN"/>
              </w:rPr>
              <w:t>项目实施方案</w:t>
            </w:r>
            <w:r>
              <w:rPr>
                <w:rFonts w:hint="eastAsia" w:ascii="宋体" w:hAnsi="宋体" w:cs="宋体"/>
                <w:color w:val="auto"/>
                <w:highlight w:val="none"/>
                <w:lang w:val="en-US" w:eastAsia="zh-CN"/>
              </w:rPr>
              <w:t>未达到一档标准要求的，得0分。</w:t>
            </w:r>
          </w:p>
        </w:tc>
      </w:tr>
      <w:tr w14:paraId="55C1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30" w:type="dxa"/>
            <w:vMerge w:val="continue"/>
            <w:vAlign w:val="center"/>
          </w:tcPr>
          <w:p w14:paraId="04F454B0">
            <w:pPr>
              <w:spacing w:line="360" w:lineRule="auto"/>
              <w:jc w:val="left"/>
              <w:rPr>
                <w:color w:val="auto"/>
                <w:highlight w:val="none"/>
              </w:rPr>
            </w:pPr>
          </w:p>
        </w:tc>
        <w:tc>
          <w:tcPr>
            <w:tcW w:w="1280" w:type="dxa"/>
            <w:vMerge w:val="continue"/>
            <w:vAlign w:val="center"/>
          </w:tcPr>
          <w:p w14:paraId="3483E59A">
            <w:pPr>
              <w:spacing w:line="360" w:lineRule="auto"/>
              <w:jc w:val="left"/>
              <w:rPr>
                <w:color w:val="auto"/>
                <w:highlight w:val="none"/>
              </w:rPr>
            </w:pPr>
          </w:p>
        </w:tc>
        <w:tc>
          <w:tcPr>
            <w:tcW w:w="709" w:type="dxa"/>
            <w:vMerge w:val="continue"/>
            <w:vAlign w:val="center"/>
          </w:tcPr>
          <w:p w14:paraId="450A0AD3">
            <w:pPr>
              <w:spacing w:line="360" w:lineRule="auto"/>
              <w:jc w:val="left"/>
              <w:rPr>
                <w:color w:val="auto"/>
                <w:highlight w:val="none"/>
              </w:rPr>
            </w:pPr>
          </w:p>
        </w:tc>
        <w:tc>
          <w:tcPr>
            <w:tcW w:w="1529" w:type="dxa"/>
            <w:vAlign w:val="center"/>
          </w:tcPr>
          <w:p w14:paraId="4C02430D">
            <w:pPr>
              <w:spacing w:line="400" w:lineRule="exact"/>
              <w:jc w:val="left"/>
              <w:rPr>
                <w:rFonts w:ascii="宋体" w:hAnsi="宋体"/>
                <w:bCs/>
                <w:color w:val="auto"/>
                <w:highlight w:val="none"/>
              </w:rPr>
            </w:pPr>
            <w:r>
              <w:rPr>
                <w:rFonts w:hint="eastAsia" w:ascii="宋体" w:hAnsi="宋体" w:eastAsia="宋体" w:cs="宋体"/>
                <w:color w:val="auto"/>
                <w:kern w:val="0"/>
                <w:sz w:val="21"/>
                <w:szCs w:val="21"/>
                <w:highlight w:val="none"/>
                <w:lang w:val="en-US" w:eastAsia="zh-CN"/>
              </w:rPr>
              <w:t>确保安全、文明的技术组织措施（</w:t>
            </w:r>
            <w:r>
              <w:rPr>
                <w:rFonts w:hint="eastAsia" w:ascii="宋体" w:hAnsi="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lang w:val="en-US" w:eastAsia="zh-CN"/>
              </w:rPr>
              <w:t>分）</w:t>
            </w:r>
          </w:p>
        </w:tc>
        <w:tc>
          <w:tcPr>
            <w:tcW w:w="5380" w:type="dxa"/>
            <w:vAlign w:val="center"/>
          </w:tcPr>
          <w:p w14:paraId="0E7FD4C7">
            <w:pPr>
              <w:spacing w:line="400" w:lineRule="exact"/>
              <w:ind w:firstLine="420" w:firstLineChars="200"/>
              <w:jc w:val="left"/>
              <w:rPr>
                <w:rFonts w:hint="eastAsia"/>
                <w:color w:val="auto"/>
                <w:highlight w:val="none"/>
                <w:lang w:val="en-US" w:eastAsia="zh-CN"/>
              </w:rPr>
            </w:pPr>
            <w:r>
              <w:rPr>
                <w:rFonts w:hint="eastAsia"/>
                <w:color w:val="auto"/>
                <w:highlight w:val="none"/>
                <w:lang w:val="en-US" w:eastAsia="zh-CN"/>
              </w:rPr>
              <w:t>磋商小组根据供应商提供的项目实施方案，包括但不限于项目实施机构、拟采用的安全、文明技术</w:t>
            </w:r>
            <w:r>
              <w:rPr>
                <w:rFonts w:hint="eastAsia"/>
                <w:color w:val="auto"/>
                <w:highlight w:val="none"/>
              </w:rPr>
              <w:t>措施</w:t>
            </w:r>
            <w:r>
              <w:rPr>
                <w:rFonts w:hint="eastAsia"/>
                <w:color w:val="auto"/>
                <w:highlight w:val="none"/>
                <w:lang w:val="en-US" w:eastAsia="zh-CN"/>
              </w:rPr>
              <w:t>等内容进行综合评审，</w:t>
            </w:r>
            <w:r>
              <w:rPr>
                <w:rFonts w:hint="eastAsia"/>
                <w:color w:val="auto"/>
                <w:highlight w:val="none"/>
              </w:rPr>
              <w:t>以下各项不重复计分：</w:t>
            </w:r>
          </w:p>
          <w:p w14:paraId="5507E036">
            <w:pPr>
              <w:spacing w:line="400" w:lineRule="exact"/>
              <w:ind w:firstLine="420" w:firstLineChars="200"/>
              <w:jc w:val="left"/>
              <w:rPr>
                <w:rFonts w:hint="eastAsia"/>
                <w:color w:val="auto"/>
                <w:highlight w:val="none"/>
                <w:lang w:eastAsia="zh-CN"/>
              </w:rPr>
            </w:pPr>
            <w:r>
              <w:rPr>
                <w:rFonts w:hint="eastAsia"/>
                <w:color w:val="auto"/>
                <w:highlight w:val="none"/>
                <w:lang w:eastAsia="zh-CN"/>
              </w:rPr>
              <w:t>一档（</w:t>
            </w:r>
            <w:r>
              <w:rPr>
                <w:rFonts w:hint="eastAsia"/>
                <w:color w:val="auto"/>
                <w:highlight w:val="none"/>
                <w:lang w:val="en-US" w:eastAsia="zh-CN"/>
              </w:rPr>
              <w:t>5分</w:t>
            </w:r>
            <w:r>
              <w:rPr>
                <w:rFonts w:hint="eastAsia"/>
                <w:color w:val="auto"/>
                <w:highlight w:val="none"/>
                <w:lang w:eastAsia="zh-CN"/>
              </w:rPr>
              <w:t>）：</w:t>
            </w:r>
            <w:r>
              <w:rPr>
                <w:rFonts w:hint="eastAsia"/>
                <w:color w:val="auto"/>
                <w:highlight w:val="none"/>
                <w:lang w:val="en-US" w:eastAsia="zh-CN"/>
              </w:rPr>
              <w:t>供应商提供的</w:t>
            </w:r>
            <w:r>
              <w:rPr>
                <w:rFonts w:hint="eastAsia"/>
                <w:color w:val="auto"/>
                <w:highlight w:val="none"/>
                <w:lang w:eastAsia="zh-CN"/>
              </w:rPr>
              <w:t>安全、</w:t>
            </w:r>
            <w:r>
              <w:rPr>
                <w:rFonts w:hint="eastAsia"/>
                <w:color w:val="auto"/>
                <w:highlight w:val="none"/>
                <w:lang w:val="en-US" w:eastAsia="zh-CN"/>
              </w:rPr>
              <w:t>文明</w:t>
            </w:r>
            <w:r>
              <w:rPr>
                <w:rFonts w:hint="eastAsia"/>
                <w:color w:val="auto"/>
                <w:highlight w:val="none"/>
                <w:lang w:eastAsia="zh-CN"/>
              </w:rPr>
              <w:t>施工</w:t>
            </w:r>
            <w:r>
              <w:rPr>
                <w:rFonts w:hint="eastAsia"/>
                <w:color w:val="auto"/>
                <w:highlight w:val="none"/>
              </w:rPr>
              <w:t>措施方案</w:t>
            </w:r>
            <w:r>
              <w:rPr>
                <w:rFonts w:hint="eastAsia"/>
                <w:color w:val="auto"/>
                <w:highlight w:val="none"/>
                <w:lang w:val="en-US" w:eastAsia="zh-CN"/>
              </w:rPr>
              <w:t>能完全响应项目采购需求</w:t>
            </w:r>
            <w:r>
              <w:rPr>
                <w:rFonts w:hint="eastAsia"/>
                <w:color w:val="auto"/>
                <w:highlight w:val="none"/>
              </w:rPr>
              <w:t>，有专门的安全管理人员和制度</w:t>
            </w:r>
            <w:r>
              <w:rPr>
                <w:rFonts w:hint="eastAsia"/>
                <w:color w:val="auto"/>
                <w:highlight w:val="none"/>
                <w:lang w:val="en-US" w:eastAsia="zh-CN"/>
              </w:rPr>
              <w:t>；文明施工的</w:t>
            </w:r>
            <w:r>
              <w:rPr>
                <w:rFonts w:hint="eastAsia"/>
                <w:color w:val="auto"/>
                <w:highlight w:val="none"/>
              </w:rPr>
              <w:t>措施内容能达到《建筑施工安全生产检查标准》（JGJ59-2011）合格标准并符合《广西壮族自治区建筑工程文明施工导则》要求</w:t>
            </w:r>
            <w:r>
              <w:rPr>
                <w:rFonts w:hint="eastAsia"/>
                <w:color w:val="auto"/>
                <w:highlight w:val="none"/>
                <w:lang w:eastAsia="zh-CN"/>
              </w:rPr>
              <w:t>，</w:t>
            </w:r>
            <w:r>
              <w:rPr>
                <w:rFonts w:hint="eastAsia"/>
                <w:color w:val="auto"/>
                <w:highlight w:val="none"/>
              </w:rPr>
              <w:t>得</w:t>
            </w:r>
            <w:r>
              <w:rPr>
                <w:rFonts w:hint="eastAsia"/>
                <w:color w:val="auto"/>
                <w:highlight w:val="none"/>
                <w:lang w:val="en-US" w:eastAsia="zh-CN"/>
              </w:rPr>
              <w:t>5</w:t>
            </w:r>
            <w:r>
              <w:rPr>
                <w:rFonts w:hint="eastAsia"/>
                <w:color w:val="auto"/>
                <w:highlight w:val="none"/>
              </w:rPr>
              <w:t>分</w:t>
            </w:r>
            <w:r>
              <w:rPr>
                <w:rFonts w:hint="eastAsia"/>
                <w:color w:val="auto"/>
                <w:highlight w:val="none"/>
                <w:lang w:eastAsia="zh-CN"/>
              </w:rPr>
              <w:t>；</w:t>
            </w:r>
          </w:p>
          <w:p w14:paraId="66327653">
            <w:pPr>
              <w:spacing w:line="400" w:lineRule="exact"/>
              <w:ind w:firstLine="420" w:firstLineChars="200"/>
              <w:jc w:val="left"/>
              <w:rPr>
                <w:rFonts w:hint="eastAsia"/>
                <w:color w:val="auto"/>
                <w:highlight w:val="none"/>
                <w:lang w:eastAsia="zh-CN"/>
              </w:rPr>
            </w:pPr>
            <w:r>
              <w:rPr>
                <w:rFonts w:hint="eastAsia"/>
                <w:color w:val="auto"/>
                <w:highlight w:val="none"/>
                <w:lang w:eastAsia="zh-CN"/>
              </w:rPr>
              <w:t>二</w:t>
            </w:r>
            <w:r>
              <w:rPr>
                <w:rFonts w:hint="eastAsia"/>
                <w:color w:val="auto"/>
                <w:highlight w:val="none"/>
                <w:lang w:val="en-US" w:eastAsia="zh-CN"/>
              </w:rPr>
              <w:t>档</w:t>
            </w:r>
            <w:r>
              <w:rPr>
                <w:rFonts w:hint="eastAsia"/>
                <w:color w:val="auto"/>
                <w:highlight w:val="none"/>
                <w:lang w:eastAsia="zh-CN"/>
              </w:rPr>
              <w:t>（</w:t>
            </w:r>
            <w:r>
              <w:rPr>
                <w:rFonts w:hint="eastAsia"/>
                <w:color w:val="auto"/>
                <w:highlight w:val="none"/>
                <w:lang w:val="en-US" w:eastAsia="zh-CN"/>
              </w:rPr>
              <w:t>10分</w:t>
            </w:r>
            <w:r>
              <w:rPr>
                <w:rFonts w:hint="eastAsia"/>
                <w:color w:val="auto"/>
                <w:highlight w:val="none"/>
                <w:lang w:eastAsia="zh-CN"/>
              </w:rPr>
              <w:t>）：在一档</w:t>
            </w:r>
            <w:r>
              <w:rPr>
                <w:rFonts w:hint="eastAsia"/>
                <w:color w:val="auto"/>
                <w:highlight w:val="none"/>
                <w:lang w:val="en-US" w:eastAsia="zh-CN"/>
              </w:rPr>
              <w:t>的基础上</w:t>
            </w:r>
            <w:r>
              <w:rPr>
                <w:rFonts w:hint="eastAsia"/>
                <w:color w:val="auto"/>
                <w:highlight w:val="none"/>
              </w:rPr>
              <w:t>，现场防火、应急救援、社会治安安全措施</w:t>
            </w:r>
            <w:r>
              <w:rPr>
                <w:rFonts w:hint="eastAsia"/>
                <w:color w:val="auto"/>
                <w:highlight w:val="none"/>
                <w:lang w:eastAsia="zh-CN"/>
              </w:rPr>
              <w:t>较为得力，有</w:t>
            </w:r>
            <w:r>
              <w:rPr>
                <w:rFonts w:hint="eastAsia"/>
                <w:color w:val="auto"/>
                <w:highlight w:val="none"/>
                <w:lang w:val="en-US" w:eastAsia="zh-CN"/>
              </w:rPr>
              <w:t>对本项目主要维修工程的安全风险分析、施工各项风险的专项防护措施、风险事件的应急处置预案；</w:t>
            </w:r>
            <w:r>
              <w:rPr>
                <w:rFonts w:hint="eastAsia"/>
                <w:color w:val="auto"/>
                <w:highlight w:val="none"/>
                <w:lang w:eastAsia="zh-CN"/>
              </w:rPr>
              <w:t>现场文明施工、</w:t>
            </w:r>
            <w:r>
              <w:rPr>
                <w:rFonts w:hint="eastAsia"/>
                <w:color w:val="auto"/>
                <w:highlight w:val="none"/>
              </w:rPr>
              <w:t>环境保护措施</w:t>
            </w:r>
            <w:r>
              <w:rPr>
                <w:rFonts w:hint="eastAsia"/>
                <w:color w:val="auto"/>
                <w:highlight w:val="none"/>
                <w:lang w:eastAsia="zh-CN"/>
              </w:rPr>
              <w:t>的方案</w:t>
            </w:r>
            <w:r>
              <w:rPr>
                <w:rFonts w:hint="eastAsia"/>
                <w:color w:val="auto"/>
                <w:highlight w:val="none"/>
              </w:rPr>
              <w:t>可行</w:t>
            </w:r>
            <w:r>
              <w:rPr>
                <w:rFonts w:hint="eastAsia"/>
                <w:color w:val="auto"/>
                <w:highlight w:val="none"/>
                <w:lang w:eastAsia="zh-CN"/>
              </w:rPr>
              <w:t>，</w:t>
            </w:r>
            <w:r>
              <w:rPr>
                <w:rFonts w:hint="eastAsia"/>
                <w:color w:val="auto"/>
                <w:highlight w:val="none"/>
                <w:rtl w:val="0"/>
                <w:lang w:val="en-US" w:eastAsia="zh-CN"/>
              </w:rPr>
              <w:t>各项措施具体合理，</w:t>
            </w:r>
            <w:r>
              <w:rPr>
                <w:rFonts w:hint="eastAsia"/>
                <w:color w:val="auto"/>
                <w:highlight w:val="none"/>
              </w:rPr>
              <w:t>得</w:t>
            </w:r>
            <w:r>
              <w:rPr>
                <w:rFonts w:hint="eastAsia"/>
                <w:color w:val="auto"/>
                <w:highlight w:val="none"/>
                <w:lang w:val="en-US" w:eastAsia="zh-CN"/>
              </w:rPr>
              <w:t>10</w:t>
            </w:r>
            <w:r>
              <w:rPr>
                <w:rFonts w:hint="eastAsia"/>
                <w:color w:val="auto"/>
                <w:highlight w:val="none"/>
              </w:rPr>
              <w:t>分</w:t>
            </w:r>
            <w:r>
              <w:rPr>
                <w:rFonts w:hint="eastAsia"/>
                <w:color w:val="auto"/>
                <w:highlight w:val="none"/>
                <w:lang w:eastAsia="zh-CN"/>
              </w:rPr>
              <w:t>；</w:t>
            </w:r>
          </w:p>
          <w:p w14:paraId="4E796A34">
            <w:pPr>
              <w:spacing w:line="400" w:lineRule="exact"/>
              <w:ind w:firstLine="420" w:firstLineChars="200"/>
              <w:jc w:val="left"/>
              <w:rPr>
                <w:rFonts w:hint="eastAsia"/>
                <w:color w:val="auto"/>
                <w:highlight w:val="none"/>
                <w:lang w:eastAsia="zh-CN"/>
              </w:rPr>
            </w:pPr>
            <w:r>
              <w:rPr>
                <w:rFonts w:hint="eastAsia"/>
                <w:color w:val="auto"/>
                <w:highlight w:val="none"/>
                <w:lang w:eastAsia="zh-CN"/>
              </w:rPr>
              <w:t>三</w:t>
            </w:r>
            <w:r>
              <w:rPr>
                <w:rFonts w:hint="eastAsia"/>
                <w:color w:val="auto"/>
                <w:highlight w:val="none"/>
                <w:lang w:val="en-US" w:eastAsia="zh-CN"/>
              </w:rPr>
              <w:t>档</w:t>
            </w:r>
            <w:r>
              <w:rPr>
                <w:rFonts w:hint="eastAsia"/>
                <w:color w:val="auto"/>
                <w:highlight w:val="none"/>
                <w:lang w:eastAsia="zh-CN"/>
              </w:rPr>
              <w:t>（</w:t>
            </w:r>
            <w:r>
              <w:rPr>
                <w:rFonts w:hint="eastAsia"/>
                <w:color w:val="auto"/>
                <w:highlight w:val="none"/>
                <w:lang w:val="en-US" w:eastAsia="zh-CN"/>
              </w:rPr>
              <w:t>15分</w:t>
            </w:r>
            <w:r>
              <w:rPr>
                <w:rFonts w:hint="eastAsia"/>
                <w:color w:val="auto"/>
                <w:highlight w:val="none"/>
                <w:lang w:eastAsia="zh-CN"/>
              </w:rPr>
              <w:t>）：</w:t>
            </w:r>
            <w:r>
              <w:rPr>
                <w:rFonts w:hint="eastAsia"/>
                <w:color w:val="auto"/>
                <w:highlight w:val="none"/>
                <w:lang w:val="en-US" w:eastAsia="zh-CN"/>
              </w:rPr>
              <w:t>在</w:t>
            </w:r>
            <w:r>
              <w:rPr>
                <w:rFonts w:hint="eastAsia"/>
                <w:color w:val="auto"/>
                <w:highlight w:val="none"/>
                <w:lang w:eastAsia="zh-CN"/>
              </w:rPr>
              <w:t>二</w:t>
            </w:r>
            <w:r>
              <w:rPr>
                <w:rFonts w:hint="eastAsia"/>
                <w:color w:val="auto"/>
                <w:highlight w:val="none"/>
                <w:lang w:val="en-US" w:eastAsia="zh-CN"/>
              </w:rPr>
              <w:t>档的基础上，</w:t>
            </w:r>
            <w:r>
              <w:rPr>
                <w:rFonts w:hint="eastAsia"/>
                <w:color w:val="auto"/>
                <w:highlight w:val="none"/>
              </w:rPr>
              <w:t>安全管理人员配备</w:t>
            </w:r>
            <w:r>
              <w:rPr>
                <w:rFonts w:hint="eastAsia"/>
                <w:color w:val="auto"/>
                <w:highlight w:val="none"/>
                <w:lang w:val="en-US" w:eastAsia="zh-CN"/>
              </w:rPr>
              <w:t>科学合理</w:t>
            </w:r>
            <w:r>
              <w:rPr>
                <w:rFonts w:hint="eastAsia"/>
                <w:color w:val="auto"/>
                <w:highlight w:val="none"/>
              </w:rPr>
              <w:t>，制度健全，各道工序安全技术措施针对性</w:t>
            </w:r>
            <w:r>
              <w:rPr>
                <w:rFonts w:hint="eastAsia"/>
                <w:color w:val="auto"/>
                <w:highlight w:val="none"/>
                <w:lang w:val="en-US" w:eastAsia="zh-CN"/>
              </w:rPr>
              <w:t>强</w:t>
            </w:r>
            <w:r>
              <w:rPr>
                <w:rFonts w:hint="eastAsia"/>
                <w:color w:val="auto"/>
                <w:highlight w:val="none"/>
              </w:rPr>
              <w:t>，确保工程</w:t>
            </w:r>
            <w:r>
              <w:rPr>
                <w:rFonts w:hint="eastAsia"/>
                <w:color w:val="auto"/>
                <w:highlight w:val="none"/>
                <w:lang w:val="en-US" w:eastAsia="zh-CN"/>
              </w:rPr>
              <w:t>安全</w:t>
            </w:r>
            <w:r>
              <w:rPr>
                <w:rFonts w:hint="eastAsia"/>
                <w:color w:val="auto"/>
                <w:highlight w:val="none"/>
              </w:rPr>
              <w:t>的技术组织措施符合实际且</w:t>
            </w:r>
            <w:r>
              <w:rPr>
                <w:rFonts w:hint="eastAsia"/>
                <w:color w:val="auto"/>
                <w:highlight w:val="none"/>
                <w:lang w:val="en-US" w:eastAsia="zh-CN"/>
              </w:rPr>
              <w:t>完全</w:t>
            </w:r>
            <w:r>
              <w:rPr>
                <w:rFonts w:hint="eastAsia"/>
                <w:color w:val="auto"/>
                <w:highlight w:val="none"/>
              </w:rPr>
              <w:t>满足</w:t>
            </w:r>
            <w:r>
              <w:rPr>
                <w:rFonts w:hint="eastAsia"/>
                <w:color w:val="auto"/>
                <w:highlight w:val="none"/>
                <w:lang w:val="en-US" w:eastAsia="zh-CN"/>
              </w:rPr>
              <w:t>或高于</w:t>
            </w:r>
            <w:r>
              <w:rPr>
                <w:rFonts w:hint="eastAsia"/>
                <w:color w:val="auto"/>
                <w:highlight w:val="none"/>
              </w:rPr>
              <w:t>有关安全技术标准要求</w:t>
            </w:r>
            <w:r>
              <w:rPr>
                <w:rFonts w:hint="eastAsia"/>
                <w:color w:val="auto"/>
                <w:highlight w:val="none"/>
                <w:lang w:val="en-US" w:eastAsia="zh-CN"/>
              </w:rPr>
              <w:t>；</w:t>
            </w:r>
            <w:r>
              <w:rPr>
                <w:rFonts w:hint="eastAsia"/>
                <w:color w:val="auto"/>
                <w:highlight w:val="none"/>
                <w:rtl w:val="0"/>
                <w:lang w:val="en-US" w:eastAsia="zh-CN"/>
              </w:rPr>
              <w:t>有详细具体实现现场文明施工目标的承诺，现场文明施工、</w:t>
            </w:r>
            <w:r>
              <w:rPr>
                <w:rFonts w:hint="eastAsia"/>
                <w:color w:val="auto"/>
                <w:highlight w:val="none"/>
              </w:rPr>
              <w:t>环境保护措施、施工垃圾等外运排放</w:t>
            </w:r>
            <w:r>
              <w:rPr>
                <w:rFonts w:hint="eastAsia"/>
                <w:color w:val="auto"/>
                <w:highlight w:val="none"/>
                <w:lang w:eastAsia="zh-CN"/>
              </w:rPr>
              <w:t>的方案</w:t>
            </w:r>
            <w:r>
              <w:rPr>
                <w:rFonts w:hint="eastAsia"/>
                <w:color w:val="auto"/>
                <w:highlight w:val="none"/>
                <w:lang w:val="en-US" w:eastAsia="zh-CN"/>
              </w:rPr>
              <w:t>详细合理</w:t>
            </w:r>
            <w:r>
              <w:rPr>
                <w:rFonts w:hint="eastAsia"/>
                <w:color w:val="auto"/>
                <w:highlight w:val="none"/>
                <w:lang w:eastAsia="zh-CN"/>
              </w:rPr>
              <w:t>，</w:t>
            </w:r>
            <w:r>
              <w:rPr>
                <w:rFonts w:hint="eastAsia"/>
                <w:color w:val="auto"/>
                <w:highlight w:val="none"/>
                <w:rtl w:val="0"/>
                <w:lang w:val="en-US" w:eastAsia="zh-CN"/>
              </w:rPr>
              <w:t>各项措施周全、具体、有效</w:t>
            </w:r>
            <w:r>
              <w:rPr>
                <w:rFonts w:hint="eastAsia"/>
                <w:color w:val="auto"/>
                <w:highlight w:val="none"/>
              </w:rPr>
              <w:t>，得</w:t>
            </w:r>
            <w:r>
              <w:rPr>
                <w:rFonts w:hint="eastAsia"/>
                <w:color w:val="auto"/>
                <w:highlight w:val="none"/>
                <w:lang w:val="en-US" w:eastAsia="zh-CN"/>
              </w:rPr>
              <w:t>15</w:t>
            </w:r>
            <w:r>
              <w:rPr>
                <w:rFonts w:hint="eastAsia"/>
                <w:color w:val="auto"/>
                <w:highlight w:val="none"/>
              </w:rPr>
              <w:t>分</w:t>
            </w:r>
            <w:r>
              <w:rPr>
                <w:rFonts w:hint="eastAsia"/>
                <w:color w:val="auto"/>
                <w:highlight w:val="none"/>
                <w:lang w:eastAsia="zh-CN"/>
              </w:rPr>
              <w:t>。</w:t>
            </w:r>
          </w:p>
          <w:p w14:paraId="429A4A02">
            <w:pPr>
              <w:spacing w:line="400" w:lineRule="exact"/>
              <w:jc w:val="left"/>
              <w:rPr>
                <w:color w:val="auto"/>
                <w:highlight w:val="none"/>
              </w:rPr>
            </w:pPr>
            <w:r>
              <w:rPr>
                <w:rFonts w:hint="eastAsia"/>
                <w:color w:val="auto"/>
                <w:highlight w:val="none"/>
                <w:lang w:val="en-US" w:eastAsia="zh-CN"/>
              </w:rPr>
              <w:t>注：供应商未提供确保安全、文明的技术组织措施或确保安全、文明的技术组织措施未达到</w:t>
            </w:r>
            <w:r>
              <w:rPr>
                <w:rFonts w:hint="eastAsia"/>
                <w:color w:val="auto"/>
                <w:highlight w:val="none"/>
                <w:lang w:eastAsia="zh-CN"/>
              </w:rPr>
              <w:t>一档</w:t>
            </w:r>
            <w:r>
              <w:rPr>
                <w:rFonts w:hint="eastAsia"/>
                <w:color w:val="auto"/>
                <w:highlight w:val="none"/>
                <w:lang w:val="en-US" w:eastAsia="zh-CN"/>
              </w:rPr>
              <w:t>标准要求的，得0分。</w:t>
            </w:r>
          </w:p>
        </w:tc>
      </w:tr>
      <w:tr w14:paraId="0903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30" w:type="dxa"/>
            <w:vMerge w:val="continue"/>
            <w:vAlign w:val="center"/>
          </w:tcPr>
          <w:p w14:paraId="6ACD6C64">
            <w:pPr>
              <w:spacing w:line="360" w:lineRule="auto"/>
              <w:jc w:val="left"/>
              <w:rPr>
                <w:color w:val="auto"/>
                <w:highlight w:val="none"/>
              </w:rPr>
            </w:pPr>
          </w:p>
        </w:tc>
        <w:tc>
          <w:tcPr>
            <w:tcW w:w="1280" w:type="dxa"/>
            <w:vMerge w:val="continue"/>
            <w:vAlign w:val="center"/>
          </w:tcPr>
          <w:p w14:paraId="5A359440">
            <w:pPr>
              <w:spacing w:line="360" w:lineRule="auto"/>
              <w:jc w:val="left"/>
              <w:rPr>
                <w:color w:val="auto"/>
                <w:highlight w:val="none"/>
              </w:rPr>
            </w:pPr>
          </w:p>
        </w:tc>
        <w:tc>
          <w:tcPr>
            <w:tcW w:w="709" w:type="dxa"/>
            <w:vMerge w:val="continue"/>
            <w:vAlign w:val="center"/>
          </w:tcPr>
          <w:p w14:paraId="48A9ADA3">
            <w:pPr>
              <w:spacing w:line="360" w:lineRule="auto"/>
              <w:jc w:val="left"/>
              <w:rPr>
                <w:color w:val="auto"/>
                <w:highlight w:val="none"/>
              </w:rPr>
            </w:pPr>
          </w:p>
        </w:tc>
        <w:tc>
          <w:tcPr>
            <w:tcW w:w="1529" w:type="dxa"/>
            <w:vAlign w:val="center"/>
          </w:tcPr>
          <w:p w14:paraId="43AAA2F8">
            <w:pPr>
              <w:spacing w:line="400" w:lineRule="exact"/>
              <w:jc w:val="left"/>
              <w:rPr>
                <w:rFonts w:ascii="宋体" w:hAnsi="宋体"/>
                <w:bCs/>
                <w:color w:val="auto"/>
                <w:highlight w:val="none"/>
              </w:rPr>
            </w:pPr>
            <w:r>
              <w:rPr>
                <w:rFonts w:hint="eastAsia" w:ascii="宋体" w:hAnsi="宋体"/>
                <w:bCs/>
                <w:color w:val="auto"/>
                <w:highlight w:val="none"/>
                <w:lang w:val="en-US" w:eastAsia="zh-CN"/>
              </w:rPr>
              <w:t>拟投入的</w:t>
            </w:r>
            <w:r>
              <w:rPr>
                <w:rFonts w:hint="eastAsia" w:ascii="宋体" w:hAnsi="宋体"/>
                <w:bCs/>
                <w:color w:val="auto"/>
                <w:highlight w:val="none"/>
              </w:rPr>
              <w:t>主要物资</w:t>
            </w:r>
            <w:r>
              <w:rPr>
                <w:rFonts w:hint="eastAsia" w:ascii="宋体" w:hAnsi="宋体"/>
                <w:bCs/>
                <w:color w:val="auto"/>
                <w:highlight w:val="none"/>
                <w:lang w:eastAsia="zh-CN"/>
              </w:rPr>
              <w:t>、</w:t>
            </w:r>
            <w:r>
              <w:rPr>
                <w:rFonts w:hint="eastAsia" w:ascii="宋体" w:hAnsi="宋体"/>
                <w:bCs/>
                <w:color w:val="auto"/>
                <w:highlight w:val="none"/>
              </w:rPr>
              <w:t>施工机械设备</w:t>
            </w:r>
            <w:r>
              <w:rPr>
                <w:rFonts w:hint="eastAsia" w:ascii="宋体" w:hAnsi="宋体"/>
                <w:bCs/>
                <w:color w:val="auto"/>
                <w:highlight w:val="none"/>
                <w:lang w:val="en-US" w:eastAsia="zh-CN"/>
              </w:rPr>
              <w:t>方案（12分）</w:t>
            </w:r>
          </w:p>
        </w:tc>
        <w:tc>
          <w:tcPr>
            <w:tcW w:w="5380" w:type="dxa"/>
            <w:vAlign w:val="center"/>
          </w:tcPr>
          <w:p w14:paraId="13F92082">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磋商小组根据供应商提供的拟投入的</w:t>
            </w:r>
            <w:r>
              <w:rPr>
                <w:rFonts w:hint="eastAsia" w:ascii="宋体" w:hAnsi="宋体" w:cs="宋体"/>
                <w:color w:val="auto"/>
                <w:highlight w:val="none"/>
              </w:rPr>
              <w:t>主要物资</w:t>
            </w:r>
            <w:r>
              <w:rPr>
                <w:rFonts w:hint="eastAsia" w:ascii="宋体" w:hAnsi="宋体" w:cs="宋体"/>
                <w:color w:val="auto"/>
                <w:highlight w:val="none"/>
                <w:lang w:eastAsia="zh-CN"/>
              </w:rPr>
              <w:t>、</w:t>
            </w:r>
            <w:r>
              <w:rPr>
                <w:rFonts w:hint="eastAsia" w:ascii="宋体" w:hAnsi="宋体" w:cs="宋体"/>
                <w:color w:val="auto"/>
                <w:highlight w:val="none"/>
              </w:rPr>
              <w:t>施工机械设备</w:t>
            </w:r>
            <w:r>
              <w:rPr>
                <w:rFonts w:hint="eastAsia" w:ascii="宋体" w:hAnsi="宋体" w:cs="宋体"/>
                <w:color w:val="auto"/>
                <w:highlight w:val="none"/>
                <w:lang w:val="en-US" w:eastAsia="zh-CN"/>
              </w:rPr>
              <w:t>方案，包括但不限于</w:t>
            </w:r>
            <w:r>
              <w:rPr>
                <w:rFonts w:hint="eastAsia" w:ascii="宋体" w:hAnsi="宋体" w:cs="宋体"/>
                <w:color w:val="auto"/>
                <w:highlight w:val="none"/>
              </w:rPr>
              <w:t>主要物资</w:t>
            </w:r>
            <w:r>
              <w:rPr>
                <w:rFonts w:hint="eastAsia" w:ascii="宋体" w:hAnsi="宋体" w:cs="宋体"/>
                <w:color w:val="auto"/>
                <w:highlight w:val="none"/>
                <w:lang w:val="en-US" w:eastAsia="zh-CN"/>
              </w:rPr>
              <w:t>计划、采购及施工机械设备选型、数量、等内容进行综合评审，</w:t>
            </w:r>
            <w:r>
              <w:rPr>
                <w:rFonts w:hint="eastAsia" w:ascii="宋体" w:hAnsi="宋体" w:cs="宋体"/>
                <w:color w:val="auto"/>
                <w:highlight w:val="none"/>
              </w:rPr>
              <w:t>以下各项不重复计分：</w:t>
            </w:r>
          </w:p>
          <w:p w14:paraId="168EE026">
            <w:pPr>
              <w:spacing w:line="400" w:lineRule="exact"/>
              <w:ind w:firstLine="420" w:firstLineChars="200"/>
              <w:jc w:val="left"/>
              <w:rPr>
                <w:rFonts w:hint="eastAsia" w:ascii="宋体" w:hAnsi="宋体" w:cs="宋体"/>
                <w:color w:val="auto"/>
                <w:highlight w:val="none"/>
                <w:lang w:eastAsia="zh-CN"/>
              </w:rPr>
            </w:pPr>
            <w:r>
              <w:rPr>
                <w:rFonts w:hint="eastAsia" w:ascii="宋体" w:hAnsi="宋体" w:cs="宋体"/>
                <w:color w:val="auto"/>
                <w:highlight w:val="none"/>
                <w:lang w:eastAsia="zh-CN"/>
              </w:rPr>
              <w:t>一档（</w:t>
            </w:r>
            <w:r>
              <w:rPr>
                <w:rFonts w:hint="eastAsia" w:ascii="宋体" w:hAnsi="宋体" w:cs="宋体"/>
                <w:color w:val="auto"/>
                <w:highlight w:val="none"/>
                <w:lang w:val="en-US" w:eastAsia="zh-CN"/>
              </w:rPr>
              <w:t>4分</w:t>
            </w:r>
            <w:r>
              <w:rPr>
                <w:rFonts w:hint="eastAsia" w:ascii="宋体" w:hAnsi="宋体" w:cs="宋体"/>
                <w:color w:val="auto"/>
                <w:highlight w:val="none"/>
                <w:lang w:eastAsia="zh-CN"/>
              </w:rPr>
              <w:t>）：</w:t>
            </w:r>
            <w:r>
              <w:rPr>
                <w:rFonts w:hint="eastAsia" w:ascii="宋体" w:hAnsi="宋体" w:cs="宋体"/>
                <w:color w:val="auto"/>
                <w:highlight w:val="none"/>
              </w:rPr>
              <w:t>供应商提供的</w:t>
            </w:r>
            <w:r>
              <w:rPr>
                <w:rFonts w:hint="eastAsia" w:ascii="宋体" w:hAnsi="宋体" w:cs="宋体"/>
                <w:color w:val="auto"/>
                <w:highlight w:val="none"/>
                <w:lang w:val="en-US" w:eastAsia="zh-CN"/>
              </w:rPr>
              <w:t>拟投入</w:t>
            </w:r>
            <w:r>
              <w:rPr>
                <w:rFonts w:hint="eastAsia" w:ascii="宋体" w:hAnsi="宋体" w:cs="宋体"/>
                <w:color w:val="auto"/>
                <w:highlight w:val="none"/>
              </w:rPr>
              <w:t>主要物资</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施工机械设备配备满足本项目主要维修工程施工</w:t>
            </w:r>
            <w:r>
              <w:rPr>
                <w:rFonts w:hint="eastAsia" w:ascii="宋体" w:hAnsi="宋体" w:cs="宋体"/>
                <w:color w:val="auto"/>
                <w:highlight w:val="none"/>
              </w:rPr>
              <w:t>需求</w:t>
            </w:r>
            <w:r>
              <w:rPr>
                <w:rFonts w:hint="eastAsia" w:ascii="宋体" w:hAnsi="宋体" w:cs="宋体"/>
                <w:color w:val="auto"/>
                <w:highlight w:val="none"/>
                <w:lang w:val="en-US" w:eastAsia="zh-CN"/>
              </w:rPr>
              <w:t>；</w:t>
            </w:r>
            <w:r>
              <w:rPr>
                <w:rFonts w:hint="eastAsia" w:ascii="宋体" w:hAnsi="宋体" w:cs="宋体"/>
                <w:color w:val="auto"/>
                <w:highlight w:val="none"/>
              </w:rPr>
              <w:t>施工机械设备和其他辅助机械设备数量、选型配置基本满足</w:t>
            </w:r>
            <w:r>
              <w:rPr>
                <w:rFonts w:hint="eastAsia" w:ascii="宋体" w:hAnsi="宋体" w:cs="宋体"/>
                <w:color w:val="auto"/>
                <w:highlight w:val="none"/>
                <w:lang w:val="en-US" w:eastAsia="zh-CN"/>
              </w:rPr>
              <w:t>本项目主要维修工程施工需求</w:t>
            </w:r>
            <w:r>
              <w:rPr>
                <w:rFonts w:hint="eastAsia" w:ascii="宋体" w:hAnsi="宋体" w:cs="宋体"/>
                <w:color w:val="auto"/>
                <w:highlight w:val="none"/>
                <w:lang w:eastAsia="zh-CN"/>
              </w:rPr>
              <w:t>，</w:t>
            </w:r>
            <w:r>
              <w:rPr>
                <w:rFonts w:hint="eastAsia" w:ascii="宋体" w:hAnsi="宋体" w:cs="宋体"/>
                <w:color w:val="auto"/>
                <w:highlight w:val="none"/>
              </w:rPr>
              <w:t>得</w:t>
            </w:r>
            <w:r>
              <w:rPr>
                <w:rFonts w:hint="eastAsia" w:ascii="宋体" w:hAnsi="宋体" w:cs="宋体"/>
                <w:color w:val="auto"/>
                <w:highlight w:val="none"/>
                <w:lang w:val="en-US" w:eastAsia="zh-CN"/>
              </w:rPr>
              <w:t>4</w:t>
            </w:r>
            <w:r>
              <w:rPr>
                <w:rFonts w:hint="eastAsia" w:ascii="宋体" w:hAnsi="宋体" w:cs="宋体"/>
                <w:color w:val="auto"/>
                <w:highlight w:val="none"/>
              </w:rPr>
              <w:t>分</w:t>
            </w:r>
            <w:r>
              <w:rPr>
                <w:rFonts w:hint="eastAsia" w:ascii="宋体" w:hAnsi="宋体" w:cs="宋体"/>
                <w:color w:val="auto"/>
                <w:highlight w:val="none"/>
                <w:lang w:eastAsia="zh-CN"/>
              </w:rPr>
              <w:t>；</w:t>
            </w:r>
          </w:p>
          <w:p w14:paraId="066A73E2">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二档（8分）：在</w:t>
            </w:r>
            <w:r>
              <w:rPr>
                <w:rFonts w:hint="eastAsia" w:ascii="宋体" w:hAnsi="宋体" w:cs="宋体"/>
                <w:color w:val="auto"/>
                <w:highlight w:val="none"/>
                <w:lang w:eastAsia="zh-CN"/>
              </w:rPr>
              <w:t>一档</w:t>
            </w:r>
            <w:r>
              <w:rPr>
                <w:rFonts w:hint="eastAsia" w:ascii="宋体" w:hAnsi="宋体" w:cs="宋体"/>
                <w:color w:val="auto"/>
                <w:highlight w:val="none"/>
                <w:lang w:val="en-US" w:eastAsia="zh-CN"/>
              </w:rPr>
              <w:t>的基础上，具有物资采购、物资质量、物资材料出入库管理制度；施工机械设备管理方案；物资及施工机械投入保障措施得力，得8分；</w:t>
            </w:r>
          </w:p>
          <w:p w14:paraId="02AFFBFD">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三档（12分）：在二档的基础上，</w:t>
            </w:r>
            <w:r>
              <w:rPr>
                <w:rFonts w:hint="eastAsia" w:ascii="宋体" w:hAnsi="宋体" w:cs="宋体"/>
                <w:color w:val="auto"/>
                <w:highlight w:val="none"/>
              </w:rPr>
              <w:t>投入的施工</w:t>
            </w:r>
            <w:r>
              <w:rPr>
                <w:rFonts w:hint="eastAsia" w:ascii="宋体" w:hAnsi="宋体" w:cs="宋体"/>
                <w:color w:val="auto"/>
                <w:highlight w:val="none"/>
                <w:lang w:eastAsia="zh-CN"/>
              </w:rPr>
              <w:t>物资</w:t>
            </w:r>
            <w:r>
              <w:rPr>
                <w:rFonts w:hint="eastAsia" w:ascii="宋体" w:hAnsi="宋体" w:cs="宋体"/>
                <w:color w:val="auto"/>
                <w:highlight w:val="none"/>
              </w:rPr>
              <w:t>有详细的组织计划且计划周密，</w:t>
            </w:r>
            <w:r>
              <w:rPr>
                <w:rFonts w:hint="eastAsia" w:ascii="宋体" w:hAnsi="宋体" w:cs="宋体"/>
                <w:color w:val="auto"/>
                <w:highlight w:val="none"/>
                <w:lang w:eastAsia="zh-CN"/>
              </w:rPr>
              <w:t>有具体、明确、合理的</w:t>
            </w:r>
            <w:r>
              <w:rPr>
                <w:rFonts w:hint="eastAsia" w:ascii="宋体" w:hAnsi="宋体" w:cs="宋体"/>
                <w:color w:val="auto"/>
                <w:highlight w:val="none"/>
              </w:rPr>
              <w:t>数量</w:t>
            </w:r>
            <w:r>
              <w:rPr>
                <w:rFonts w:hint="eastAsia" w:ascii="宋体" w:hAnsi="宋体" w:cs="宋体"/>
                <w:color w:val="auto"/>
                <w:highlight w:val="none"/>
                <w:lang w:eastAsia="zh-CN"/>
              </w:rPr>
              <w:t>和</w:t>
            </w:r>
            <w:r>
              <w:rPr>
                <w:rFonts w:hint="eastAsia" w:ascii="宋体" w:hAnsi="宋体" w:cs="宋体"/>
                <w:color w:val="auto"/>
                <w:highlight w:val="none"/>
              </w:rPr>
              <w:t>选型配置</w:t>
            </w:r>
            <w:r>
              <w:rPr>
                <w:rFonts w:hint="eastAsia" w:ascii="宋体" w:hAnsi="宋体" w:cs="宋体"/>
                <w:color w:val="auto"/>
                <w:highlight w:val="none"/>
                <w:lang w:eastAsia="zh-CN"/>
              </w:rPr>
              <w:t>，选型配置先进，采购人员配备，</w:t>
            </w:r>
            <w:r>
              <w:rPr>
                <w:rFonts w:hint="eastAsia" w:ascii="宋体" w:hAnsi="宋体" w:cs="宋体"/>
                <w:color w:val="auto"/>
                <w:highlight w:val="none"/>
                <w:lang w:val="en-US" w:eastAsia="zh-CN"/>
              </w:rPr>
              <w:t>完全</w:t>
            </w:r>
            <w:r>
              <w:rPr>
                <w:rFonts w:hint="eastAsia" w:ascii="宋体" w:hAnsi="宋体" w:cs="宋体"/>
                <w:color w:val="auto"/>
                <w:highlight w:val="none"/>
              </w:rPr>
              <w:t>满足</w:t>
            </w:r>
            <w:r>
              <w:rPr>
                <w:rFonts w:hint="eastAsia" w:ascii="宋体" w:hAnsi="宋体" w:cs="宋体"/>
                <w:color w:val="auto"/>
                <w:highlight w:val="none"/>
                <w:lang w:val="en-US" w:eastAsia="zh-CN"/>
              </w:rPr>
              <w:t>或优于</w:t>
            </w:r>
            <w:r>
              <w:rPr>
                <w:rFonts w:hint="eastAsia" w:ascii="宋体" w:hAnsi="宋体" w:cs="宋体"/>
                <w:color w:val="auto"/>
                <w:highlight w:val="none"/>
              </w:rPr>
              <w:t>施工需要</w:t>
            </w:r>
            <w:r>
              <w:rPr>
                <w:rFonts w:hint="eastAsia" w:ascii="宋体" w:hAnsi="宋体" w:cs="宋体"/>
                <w:color w:val="auto"/>
                <w:highlight w:val="none"/>
                <w:lang w:val="en-US" w:eastAsia="zh-CN"/>
              </w:rPr>
              <w:t>，得12分。</w:t>
            </w:r>
          </w:p>
          <w:p w14:paraId="0E6EF060">
            <w:pPr>
              <w:spacing w:line="400" w:lineRule="exact"/>
              <w:jc w:val="left"/>
              <w:rPr>
                <w:rFonts w:ascii="宋体" w:hAnsi="宋体" w:cs="宋体"/>
                <w:color w:val="auto"/>
                <w:highlight w:val="none"/>
              </w:rPr>
            </w:pPr>
            <w:r>
              <w:rPr>
                <w:rFonts w:hint="eastAsia" w:ascii="宋体" w:hAnsi="宋体" w:cs="宋体"/>
                <w:color w:val="auto"/>
                <w:highlight w:val="none"/>
                <w:lang w:val="en-US" w:eastAsia="zh-CN"/>
              </w:rPr>
              <w:t>注：供应商未提供拟投入的</w:t>
            </w:r>
            <w:r>
              <w:rPr>
                <w:rFonts w:hint="eastAsia" w:ascii="宋体" w:hAnsi="宋体" w:cs="宋体"/>
                <w:color w:val="auto"/>
                <w:highlight w:val="none"/>
              </w:rPr>
              <w:t>主要物资</w:t>
            </w:r>
            <w:r>
              <w:rPr>
                <w:rFonts w:hint="eastAsia" w:ascii="宋体" w:hAnsi="宋体" w:cs="宋体"/>
                <w:color w:val="auto"/>
                <w:highlight w:val="none"/>
                <w:lang w:eastAsia="zh-CN"/>
              </w:rPr>
              <w:t>、</w:t>
            </w:r>
            <w:r>
              <w:rPr>
                <w:rFonts w:hint="eastAsia" w:ascii="宋体" w:hAnsi="宋体" w:cs="宋体"/>
                <w:color w:val="auto"/>
                <w:highlight w:val="none"/>
              </w:rPr>
              <w:t>施工机械设备</w:t>
            </w:r>
            <w:r>
              <w:rPr>
                <w:rFonts w:hint="eastAsia" w:ascii="宋体" w:hAnsi="宋体" w:cs="宋体"/>
                <w:color w:val="auto"/>
                <w:highlight w:val="none"/>
                <w:lang w:val="en-US" w:eastAsia="zh-CN"/>
              </w:rPr>
              <w:t>方案或拟投入的</w:t>
            </w:r>
            <w:r>
              <w:rPr>
                <w:rFonts w:hint="eastAsia" w:ascii="宋体" w:hAnsi="宋体" w:cs="宋体"/>
                <w:color w:val="auto"/>
                <w:highlight w:val="none"/>
              </w:rPr>
              <w:t>主要物资</w:t>
            </w:r>
            <w:r>
              <w:rPr>
                <w:rFonts w:hint="eastAsia" w:ascii="宋体" w:hAnsi="宋体" w:cs="宋体"/>
                <w:color w:val="auto"/>
                <w:highlight w:val="none"/>
                <w:lang w:eastAsia="zh-CN"/>
              </w:rPr>
              <w:t>、</w:t>
            </w:r>
            <w:r>
              <w:rPr>
                <w:rFonts w:hint="eastAsia" w:ascii="宋体" w:hAnsi="宋体" w:cs="宋体"/>
                <w:color w:val="auto"/>
                <w:highlight w:val="none"/>
              </w:rPr>
              <w:t>施工机械设备</w:t>
            </w:r>
            <w:r>
              <w:rPr>
                <w:rFonts w:hint="eastAsia" w:ascii="宋体" w:hAnsi="宋体" w:cs="宋体"/>
                <w:color w:val="auto"/>
                <w:highlight w:val="none"/>
                <w:lang w:val="en-US" w:eastAsia="zh-CN"/>
              </w:rPr>
              <w:t>方案未达到</w:t>
            </w:r>
            <w:r>
              <w:rPr>
                <w:rFonts w:hint="eastAsia" w:ascii="宋体" w:hAnsi="宋体" w:cs="宋体"/>
                <w:color w:val="auto"/>
                <w:highlight w:val="none"/>
                <w:lang w:eastAsia="zh-CN"/>
              </w:rPr>
              <w:t>一档</w:t>
            </w:r>
            <w:r>
              <w:rPr>
                <w:rFonts w:hint="eastAsia" w:ascii="宋体" w:hAnsi="宋体" w:cs="宋体"/>
                <w:color w:val="auto"/>
                <w:highlight w:val="none"/>
                <w:lang w:val="en-US" w:eastAsia="zh-CN"/>
              </w:rPr>
              <w:t>标准要求的，得0分。</w:t>
            </w:r>
          </w:p>
        </w:tc>
      </w:tr>
      <w:tr w14:paraId="7B25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0" w:type="dxa"/>
            <w:vMerge w:val="continue"/>
            <w:vAlign w:val="center"/>
          </w:tcPr>
          <w:p w14:paraId="0FA30B48">
            <w:pPr>
              <w:spacing w:line="360" w:lineRule="auto"/>
              <w:jc w:val="left"/>
              <w:rPr>
                <w:color w:val="auto"/>
                <w:highlight w:val="none"/>
              </w:rPr>
            </w:pPr>
          </w:p>
        </w:tc>
        <w:tc>
          <w:tcPr>
            <w:tcW w:w="1280" w:type="dxa"/>
            <w:vMerge w:val="continue"/>
            <w:vAlign w:val="center"/>
          </w:tcPr>
          <w:p w14:paraId="449EEA44">
            <w:pPr>
              <w:spacing w:line="360" w:lineRule="auto"/>
              <w:jc w:val="left"/>
              <w:rPr>
                <w:color w:val="auto"/>
                <w:highlight w:val="none"/>
              </w:rPr>
            </w:pPr>
          </w:p>
        </w:tc>
        <w:tc>
          <w:tcPr>
            <w:tcW w:w="709" w:type="dxa"/>
            <w:vMerge w:val="continue"/>
            <w:vAlign w:val="center"/>
          </w:tcPr>
          <w:p w14:paraId="4BD96C6E">
            <w:pPr>
              <w:spacing w:line="360" w:lineRule="auto"/>
              <w:jc w:val="left"/>
              <w:rPr>
                <w:color w:val="auto"/>
                <w:highlight w:val="none"/>
              </w:rPr>
            </w:pPr>
          </w:p>
        </w:tc>
        <w:tc>
          <w:tcPr>
            <w:tcW w:w="1529" w:type="dxa"/>
            <w:vAlign w:val="center"/>
          </w:tcPr>
          <w:p w14:paraId="59E04F72">
            <w:pPr>
              <w:spacing w:line="400" w:lineRule="exact"/>
              <w:jc w:val="left"/>
              <w:rPr>
                <w:rFonts w:ascii="宋体" w:hAnsi="宋体"/>
                <w:bCs/>
                <w:color w:val="auto"/>
                <w:highlight w:val="none"/>
              </w:rPr>
            </w:pPr>
            <w:r>
              <w:rPr>
                <w:rFonts w:hint="eastAsia" w:ascii="宋体" w:hAnsi="宋体"/>
                <w:bCs/>
                <w:color w:val="auto"/>
                <w:highlight w:val="none"/>
              </w:rPr>
              <w:t>劳动力安排计划（</w:t>
            </w:r>
            <w:r>
              <w:rPr>
                <w:rFonts w:hint="eastAsia" w:ascii="宋体" w:hAnsi="宋体"/>
                <w:bCs/>
                <w:color w:val="auto"/>
                <w:highlight w:val="none"/>
                <w:lang w:val="en-US" w:eastAsia="zh-CN"/>
              </w:rPr>
              <w:t>10</w:t>
            </w:r>
            <w:r>
              <w:rPr>
                <w:rFonts w:hint="eastAsia" w:ascii="宋体" w:hAnsi="宋体"/>
                <w:bCs/>
                <w:color w:val="auto"/>
                <w:highlight w:val="none"/>
              </w:rPr>
              <w:t>分）</w:t>
            </w:r>
          </w:p>
        </w:tc>
        <w:tc>
          <w:tcPr>
            <w:tcW w:w="5380" w:type="dxa"/>
            <w:vAlign w:val="center"/>
          </w:tcPr>
          <w:p w14:paraId="3A956647">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磋商小组根据供应商提供的拟投入的劳动力方案内容进行综合评审，以下各项不重复计分：</w:t>
            </w:r>
          </w:p>
          <w:p w14:paraId="790BE966">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一档（4分）：供应商根据本项目主要维修项目提供拟投入劳动力计划、劳动力保障措施，保证劳动力投入满足施工需要，得4分；</w:t>
            </w:r>
          </w:p>
          <w:p w14:paraId="4EF59E9D">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二档（7分）：供应商能根据本项目主要维修项目提供各主要施工工序的劳动力安排计划，有各工种劳动力安排计划，劳动力投入合理，满足施工需要，得7分；</w:t>
            </w:r>
          </w:p>
          <w:p w14:paraId="24E94E2F">
            <w:pPr>
              <w:spacing w:line="400" w:lineRule="exact"/>
              <w:ind w:firstLine="420" w:firstLineChars="200"/>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三档（10分）：供应商能根据本项目主要维修项目提供各主要施工工序有详细、周密的劳动力安排计划，有各工种劳动力安排计划，劳动力投入合理并承诺按时发放农民工工资，确保劳动力投入完全满足或优于施工需要，得10分。</w:t>
            </w:r>
          </w:p>
          <w:p w14:paraId="7266351C">
            <w:pPr>
              <w:spacing w:line="400" w:lineRule="exact"/>
              <w:ind w:firstLine="420" w:firstLineChars="200"/>
              <w:jc w:val="left"/>
              <w:rPr>
                <w:rFonts w:ascii="宋体" w:hAnsi="宋体" w:cs="宋体"/>
                <w:color w:val="auto"/>
                <w:highlight w:val="none"/>
              </w:rPr>
            </w:pPr>
            <w:r>
              <w:rPr>
                <w:rFonts w:hint="eastAsia" w:ascii="宋体" w:hAnsi="宋体" w:cs="宋体"/>
                <w:color w:val="auto"/>
                <w:highlight w:val="none"/>
                <w:lang w:val="en-US" w:eastAsia="zh-CN"/>
              </w:rPr>
              <w:t>注：供应商未提供拟投入的劳动力安排方案或劳动力安排方案未达到一档标准要求的，得0分。</w:t>
            </w:r>
          </w:p>
        </w:tc>
      </w:tr>
      <w:tr w14:paraId="5E28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30" w:type="dxa"/>
            <w:vAlign w:val="center"/>
          </w:tcPr>
          <w:p w14:paraId="15FA1CAD">
            <w:pPr>
              <w:adjustRightInd w:val="0"/>
              <w:spacing w:line="360" w:lineRule="auto"/>
              <w:jc w:val="center"/>
              <w:textAlignment w:val="baseline"/>
              <w:rPr>
                <w:rFonts w:hint="eastAsia" w:ascii="宋体" w:hAnsi="宋体" w:eastAsia="宋体"/>
                <w:b/>
                <w:color w:val="auto"/>
                <w:highlight w:val="none"/>
                <w:lang w:eastAsia="zh-CN"/>
              </w:rPr>
            </w:pPr>
            <w:r>
              <w:rPr>
                <w:rFonts w:hint="eastAsia" w:ascii="宋体" w:hAnsi="宋体"/>
                <w:b/>
                <w:color w:val="auto"/>
                <w:highlight w:val="none"/>
                <w:lang w:val="en-US" w:eastAsia="zh-CN"/>
              </w:rPr>
              <w:t>3</w:t>
            </w:r>
          </w:p>
        </w:tc>
        <w:tc>
          <w:tcPr>
            <w:tcW w:w="1280" w:type="dxa"/>
            <w:vAlign w:val="center"/>
          </w:tcPr>
          <w:p w14:paraId="7E59C7C3">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rPr>
              <w:t>业绩</w:t>
            </w:r>
          </w:p>
        </w:tc>
        <w:tc>
          <w:tcPr>
            <w:tcW w:w="709" w:type="dxa"/>
            <w:vAlign w:val="center"/>
          </w:tcPr>
          <w:p w14:paraId="174254DA">
            <w:pPr>
              <w:adjustRightInd w:val="0"/>
              <w:spacing w:line="360" w:lineRule="auto"/>
              <w:jc w:val="center"/>
              <w:textAlignment w:val="baseline"/>
              <w:rPr>
                <w:rFonts w:ascii="宋体" w:hAnsi="宋体"/>
                <w:b/>
                <w:bCs w:val="0"/>
                <w:color w:val="auto"/>
                <w:highlight w:val="none"/>
              </w:rPr>
            </w:pPr>
            <w:r>
              <w:rPr>
                <w:rFonts w:hint="eastAsia" w:ascii="宋体" w:hAnsi="宋体"/>
                <w:b/>
                <w:bCs w:val="0"/>
                <w:color w:val="auto"/>
                <w:highlight w:val="none"/>
                <w:lang w:val="en-US" w:eastAsia="zh-CN"/>
              </w:rPr>
              <w:t>6</w:t>
            </w:r>
            <w:r>
              <w:rPr>
                <w:rFonts w:hint="eastAsia" w:ascii="宋体" w:hAnsi="宋体"/>
                <w:b/>
                <w:bCs w:val="0"/>
                <w:color w:val="auto"/>
                <w:highlight w:val="none"/>
              </w:rPr>
              <w:t>分</w:t>
            </w:r>
          </w:p>
        </w:tc>
        <w:tc>
          <w:tcPr>
            <w:tcW w:w="6909" w:type="dxa"/>
            <w:gridSpan w:val="2"/>
            <w:vAlign w:val="center"/>
          </w:tcPr>
          <w:p w14:paraId="1C395B68">
            <w:pPr>
              <w:pStyle w:val="25"/>
              <w:spacing w:line="420" w:lineRule="exact"/>
              <w:jc w:val="left"/>
              <w:rPr>
                <w:rFonts w:hAnsi="宋体"/>
                <w:bCs/>
                <w:color w:val="auto"/>
                <w:highlight w:val="none"/>
              </w:rPr>
            </w:pPr>
            <w:r>
              <w:rPr>
                <w:rFonts w:hint="eastAsia" w:hAnsi="宋体" w:cs="宋体"/>
                <w:color w:val="auto"/>
                <w:highlight w:val="none"/>
              </w:rPr>
              <w:t>企业近三年（指项目竣工时间至投标截止时间止不超过三年）有已完成或在建的类似</w:t>
            </w:r>
            <w:r>
              <w:rPr>
                <w:rFonts w:hint="eastAsia" w:hAnsi="宋体" w:cs="宋体"/>
                <w:color w:val="auto"/>
                <w:highlight w:val="none"/>
                <w:lang w:val="en-US" w:eastAsia="zh-CN"/>
              </w:rPr>
              <w:t>公路</w:t>
            </w:r>
            <w:r>
              <w:rPr>
                <w:rFonts w:hint="eastAsia" w:hAnsi="宋体" w:cs="宋体"/>
                <w:color w:val="auto"/>
                <w:highlight w:val="none"/>
              </w:rPr>
              <w:t>工程施工业绩，</w:t>
            </w:r>
            <w:r>
              <w:rPr>
                <w:rFonts w:hint="eastAsia" w:hAnsi="宋体"/>
                <w:bCs/>
                <w:color w:val="auto"/>
                <w:kern w:val="2"/>
                <w:szCs w:val="21"/>
                <w:highlight w:val="none"/>
              </w:rPr>
              <w:t>每个得</w:t>
            </w:r>
            <w:r>
              <w:rPr>
                <w:rFonts w:hint="eastAsia" w:hAnsi="宋体"/>
                <w:bCs/>
                <w:color w:val="auto"/>
                <w:kern w:val="2"/>
                <w:szCs w:val="21"/>
                <w:highlight w:val="none"/>
                <w:lang w:val="en-US" w:eastAsia="zh-CN"/>
              </w:rPr>
              <w:t>3</w:t>
            </w:r>
            <w:r>
              <w:rPr>
                <w:rFonts w:hint="eastAsia" w:hAnsi="宋体"/>
                <w:bCs/>
                <w:color w:val="auto"/>
                <w:kern w:val="2"/>
                <w:szCs w:val="21"/>
                <w:highlight w:val="none"/>
              </w:rPr>
              <w:t>分，满分</w:t>
            </w:r>
            <w:r>
              <w:rPr>
                <w:rFonts w:hint="eastAsia" w:hAnsi="宋体"/>
                <w:bCs/>
                <w:color w:val="auto"/>
                <w:kern w:val="2"/>
                <w:szCs w:val="21"/>
                <w:highlight w:val="none"/>
                <w:lang w:val="en-US" w:eastAsia="zh-CN"/>
              </w:rPr>
              <w:t>6</w:t>
            </w:r>
            <w:r>
              <w:rPr>
                <w:rFonts w:hint="eastAsia" w:hAnsi="宋体"/>
                <w:bCs/>
                <w:color w:val="auto"/>
                <w:kern w:val="2"/>
                <w:szCs w:val="21"/>
                <w:highlight w:val="none"/>
              </w:rPr>
              <w:t>分。【以中标</w:t>
            </w:r>
            <w:r>
              <w:rPr>
                <w:rFonts w:hint="eastAsia" w:asciiTheme="minorEastAsia" w:hAnsiTheme="minorEastAsia" w:eastAsiaTheme="minorEastAsia" w:cstheme="minorEastAsia"/>
                <w:color w:val="auto"/>
                <w:spacing w:val="2"/>
                <w:szCs w:val="21"/>
                <w:highlight w:val="none"/>
              </w:rPr>
              <w:t>（成</w:t>
            </w:r>
            <w:r>
              <w:rPr>
                <w:rFonts w:hint="eastAsia" w:asciiTheme="minorEastAsia" w:hAnsiTheme="minorEastAsia" w:eastAsiaTheme="minorEastAsia" w:cstheme="minorEastAsia"/>
                <w:color w:val="auto"/>
                <w:szCs w:val="21"/>
                <w:highlight w:val="none"/>
              </w:rPr>
              <w:t>交</w:t>
            </w:r>
            <w:r>
              <w:rPr>
                <w:rFonts w:hint="eastAsia" w:asciiTheme="minorEastAsia" w:hAnsiTheme="minorEastAsia" w:eastAsiaTheme="minorEastAsia" w:cstheme="minorEastAsia"/>
                <w:color w:val="auto"/>
                <w:spacing w:val="-3"/>
                <w:szCs w:val="21"/>
                <w:highlight w:val="none"/>
              </w:rPr>
              <w:t>）</w:t>
            </w:r>
            <w:r>
              <w:rPr>
                <w:rFonts w:hint="eastAsia" w:hAnsi="宋体"/>
                <w:bCs/>
                <w:color w:val="auto"/>
                <w:kern w:val="2"/>
                <w:szCs w:val="21"/>
                <w:highlight w:val="none"/>
              </w:rPr>
              <w:t>通知书（如有）或工程合同协议书有关页面或工程竣工验收证明材料证明为准</w:t>
            </w:r>
            <w:r>
              <w:rPr>
                <w:rFonts w:hint="eastAsia" w:hAnsi="宋体"/>
                <w:color w:val="auto"/>
                <w:highlight w:val="none"/>
              </w:rPr>
              <w:t>，加盖单位公章</w:t>
            </w:r>
            <w:r>
              <w:rPr>
                <w:rFonts w:hint="eastAsia" w:hAnsi="宋体"/>
                <w:bCs/>
                <w:color w:val="auto"/>
                <w:kern w:val="2"/>
                <w:szCs w:val="21"/>
                <w:highlight w:val="none"/>
              </w:rPr>
              <w:t>】。同一项目，不同标段时按最高金额的标段计分，不重复计分</w:t>
            </w:r>
            <w:r>
              <w:rPr>
                <w:rFonts w:hint="eastAsia" w:asciiTheme="minorEastAsia" w:hAnsiTheme="minorEastAsia" w:eastAsiaTheme="minorEastAsia" w:cstheme="minorEastAsia"/>
                <w:bCs/>
                <w:color w:val="auto"/>
                <w:szCs w:val="21"/>
                <w:highlight w:val="none"/>
              </w:rPr>
              <w:t>。</w:t>
            </w:r>
          </w:p>
        </w:tc>
      </w:tr>
      <w:tr w14:paraId="0DF4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730" w:type="dxa"/>
            <w:vAlign w:val="center"/>
          </w:tcPr>
          <w:p w14:paraId="00E2DFBC">
            <w:pPr>
              <w:adjustRightInd w:val="0"/>
              <w:spacing w:line="360" w:lineRule="auto"/>
              <w:jc w:val="center"/>
              <w:textAlignment w:val="baseline"/>
              <w:rPr>
                <w:rFonts w:hint="default" w:ascii="宋体" w:hAnsi="宋体"/>
                <w:b/>
                <w:color w:val="auto"/>
                <w:highlight w:val="none"/>
                <w:lang w:val="en-US" w:eastAsia="zh-CN"/>
              </w:rPr>
            </w:pPr>
            <w:r>
              <w:rPr>
                <w:rFonts w:hint="eastAsia" w:ascii="宋体" w:hAnsi="宋体"/>
                <w:b/>
                <w:color w:val="auto"/>
                <w:highlight w:val="none"/>
                <w:lang w:val="en-US" w:eastAsia="zh-CN"/>
              </w:rPr>
              <w:t>4</w:t>
            </w:r>
          </w:p>
        </w:tc>
        <w:tc>
          <w:tcPr>
            <w:tcW w:w="1280" w:type="dxa"/>
            <w:vAlign w:val="center"/>
          </w:tcPr>
          <w:p w14:paraId="7EB89AB2">
            <w:pPr>
              <w:adjustRightInd w:val="0"/>
              <w:spacing w:line="360" w:lineRule="auto"/>
              <w:jc w:val="center"/>
              <w:textAlignment w:val="baseline"/>
              <w:rPr>
                <w:rFonts w:hint="eastAsia" w:ascii="宋体" w:hAnsi="宋体"/>
                <w:b/>
                <w:bCs w:val="0"/>
                <w:color w:val="auto"/>
                <w:highlight w:val="none"/>
              </w:rPr>
            </w:pPr>
            <w:r>
              <w:rPr>
                <w:rFonts w:hint="eastAsia" w:ascii="宋体" w:hAnsi="宋体" w:eastAsia="宋体" w:cs="宋体"/>
                <w:b/>
                <w:bCs w:val="0"/>
                <w:color w:val="auto"/>
                <w:sz w:val="21"/>
                <w:szCs w:val="21"/>
                <w:highlight w:val="none"/>
                <w:lang w:val="zh-CN" w:eastAsia="zh-CN"/>
              </w:rPr>
              <w:t>技术力量</w:t>
            </w:r>
          </w:p>
        </w:tc>
        <w:tc>
          <w:tcPr>
            <w:tcW w:w="709" w:type="dxa"/>
            <w:vAlign w:val="center"/>
          </w:tcPr>
          <w:p w14:paraId="71CF09A7">
            <w:pPr>
              <w:adjustRightInd w:val="0"/>
              <w:spacing w:line="360" w:lineRule="auto"/>
              <w:jc w:val="center"/>
              <w:textAlignment w:val="baseline"/>
              <w:rPr>
                <w:rFonts w:hint="eastAsia" w:ascii="宋体" w:hAnsi="宋体"/>
                <w:b/>
                <w:bCs w:val="0"/>
                <w:color w:val="auto"/>
                <w:highlight w:val="none"/>
                <w:lang w:val="en-US" w:eastAsia="zh-CN"/>
              </w:rPr>
            </w:pPr>
            <w:r>
              <w:rPr>
                <w:rFonts w:hint="eastAsia" w:ascii="宋体" w:hAnsi="宋体" w:eastAsia="宋体" w:cs="宋体"/>
                <w:b/>
                <w:bCs w:val="0"/>
                <w:color w:val="auto"/>
                <w:kern w:val="0"/>
                <w:sz w:val="21"/>
                <w:szCs w:val="21"/>
                <w:highlight w:val="none"/>
              </w:rPr>
              <w:t>1</w:t>
            </w:r>
            <w:r>
              <w:rPr>
                <w:rFonts w:hint="eastAsia" w:ascii="宋体" w:hAnsi="宋体" w:cs="宋体"/>
                <w:b/>
                <w:bCs w:val="0"/>
                <w:color w:val="auto"/>
                <w:kern w:val="0"/>
                <w:sz w:val="21"/>
                <w:szCs w:val="21"/>
                <w:highlight w:val="none"/>
                <w:lang w:val="en-US" w:eastAsia="zh-CN"/>
              </w:rPr>
              <w:t>2</w:t>
            </w:r>
            <w:r>
              <w:rPr>
                <w:rFonts w:hint="eastAsia" w:ascii="宋体" w:hAnsi="宋体" w:eastAsia="宋体" w:cs="宋体"/>
                <w:b/>
                <w:bCs w:val="0"/>
                <w:color w:val="auto"/>
                <w:kern w:val="0"/>
                <w:sz w:val="21"/>
                <w:szCs w:val="21"/>
                <w:highlight w:val="none"/>
              </w:rPr>
              <w:t>分</w:t>
            </w:r>
          </w:p>
        </w:tc>
        <w:tc>
          <w:tcPr>
            <w:tcW w:w="6909" w:type="dxa"/>
            <w:gridSpan w:val="2"/>
            <w:vAlign w:val="center"/>
          </w:tcPr>
          <w:p w14:paraId="7210F02C">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default" w:ascii="宋体" w:hAnsi="宋体" w:cs="宋体" w:eastAsiaTheme="minorEastAsia"/>
                <w:color w:val="auto"/>
                <w:highlight w:val="none"/>
                <w:lang w:val="en-US" w:eastAsia="zh-CN"/>
              </w:rPr>
            </w:pPr>
            <w:r>
              <w:rPr>
                <w:rFonts w:hint="eastAsia" w:ascii="宋体" w:hAnsi="宋体" w:eastAsia="宋体" w:cs="宋体"/>
                <w:color w:val="auto"/>
                <w:highlight w:val="none"/>
                <w:lang w:val="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val="zh-CN"/>
              </w:rPr>
              <w:t>）拟投入的</w:t>
            </w:r>
            <w:r>
              <w:rPr>
                <w:rFonts w:hint="eastAsia" w:ascii="宋体" w:hAnsi="宋体" w:cs="宋体"/>
                <w:color w:val="auto"/>
                <w:highlight w:val="none"/>
                <w:lang w:val="en-US" w:eastAsia="zh-CN"/>
              </w:rPr>
              <w:t>技术负责人</w:t>
            </w:r>
            <w:r>
              <w:rPr>
                <w:rFonts w:hint="eastAsia" w:ascii="宋体" w:hAnsi="宋体" w:eastAsia="宋体" w:cs="宋体"/>
                <w:color w:val="auto"/>
                <w:szCs w:val="21"/>
                <w:highlight w:val="none"/>
              </w:rPr>
              <w:t>职称：具有</w:t>
            </w:r>
            <w:r>
              <w:rPr>
                <w:rFonts w:hint="eastAsia" w:ascii="宋体" w:hAnsi="宋体" w:cs="宋体"/>
                <w:color w:val="auto"/>
                <w:highlight w:val="none"/>
              </w:rPr>
              <w:t>工程类</w:t>
            </w:r>
            <w:r>
              <w:rPr>
                <w:rFonts w:hint="eastAsia" w:ascii="宋体" w:hAnsi="宋体" w:eastAsia="宋体" w:cs="宋体"/>
                <w:color w:val="auto"/>
                <w:szCs w:val="21"/>
                <w:highlight w:val="none"/>
                <w:lang w:val="en-US" w:eastAsia="zh-CN"/>
              </w:rPr>
              <w:t>相关专业中级以上</w:t>
            </w:r>
            <w:r>
              <w:rPr>
                <w:rFonts w:hint="eastAsia" w:ascii="宋体" w:hAnsi="宋体" w:eastAsia="宋体" w:cs="宋体"/>
                <w:color w:val="auto"/>
                <w:szCs w:val="21"/>
                <w:highlight w:val="none"/>
              </w:rPr>
              <w:t>职称的得</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w:t>
            </w:r>
            <w:r>
              <w:rPr>
                <w:rFonts w:hint="eastAsia" w:ascii="宋体" w:hAnsi="宋体"/>
                <w:color w:val="auto"/>
                <w:highlight w:val="none"/>
                <w:lang w:val="en-US" w:eastAsia="zh-CN"/>
              </w:rPr>
              <w:t>；</w:t>
            </w:r>
          </w:p>
          <w:p w14:paraId="3A88FAF1">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（2）拟投入项目专职安全员具有有效的</w:t>
            </w:r>
            <w:r>
              <w:rPr>
                <w:rFonts w:hint="eastAsia" w:ascii="宋体" w:hAnsi="宋体"/>
                <w:color w:val="auto"/>
                <w:highlight w:val="none"/>
              </w:rPr>
              <w:t>安全生产考核合格证书（C类）</w:t>
            </w:r>
            <w:r>
              <w:rPr>
                <w:rFonts w:hint="eastAsia" w:ascii="宋体" w:hAnsi="宋体" w:eastAsia="宋体" w:cs="宋体"/>
                <w:color w:val="auto"/>
                <w:highlight w:val="none"/>
                <w:lang w:val="en-US" w:eastAsia="zh-CN"/>
              </w:rPr>
              <w:t>得2分；</w:t>
            </w:r>
          </w:p>
          <w:p w14:paraId="6B0E53A1">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（3）拟投入项目质量员具有有效的职业培训合格证书的得2分；</w:t>
            </w:r>
          </w:p>
          <w:p w14:paraId="3D32D24C">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（4）拟投入项目施工员具有有效的</w:t>
            </w:r>
            <w:bookmarkStart w:id="1109" w:name="_GoBack"/>
            <w:bookmarkEnd w:id="1109"/>
            <w:r>
              <w:rPr>
                <w:rFonts w:hint="eastAsia" w:ascii="宋体" w:hAnsi="宋体" w:eastAsia="宋体" w:cs="宋体"/>
                <w:color w:val="auto"/>
                <w:highlight w:val="none"/>
                <w:lang w:val="en-US" w:eastAsia="zh-CN"/>
              </w:rPr>
              <w:t>职业培训合格证书的得2分；</w:t>
            </w:r>
          </w:p>
          <w:p w14:paraId="2D2DE25B">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（5）拟投入项目材料员具有有效的职业培训合格证书的得2分；</w:t>
            </w:r>
          </w:p>
          <w:p w14:paraId="783D326E">
            <w:pPr>
              <w:keepNext/>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（6）拟投入项目造价员具有有效的注册造价工程师执业资格证书的得2分。</w:t>
            </w:r>
          </w:p>
          <w:p w14:paraId="1AC74DA9">
            <w:pPr>
              <w:pStyle w:val="25"/>
              <w:spacing w:line="420" w:lineRule="exact"/>
              <w:jc w:val="left"/>
              <w:rPr>
                <w:rFonts w:hint="eastAsia" w:hAnsi="宋体" w:cs="宋体"/>
                <w:color w:val="auto"/>
                <w:highlight w:val="none"/>
              </w:rPr>
            </w:pPr>
            <w:r>
              <w:rPr>
                <w:rFonts w:hint="eastAsia" w:ascii="宋体" w:hAnsi="宋体" w:eastAsia="宋体" w:cs="宋体"/>
                <w:color w:val="auto"/>
                <w:highlight w:val="none"/>
                <w:lang w:val="zh-CN" w:eastAsia="zh-CN"/>
              </w:rPr>
              <w:t>注：响应文件提供以上人员执业资格、安全生产考核合格证、</w:t>
            </w:r>
            <w:r>
              <w:rPr>
                <w:rFonts w:hint="eastAsia" w:hAnsi="宋体" w:cs="宋体"/>
                <w:color w:val="auto"/>
                <w:highlight w:val="none"/>
                <w:lang w:val="en-US" w:eastAsia="zh-CN"/>
              </w:rPr>
              <w:t>上岗</w:t>
            </w:r>
            <w:r>
              <w:rPr>
                <w:rFonts w:hint="eastAsia" w:ascii="宋体" w:hAnsi="宋体" w:eastAsia="宋体" w:cs="宋体"/>
                <w:color w:val="auto"/>
                <w:highlight w:val="none"/>
                <w:lang w:val="zh-CN" w:eastAsia="zh-CN"/>
              </w:rPr>
              <w:t>证等复印件，否则不计分</w:t>
            </w:r>
            <w:r>
              <w:rPr>
                <w:rFonts w:hint="eastAsia" w:ascii="宋体" w:hAnsi="宋体" w:eastAsia="宋体" w:cs="宋体"/>
                <w:color w:val="auto"/>
                <w:sz w:val="21"/>
                <w:szCs w:val="21"/>
                <w:highlight w:val="none"/>
                <w:lang w:val="zh-CN"/>
              </w:rPr>
              <w:t>。</w:t>
            </w:r>
          </w:p>
        </w:tc>
      </w:tr>
      <w:tr w14:paraId="1FC3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5"/>
            <w:vAlign w:val="center"/>
          </w:tcPr>
          <w:p w14:paraId="6CE753A6">
            <w:pPr>
              <w:pStyle w:val="25"/>
              <w:spacing w:line="360" w:lineRule="auto"/>
              <w:rPr>
                <w:rFonts w:hint="default" w:hAnsi="宋体" w:eastAsia="宋体" w:cs="Courier New"/>
                <w:bCs/>
                <w:color w:val="auto"/>
                <w:kern w:val="2"/>
                <w:highlight w:val="none"/>
                <w:lang w:val="en-US" w:eastAsia="zh-CN"/>
              </w:rPr>
            </w:pPr>
            <w:r>
              <w:rPr>
                <w:rFonts w:hint="eastAsia" w:hAnsi="宋体" w:cs="Courier New"/>
                <w:b/>
                <w:bCs/>
                <w:color w:val="auto"/>
                <w:kern w:val="2"/>
                <w:highlight w:val="none"/>
              </w:rPr>
              <w:t>总得分=</w:t>
            </w:r>
            <w:r>
              <w:rPr>
                <w:rFonts w:hint="eastAsia" w:hAnsi="宋体" w:cs="Courier New"/>
                <w:b/>
                <w:bCs/>
                <w:color w:val="auto"/>
                <w:kern w:val="2"/>
                <w:highlight w:val="none"/>
                <w:lang w:val="en-US" w:eastAsia="zh-CN"/>
              </w:rPr>
              <w:t>1+2+3+4</w:t>
            </w:r>
          </w:p>
        </w:tc>
      </w:tr>
    </w:tbl>
    <w:p w14:paraId="348D4AA1">
      <w:pPr>
        <w:numPr>
          <w:ilvl w:val="0"/>
          <w:numId w:val="0"/>
        </w:numPr>
        <w:spacing w:line="360" w:lineRule="auto"/>
        <w:rPr>
          <w:rFonts w:hint="eastAsia" w:ascii="宋体" w:hAnsi="宋体"/>
          <w:bCs/>
          <w:color w:val="auto"/>
          <w:highlight w:val="none"/>
        </w:rPr>
      </w:pPr>
    </w:p>
    <w:p w14:paraId="69326A45">
      <w:pPr>
        <w:spacing w:line="360" w:lineRule="auto"/>
        <w:ind w:firstLine="420" w:firstLineChars="200"/>
        <w:rPr>
          <w:rFonts w:hint="eastAsia" w:ascii="宋体" w:hAnsi="宋体" w:cs="Times New Roman"/>
          <w:b/>
          <w:color w:val="auto"/>
          <w:highlight w:val="none"/>
        </w:rPr>
      </w:pPr>
      <w:r>
        <w:rPr>
          <w:rFonts w:ascii="宋体" w:hAnsi="宋体"/>
          <w:bCs/>
          <w:color w:val="auto"/>
          <w:highlight w:val="none"/>
        </w:rPr>
        <w:t>7.</w:t>
      </w:r>
      <w:r>
        <w:rPr>
          <w:rFonts w:hint="eastAsia" w:ascii="宋体" w:hAnsi="宋体"/>
          <w:bCs/>
          <w:color w:val="auto"/>
          <w:highlight w:val="none"/>
        </w:rPr>
        <w:t>由磋商小组根据综合评分情况，按照评审得分由高到低顺序推荐3名以上成交候选供应商，并编写评审报告。符合本章第</w:t>
      </w:r>
      <w:r>
        <w:rPr>
          <w:rFonts w:hint="eastAsia" w:ascii="宋体" w:hAnsi="宋体" w:cs="宋体"/>
          <w:color w:val="auto"/>
          <w:highlight w:val="none"/>
        </w:rPr>
        <w:t>2.7、3.7、</w:t>
      </w:r>
      <w:r>
        <w:rPr>
          <w:rFonts w:ascii="宋体" w:hAnsi="宋体" w:cs="宋体"/>
          <w:color w:val="auto"/>
          <w:highlight w:val="none"/>
        </w:rPr>
        <w:t>4.3</w:t>
      </w:r>
      <w:r>
        <w:rPr>
          <w:rFonts w:hint="eastAsia" w:ascii="宋体" w:hAnsi="宋体"/>
          <w:bCs/>
          <w:color w:val="auto"/>
          <w:highlight w:val="none"/>
        </w:rPr>
        <w:t>条情形的，可以推荐2家成交候选供应商。评审得分相同的，按照最后报价（不计算价格折扣）由低到高的顺序推荐。评审得分且最后报价（不计算价格折扣）相同的，按照技术指标优劣顺序推荐</w:t>
      </w:r>
      <w:r>
        <w:rPr>
          <w:rFonts w:hint="eastAsia" w:ascii="宋体" w:hAnsi="宋体" w:cs="Times New Roman"/>
          <w:b/>
          <w:color w:val="auto"/>
          <w:highlight w:val="none"/>
        </w:rPr>
        <w:t>（按综合评分中</w:t>
      </w:r>
      <w:r>
        <w:rPr>
          <w:rFonts w:hint="eastAsia" w:ascii="宋体" w:hAnsi="宋体" w:cs="Times New Roman"/>
          <w:b/>
          <w:color w:val="auto"/>
          <w:highlight w:val="none"/>
          <w:lang w:val="zh-CN" w:eastAsia="zh-CN"/>
        </w:rPr>
        <w:t>施工</w:t>
      </w:r>
      <w:r>
        <w:rPr>
          <w:rFonts w:hint="eastAsia" w:ascii="宋体" w:hAnsi="宋体" w:cs="Times New Roman"/>
          <w:b/>
          <w:color w:val="auto"/>
          <w:highlight w:val="none"/>
          <w:lang w:val="zh-CN"/>
        </w:rPr>
        <w:t>实施方案、</w:t>
      </w:r>
      <w:r>
        <w:rPr>
          <w:rFonts w:hint="eastAsia" w:ascii="宋体" w:hAnsi="宋体" w:cs="Times New Roman"/>
          <w:b/>
          <w:color w:val="auto"/>
          <w:highlight w:val="none"/>
          <w:lang w:val="en-US" w:eastAsia="zh-CN"/>
        </w:rPr>
        <w:t>确保安全、文明的技术组织措施、拟投入的</w:t>
      </w:r>
      <w:r>
        <w:rPr>
          <w:rFonts w:hint="eastAsia" w:ascii="宋体" w:hAnsi="宋体" w:cs="Times New Roman"/>
          <w:b/>
          <w:color w:val="auto"/>
          <w:highlight w:val="none"/>
        </w:rPr>
        <w:t>主要物资</w:t>
      </w:r>
      <w:r>
        <w:rPr>
          <w:rFonts w:hint="eastAsia" w:ascii="宋体" w:hAnsi="宋体" w:cs="Times New Roman"/>
          <w:b/>
          <w:color w:val="auto"/>
          <w:highlight w:val="none"/>
          <w:lang w:eastAsia="zh-CN"/>
        </w:rPr>
        <w:t>、</w:t>
      </w:r>
      <w:r>
        <w:rPr>
          <w:rFonts w:hint="eastAsia" w:ascii="宋体" w:hAnsi="宋体" w:cs="Times New Roman"/>
          <w:b/>
          <w:color w:val="auto"/>
          <w:highlight w:val="none"/>
        </w:rPr>
        <w:t>施工机械设备</w:t>
      </w:r>
      <w:r>
        <w:rPr>
          <w:rFonts w:hint="eastAsia" w:ascii="宋体" w:hAnsi="宋体" w:cs="Times New Roman"/>
          <w:b/>
          <w:color w:val="auto"/>
          <w:highlight w:val="none"/>
          <w:lang w:val="en-US" w:eastAsia="zh-CN"/>
        </w:rPr>
        <w:t>方案、</w:t>
      </w:r>
      <w:r>
        <w:rPr>
          <w:rFonts w:hint="eastAsia" w:ascii="宋体" w:hAnsi="宋体" w:cs="Times New Roman"/>
          <w:b/>
          <w:color w:val="auto"/>
          <w:highlight w:val="none"/>
        </w:rPr>
        <w:t>劳动力安排计划得分高低依次确定）。</w:t>
      </w:r>
    </w:p>
    <w:p w14:paraId="04AE575A">
      <w:pPr>
        <w:spacing w:line="400" w:lineRule="exact"/>
        <w:ind w:firstLine="420" w:firstLineChars="200"/>
        <w:rPr>
          <w:rFonts w:ascii="宋体" w:hAnsi="宋体" w:cs="宋体"/>
          <w:color w:val="auto"/>
          <w:highlight w:val="none"/>
        </w:rPr>
      </w:pPr>
    </w:p>
    <w:p w14:paraId="26425A51">
      <w:pPr>
        <w:spacing w:line="400" w:lineRule="exact"/>
        <w:ind w:firstLine="420" w:firstLineChars="200"/>
        <w:rPr>
          <w:rFonts w:ascii="宋体" w:hAnsi="宋体" w:cs="宋体"/>
          <w:color w:val="auto"/>
          <w:highlight w:val="none"/>
        </w:rPr>
      </w:pPr>
    </w:p>
    <w:p w14:paraId="79162A72">
      <w:pPr>
        <w:pStyle w:val="2"/>
        <w:numPr>
          <w:ilvl w:val="0"/>
          <w:numId w:val="0"/>
        </w:numPr>
        <w:jc w:val="center"/>
        <w:rPr>
          <w:rFonts w:eastAsia="宋体"/>
          <w:bCs/>
          <w:color w:val="auto"/>
          <w:highlight w:val="none"/>
        </w:rPr>
      </w:pPr>
      <w:r>
        <w:rPr>
          <w:color w:val="auto"/>
          <w:highlight w:val="none"/>
        </w:rPr>
        <w:br w:type="page"/>
      </w:r>
      <w:bookmarkStart w:id="75" w:name="_Toc15452"/>
      <w:bookmarkStart w:id="76" w:name="_Toc745"/>
      <w:r>
        <w:rPr>
          <w:rFonts w:hint="eastAsia" w:eastAsia="宋体"/>
          <w:bCs/>
          <w:color w:val="auto"/>
          <w:highlight w:val="none"/>
        </w:rPr>
        <w:t>第六章 响应文件格式</w:t>
      </w:r>
      <w:bookmarkEnd w:id="75"/>
      <w:bookmarkEnd w:id="76"/>
    </w:p>
    <w:p w14:paraId="7D9840CB">
      <w:pPr>
        <w:rPr>
          <w:rStyle w:val="72"/>
          <w:rFonts w:hAnsi="宋体" w:cs="宋体"/>
          <w:bCs/>
          <w:color w:val="auto"/>
          <w:sz w:val="36"/>
          <w:szCs w:val="36"/>
          <w:highlight w:val="none"/>
        </w:rPr>
      </w:pPr>
      <w:r>
        <w:rPr>
          <w:rStyle w:val="72"/>
          <w:rFonts w:hint="eastAsia" w:hAnsi="宋体" w:cs="宋体"/>
          <w:bCs/>
          <w:color w:val="auto"/>
          <w:sz w:val="36"/>
          <w:szCs w:val="36"/>
          <w:highlight w:val="none"/>
        </w:rPr>
        <w:br w:type="page"/>
      </w:r>
    </w:p>
    <w:p w14:paraId="3969A69B">
      <w:pPr>
        <w:rPr>
          <w:b/>
          <w:color w:val="auto"/>
          <w:sz w:val="32"/>
          <w:szCs w:val="32"/>
          <w:highlight w:val="none"/>
        </w:rPr>
      </w:pPr>
      <w:r>
        <w:rPr>
          <w:rFonts w:hint="eastAsia"/>
          <w:b/>
          <w:color w:val="auto"/>
          <w:sz w:val="32"/>
          <w:szCs w:val="32"/>
          <w:highlight w:val="none"/>
        </w:rPr>
        <w:t>一、资格证明文件格式</w:t>
      </w:r>
    </w:p>
    <w:p w14:paraId="02DDFC09">
      <w:pPr>
        <w:snapToGrid w:val="0"/>
        <w:spacing w:beforeLines="50" w:after="50" w:line="360" w:lineRule="auto"/>
        <w:jc w:val="left"/>
        <w:rPr>
          <w:rFonts w:ascii="宋体" w:hAnsi="宋体"/>
          <w:b/>
          <w:color w:val="auto"/>
          <w:sz w:val="24"/>
          <w:highlight w:val="none"/>
        </w:rPr>
      </w:pPr>
      <w:r>
        <w:rPr>
          <w:rFonts w:hint="eastAsia" w:ascii="宋体" w:hAnsi="宋体"/>
          <w:b/>
          <w:color w:val="auto"/>
          <w:sz w:val="32"/>
          <w:szCs w:val="32"/>
          <w:highlight w:val="none"/>
        </w:rPr>
        <w:t>1.资格证明文件封面格式：</w:t>
      </w:r>
    </w:p>
    <w:p w14:paraId="0D107A70">
      <w:pPr>
        <w:snapToGrid w:val="0"/>
        <w:spacing w:beforeLines="50" w:after="50"/>
        <w:rPr>
          <w:color w:val="auto"/>
          <w:highlight w:val="none"/>
        </w:rPr>
      </w:pPr>
    </w:p>
    <w:p w14:paraId="2626B253">
      <w:pPr>
        <w:snapToGrid w:val="0"/>
        <w:spacing w:beforeLines="50" w:after="50"/>
        <w:rPr>
          <w:color w:val="auto"/>
          <w:highlight w:val="none"/>
        </w:rPr>
      </w:pPr>
    </w:p>
    <w:p w14:paraId="5623A133">
      <w:pPr>
        <w:snapToGrid w:val="0"/>
        <w:spacing w:beforeLines="50" w:after="50"/>
        <w:rPr>
          <w:color w:val="auto"/>
          <w:highlight w:val="none"/>
        </w:rPr>
      </w:pPr>
    </w:p>
    <w:p w14:paraId="3B69C05C">
      <w:pPr>
        <w:snapToGrid w:val="0"/>
        <w:spacing w:beforeLines="50" w:after="50"/>
        <w:ind w:firstLine="2560" w:firstLineChars="800"/>
        <w:rPr>
          <w:rFonts w:ascii="宋体" w:hAnsi="宋体"/>
          <w:color w:val="auto"/>
          <w:sz w:val="24"/>
          <w:highlight w:val="none"/>
        </w:rPr>
      </w:pPr>
      <w:r>
        <w:rPr>
          <w:rFonts w:hint="eastAsia" w:cs="仿宋_GB2312"/>
          <w:bCs/>
          <w:color w:val="auto"/>
          <w:sz w:val="32"/>
          <w:szCs w:val="32"/>
          <w:highlight w:val="none"/>
        </w:rPr>
        <w:t>项目名称</w:t>
      </w:r>
    </w:p>
    <w:p w14:paraId="5D80BA18">
      <w:pPr>
        <w:pStyle w:val="249"/>
        <w:rPr>
          <w:color w:val="auto"/>
          <w:highlight w:val="none"/>
        </w:rPr>
      </w:pPr>
    </w:p>
    <w:p w14:paraId="567D251A">
      <w:pPr>
        <w:pStyle w:val="249"/>
        <w:rPr>
          <w:color w:val="auto"/>
          <w:highlight w:val="none"/>
        </w:rPr>
      </w:pPr>
    </w:p>
    <w:p w14:paraId="0C5D43B0">
      <w:pPr>
        <w:pStyle w:val="249"/>
        <w:rPr>
          <w:color w:val="auto"/>
          <w:highlight w:val="none"/>
        </w:rPr>
      </w:pPr>
    </w:p>
    <w:p w14:paraId="0257A250">
      <w:pPr>
        <w:pStyle w:val="249"/>
        <w:rPr>
          <w:color w:val="auto"/>
          <w:highlight w:val="none"/>
        </w:rPr>
      </w:pPr>
    </w:p>
    <w:p w14:paraId="33EF2643">
      <w:pPr>
        <w:snapToGrid w:val="0"/>
        <w:spacing w:beforeLines="50" w:after="50"/>
        <w:rPr>
          <w:rFonts w:ascii="宋体" w:hAnsi="宋体"/>
          <w:color w:val="auto"/>
          <w:sz w:val="24"/>
          <w:szCs w:val="20"/>
          <w:highlight w:val="none"/>
        </w:rPr>
      </w:pPr>
    </w:p>
    <w:p w14:paraId="3A59D530">
      <w:pPr>
        <w:snapToGrid w:val="0"/>
        <w:spacing w:beforeLines="50" w:after="50"/>
        <w:jc w:val="center"/>
        <w:rPr>
          <w:rFonts w:ascii="宋体" w:hAnsi="宋体" w:cs="宋体"/>
          <w:bCs/>
          <w:color w:val="auto"/>
          <w:sz w:val="84"/>
          <w:szCs w:val="84"/>
          <w:highlight w:val="none"/>
        </w:rPr>
      </w:pPr>
      <w:r>
        <w:rPr>
          <w:rFonts w:hint="eastAsia" w:ascii="宋体" w:hAnsi="宋体" w:cs="宋体"/>
          <w:bCs/>
          <w:color w:val="auto"/>
          <w:sz w:val="84"/>
          <w:szCs w:val="84"/>
          <w:highlight w:val="none"/>
        </w:rPr>
        <w:t>响  应  文  件</w:t>
      </w:r>
    </w:p>
    <w:p w14:paraId="6553394B">
      <w:pPr>
        <w:snapToGrid w:val="0"/>
        <w:spacing w:beforeLines="50" w:after="50"/>
        <w:jc w:val="center"/>
        <w:rPr>
          <w:rFonts w:ascii="宋体" w:hAnsi="宋体" w:cs="宋体"/>
          <w:bCs/>
          <w:color w:val="auto"/>
          <w:sz w:val="44"/>
          <w:szCs w:val="44"/>
          <w:highlight w:val="none"/>
        </w:rPr>
      </w:pPr>
    </w:p>
    <w:p w14:paraId="332C2658">
      <w:pPr>
        <w:snapToGrid w:val="0"/>
        <w:spacing w:beforeLines="50" w:after="50"/>
        <w:jc w:val="center"/>
        <w:rPr>
          <w:rFonts w:ascii="宋体" w:hAnsi="宋体" w:cs="宋体"/>
          <w:bCs/>
          <w:color w:val="auto"/>
          <w:sz w:val="32"/>
          <w:szCs w:val="32"/>
          <w:highlight w:val="none"/>
        </w:rPr>
      </w:pPr>
      <w:r>
        <w:rPr>
          <w:rFonts w:hint="eastAsia" w:ascii="宋体" w:hAnsi="宋体" w:cs="宋体"/>
          <w:bCs/>
          <w:color w:val="auto"/>
          <w:sz w:val="32"/>
          <w:szCs w:val="32"/>
          <w:highlight w:val="none"/>
        </w:rPr>
        <w:t>资  格  证  明  文  件</w:t>
      </w:r>
    </w:p>
    <w:p w14:paraId="7C0FBD41">
      <w:pPr>
        <w:snapToGrid w:val="0"/>
        <w:spacing w:beforeLines="50" w:after="50"/>
        <w:rPr>
          <w:rFonts w:ascii="宋体" w:hAnsi="宋体" w:cs="仿宋_GB2312"/>
          <w:bCs/>
          <w:color w:val="auto"/>
          <w:sz w:val="32"/>
          <w:szCs w:val="32"/>
          <w:highlight w:val="none"/>
        </w:rPr>
      </w:pPr>
    </w:p>
    <w:p w14:paraId="0A702B07">
      <w:pPr>
        <w:snapToGrid w:val="0"/>
        <w:spacing w:beforeLines="50" w:after="50"/>
        <w:rPr>
          <w:rFonts w:ascii="宋体" w:hAnsi="宋体" w:cs="仿宋_GB2312"/>
          <w:bCs/>
          <w:color w:val="auto"/>
          <w:sz w:val="32"/>
          <w:szCs w:val="32"/>
          <w:highlight w:val="none"/>
        </w:rPr>
      </w:pPr>
    </w:p>
    <w:p w14:paraId="6C7070F0">
      <w:pPr>
        <w:snapToGrid w:val="0"/>
        <w:spacing w:beforeLines="50" w:after="50"/>
        <w:ind w:firstLine="960" w:firstLineChars="300"/>
        <w:rPr>
          <w:rFonts w:ascii="宋体" w:hAnsi="宋体"/>
          <w:bCs/>
          <w:color w:val="auto"/>
          <w:sz w:val="24"/>
          <w:szCs w:val="20"/>
          <w:highlight w:val="none"/>
        </w:rPr>
      </w:pPr>
      <w:r>
        <w:rPr>
          <w:rFonts w:hint="eastAsia" w:ascii="宋体" w:hAnsi="宋体" w:cs="仿宋_GB2312"/>
          <w:bCs/>
          <w:color w:val="auto"/>
          <w:sz w:val="32"/>
          <w:szCs w:val="32"/>
          <w:highlight w:val="none"/>
        </w:rPr>
        <w:t>项目编号：</w:t>
      </w:r>
    </w:p>
    <w:p w14:paraId="348CA351">
      <w:pPr>
        <w:snapToGrid w:val="0"/>
        <w:spacing w:beforeLines="50" w:after="50"/>
        <w:rPr>
          <w:rFonts w:ascii="宋体" w:hAnsi="宋体" w:cs="仿宋_GB2312"/>
          <w:bCs/>
          <w:color w:val="auto"/>
          <w:sz w:val="32"/>
          <w:szCs w:val="32"/>
          <w:highlight w:val="none"/>
        </w:rPr>
      </w:pPr>
    </w:p>
    <w:p w14:paraId="1AB11EFB">
      <w:pPr>
        <w:pStyle w:val="7"/>
        <w:snapToGrid w:val="0"/>
        <w:spacing w:before="50" w:after="50"/>
        <w:ind w:firstLine="1040" w:firstLineChars="325"/>
        <w:rPr>
          <w:rFonts w:ascii="宋体" w:hAnsi="宋体" w:cs="仿宋_GB2312"/>
          <w:bCs/>
          <w:color w:val="auto"/>
          <w:sz w:val="32"/>
          <w:szCs w:val="32"/>
          <w:highlight w:val="none"/>
        </w:rPr>
      </w:pPr>
      <w:r>
        <w:rPr>
          <w:rFonts w:hint="eastAsia" w:ascii="宋体" w:hAnsi="宋体" w:cs="仿宋_GB2312"/>
          <w:bCs/>
          <w:color w:val="auto"/>
          <w:sz w:val="32"/>
          <w:szCs w:val="32"/>
          <w:highlight w:val="none"/>
        </w:rPr>
        <w:t>供应商名称：</w:t>
      </w:r>
    </w:p>
    <w:p w14:paraId="701DA0A8">
      <w:pPr>
        <w:snapToGrid w:val="0"/>
        <w:spacing w:beforeLines="50" w:after="50"/>
        <w:jc w:val="center"/>
        <w:rPr>
          <w:rFonts w:ascii="宋体" w:hAnsi="宋体" w:cs="仿宋_GB2312"/>
          <w:color w:val="auto"/>
          <w:sz w:val="32"/>
          <w:szCs w:val="32"/>
          <w:highlight w:val="none"/>
        </w:rPr>
      </w:pPr>
    </w:p>
    <w:p w14:paraId="1B369292">
      <w:pPr>
        <w:snapToGrid w:val="0"/>
        <w:spacing w:beforeLines="50" w:after="50"/>
        <w:jc w:val="center"/>
        <w:rPr>
          <w:rFonts w:ascii="宋体" w:hAnsi="宋体" w:cs="仿宋_GB2312"/>
          <w:color w:val="auto"/>
          <w:sz w:val="32"/>
          <w:szCs w:val="32"/>
          <w:highlight w:val="none"/>
        </w:rPr>
      </w:pPr>
    </w:p>
    <w:p w14:paraId="6055D7A3">
      <w:pPr>
        <w:snapToGrid w:val="0"/>
        <w:spacing w:beforeLines="50" w:after="50"/>
        <w:jc w:val="center"/>
        <w:rPr>
          <w:rFonts w:ascii="宋体" w:hAnsi="宋体" w:cs="仿宋_GB2312"/>
          <w:color w:val="auto"/>
          <w:sz w:val="32"/>
          <w:szCs w:val="32"/>
          <w:highlight w:val="none"/>
        </w:rPr>
      </w:pPr>
      <w:r>
        <w:rPr>
          <w:rFonts w:hint="eastAsia" w:ascii="宋体" w:hAnsi="宋体" w:cs="仿宋_GB2312"/>
          <w:color w:val="auto"/>
          <w:sz w:val="32"/>
          <w:szCs w:val="32"/>
          <w:highlight w:val="none"/>
        </w:rPr>
        <w:t>年    月    日</w:t>
      </w:r>
    </w:p>
    <w:p w14:paraId="287A8C14">
      <w:pPr>
        <w:snapToGrid w:val="0"/>
        <w:spacing w:beforeLines="50" w:after="50" w:line="360" w:lineRule="auto"/>
        <w:ind w:left="142"/>
        <w:jc w:val="left"/>
        <w:rPr>
          <w:rFonts w:ascii="宋体" w:hAnsi="宋体"/>
          <w:b/>
          <w:bCs/>
          <w:color w:val="auto"/>
          <w:sz w:val="32"/>
          <w:szCs w:val="32"/>
          <w:highlight w:val="none"/>
        </w:rPr>
      </w:pPr>
      <w:r>
        <w:rPr>
          <w:rFonts w:ascii="宋体" w:hAnsi="宋体"/>
          <w:color w:val="auto"/>
          <w:sz w:val="24"/>
          <w:highlight w:val="none"/>
        </w:rPr>
        <w:br w:type="page"/>
      </w:r>
      <w:r>
        <w:rPr>
          <w:rFonts w:hint="eastAsia" w:ascii="宋体" w:hAnsi="宋体"/>
          <w:b/>
          <w:bCs/>
          <w:color w:val="auto"/>
          <w:sz w:val="32"/>
          <w:szCs w:val="32"/>
          <w:highlight w:val="none"/>
        </w:rPr>
        <w:t>2.资格证明文件目录</w:t>
      </w:r>
    </w:p>
    <w:p w14:paraId="59EBE410">
      <w:pPr>
        <w:snapToGrid w:val="0"/>
        <w:spacing w:beforeLines="50" w:after="50" w:line="360" w:lineRule="auto"/>
        <w:ind w:firstLine="645"/>
        <w:rPr>
          <w:rFonts w:ascii="宋体" w:hAnsi="宋体"/>
          <w:color w:val="auto"/>
          <w:sz w:val="32"/>
          <w:szCs w:val="32"/>
          <w:highlight w:val="none"/>
        </w:rPr>
      </w:pPr>
      <w:r>
        <w:rPr>
          <w:rFonts w:hint="eastAsia" w:ascii="宋体" w:hAnsi="宋体"/>
          <w:color w:val="auto"/>
          <w:sz w:val="32"/>
          <w:szCs w:val="32"/>
          <w:highlight w:val="none"/>
        </w:rPr>
        <w:t>根据磋商文件规定及供应商提供的材料自行编写目录（部分格式后附）。</w:t>
      </w:r>
    </w:p>
    <w:p w14:paraId="776872A8">
      <w:pPr>
        <w:snapToGrid w:val="0"/>
        <w:spacing w:beforeLines="50" w:after="50"/>
        <w:rPr>
          <w:rFonts w:ascii="宋体" w:hAnsi="宋体"/>
          <w:color w:val="auto"/>
          <w:sz w:val="24"/>
          <w:szCs w:val="20"/>
          <w:highlight w:val="none"/>
        </w:rPr>
      </w:pPr>
    </w:p>
    <w:p w14:paraId="7B8842A8">
      <w:pPr>
        <w:spacing w:line="300" w:lineRule="auto"/>
        <w:rPr>
          <w:rFonts w:ascii="宋体" w:hAnsi="宋体"/>
          <w:color w:val="auto"/>
          <w:highlight w:val="none"/>
        </w:rPr>
      </w:pPr>
    </w:p>
    <w:p w14:paraId="25C4B0E0">
      <w:pPr>
        <w:spacing w:line="300" w:lineRule="auto"/>
        <w:rPr>
          <w:rFonts w:ascii="宋体" w:hAnsi="宋体"/>
          <w:color w:val="auto"/>
          <w:highlight w:val="none"/>
        </w:rPr>
      </w:pPr>
    </w:p>
    <w:p w14:paraId="16726031">
      <w:pPr>
        <w:spacing w:line="300" w:lineRule="auto"/>
        <w:rPr>
          <w:rFonts w:ascii="宋体" w:hAnsi="宋体"/>
          <w:color w:val="auto"/>
          <w:highlight w:val="none"/>
        </w:rPr>
      </w:pPr>
    </w:p>
    <w:p w14:paraId="4752184D">
      <w:pPr>
        <w:spacing w:line="300" w:lineRule="auto"/>
        <w:rPr>
          <w:rFonts w:ascii="宋体" w:hAnsi="宋体"/>
          <w:color w:val="auto"/>
          <w:highlight w:val="none"/>
        </w:rPr>
      </w:pPr>
    </w:p>
    <w:p w14:paraId="74AE4DB5">
      <w:pPr>
        <w:spacing w:line="300" w:lineRule="auto"/>
        <w:rPr>
          <w:rFonts w:ascii="宋体" w:hAnsi="宋体"/>
          <w:color w:val="auto"/>
          <w:highlight w:val="none"/>
        </w:rPr>
      </w:pPr>
    </w:p>
    <w:p w14:paraId="7E59BBDB">
      <w:pPr>
        <w:spacing w:line="300" w:lineRule="auto"/>
        <w:rPr>
          <w:rFonts w:ascii="宋体" w:hAnsi="宋体"/>
          <w:color w:val="auto"/>
          <w:highlight w:val="none"/>
        </w:rPr>
      </w:pPr>
    </w:p>
    <w:p w14:paraId="054B868C">
      <w:pPr>
        <w:spacing w:line="300" w:lineRule="auto"/>
        <w:rPr>
          <w:rFonts w:ascii="宋体" w:hAnsi="宋体"/>
          <w:color w:val="auto"/>
          <w:highlight w:val="none"/>
        </w:rPr>
      </w:pPr>
    </w:p>
    <w:p w14:paraId="1B981240">
      <w:pPr>
        <w:spacing w:line="300" w:lineRule="auto"/>
        <w:rPr>
          <w:rFonts w:ascii="宋体" w:hAnsi="宋体"/>
          <w:color w:val="auto"/>
          <w:highlight w:val="none"/>
        </w:rPr>
      </w:pPr>
    </w:p>
    <w:p w14:paraId="351619B0">
      <w:pPr>
        <w:spacing w:line="300" w:lineRule="auto"/>
        <w:rPr>
          <w:rFonts w:ascii="宋体" w:hAnsi="宋体"/>
          <w:color w:val="auto"/>
          <w:highlight w:val="none"/>
        </w:rPr>
      </w:pPr>
    </w:p>
    <w:p w14:paraId="55451A3E">
      <w:pPr>
        <w:spacing w:line="300" w:lineRule="auto"/>
        <w:rPr>
          <w:rFonts w:ascii="宋体" w:hAnsi="宋体"/>
          <w:color w:val="auto"/>
          <w:highlight w:val="none"/>
        </w:rPr>
      </w:pPr>
    </w:p>
    <w:p w14:paraId="6C9753A3">
      <w:pPr>
        <w:spacing w:line="300" w:lineRule="auto"/>
        <w:rPr>
          <w:rFonts w:ascii="宋体" w:hAnsi="宋体"/>
          <w:color w:val="auto"/>
          <w:highlight w:val="none"/>
        </w:rPr>
      </w:pPr>
    </w:p>
    <w:p w14:paraId="433748FE">
      <w:pPr>
        <w:spacing w:line="300" w:lineRule="auto"/>
        <w:rPr>
          <w:rFonts w:ascii="宋体" w:hAnsi="宋体"/>
          <w:color w:val="auto"/>
          <w:highlight w:val="none"/>
        </w:rPr>
      </w:pPr>
    </w:p>
    <w:p w14:paraId="141A3C99">
      <w:pPr>
        <w:spacing w:line="300" w:lineRule="auto"/>
        <w:rPr>
          <w:rFonts w:ascii="宋体" w:hAnsi="宋体"/>
          <w:color w:val="auto"/>
          <w:highlight w:val="none"/>
        </w:rPr>
      </w:pPr>
    </w:p>
    <w:p w14:paraId="3184D22A">
      <w:pPr>
        <w:spacing w:line="300" w:lineRule="auto"/>
        <w:rPr>
          <w:rFonts w:ascii="宋体" w:hAnsi="宋体"/>
          <w:color w:val="auto"/>
          <w:highlight w:val="none"/>
        </w:rPr>
      </w:pPr>
    </w:p>
    <w:p w14:paraId="2723236E">
      <w:pPr>
        <w:spacing w:line="300" w:lineRule="auto"/>
        <w:rPr>
          <w:rFonts w:ascii="宋体" w:hAnsi="宋体"/>
          <w:color w:val="auto"/>
          <w:highlight w:val="none"/>
        </w:rPr>
      </w:pPr>
    </w:p>
    <w:p w14:paraId="0CA504B0">
      <w:pPr>
        <w:spacing w:line="320" w:lineRule="exact"/>
        <w:jc w:val="left"/>
        <w:rPr>
          <w:rFonts w:ascii="宋体" w:hAnsi="宋体"/>
          <w:color w:val="auto"/>
          <w:highlight w:val="none"/>
        </w:rPr>
      </w:pPr>
    </w:p>
    <w:p w14:paraId="23169DD4">
      <w:pPr>
        <w:wordWrap w:val="0"/>
        <w:spacing w:beforeLines="50" w:after="50" w:line="320" w:lineRule="exact"/>
        <w:ind w:right="482" w:firstLine="210" w:firstLineChars="100"/>
        <w:contextualSpacing/>
        <w:jc w:val="center"/>
        <w:rPr>
          <w:rFonts w:ascii="宋体" w:hAnsi="宋体"/>
          <w:color w:val="auto"/>
          <w:highlight w:val="none"/>
        </w:rPr>
      </w:pPr>
    </w:p>
    <w:p w14:paraId="45885111">
      <w:pPr>
        <w:spacing w:line="320" w:lineRule="exact"/>
        <w:jc w:val="center"/>
        <w:rPr>
          <w:rFonts w:ascii="宋体" w:hAnsi="宋体"/>
          <w:b/>
          <w:color w:val="auto"/>
          <w:sz w:val="32"/>
          <w:szCs w:val="32"/>
          <w:highlight w:val="none"/>
        </w:rPr>
      </w:pPr>
    </w:p>
    <w:p w14:paraId="786B5ECE">
      <w:pPr>
        <w:spacing w:line="320" w:lineRule="exact"/>
        <w:jc w:val="center"/>
        <w:rPr>
          <w:rFonts w:ascii="宋体" w:hAnsi="宋体"/>
          <w:b/>
          <w:color w:val="auto"/>
          <w:sz w:val="32"/>
          <w:szCs w:val="32"/>
          <w:highlight w:val="none"/>
        </w:rPr>
      </w:pPr>
    </w:p>
    <w:p w14:paraId="76B5457E">
      <w:pPr>
        <w:spacing w:line="320" w:lineRule="exact"/>
        <w:jc w:val="center"/>
        <w:rPr>
          <w:rFonts w:ascii="宋体" w:hAnsi="宋体"/>
          <w:b/>
          <w:color w:val="auto"/>
          <w:sz w:val="32"/>
          <w:szCs w:val="32"/>
          <w:highlight w:val="none"/>
        </w:rPr>
      </w:pPr>
    </w:p>
    <w:p w14:paraId="1BE6BD13">
      <w:pPr>
        <w:spacing w:line="320" w:lineRule="exact"/>
        <w:jc w:val="center"/>
        <w:rPr>
          <w:rFonts w:ascii="宋体" w:hAnsi="宋体"/>
          <w:b/>
          <w:color w:val="auto"/>
          <w:sz w:val="32"/>
          <w:szCs w:val="32"/>
          <w:highlight w:val="none"/>
        </w:rPr>
      </w:pPr>
    </w:p>
    <w:p w14:paraId="118579F2">
      <w:pPr>
        <w:spacing w:line="320" w:lineRule="exact"/>
        <w:jc w:val="center"/>
        <w:rPr>
          <w:rFonts w:ascii="宋体" w:hAnsi="宋体"/>
          <w:b/>
          <w:color w:val="auto"/>
          <w:sz w:val="32"/>
          <w:szCs w:val="32"/>
          <w:highlight w:val="none"/>
        </w:rPr>
      </w:pPr>
    </w:p>
    <w:p w14:paraId="1E9396A1">
      <w:pPr>
        <w:spacing w:line="320" w:lineRule="exact"/>
        <w:jc w:val="center"/>
        <w:rPr>
          <w:rFonts w:ascii="宋体" w:hAnsi="宋体"/>
          <w:b/>
          <w:color w:val="auto"/>
          <w:sz w:val="32"/>
          <w:szCs w:val="32"/>
          <w:highlight w:val="none"/>
        </w:rPr>
      </w:pPr>
    </w:p>
    <w:p w14:paraId="6CF68B3E">
      <w:pPr>
        <w:spacing w:line="320" w:lineRule="exact"/>
        <w:jc w:val="center"/>
        <w:rPr>
          <w:rFonts w:ascii="宋体" w:hAnsi="宋体"/>
          <w:b/>
          <w:color w:val="auto"/>
          <w:sz w:val="32"/>
          <w:szCs w:val="32"/>
          <w:highlight w:val="none"/>
        </w:rPr>
      </w:pPr>
    </w:p>
    <w:p w14:paraId="6EF8D7B4">
      <w:pPr>
        <w:spacing w:line="320" w:lineRule="exact"/>
        <w:jc w:val="center"/>
        <w:rPr>
          <w:rFonts w:ascii="宋体" w:hAnsi="宋体"/>
          <w:b/>
          <w:color w:val="auto"/>
          <w:sz w:val="32"/>
          <w:szCs w:val="32"/>
          <w:highlight w:val="none"/>
        </w:rPr>
      </w:pPr>
    </w:p>
    <w:p w14:paraId="76EFCA36">
      <w:pPr>
        <w:spacing w:line="320" w:lineRule="exact"/>
        <w:jc w:val="center"/>
        <w:rPr>
          <w:rFonts w:ascii="宋体" w:hAnsi="宋体"/>
          <w:b/>
          <w:color w:val="auto"/>
          <w:sz w:val="32"/>
          <w:szCs w:val="32"/>
          <w:highlight w:val="none"/>
        </w:rPr>
      </w:pPr>
    </w:p>
    <w:p w14:paraId="749A4721">
      <w:pPr>
        <w:spacing w:line="320" w:lineRule="exact"/>
        <w:jc w:val="center"/>
        <w:rPr>
          <w:rFonts w:ascii="宋体" w:hAnsi="宋体"/>
          <w:b/>
          <w:color w:val="auto"/>
          <w:sz w:val="32"/>
          <w:szCs w:val="32"/>
          <w:highlight w:val="none"/>
        </w:rPr>
      </w:pPr>
    </w:p>
    <w:p w14:paraId="7CBF4A2C">
      <w:pPr>
        <w:spacing w:line="320" w:lineRule="exact"/>
        <w:jc w:val="center"/>
        <w:rPr>
          <w:rFonts w:ascii="宋体" w:hAnsi="宋体"/>
          <w:b/>
          <w:color w:val="auto"/>
          <w:sz w:val="32"/>
          <w:szCs w:val="32"/>
          <w:highlight w:val="none"/>
        </w:rPr>
      </w:pPr>
    </w:p>
    <w:p w14:paraId="1CBC76EC">
      <w:pPr>
        <w:spacing w:line="320" w:lineRule="exact"/>
        <w:jc w:val="center"/>
        <w:rPr>
          <w:rFonts w:ascii="宋体" w:hAnsi="宋体"/>
          <w:b/>
          <w:color w:val="auto"/>
          <w:sz w:val="32"/>
          <w:szCs w:val="32"/>
          <w:highlight w:val="none"/>
        </w:rPr>
      </w:pPr>
    </w:p>
    <w:p w14:paraId="2453A077">
      <w:pPr>
        <w:spacing w:line="320" w:lineRule="exact"/>
        <w:jc w:val="center"/>
        <w:rPr>
          <w:rFonts w:ascii="宋体" w:hAnsi="宋体"/>
          <w:b/>
          <w:color w:val="auto"/>
          <w:sz w:val="32"/>
          <w:szCs w:val="32"/>
          <w:highlight w:val="none"/>
        </w:rPr>
      </w:pPr>
    </w:p>
    <w:p w14:paraId="1B05F16C">
      <w:pPr>
        <w:spacing w:line="320" w:lineRule="exact"/>
        <w:jc w:val="center"/>
        <w:rPr>
          <w:rFonts w:ascii="宋体" w:hAnsi="宋体"/>
          <w:b/>
          <w:color w:val="auto"/>
          <w:sz w:val="32"/>
          <w:szCs w:val="32"/>
          <w:highlight w:val="none"/>
        </w:rPr>
      </w:pPr>
    </w:p>
    <w:p w14:paraId="2DE1A470">
      <w:pPr>
        <w:spacing w:line="320" w:lineRule="exact"/>
        <w:rPr>
          <w:rFonts w:ascii="宋体" w:hAnsi="宋体"/>
          <w:b/>
          <w:color w:val="auto"/>
          <w:sz w:val="32"/>
          <w:szCs w:val="32"/>
          <w:highlight w:val="none"/>
        </w:rPr>
      </w:pPr>
    </w:p>
    <w:p w14:paraId="22C89115">
      <w:pPr>
        <w:pStyle w:val="4"/>
        <w:rPr>
          <w:color w:val="auto"/>
          <w:highlight w:val="none"/>
        </w:rPr>
      </w:pPr>
      <w:r>
        <w:rPr>
          <w:rFonts w:hint="eastAsia"/>
          <w:color w:val="auto"/>
          <w:highlight w:val="none"/>
        </w:rPr>
        <w:t>1、</w:t>
      </w:r>
      <w:r>
        <w:rPr>
          <w:rFonts w:hint="eastAsia"/>
          <w:b w:val="0"/>
          <w:bCs/>
          <w:color w:val="auto"/>
          <w:highlight w:val="none"/>
        </w:rPr>
        <w:t>供应商为法人或者其他组织的，证明文件为其营业执照复印件（如营业执照或者事业单位法人证书或者执业许可证等）；供应商为自然人的，证明文件为其身份证复印件；</w:t>
      </w:r>
      <w:r>
        <w:rPr>
          <w:rFonts w:hint="eastAsia"/>
          <w:color w:val="auto"/>
          <w:highlight w:val="none"/>
        </w:rPr>
        <w:t>（必须提供，否则响应文件按无效响应处理）</w:t>
      </w:r>
      <w:r>
        <w:rPr>
          <w:color w:val="auto"/>
          <w:highlight w:val="none"/>
        </w:rPr>
        <w:tab/>
      </w:r>
    </w:p>
    <w:p w14:paraId="0BD126A9">
      <w:pPr>
        <w:spacing w:line="300" w:lineRule="auto"/>
        <w:rPr>
          <w:rFonts w:ascii="宋体" w:hAnsi="宋体" w:cs="宋体"/>
          <w:b/>
          <w:bCs/>
          <w:color w:val="auto"/>
          <w:sz w:val="44"/>
          <w:szCs w:val="44"/>
          <w:highlight w:val="none"/>
        </w:rPr>
      </w:pPr>
    </w:p>
    <w:p w14:paraId="10F6536B">
      <w:pPr>
        <w:spacing w:line="300" w:lineRule="auto"/>
        <w:rPr>
          <w:rFonts w:ascii="宋体" w:hAnsi="宋体" w:cs="宋体"/>
          <w:b/>
          <w:bCs/>
          <w:color w:val="auto"/>
          <w:sz w:val="44"/>
          <w:szCs w:val="44"/>
          <w:highlight w:val="none"/>
        </w:rPr>
      </w:pPr>
    </w:p>
    <w:p w14:paraId="482B99E8">
      <w:pPr>
        <w:spacing w:line="300" w:lineRule="auto"/>
        <w:rPr>
          <w:rFonts w:ascii="宋体" w:hAnsi="宋体" w:cs="宋体"/>
          <w:b/>
          <w:bCs/>
          <w:color w:val="auto"/>
          <w:sz w:val="44"/>
          <w:szCs w:val="44"/>
          <w:highlight w:val="none"/>
        </w:rPr>
      </w:pPr>
    </w:p>
    <w:p w14:paraId="7B288ADD">
      <w:pPr>
        <w:spacing w:line="300" w:lineRule="auto"/>
        <w:rPr>
          <w:rFonts w:ascii="宋体" w:hAnsi="宋体" w:cs="宋体"/>
          <w:b/>
          <w:bCs/>
          <w:color w:val="auto"/>
          <w:sz w:val="44"/>
          <w:szCs w:val="44"/>
          <w:highlight w:val="none"/>
        </w:rPr>
      </w:pPr>
    </w:p>
    <w:p w14:paraId="5BBF1823">
      <w:pPr>
        <w:spacing w:line="300" w:lineRule="auto"/>
        <w:rPr>
          <w:rFonts w:ascii="宋体" w:hAnsi="宋体" w:cs="宋体"/>
          <w:b/>
          <w:bCs/>
          <w:color w:val="auto"/>
          <w:sz w:val="44"/>
          <w:szCs w:val="44"/>
          <w:highlight w:val="none"/>
        </w:rPr>
      </w:pPr>
    </w:p>
    <w:p w14:paraId="07C10D62">
      <w:pPr>
        <w:spacing w:line="300" w:lineRule="auto"/>
        <w:rPr>
          <w:rFonts w:ascii="宋体" w:hAnsi="宋体" w:cs="宋体"/>
          <w:b/>
          <w:bCs/>
          <w:color w:val="auto"/>
          <w:sz w:val="44"/>
          <w:szCs w:val="44"/>
          <w:highlight w:val="none"/>
        </w:rPr>
      </w:pPr>
    </w:p>
    <w:p w14:paraId="7C0FA7FD">
      <w:pPr>
        <w:spacing w:line="300" w:lineRule="auto"/>
        <w:rPr>
          <w:rFonts w:ascii="宋体" w:hAnsi="宋体" w:cs="宋体"/>
          <w:b/>
          <w:bCs/>
          <w:color w:val="auto"/>
          <w:sz w:val="44"/>
          <w:szCs w:val="44"/>
          <w:highlight w:val="none"/>
        </w:rPr>
      </w:pPr>
    </w:p>
    <w:p w14:paraId="36033AD5">
      <w:pPr>
        <w:spacing w:line="300" w:lineRule="auto"/>
        <w:rPr>
          <w:rFonts w:ascii="宋体" w:hAnsi="宋体" w:cs="宋体"/>
          <w:b/>
          <w:bCs/>
          <w:color w:val="auto"/>
          <w:sz w:val="44"/>
          <w:szCs w:val="44"/>
          <w:highlight w:val="none"/>
        </w:rPr>
      </w:pPr>
    </w:p>
    <w:p w14:paraId="25D9DFE2">
      <w:pPr>
        <w:spacing w:line="300" w:lineRule="auto"/>
        <w:rPr>
          <w:rFonts w:ascii="宋体" w:hAnsi="宋体" w:cs="宋体"/>
          <w:b/>
          <w:bCs/>
          <w:color w:val="auto"/>
          <w:sz w:val="44"/>
          <w:szCs w:val="44"/>
          <w:highlight w:val="none"/>
        </w:rPr>
      </w:pPr>
    </w:p>
    <w:p w14:paraId="25274EB5">
      <w:pPr>
        <w:spacing w:line="300" w:lineRule="auto"/>
        <w:rPr>
          <w:rFonts w:ascii="宋体" w:hAnsi="宋体" w:cs="宋体"/>
          <w:b/>
          <w:bCs/>
          <w:color w:val="auto"/>
          <w:sz w:val="44"/>
          <w:szCs w:val="44"/>
          <w:highlight w:val="none"/>
        </w:rPr>
      </w:pPr>
    </w:p>
    <w:p w14:paraId="1539FDAB">
      <w:pPr>
        <w:spacing w:line="300" w:lineRule="auto"/>
        <w:rPr>
          <w:rFonts w:ascii="宋体" w:hAnsi="宋体" w:cs="宋体"/>
          <w:b/>
          <w:bCs/>
          <w:color w:val="auto"/>
          <w:sz w:val="44"/>
          <w:szCs w:val="44"/>
          <w:highlight w:val="none"/>
        </w:rPr>
      </w:pPr>
    </w:p>
    <w:p w14:paraId="64DEE9B3">
      <w:pPr>
        <w:spacing w:line="300" w:lineRule="auto"/>
        <w:rPr>
          <w:rFonts w:ascii="宋体" w:hAnsi="宋体" w:cs="宋体"/>
          <w:b/>
          <w:bCs/>
          <w:color w:val="auto"/>
          <w:sz w:val="44"/>
          <w:szCs w:val="44"/>
          <w:highlight w:val="none"/>
        </w:rPr>
      </w:pPr>
    </w:p>
    <w:p w14:paraId="0204152E">
      <w:pPr>
        <w:spacing w:line="300" w:lineRule="auto"/>
        <w:rPr>
          <w:rFonts w:ascii="宋体" w:hAnsi="宋体" w:cs="宋体"/>
          <w:b/>
          <w:bCs/>
          <w:color w:val="auto"/>
          <w:sz w:val="44"/>
          <w:szCs w:val="44"/>
          <w:highlight w:val="none"/>
        </w:rPr>
      </w:pPr>
    </w:p>
    <w:p w14:paraId="72D9A4F4">
      <w:pPr>
        <w:spacing w:line="300" w:lineRule="auto"/>
        <w:rPr>
          <w:rFonts w:ascii="宋体" w:hAnsi="宋体" w:cs="宋体"/>
          <w:b/>
          <w:bCs/>
          <w:color w:val="auto"/>
          <w:sz w:val="44"/>
          <w:szCs w:val="44"/>
          <w:highlight w:val="none"/>
        </w:rPr>
      </w:pPr>
    </w:p>
    <w:p w14:paraId="1A27109B">
      <w:pPr>
        <w:spacing w:line="300" w:lineRule="auto"/>
        <w:rPr>
          <w:rFonts w:ascii="宋体" w:hAnsi="宋体" w:cs="宋体"/>
          <w:b/>
          <w:bCs/>
          <w:color w:val="auto"/>
          <w:sz w:val="44"/>
          <w:szCs w:val="44"/>
          <w:highlight w:val="none"/>
        </w:rPr>
      </w:pPr>
    </w:p>
    <w:p w14:paraId="5AA91E41">
      <w:pPr>
        <w:spacing w:line="300" w:lineRule="auto"/>
        <w:rPr>
          <w:rFonts w:ascii="宋体" w:hAnsi="宋体" w:cs="宋体"/>
          <w:b/>
          <w:bCs/>
          <w:color w:val="auto"/>
          <w:sz w:val="44"/>
          <w:szCs w:val="44"/>
          <w:highlight w:val="none"/>
        </w:rPr>
      </w:pPr>
    </w:p>
    <w:p w14:paraId="45A291E9">
      <w:pPr>
        <w:spacing w:line="300" w:lineRule="auto"/>
        <w:rPr>
          <w:rFonts w:ascii="宋体" w:hAnsi="宋体" w:cs="宋体"/>
          <w:b/>
          <w:bCs/>
          <w:color w:val="auto"/>
          <w:sz w:val="44"/>
          <w:szCs w:val="44"/>
          <w:highlight w:val="none"/>
        </w:rPr>
      </w:pPr>
    </w:p>
    <w:p w14:paraId="4DA37EC1">
      <w:pPr>
        <w:pStyle w:val="4"/>
        <w:rPr>
          <w:color w:val="auto"/>
          <w:highlight w:val="none"/>
        </w:rPr>
      </w:pPr>
      <w:r>
        <w:rPr>
          <w:rFonts w:hint="eastAsia"/>
          <w:color w:val="auto"/>
          <w:highlight w:val="none"/>
        </w:rPr>
        <w:t>2、贵港市政府采购项目投标资格承诺函</w:t>
      </w:r>
    </w:p>
    <w:p w14:paraId="7A3903AF">
      <w:pPr>
        <w:spacing w:line="300" w:lineRule="auto"/>
        <w:rPr>
          <w:rFonts w:ascii="宋体" w:hAnsi="宋体" w:cs="宋体"/>
          <w:color w:val="auto"/>
          <w:sz w:val="24"/>
          <w:highlight w:val="none"/>
        </w:rPr>
      </w:pPr>
    </w:p>
    <w:p w14:paraId="387E5A25">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本公司郑重承诺，根据《中华人民共和国政府采购法》第二十二条的规定，本公司为参加政府采购活动的合格供应商。即本公司同时满足以下条件：</w:t>
      </w:r>
    </w:p>
    <w:p w14:paraId="15632AB4">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2D494496">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2.具有良好的商业信誉和健全的财务会计制度。</w:t>
      </w:r>
    </w:p>
    <w:p w14:paraId="4BEA9657">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5E19C177">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2E605686">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5.提交投标文件截止日期前三年内，在经营活动中没有重大违法记录。</w:t>
      </w:r>
    </w:p>
    <w:p w14:paraId="442B5DEE">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本公司对上述承诺的真实性负责，并接受政府采购、税务、社会保障等监督管理部门、采购文件规定的资格审查机构、社会公众的监督和检查。如有虚假，将依法承担相应责任。</w:t>
      </w:r>
    </w:p>
    <w:p w14:paraId="4D3C86E0">
      <w:pPr>
        <w:spacing w:line="300" w:lineRule="auto"/>
        <w:ind w:firstLine="480" w:firstLineChars="200"/>
        <w:rPr>
          <w:rFonts w:ascii="宋体" w:hAnsi="宋体" w:cs="宋体"/>
          <w:color w:val="auto"/>
          <w:sz w:val="24"/>
          <w:highlight w:val="none"/>
        </w:rPr>
      </w:pPr>
    </w:p>
    <w:p w14:paraId="132BA814">
      <w:pPr>
        <w:spacing w:line="300" w:lineRule="auto"/>
        <w:rPr>
          <w:rFonts w:ascii="宋体" w:hAnsi="宋体" w:cs="宋体"/>
          <w:color w:val="auto"/>
          <w:sz w:val="24"/>
          <w:highlight w:val="none"/>
        </w:rPr>
      </w:pPr>
    </w:p>
    <w:p w14:paraId="5EEE7F49">
      <w:pPr>
        <w:spacing w:line="300" w:lineRule="auto"/>
        <w:rPr>
          <w:rFonts w:ascii="宋体" w:hAnsi="宋体" w:cs="宋体"/>
          <w:color w:val="auto"/>
          <w:sz w:val="24"/>
          <w:highlight w:val="none"/>
        </w:rPr>
      </w:pPr>
    </w:p>
    <w:p w14:paraId="3B2C53EF">
      <w:pPr>
        <w:spacing w:line="300" w:lineRule="auto"/>
        <w:rPr>
          <w:rFonts w:ascii="宋体" w:hAnsi="宋体" w:cs="宋体"/>
          <w:color w:val="auto"/>
          <w:sz w:val="24"/>
          <w:highlight w:val="none"/>
        </w:rPr>
      </w:pPr>
    </w:p>
    <w:p w14:paraId="0A5D1DC8">
      <w:pPr>
        <w:spacing w:line="480" w:lineRule="exact"/>
        <w:ind w:right="1920"/>
        <w:jc w:val="right"/>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03B2D0F3">
      <w:pPr>
        <w:spacing w:line="480" w:lineRule="exact"/>
        <w:ind w:right="1680"/>
        <w:jc w:val="right"/>
        <w:rPr>
          <w:rFonts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仿宋_GB2312"/>
          <w:color w:val="auto"/>
          <w:sz w:val="24"/>
          <w:highlight w:val="none"/>
        </w:rPr>
        <w:t>签字</w:t>
      </w:r>
      <w:r>
        <w:rPr>
          <w:rFonts w:hint="eastAsia" w:ascii="宋体" w:hAnsi="宋体" w:cs="宋体"/>
          <w:color w:val="auto"/>
          <w:sz w:val="24"/>
          <w:highlight w:val="none"/>
        </w:rPr>
        <w:t xml:space="preserve">）：             </w:t>
      </w:r>
    </w:p>
    <w:p w14:paraId="002C241E">
      <w:pPr>
        <w:spacing w:line="480" w:lineRule="exact"/>
        <w:ind w:right="849"/>
        <w:jc w:val="center"/>
        <w:rPr>
          <w:rFonts w:ascii="宋体" w:hAnsi="宋体"/>
          <w:color w:val="auto"/>
          <w:highlight w:val="none"/>
        </w:rPr>
      </w:pPr>
      <w:r>
        <w:rPr>
          <w:rFonts w:hint="eastAsia" w:ascii="宋体" w:hAnsi="宋体" w:cs="宋体"/>
          <w:color w:val="auto"/>
          <w:sz w:val="24"/>
          <w:highlight w:val="none"/>
        </w:rPr>
        <w:t>日期：    年</w:t>
      </w:r>
      <w:r>
        <w:rPr>
          <w:rFonts w:hint="eastAsia" w:ascii="宋体" w:hAnsi="宋体" w:cs="宋体"/>
          <w:color w:val="auto"/>
          <w:sz w:val="24"/>
          <w:highlight w:val="none"/>
        </w:rPr>
        <w:tab/>
      </w:r>
      <w:r>
        <w:rPr>
          <w:rFonts w:hint="eastAsia" w:ascii="宋体" w:hAnsi="宋体" w:cs="宋体"/>
          <w:color w:val="auto"/>
          <w:sz w:val="24"/>
          <w:highlight w:val="none"/>
        </w:rPr>
        <w:t xml:space="preserve">  月</w:t>
      </w:r>
      <w:r>
        <w:rPr>
          <w:rFonts w:hint="eastAsia" w:ascii="宋体" w:hAnsi="宋体" w:cs="宋体"/>
          <w:color w:val="auto"/>
          <w:sz w:val="24"/>
          <w:highlight w:val="none"/>
        </w:rPr>
        <w:tab/>
      </w:r>
      <w:r>
        <w:rPr>
          <w:rFonts w:hint="eastAsia" w:ascii="宋体" w:hAnsi="宋体" w:cs="宋体"/>
          <w:color w:val="auto"/>
          <w:sz w:val="24"/>
          <w:highlight w:val="none"/>
        </w:rPr>
        <w:t xml:space="preserve">  日</w:t>
      </w:r>
    </w:p>
    <w:p w14:paraId="219DED9E">
      <w:pPr>
        <w:tabs>
          <w:tab w:val="left" w:pos="563"/>
        </w:tabs>
        <w:spacing w:line="320" w:lineRule="exact"/>
        <w:rPr>
          <w:rFonts w:ascii="宋体" w:hAnsi="宋体"/>
          <w:b/>
          <w:color w:val="auto"/>
          <w:sz w:val="32"/>
          <w:szCs w:val="32"/>
          <w:highlight w:val="none"/>
        </w:rPr>
      </w:pPr>
    </w:p>
    <w:p w14:paraId="7644EAC3">
      <w:pPr>
        <w:spacing w:line="360" w:lineRule="auto"/>
        <w:jc w:val="center"/>
        <w:rPr>
          <w:rStyle w:val="98"/>
          <w:color w:val="auto"/>
          <w:highlight w:val="none"/>
        </w:rPr>
      </w:pPr>
      <w:r>
        <w:rPr>
          <w:rFonts w:ascii="宋体" w:hAnsi="宋体"/>
          <w:color w:val="auto"/>
          <w:sz w:val="32"/>
          <w:szCs w:val="32"/>
          <w:highlight w:val="none"/>
        </w:rPr>
        <w:br w:type="page"/>
      </w:r>
      <w:r>
        <w:rPr>
          <w:rStyle w:val="98"/>
          <w:rFonts w:hint="eastAsia"/>
          <w:color w:val="auto"/>
          <w:highlight w:val="none"/>
        </w:rPr>
        <w:t>3、供应商直接控股、管理关系信息表</w:t>
      </w:r>
    </w:p>
    <w:p w14:paraId="6738ED29">
      <w:pPr>
        <w:snapToGrid w:val="0"/>
        <w:spacing w:beforeLines="50" w:after="50" w:line="360" w:lineRule="auto"/>
        <w:jc w:val="center"/>
        <w:rPr>
          <w:rFonts w:ascii="宋体" w:hAnsi="宋体"/>
          <w:b/>
          <w:color w:val="auto"/>
          <w:sz w:val="24"/>
          <w:highlight w:val="none"/>
        </w:rPr>
      </w:pPr>
    </w:p>
    <w:p w14:paraId="481098F8">
      <w:pPr>
        <w:spacing w:line="360" w:lineRule="auto"/>
        <w:contextualSpacing/>
        <w:jc w:val="center"/>
        <w:rPr>
          <w:rFonts w:ascii="宋体" w:hAnsi="宋体"/>
          <w:b/>
          <w:color w:val="auto"/>
          <w:sz w:val="32"/>
          <w:szCs w:val="32"/>
          <w:highlight w:val="none"/>
        </w:rPr>
      </w:pPr>
      <w:r>
        <w:rPr>
          <w:rFonts w:hint="eastAsia" w:ascii="宋体" w:hAnsi="宋体"/>
          <w:b/>
          <w:color w:val="auto"/>
          <w:sz w:val="32"/>
          <w:szCs w:val="32"/>
          <w:highlight w:val="none"/>
        </w:rPr>
        <w:t>供应商直接控股股东信息表</w:t>
      </w:r>
    </w:p>
    <w:p w14:paraId="295113EA">
      <w:pPr>
        <w:spacing w:line="360" w:lineRule="auto"/>
        <w:contextualSpacing/>
        <w:jc w:val="center"/>
        <w:rPr>
          <w:rFonts w:ascii="宋体" w:hAnsi="宋体"/>
          <w:b/>
          <w:color w:val="auto"/>
          <w:sz w:val="24"/>
          <w:highlight w:val="none"/>
        </w:rPr>
      </w:pPr>
    </w:p>
    <w:tbl>
      <w:tblPr>
        <w:tblStyle w:val="47"/>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4579D190">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B8DBEE8">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371834">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B8F6F2">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61104B6">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FB93D76">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备注</w:t>
            </w:r>
          </w:p>
        </w:tc>
      </w:tr>
      <w:tr w14:paraId="77E994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E575EAE">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B30A8B4">
            <w:pPr>
              <w:widowControl/>
              <w:spacing w:line="360" w:lineRule="auto"/>
              <w:contextualSpacing/>
              <w:jc w:val="center"/>
              <w:rPr>
                <w:rFonts w:ascii="宋体" w:hAnsi="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5EB2243">
            <w:pPr>
              <w:widowControl/>
              <w:spacing w:line="360" w:lineRule="auto"/>
              <w:contextualSpacing/>
              <w:jc w:val="center"/>
              <w:rPr>
                <w:rFonts w:ascii="宋体" w:hAnsi="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B374566">
            <w:pPr>
              <w:widowControl/>
              <w:spacing w:line="360" w:lineRule="auto"/>
              <w:contextualSpacing/>
              <w:jc w:val="center"/>
              <w:rPr>
                <w:rFonts w:ascii="宋体" w:hAnsi="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E751282">
            <w:pPr>
              <w:widowControl/>
              <w:spacing w:line="360" w:lineRule="auto"/>
              <w:contextualSpacing/>
              <w:jc w:val="center"/>
              <w:rPr>
                <w:rFonts w:ascii="宋体" w:hAnsi="宋体" w:cs="宋体"/>
                <w:color w:val="auto"/>
                <w:kern w:val="0"/>
                <w:sz w:val="24"/>
                <w:highlight w:val="none"/>
              </w:rPr>
            </w:pPr>
          </w:p>
        </w:tc>
      </w:tr>
      <w:tr w14:paraId="6FC3395E">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6393AE6">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21D3868">
            <w:pPr>
              <w:widowControl/>
              <w:spacing w:line="360" w:lineRule="auto"/>
              <w:contextualSpacing/>
              <w:jc w:val="center"/>
              <w:rPr>
                <w:rFonts w:ascii="宋体" w:hAnsi="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1925EA">
            <w:pPr>
              <w:widowControl/>
              <w:spacing w:line="360" w:lineRule="auto"/>
              <w:contextualSpacing/>
              <w:jc w:val="center"/>
              <w:rPr>
                <w:rFonts w:ascii="宋体" w:hAnsi="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991CAC2">
            <w:pPr>
              <w:widowControl/>
              <w:spacing w:line="360" w:lineRule="auto"/>
              <w:contextualSpacing/>
              <w:jc w:val="center"/>
              <w:rPr>
                <w:rFonts w:ascii="宋体" w:hAnsi="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D2F9245">
            <w:pPr>
              <w:widowControl/>
              <w:spacing w:line="360" w:lineRule="auto"/>
              <w:contextualSpacing/>
              <w:jc w:val="center"/>
              <w:rPr>
                <w:rFonts w:ascii="宋体" w:hAnsi="宋体" w:cs="宋体"/>
                <w:color w:val="auto"/>
                <w:kern w:val="0"/>
                <w:sz w:val="24"/>
                <w:highlight w:val="none"/>
              </w:rPr>
            </w:pPr>
          </w:p>
        </w:tc>
      </w:tr>
      <w:tr w14:paraId="09D831D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1279B59">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2C94D25">
            <w:pPr>
              <w:widowControl/>
              <w:spacing w:line="360" w:lineRule="auto"/>
              <w:contextualSpacing/>
              <w:jc w:val="center"/>
              <w:rPr>
                <w:rFonts w:ascii="宋体" w:hAnsi="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85A8A5">
            <w:pPr>
              <w:widowControl/>
              <w:spacing w:line="360" w:lineRule="auto"/>
              <w:contextualSpacing/>
              <w:jc w:val="center"/>
              <w:rPr>
                <w:rFonts w:ascii="宋体" w:hAnsi="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2DB04C">
            <w:pPr>
              <w:widowControl/>
              <w:spacing w:line="360" w:lineRule="auto"/>
              <w:contextualSpacing/>
              <w:jc w:val="center"/>
              <w:rPr>
                <w:rFonts w:ascii="宋体" w:hAnsi="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37C119B">
            <w:pPr>
              <w:widowControl/>
              <w:spacing w:line="360" w:lineRule="auto"/>
              <w:contextualSpacing/>
              <w:jc w:val="center"/>
              <w:rPr>
                <w:rFonts w:ascii="宋体" w:hAnsi="宋体" w:cs="宋体"/>
                <w:color w:val="auto"/>
                <w:kern w:val="0"/>
                <w:sz w:val="24"/>
                <w:highlight w:val="none"/>
              </w:rPr>
            </w:pPr>
          </w:p>
        </w:tc>
      </w:tr>
      <w:tr w14:paraId="7A39718C">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0A9A33B">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41AD3E7">
            <w:pPr>
              <w:widowControl/>
              <w:spacing w:line="360" w:lineRule="auto"/>
              <w:contextualSpacing/>
              <w:jc w:val="center"/>
              <w:rPr>
                <w:rFonts w:ascii="宋体" w:hAnsi="宋体" w:cs="宋体"/>
                <w:color w:val="auto"/>
                <w:kern w:val="0"/>
                <w:sz w:val="24"/>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02B926">
            <w:pPr>
              <w:widowControl/>
              <w:spacing w:line="360" w:lineRule="auto"/>
              <w:contextualSpacing/>
              <w:jc w:val="center"/>
              <w:rPr>
                <w:rFonts w:ascii="宋体" w:hAnsi="宋体" w:cs="宋体"/>
                <w:color w:val="auto"/>
                <w:kern w:val="0"/>
                <w:sz w:val="24"/>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F95839">
            <w:pPr>
              <w:widowControl/>
              <w:spacing w:line="360" w:lineRule="auto"/>
              <w:contextualSpacing/>
              <w:jc w:val="center"/>
              <w:rPr>
                <w:rFonts w:ascii="宋体" w:hAnsi="宋体" w:cs="宋体"/>
                <w:color w:val="auto"/>
                <w:kern w:val="0"/>
                <w:sz w:val="24"/>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88A7C30">
            <w:pPr>
              <w:widowControl/>
              <w:spacing w:line="360" w:lineRule="auto"/>
              <w:contextualSpacing/>
              <w:jc w:val="center"/>
              <w:rPr>
                <w:rFonts w:ascii="宋体" w:hAnsi="宋体" w:cs="宋体"/>
                <w:color w:val="auto"/>
                <w:kern w:val="0"/>
                <w:sz w:val="24"/>
                <w:highlight w:val="none"/>
              </w:rPr>
            </w:pPr>
          </w:p>
        </w:tc>
      </w:tr>
    </w:tbl>
    <w:p w14:paraId="44AB53EC">
      <w:pPr>
        <w:spacing w:line="360" w:lineRule="auto"/>
        <w:contextualSpacing/>
        <w:jc w:val="left"/>
        <w:rPr>
          <w:rFonts w:ascii="宋体" w:hAnsi="宋体" w:cs="宋体"/>
          <w:color w:val="auto"/>
          <w:sz w:val="24"/>
          <w:highlight w:val="none"/>
        </w:rPr>
      </w:pPr>
      <w:r>
        <w:rPr>
          <w:rFonts w:hint="eastAsia" w:ascii="宋体" w:hAnsi="宋体" w:cs="宋体"/>
          <w:color w:val="auto"/>
          <w:sz w:val="24"/>
          <w:highlight w:val="none"/>
        </w:rPr>
        <w:t>注：</w:t>
      </w:r>
    </w:p>
    <w:p w14:paraId="26533CD3">
      <w:pPr>
        <w:spacing w:line="360" w:lineRule="auto"/>
        <w:ind w:firstLine="480" w:firstLineChars="200"/>
        <w:contextualSpacing/>
        <w:jc w:val="left"/>
        <w:rPr>
          <w:rFonts w:ascii="宋体" w:hAnsi="宋体" w:cs="宋体"/>
          <w:color w:val="auto"/>
          <w:sz w:val="24"/>
          <w:highlight w:val="none"/>
        </w:rPr>
      </w:pPr>
      <w:r>
        <w:rPr>
          <w:rFonts w:hint="eastAsia" w:ascii="宋体" w:hAnsi="宋体" w:cs="宋体"/>
          <w:color w:val="auto"/>
          <w:sz w:val="24"/>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620828B">
      <w:pPr>
        <w:spacing w:line="360" w:lineRule="auto"/>
        <w:ind w:firstLine="480" w:firstLineChars="200"/>
        <w:contextualSpacing/>
        <w:jc w:val="left"/>
        <w:rPr>
          <w:rFonts w:ascii="宋体" w:hAnsi="宋体" w:cs="宋体"/>
          <w:color w:val="auto"/>
          <w:sz w:val="24"/>
          <w:highlight w:val="none"/>
        </w:rPr>
      </w:pPr>
      <w:r>
        <w:rPr>
          <w:rFonts w:hint="eastAsia" w:ascii="宋体" w:hAnsi="宋体" w:cs="宋体"/>
          <w:color w:val="auto"/>
          <w:sz w:val="24"/>
          <w:highlight w:val="none"/>
        </w:rPr>
        <w:t>2.本表所指的控股关系仅限于直接控股关系，不包括间接的控股关系。公司实际控制人与公司之间的关系不属于本表所指的直接控股关系。</w:t>
      </w:r>
    </w:p>
    <w:p w14:paraId="62C585C5">
      <w:pPr>
        <w:spacing w:line="360" w:lineRule="auto"/>
        <w:ind w:firstLine="480" w:firstLineChars="200"/>
        <w:contextualSpacing/>
        <w:jc w:val="left"/>
        <w:rPr>
          <w:rFonts w:ascii="宋体" w:hAnsi="宋体" w:cs="宋体"/>
          <w:color w:val="auto"/>
          <w:sz w:val="24"/>
          <w:highlight w:val="none"/>
        </w:rPr>
      </w:pPr>
      <w:r>
        <w:rPr>
          <w:rFonts w:hint="eastAsia" w:ascii="宋体" w:hAnsi="宋体" w:cs="宋体"/>
          <w:color w:val="auto"/>
          <w:sz w:val="24"/>
          <w:highlight w:val="none"/>
        </w:rPr>
        <w:t>3.供应商不存在直接控股股东的，则填“无”。</w:t>
      </w:r>
    </w:p>
    <w:p w14:paraId="076B0E02">
      <w:pPr>
        <w:snapToGrid w:val="0"/>
        <w:spacing w:line="360" w:lineRule="auto"/>
        <w:jc w:val="left"/>
        <w:rPr>
          <w:rFonts w:ascii="宋体" w:hAnsi="宋体" w:cs="宋体"/>
          <w:color w:val="auto"/>
          <w:sz w:val="24"/>
          <w:highlight w:val="none"/>
        </w:rPr>
      </w:pPr>
    </w:p>
    <w:p w14:paraId="482F95AA">
      <w:pPr>
        <w:snapToGrid w:val="0"/>
        <w:spacing w:line="360" w:lineRule="auto"/>
        <w:jc w:val="left"/>
        <w:rPr>
          <w:rFonts w:ascii="宋体" w:hAnsi="宋体" w:cs="宋体"/>
          <w:color w:val="auto"/>
          <w:sz w:val="24"/>
          <w:highlight w:val="none"/>
        </w:rPr>
      </w:pPr>
    </w:p>
    <w:p w14:paraId="329D18EA">
      <w:pPr>
        <w:snapToGrid w:val="0"/>
        <w:spacing w:line="360" w:lineRule="auto"/>
        <w:jc w:val="left"/>
        <w:rPr>
          <w:rFonts w:ascii="宋体" w:hAnsi="宋体" w:cs="宋体"/>
          <w:color w:val="auto"/>
          <w:sz w:val="24"/>
          <w:highlight w:val="none"/>
        </w:rPr>
      </w:pPr>
    </w:p>
    <w:p w14:paraId="2FD8C33D">
      <w:pPr>
        <w:snapToGrid w:val="0"/>
        <w:spacing w:beforeLines="50" w:line="360" w:lineRule="auto"/>
        <w:ind w:right="396"/>
        <w:jc w:val="center"/>
        <w:rPr>
          <w:rFonts w:ascii="宋体" w:hAnsi="宋体" w:cs="宋体"/>
          <w:color w:val="auto"/>
          <w:sz w:val="24"/>
          <w:highlight w:val="none"/>
          <w:u w:val="single"/>
        </w:rPr>
      </w:pPr>
      <w:r>
        <w:rPr>
          <w:rFonts w:hint="eastAsia" w:ascii="宋体" w:hAnsi="宋体" w:cs="宋体"/>
          <w:color w:val="auto"/>
          <w:sz w:val="24"/>
          <w:highlight w:val="none"/>
        </w:rPr>
        <w:t>法定代表人（或负责人）或者委托代理人签字：</w:t>
      </w:r>
    </w:p>
    <w:p w14:paraId="2CD5E95C">
      <w:pPr>
        <w:snapToGrid w:val="0"/>
        <w:spacing w:beforeLines="50" w:after="50" w:line="360" w:lineRule="auto"/>
        <w:ind w:right="480" w:firstLine="3480" w:firstLineChars="1450"/>
        <w:rPr>
          <w:rFonts w:ascii="宋体" w:hAnsi="宋体" w:cs="宋体"/>
          <w:color w:val="auto"/>
          <w:sz w:val="24"/>
          <w:highlight w:val="none"/>
          <w:u w:val="single"/>
        </w:rPr>
      </w:pPr>
      <w:r>
        <w:rPr>
          <w:rFonts w:hint="eastAsia" w:ascii="宋体" w:hAnsi="宋体" w:cs="宋体"/>
          <w:color w:val="auto"/>
          <w:sz w:val="24"/>
          <w:highlight w:val="none"/>
        </w:rPr>
        <w:t>供应商（盖公章 ）：</w:t>
      </w:r>
    </w:p>
    <w:p w14:paraId="3BDDBE30">
      <w:pPr>
        <w:snapToGrid w:val="0"/>
        <w:spacing w:beforeLines="50" w:after="50" w:line="360" w:lineRule="auto"/>
        <w:ind w:right="480" w:firstLine="5280" w:firstLineChars="2200"/>
        <w:rPr>
          <w:rFonts w:ascii="宋体" w:hAnsi="宋体" w:cs="宋体"/>
          <w:color w:val="auto"/>
          <w:sz w:val="28"/>
          <w:szCs w:val="28"/>
          <w:highlight w:val="none"/>
        </w:rPr>
      </w:pPr>
      <w:r>
        <w:rPr>
          <w:rFonts w:hint="eastAsia" w:ascii="宋体" w:hAnsi="宋体" w:cs="宋体"/>
          <w:color w:val="auto"/>
          <w:sz w:val="24"/>
          <w:highlight w:val="none"/>
        </w:rPr>
        <w:t>年    月    日</w:t>
      </w:r>
    </w:p>
    <w:p w14:paraId="16E12F18">
      <w:pPr>
        <w:snapToGrid w:val="0"/>
        <w:jc w:val="center"/>
        <w:rPr>
          <w:rFonts w:ascii="宋体" w:hAnsi="宋体"/>
          <w:b/>
          <w:color w:val="auto"/>
          <w:sz w:val="28"/>
          <w:szCs w:val="28"/>
          <w:highlight w:val="none"/>
        </w:rPr>
      </w:pPr>
      <w:r>
        <w:rPr>
          <w:rFonts w:ascii="宋体" w:hAnsi="宋体"/>
          <w:b/>
          <w:color w:val="auto"/>
          <w:sz w:val="28"/>
          <w:szCs w:val="28"/>
          <w:highlight w:val="none"/>
        </w:rPr>
        <w:br w:type="page"/>
      </w:r>
    </w:p>
    <w:p w14:paraId="61209A09">
      <w:pPr>
        <w:spacing w:line="320" w:lineRule="exact"/>
        <w:jc w:val="center"/>
        <w:rPr>
          <w:rFonts w:ascii="宋体" w:hAnsi="宋体"/>
          <w:b/>
          <w:color w:val="auto"/>
          <w:sz w:val="32"/>
          <w:szCs w:val="32"/>
          <w:highlight w:val="none"/>
        </w:rPr>
      </w:pPr>
      <w:r>
        <w:rPr>
          <w:rFonts w:hint="eastAsia" w:ascii="宋体" w:hAnsi="宋体"/>
          <w:b/>
          <w:color w:val="auto"/>
          <w:sz w:val="32"/>
          <w:szCs w:val="32"/>
          <w:highlight w:val="none"/>
        </w:rPr>
        <w:t>供应商直接管理关系信息表</w:t>
      </w:r>
    </w:p>
    <w:p w14:paraId="0F99DA93">
      <w:pPr>
        <w:snapToGrid w:val="0"/>
        <w:spacing w:line="360" w:lineRule="auto"/>
        <w:jc w:val="center"/>
        <w:rPr>
          <w:rFonts w:ascii="宋体" w:hAnsi="宋体"/>
          <w:b/>
          <w:color w:val="auto"/>
          <w:sz w:val="24"/>
          <w:highlight w:val="none"/>
        </w:rPr>
      </w:pPr>
    </w:p>
    <w:tbl>
      <w:tblPr>
        <w:tblStyle w:val="47"/>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382C00C0">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F8F929">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910BBA">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720B535">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825D0A3">
            <w:pPr>
              <w:widowControl/>
              <w:spacing w:line="360" w:lineRule="auto"/>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备注</w:t>
            </w:r>
          </w:p>
        </w:tc>
      </w:tr>
      <w:tr w14:paraId="3F24AD0D">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3CE7D2E">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0279553">
            <w:pPr>
              <w:widowControl/>
              <w:spacing w:line="360" w:lineRule="auto"/>
              <w:contextualSpacing/>
              <w:jc w:val="center"/>
              <w:rPr>
                <w:rFonts w:ascii="宋体" w:hAnsi="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0719E43">
            <w:pPr>
              <w:widowControl/>
              <w:spacing w:line="360" w:lineRule="auto"/>
              <w:contextualSpacing/>
              <w:jc w:val="center"/>
              <w:rPr>
                <w:rFonts w:ascii="宋体" w:hAnsi="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28B5B91">
            <w:pPr>
              <w:widowControl/>
              <w:spacing w:line="360" w:lineRule="auto"/>
              <w:contextualSpacing/>
              <w:jc w:val="center"/>
              <w:rPr>
                <w:rFonts w:ascii="宋体" w:hAnsi="宋体" w:cs="宋体"/>
                <w:color w:val="auto"/>
                <w:kern w:val="0"/>
                <w:sz w:val="24"/>
                <w:highlight w:val="none"/>
              </w:rPr>
            </w:pPr>
          </w:p>
        </w:tc>
      </w:tr>
      <w:tr w14:paraId="01AFD128">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39637D8">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B61483">
            <w:pPr>
              <w:widowControl/>
              <w:spacing w:line="360" w:lineRule="auto"/>
              <w:contextualSpacing/>
              <w:jc w:val="center"/>
              <w:rPr>
                <w:rFonts w:ascii="宋体" w:hAnsi="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D3439D9">
            <w:pPr>
              <w:widowControl/>
              <w:spacing w:line="360" w:lineRule="auto"/>
              <w:contextualSpacing/>
              <w:jc w:val="center"/>
              <w:rPr>
                <w:rFonts w:ascii="宋体" w:hAnsi="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31EA69">
            <w:pPr>
              <w:widowControl/>
              <w:spacing w:line="360" w:lineRule="auto"/>
              <w:contextualSpacing/>
              <w:jc w:val="center"/>
              <w:rPr>
                <w:rFonts w:ascii="宋体" w:hAnsi="宋体" w:cs="宋体"/>
                <w:color w:val="auto"/>
                <w:kern w:val="0"/>
                <w:sz w:val="24"/>
                <w:highlight w:val="none"/>
              </w:rPr>
            </w:pPr>
          </w:p>
        </w:tc>
      </w:tr>
      <w:tr w14:paraId="1C6DD947">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212FE68">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966D503">
            <w:pPr>
              <w:widowControl/>
              <w:spacing w:line="360" w:lineRule="auto"/>
              <w:contextualSpacing/>
              <w:jc w:val="center"/>
              <w:rPr>
                <w:rFonts w:ascii="宋体" w:hAnsi="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355DFDC">
            <w:pPr>
              <w:widowControl/>
              <w:spacing w:line="360" w:lineRule="auto"/>
              <w:contextualSpacing/>
              <w:jc w:val="center"/>
              <w:rPr>
                <w:rFonts w:ascii="宋体" w:hAnsi="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7063ED3">
            <w:pPr>
              <w:widowControl/>
              <w:spacing w:line="360" w:lineRule="auto"/>
              <w:contextualSpacing/>
              <w:jc w:val="center"/>
              <w:rPr>
                <w:rFonts w:ascii="宋体" w:hAnsi="宋体" w:cs="宋体"/>
                <w:color w:val="auto"/>
                <w:kern w:val="0"/>
                <w:sz w:val="24"/>
                <w:highlight w:val="none"/>
              </w:rPr>
            </w:pPr>
          </w:p>
        </w:tc>
      </w:tr>
      <w:tr w14:paraId="7DBA82C2">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39B91BF">
            <w:pPr>
              <w:widowControl/>
              <w:spacing w:line="360" w:lineRule="auto"/>
              <w:contextualSpacing/>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BBB039E">
            <w:pPr>
              <w:widowControl/>
              <w:spacing w:line="360" w:lineRule="auto"/>
              <w:contextualSpacing/>
              <w:jc w:val="center"/>
              <w:rPr>
                <w:rFonts w:ascii="宋体" w:hAnsi="宋体" w:cs="宋体"/>
                <w:color w:val="auto"/>
                <w:kern w:val="0"/>
                <w:sz w:val="24"/>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010B758">
            <w:pPr>
              <w:widowControl/>
              <w:spacing w:line="360" w:lineRule="auto"/>
              <w:contextualSpacing/>
              <w:jc w:val="center"/>
              <w:rPr>
                <w:rFonts w:ascii="宋体" w:hAnsi="宋体" w:cs="宋体"/>
                <w:color w:val="auto"/>
                <w:kern w:val="0"/>
                <w:sz w:val="24"/>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B8CE3C">
            <w:pPr>
              <w:widowControl/>
              <w:spacing w:line="360" w:lineRule="auto"/>
              <w:contextualSpacing/>
              <w:jc w:val="center"/>
              <w:rPr>
                <w:rFonts w:ascii="宋体" w:hAnsi="宋体" w:cs="宋体"/>
                <w:color w:val="auto"/>
                <w:kern w:val="0"/>
                <w:sz w:val="24"/>
                <w:highlight w:val="none"/>
              </w:rPr>
            </w:pPr>
          </w:p>
        </w:tc>
      </w:tr>
    </w:tbl>
    <w:p w14:paraId="70378248">
      <w:pPr>
        <w:spacing w:line="360" w:lineRule="auto"/>
        <w:contextualSpacing/>
        <w:jc w:val="left"/>
        <w:rPr>
          <w:rFonts w:ascii="宋体" w:hAnsi="宋体"/>
          <w:color w:val="auto"/>
          <w:sz w:val="24"/>
          <w:highlight w:val="none"/>
        </w:rPr>
      </w:pPr>
      <w:r>
        <w:rPr>
          <w:rFonts w:hint="eastAsia" w:ascii="宋体" w:hAnsi="宋体"/>
          <w:color w:val="auto"/>
          <w:sz w:val="24"/>
          <w:highlight w:val="none"/>
        </w:rPr>
        <w:t>注：</w:t>
      </w:r>
    </w:p>
    <w:p w14:paraId="0CDD249B">
      <w:pPr>
        <w:spacing w:line="360" w:lineRule="auto"/>
        <w:ind w:firstLine="480" w:firstLineChars="200"/>
        <w:contextualSpacing/>
        <w:jc w:val="left"/>
        <w:rPr>
          <w:rFonts w:ascii="宋体" w:hAnsi="宋体"/>
          <w:color w:val="auto"/>
          <w:sz w:val="24"/>
          <w:highlight w:val="none"/>
        </w:rPr>
      </w:pPr>
      <w:r>
        <w:rPr>
          <w:rFonts w:hint="eastAsia" w:ascii="宋体" w:hAnsi="宋体"/>
          <w:color w:val="auto"/>
          <w:sz w:val="24"/>
          <w:highlight w:val="none"/>
        </w:rPr>
        <w:t>1.管理关系：是指不具有出资持股关系的其他单位之间存在的管理与被管理关系，如一些上下级关系的事业单位和团体组织。</w:t>
      </w:r>
    </w:p>
    <w:p w14:paraId="53FAC7FE">
      <w:pPr>
        <w:spacing w:line="360" w:lineRule="auto"/>
        <w:ind w:firstLine="480" w:firstLineChars="200"/>
        <w:contextualSpacing/>
        <w:jc w:val="left"/>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pacing w:val="-6"/>
          <w:sz w:val="24"/>
          <w:highlight w:val="none"/>
        </w:rPr>
        <w:t>本表所指的管理关系仅限于直接管理关系，不包括间接的管理关系。</w:t>
      </w:r>
    </w:p>
    <w:p w14:paraId="013BE1D5">
      <w:pPr>
        <w:spacing w:line="360" w:lineRule="auto"/>
        <w:ind w:firstLine="480" w:firstLineChars="200"/>
        <w:contextualSpacing/>
        <w:jc w:val="left"/>
        <w:rPr>
          <w:rFonts w:ascii="宋体" w:hAnsi="宋体"/>
          <w:color w:val="auto"/>
          <w:sz w:val="24"/>
          <w:highlight w:val="none"/>
        </w:rPr>
      </w:pPr>
      <w:r>
        <w:rPr>
          <w:rFonts w:hint="eastAsia" w:ascii="宋体" w:hAnsi="宋体"/>
          <w:color w:val="auto"/>
          <w:sz w:val="24"/>
          <w:highlight w:val="none"/>
        </w:rPr>
        <w:t>3.供应商不存在直接管理关系的，则填“无”。</w:t>
      </w:r>
    </w:p>
    <w:p w14:paraId="704AFD67">
      <w:pPr>
        <w:spacing w:line="360" w:lineRule="auto"/>
        <w:contextualSpacing/>
        <w:jc w:val="left"/>
        <w:rPr>
          <w:rFonts w:ascii="宋体" w:hAnsi="宋体"/>
          <w:color w:val="auto"/>
          <w:sz w:val="24"/>
          <w:highlight w:val="none"/>
        </w:rPr>
      </w:pPr>
    </w:p>
    <w:p w14:paraId="03BDACED">
      <w:pPr>
        <w:spacing w:line="360" w:lineRule="auto"/>
        <w:contextualSpacing/>
        <w:jc w:val="left"/>
        <w:rPr>
          <w:rFonts w:ascii="宋体" w:hAnsi="宋体"/>
          <w:color w:val="auto"/>
          <w:sz w:val="24"/>
          <w:highlight w:val="none"/>
        </w:rPr>
      </w:pPr>
    </w:p>
    <w:p w14:paraId="02B787BF">
      <w:pPr>
        <w:spacing w:line="360" w:lineRule="auto"/>
        <w:contextualSpacing/>
        <w:jc w:val="left"/>
        <w:rPr>
          <w:color w:val="auto"/>
          <w:sz w:val="24"/>
          <w:highlight w:val="none"/>
        </w:rPr>
      </w:pPr>
    </w:p>
    <w:p w14:paraId="47C42D86">
      <w:pPr>
        <w:spacing w:line="360" w:lineRule="auto"/>
        <w:contextualSpacing/>
        <w:jc w:val="left"/>
        <w:rPr>
          <w:color w:val="auto"/>
          <w:sz w:val="24"/>
          <w:highlight w:val="none"/>
        </w:rPr>
      </w:pPr>
    </w:p>
    <w:p w14:paraId="1B48E321">
      <w:pPr>
        <w:spacing w:line="360" w:lineRule="auto"/>
        <w:contextualSpacing/>
        <w:jc w:val="left"/>
        <w:rPr>
          <w:color w:val="auto"/>
          <w:sz w:val="24"/>
          <w:highlight w:val="none"/>
        </w:rPr>
      </w:pPr>
    </w:p>
    <w:p w14:paraId="624CE3BE">
      <w:pPr>
        <w:spacing w:line="360" w:lineRule="auto"/>
        <w:contextualSpacing/>
        <w:jc w:val="left"/>
        <w:rPr>
          <w:rFonts w:ascii="宋体" w:hAnsi="宋体"/>
          <w:color w:val="auto"/>
          <w:sz w:val="24"/>
          <w:highlight w:val="none"/>
        </w:rPr>
      </w:pPr>
    </w:p>
    <w:p w14:paraId="33220D42">
      <w:pPr>
        <w:spacing w:line="360" w:lineRule="auto"/>
        <w:ind w:right="480" w:firstLine="1440" w:firstLineChars="600"/>
        <w:contextualSpacing/>
        <w:rPr>
          <w:rFonts w:ascii="宋体" w:hAnsi="宋体"/>
          <w:color w:val="auto"/>
          <w:sz w:val="24"/>
          <w:highlight w:val="none"/>
          <w:u w:val="single"/>
        </w:rPr>
      </w:pPr>
      <w:r>
        <w:rPr>
          <w:rFonts w:hint="eastAsia" w:ascii="宋体" w:hAnsi="宋体"/>
          <w:color w:val="auto"/>
          <w:sz w:val="24"/>
          <w:highlight w:val="none"/>
        </w:rPr>
        <w:t>法定代表人（或负责人）或者委托代理人签字：</w:t>
      </w:r>
    </w:p>
    <w:p w14:paraId="10A79E8E">
      <w:pPr>
        <w:spacing w:line="360" w:lineRule="auto"/>
        <w:ind w:right="480" w:firstLine="3360" w:firstLineChars="1400"/>
        <w:contextualSpacing/>
        <w:rPr>
          <w:rFonts w:ascii="宋体" w:hAnsi="宋体"/>
          <w:color w:val="auto"/>
          <w:sz w:val="24"/>
          <w:highlight w:val="none"/>
        </w:rPr>
      </w:pPr>
      <w:r>
        <w:rPr>
          <w:rFonts w:hint="eastAsia" w:ascii="宋体" w:hAnsi="宋体"/>
          <w:color w:val="auto"/>
          <w:sz w:val="24"/>
          <w:highlight w:val="none"/>
        </w:rPr>
        <w:t>供应商（盖公章）：</w:t>
      </w:r>
    </w:p>
    <w:p w14:paraId="6BDF17CA">
      <w:pPr>
        <w:spacing w:line="360" w:lineRule="auto"/>
        <w:ind w:right="480" w:firstLine="240" w:firstLineChars="100"/>
        <w:contextualSpacing/>
        <w:jc w:val="center"/>
        <w:rPr>
          <w:rFonts w:ascii="宋体" w:hAnsi="宋体"/>
          <w:color w:val="auto"/>
          <w:sz w:val="28"/>
          <w:szCs w:val="28"/>
          <w:highlight w:val="none"/>
        </w:rPr>
      </w:pPr>
      <w:r>
        <w:rPr>
          <w:rFonts w:hint="eastAsia" w:ascii="宋体" w:hAnsi="宋体"/>
          <w:color w:val="auto"/>
          <w:sz w:val="24"/>
          <w:highlight w:val="none"/>
        </w:rPr>
        <w:t xml:space="preserve">                                        年    月    日</w:t>
      </w:r>
    </w:p>
    <w:p w14:paraId="5B02E81A">
      <w:pPr>
        <w:spacing w:line="360" w:lineRule="auto"/>
        <w:jc w:val="center"/>
        <w:rPr>
          <w:rStyle w:val="98"/>
          <w:color w:val="auto"/>
          <w:highlight w:val="none"/>
        </w:rPr>
      </w:pPr>
      <w:r>
        <w:rPr>
          <w:rFonts w:ascii="宋体" w:hAnsi="宋体"/>
          <w:color w:val="auto"/>
          <w:sz w:val="28"/>
          <w:szCs w:val="28"/>
          <w:highlight w:val="none"/>
        </w:rPr>
        <w:br w:type="page"/>
      </w:r>
      <w:r>
        <w:rPr>
          <w:rStyle w:val="98"/>
          <w:rFonts w:hint="eastAsia"/>
          <w:color w:val="auto"/>
          <w:highlight w:val="none"/>
        </w:rPr>
        <w:t>4、竞标声明</w:t>
      </w:r>
    </w:p>
    <w:p w14:paraId="17845488">
      <w:pPr>
        <w:spacing w:line="320" w:lineRule="exact"/>
        <w:jc w:val="center"/>
        <w:rPr>
          <w:rFonts w:ascii="宋体" w:hAnsi="宋体"/>
          <w:color w:val="auto"/>
          <w:sz w:val="24"/>
          <w:szCs w:val="20"/>
          <w:highlight w:val="none"/>
        </w:rPr>
      </w:pPr>
    </w:p>
    <w:p w14:paraId="31001555">
      <w:pPr>
        <w:spacing w:line="360" w:lineRule="auto"/>
        <w:contextualSpacing/>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（采购人名称）</w:t>
      </w:r>
      <w:r>
        <w:rPr>
          <w:rFonts w:hint="eastAsia" w:ascii="宋体" w:hAnsi="宋体" w:cs="宋体"/>
          <w:color w:val="auto"/>
          <w:sz w:val="24"/>
          <w:highlight w:val="none"/>
        </w:rPr>
        <w:t>：</w:t>
      </w:r>
    </w:p>
    <w:p w14:paraId="2C9AD0B4">
      <w:pPr>
        <w:spacing w:line="360" w:lineRule="auto"/>
        <w:ind w:firstLine="720" w:firstLineChars="300"/>
        <w:contextualSpacing/>
        <w:rPr>
          <w:rFonts w:ascii="宋体" w:hAnsi="宋体" w:cs="宋体"/>
          <w:color w:val="auto"/>
          <w:sz w:val="24"/>
          <w:highlight w:val="none"/>
        </w:rPr>
      </w:pPr>
      <w:r>
        <w:rPr>
          <w:rFonts w:hint="eastAsia" w:ascii="宋体" w:hAnsi="宋体" w:cs="宋体"/>
          <w:color w:val="auto"/>
          <w:sz w:val="24"/>
          <w:highlight w:val="none"/>
          <w:u w:val="single"/>
        </w:rPr>
        <w:t>（供应商名称）</w:t>
      </w:r>
      <w:r>
        <w:rPr>
          <w:rFonts w:hint="eastAsia" w:ascii="宋体" w:hAnsi="宋体" w:cs="宋体"/>
          <w:color w:val="auto"/>
          <w:sz w:val="24"/>
          <w:highlight w:val="none"/>
        </w:rPr>
        <w:t>系中华人民共和国合法供应商，经营地址。</w:t>
      </w:r>
    </w:p>
    <w:p w14:paraId="77C5AF61">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我方愿意参加贵方组织的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项目的竞标，为便于贵方公正、择优地确定成交供应商及其竞标产品和服务，我方就本次竞标有关事项郑重声明如下：</w:t>
      </w:r>
    </w:p>
    <w:p w14:paraId="5170E702">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1.我方向贵方提交的所有响应文件、资料都是准确的和真实的。</w:t>
      </w:r>
    </w:p>
    <w:p w14:paraId="6C3BA037">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olor w:val="auto"/>
          <w:sz w:val="24"/>
          <w:highlight w:val="none"/>
        </w:rPr>
        <w:t>我方不是为本次采购项目提供整体设计、规范编制或者项目管理、监理、检测等服务的供应商</w:t>
      </w:r>
      <w:r>
        <w:rPr>
          <w:rFonts w:hint="eastAsia" w:ascii="宋体" w:hAnsi="宋体" w:cs="宋体"/>
          <w:color w:val="auto"/>
          <w:sz w:val="24"/>
          <w:highlight w:val="none"/>
        </w:rPr>
        <w:t>。</w:t>
      </w:r>
    </w:p>
    <w:p w14:paraId="550B8308">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3.在此，我方宣布同意如下：</w:t>
      </w:r>
    </w:p>
    <w:p w14:paraId="514A25AA">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（1）将按磋商文件的约定履行合同责任和义务；</w:t>
      </w:r>
    </w:p>
    <w:p w14:paraId="36021CE2">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（2）已详细审查全部磋商文件，包括澄清或者更正公告（如有）；</w:t>
      </w:r>
    </w:p>
    <w:p w14:paraId="36FD00FA">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（3）同意提供按照贵方可能要求的与磋商有关的一切数据或者资料；</w:t>
      </w:r>
    </w:p>
    <w:p w14:paraId="0FFC05E1">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（4）响应磋商文件规定的竞标有效期。</w:t>
      </w:r>
    </w:p>
    <w:p w14:paraId="562B3CCB">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4.我方承诺符合《中华人民共和国政府采购法》第二十二条规定：</w:t>
      </w:r>
    </w:p>
    <w:p w14:paraId="2308684C">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7480C578">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（2）具有良好的商业信誉和健全的财务会计制度；</w:t>
      </w:r>
    </w:p>
    <w:p w14:paraId="3EF15715">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1053105F">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37DCD4A1">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7C56BCAA">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（6）法律、行政法规规定的其他条件。</w:t>
      </w:r>
    </w:p>
    <w:p w14:paraId="605E25C8">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5.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14:paraId="4BA86EF5">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6.根据《中华人民共和国政府采购法实施条例》第五十条要求对政府采购合同进行公告，但政府采购合同中涉及国家秘密、商业秘密的内容除外。我方就对本次响应文件进行注明如下：（两项内容中必须选择一项）</w:t>
      </w:r>
    </w:p>
    <w:p w14:paraId="37DC06C1">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□我方本次响应文件</w:t>
      </w:r>
      <w:r>
        <w:rPr>
          <w:rFonts w:hint="eastAsia" w:ascii="宋体" w:hAnsi="宋体" w:cs="宋体"/>
          <w:color w:val="auto"/>
          <w:kern w:val="0"/>
          <w:sz w:val="24"/>
          <w:highlight w:val="none"/>
        </w:rPr>
        <w:t>内容中</w:t>
      </w:r>
      <w:r>
        <w:rPr>
          <w:rFonts w:hint="eastAsia" w:ascii="宋体" w:hAnsi="宋体" w:cs="宋体"/>
          <w:color w:val="auto"/>
          <w:sz w:val="24"/>
          <w:highlight w:val="none"/>
        </w:rPr>
        <w:t>未</w:t>
      </w:r>
      <w:r>
        <w:rPr>
          <w:rFonts w:hint="eastAsia" w:ascii="宋体" w:hAnsi="宋体" w:cs="宋体"/>
          <w:color w:val="auto"/>
          <w:kern w:val="0"/>
          <w:sz w:val="24"/>
          <w:highlight w:val="none"/>
        </w:rPr>
        <w:t>涉及商业秘密；</w:t>
      </w:r>
    </w:p>
    <w:p w14:paraId="51C9CDBA">
      <w:pPr>
        <w:spacing w:line="360" w:lineRule="auto"/>
        <w:ind w:firstLine="480" w:firstLineChars="200"/>
        <w:contextualSpacing/>
        <w:rPr>
          <w:rFonts w:ascii="宋体" w:hAnsi="宋体" w:cs="宋体"/>
          <w:color w:val="auto"/>
          <w:sz w:val="24"/>
          <w:highlight w:val="none"/>
        </w:rPr>
      </w:pPr>
      <w:r>
        <w:rPr>
          <w:rFonts w:hint="eastAsia" w:ascii="宋体" w:hAnsi="宋体" w:cs="宋体"/>
          <w:color w:val="auto"/>
          <w:sz w:val="24"/>
          <w:highlight w:val="none"/>
        </w:rPr>
        <w:t>□我方本次响应文件</w:t>
      </w:r>
      <w:r>
        <w:rPr>
          <w:rFonts w:hint="eastAsia" w:ascii="宋体" w:hAnsi="宋体" w:cs="宋体"/>
          <w:color w:val="auto"/>
          <w:kern w:val="0"/>
          <w:sz w:val="24"/>
          <w:highlight w:val="none"/>
        </w:rPr>
        <w:t>涉及商业秘密的内容有：；</w:t>
      </w:r>
    </w:p>
    <w:p w14:paraId="78FAC47C">
      <w:pPr>
        <w:pStyle w:val="25"/>
        <w:spacing w:line="360" w:lineRule="auto"/>
        <w:ind w:firstLine="480" w:firstLineChars="200"/>
        <w:contextualSpacing/>
        <w:rPr>
          <w:rFonts w:hAnsi="宋体" w:cs="宋体"/>
          <w:color w:val="auto"/>
          <w:sz w:val="24"/>
          <w:szCs w:val="24"/>
          <w:highlight w:val="none"/>
        </w:rPr>
      </w:pPr>
      <w:r>
        <w:rPr>
          <w:rFonts w:hint="eastAsia" w:hAnsi="宋体" w:cs="宋体"/>
          <w:color w:val="auto"/>
          <w:sz w:val="24"/>
          <w:szCs w:val="24"/>
          <w:highlight w:val="none"/>
        </w:rPr>
        <w:t>7.与本磋商有关的一切正式往来信函请寄：</w:t>
      </w:r>
    </w:p>
    <w:p w14:paraId="6ADF5E11">
      <w:pPr>
        <w:pStyle w:val="25"/>
        <w:spacing w:line="360" w:lineRule="auto"/>
        <w:ind w:firstLine="480" w:firstLineChars="200"/>
        <w:contextualSpacing/>
        <w:rPr>
          <w:rFonts w:hAnsi="宋体" w:cs="宋体"/>
          <w:color w:val="auto"/>
          <w:sz w:val="24"/>
          <w:szCs w:val="24"/>
          <w:highlight w:val="none"/>
          <w:u w:val="single"/>
        </w:rPr>
      </w:pPr>
      <w:r>
        <w:rPr>
          <w:rFonts w:hint="eastAsia" w:hAnsi="宋体" w:cs="宋体"/>
          <w:color w:val="auto"/>
          <w:sz w:val="24"/>
          <w:szCs w:val="24"/>
          <w:highlight w:val="none"/>
        </w:rPr>
        <w:t>地址：邮政编号：</w:t>
      </w:r>
    </w:p>
    <w:p w14:paraId="2681CB29">
      <w:pPr>
        <w:pStyle w:val="25"/>
        <w:spacing w:line="360" w:lineRule="auto"/>
        <w:ind w:firstLine="480" w:firstLineChars="200"/>
        <w:contextualSpacing/>
        <w:rPr>
          <w:rFonts w:hAnsi="宋体" w:cs="宋体"/>
          <w:color w:val="auto"/>
          <w:sz w:val="24"/>
          <w:szCs w:val="24"/>
          <w:highlight w:val="none"/>
        </w:rPr>
      </w:pPr>
      <w:r>
        <w:rPr>
          <w:rFonts w:hint="eastAsia" w:hAnsi="宋体" w:cs="宋体"/>
          <w:color w:val="auto"/>
          <w:sz w:val="24"/>
          <w:szCs w:val="24"/>
          <w:highlight w:val="none"/>
        </w:rPr>
        <w:t>电话/传真： 邮箱：</w:t>
      </w:r>
    </w:p>
    <w:p w14:paraId="50F2E1ED">
      <w:pPr>
        <w:pStyle w:val="21"/>
        <w:tabs>
          <w:tab w:val="left" w:pos="939"/>
        </w:tabs>
        <w:spacing w:line="360" w:lineRule="auto"/>
        <w:ind w:left="141" w:leftChars="67" w:firstLine="360" w:firstLineChars="150"/>
        <w:rPr>
          <w:rFonts w:ascii="宋体" w:hAnsi="宋体" w:cs="宋体"/>
          <w:color w:val="auto"/>
          <w:sz w:val="24"/>
          <w:highlight w:val="none"/>
        </w:rPr>
      </w:pPr>
      <w:r>
        <w:rPr>
          <w:rFonts w:hint="eastAsia" w:ascii="宋体" w:hAnsi="宋体" w:cs="宋体"/>
          <w:color w:val="auto"/>
          <w:sz w:val="24"/>
          <w:highlight w:val="none"/>
        </w:rPr>
        <w:t>开户银行：  帐号：</w:t>
      </w:r>
    </w:p>
    <w:p w14:paraId="4D47CF74">
      <w:pPr>
        <w:pStyle w:val="21"/>
        <w:tabs>
          <w:tab w:val="left" w:pos="939"/>
        </w:tabs>
        <w:spacing w:line="360" w:lineRule="auto"/>
        <w:ind w:left="0" w:leftChars="0" w:firstLine="480" w:firstLineChars="200"/>
        <w:rPr>
          <w:rFonts w:ascii="宋体" w:hAnsi="宋体" w:cs="宋体"/>
          <w:color w:val="auto"/>
          <w:sz w:val="24"/>
          <w:highlight w:val="none"/>
        </w:rPr>
      </w:pPr>
      <w:r>
        <w:rPr>
          <w:rFonts w:hint="eastAsia" w:ascii="宋体" w:hAnsi="宋体" w:cs="宋体"/>
          <w:color w:val="auto"/>
          <w:sz w:val="24"/>
          <w:highlight w:val="none"/>
        </w:rPr>
        <w:t>8.以上事项如有虚假或者隐瞒，我方愿意承担一切后果，并不再寻求任何旨在减轻或者免除法律责任的辩解。</w:t>
      </w:r>
    </w:p>
    <w:p w14:paraId="4CC3115D">
      <w:pPr>
        <w:pStyle w:val="21"/>
        <w:tabs>
          <w:tab w:val="left" w:pos="939"/>
        </w:tabs>
        <w:spacing w:line="360" w:lineRule="auto"/>
        <w:ind w:left="141" w:leftChars="67" w:firstLine="360" w:firstLineChars="150"/>
        <w:rPr>
          <w:rFonts w:ascii="宋体" w:hAnsi="宋体" w:cs="宋体"/>
          <w:color w:val="auto"/>
          <w:sz w:val="24"/>
          <w:highlight w:val="none"/>
        </w:rPr>
      </w:pPr>
      <w:r>
        <w:rPr>
          <w:rFonts w:hint="eastAsia" w:ascii="宋体" w:hAnsi="宋体" w:cs="宋体"/>
          <w:color w:val="auto"/>
          <w:sz w:val="24"/>
          <w:highlight w:val="none"/>
        </w:rPr>
        <w:t>特此承诺。</w:t>
      </w:r>
    </w:p>
    <w:p w14:paraId="215487BD">
      <w:pPr>
        <w:pStyle w:val="21"/>
        <w:tabs>
          <w:tab w:val="left" w:pos="939"/>
        </w:tabs>
        <w:spacing w:line="360" w:lineRule="auto"/>
        <w:ind w:left="0" w:leftChars="0" w:firstLine="480" w:firstLineChars="200"/>
        <w:rPr>
          <w:rFonts w:ascii="宋体" w:hAnsi="宋体" w:cs="宋体"/>
          <w:color w:val="auto"/>
          <w:sz w:val="24"/>
          <w:highlight w:val="none"/>
        </w:rPr>
      </w:pPr>
    </w:p>
    <w:p w14:paraId="6CA19478">
      <w:pPr>
        <w:spacing w:line="360" w:lineRule="auto"/>
        <w:ind w:firstLine="1440" w:firstLineChars="600"/>
        <w:contextualSpacing/>
        <w:rPr>
          <w:color w:val="auto"/>
          <w:sz w:val="24"/>
          <w:highlight w:val="none"/>
        </w:rPr>
      </w:pPr>
      <w:r>
        <w:rPr>
          <w:rFonts w:hint="eastAsia"/>
          <w:color w:val="auto"/>
          <w:sz w:val="24"/>
          <w:highlight w:val="none"/>
        </w:rPr>
        <w:t>法定代表人（或负责人）（签字或者盖章）：</w:t>
      </w:r>
    </w:p>
    <w:p w14:paraId="6E7C7984">
      <w:pPr>
        <w:spacing w:line="360" w:lineRule="auto"/>
        <w:ind w:firstLine="4320" w:firstLineChars="1800"/>
        <w:contextualSpacing/>
        <w:rPr>
          <w:rFonts w:ascii="宋体" w:hAnsi="宋体" w:cs="宋体"/>
          <w:color w:val="auto"/>
          <w:sz w:val="24"/>
          <w:highlight w:val="none"/>
          <w:u w:val="single"/>
        </w:rPr>
      </w:pPr>
      <w:r>
        <w:rPr>
          <w:rFonts w:hint="eastAsia"/>
          <w:color w:val="auto"/>
          <w:sz w:val="24"/>
          <w:highlight w:val="none"/>
        </w:rPr>
        <w:t>供应商（盖公章）：</w:t>
      </w:r>
    </w:p>
    <w:p w14:paraId="52C0E4D6">
      <w:pPr>
        <w:spacing w:line="360" w:lineRule="auto"/>
        <w:ind w:right="480" w:firstLine="240" w:firstLineChars="100"/>
        <w:contextualSpacing/>
        <w:jc w:val="center"/>
        <w:rPr>
          <w:color w:val="auto"/>
          <w:sz w:val="24"/>
          <w:highlight w:val="none"/>
        </w:rPr>
      </w:pPr>
      <w:r>
        <w:rPr>
          <w:rFonts w:hint="eastAsia"/>
          <w:color w:val="auto"/>
          <w:sz w:val="24"/>
          <w:highlight w:val="none"/>
        </w:rPr>
        <w:t xml:space="preserve"> 年    月    日</w:t>
      </w:r>
    </w:p>
    <w:p w14:paraId="5CDBCAEE">
      <w:pPr>
        <w:rPr>
          <w:color w:val="auto"/>
          <w:sz w:val="24"/>
          <w:highlight w:val="none"/>
        </w:rPr>
      </w:pPr>
      <w:r>
        <w:rPr>
          <w:rFonts w:hint="eastAsia"/>
          <w:color w:val="auto"/>
          <w:sz w:val="24"/>
          <w:highlight w:val="none"/>
        </w:rPr>
        <w:br w:type="page"/>
      </w:r>
    </w:p>
    <w:p w14:paraId="16026E45">
      <w:pPr>
        <w:pStyle w:val="4"/>
        <w:rPr>
          <w:rFonts w:hint="eastAsia"/>
          <w:color w:val="auto"/>
          <w:highlight w:val="none"/>
        </w:rPr>
      </w:pPr>
      <w:r>
        <w:rPr>
          <w:rFonts w:hint="eastAsia"/>
          <w:color w:val="auto"/>
          <w:highlight w:val="none"/>
        </w:rPr>
        <w:t>5、</w:t>
      </w:r>
      <w:r>
        <w:rPr>
          <w:rFonts w:hint="eastAsia"/>
          <w:b w:val="0"/>
          <w:bCs/>
          <w:color w:val="auto"/>
          <w:highlight w:val="none"/>
        </w:rPr>
        <w:t>中小企业声明函或者残疾人福利性单位声明函或者供应商属于监狱企业的证明材料；</w:t>
      </w:r>
      <w:r>
        <w:rPr>
          <w:rFonts w:hint="eastAsia"/>
          <w:color w:val="auto"/>
          <w:highlight w:val="none"/>
        </w:rPr>
        <w:t>（本项目如为专门面向中小企业采购时必须提供，否则电子响应文件按无效响应处理）</w:t>
      </w:r>
    </w:p>
    <w:p w14:paraId="7EA620B3">
      <w:pPr>
        <w:pStyle w:val="4"/>
        <w:rPr>
          <w:rFonts w:hint="eastAsia"/>
          <w:color w:val="auto"/>
          <w:highlight w:val="none"/>
        </w:rPr>
      </w:pPr>
      <w:r>
        <w:rPr>
          <w:rFonts w:hint="eastAsia"/>
          <w:color w:val="auto"/>
          <w:highlight w:val="none"/>
          <w:lang w:val="en-US" w:eastAsia="zh-CN"/>
        </w:rPr>
        <w:t>6、</w:t>
      </w:r>
      <w:r>
        <w:rPr>
          <w:rFonts w:hint="eastAsia"/>
          <w:b w:val="0"/>
          <w:bCs/>
          <w:color w:val="auto"/>
          <w:highlight w:val="none"/>
          <w:lang w:val="en-US" w:eastAsia="zh-CN"/>
        </w:rPr>
        <w:t>（1）要求投标人须具备有效的公路工程施工总承包叁级以上（含叁级）资质，具有省级及以上建设行政主管部门颁发的安全生产许可证，并在人员、设备、资金等方面具备相应的施工能力。</w:t>
      </w:r>
      <w:r>
        <w:rPr>
          <w:rFonts w:hint="eastAsia"/>
          <w:color w:val="auto"/>
          <w:highlight w:val="none"/>
          <w:lang w:val="en-US" w:eastAsia="zh-CN"/>
        </w:rPr>
        <w:t>（必须提供，否则响应文件按无效响应处理）</w:t>
      </w:r>
    </w:p>
    <w:p w14:paraId="5DB7A627">
      <w:pPr>
        <w:pStyle w:val="4"/>
        <w:ind w:left="0" w:leftChars="0" w:firstLine="419" w:firstLineChars="131"/>
        <w:rPr>
          <w:rFonts w:hint="eastAsia"/>
          <w:color w:val="auto"/>
          <w:highlight w:val="none"/>
        </w:rPr>
      </w:pPr>
      <w:r>
        <w:rPr>
          <w:rFonts w:hint="eastAsia"/>
          <w:b w:val="0"/>
          <w:bCs/>
          <w:color w:val="auto"/>
          <w:highlight w:val="none"/>
          <w:lang w:val="en-US" w:eastAsia="zh-CN"/>
        </w:rPr>
        <w:t>（2）拟投入本项目的项目经理须具备公路工程专业贰级以上（含贰级）注册建造师执业资格，并具有省级 (或以上) 交通主管部门颁发的《安全生产考核合格证书》 B证。安全员具有省级 (或以上) 交通主管部门颁发的《安全生产考核合格证书》C证。</w:t>
      </w:r>
      <w:r>
        <w:rPr>
          <w:rFonts w:hint="eastAsia"/>
          <w:color w:val="auto"/>
          <w:highlight w:val="none"/>
          <w:lang w:val="en-US" w:eastAsia="zh-CN"/>
        </w:rPr>
        <w:t>（必须提供，否则响应文件按无效响应处理）</w:t>
      </w:r>
    </w:p>
    <w:p w14:paraId="31F06192">
      <w:pPr>
        <w:pStyle w:val="4"/>
        <w:rPr>
          <w:color w:val="auto"/>
          <w:highlight w:val="none"/>
        </w:rPr>
      </w:pPr>
      <w:r>
        <w:rPr>
          <w:rFonts w:hint="eastAsia"/>
          <w:b/>
          <w:bCs w:val="0"/>
          <w:color w:val="auto"/>
          <w:highlight w:val="none"/>
        </w:rPr>
        <w:t>7、</w:t>
      </w:r>
      <w:r>
        <w:rPr>
          <w:rFonts w:hint="eastAsia"/>
          <w:b w:val="0"/>
          <w:bCs/>
          <w:color w:val="auto"/>
          <w:highlight w:val="none"/>
        </w:rPr>
        <w:t>除磋商文件规定必须提供以外，供应商认为需要提供的其他证明材料。（如有）</w:t>
      </w:r>
    </w:p>
    <w:p w14:paraId="4D33DE90">
      <w:pPr>
        <w:spacing w:line="360" w:lineRule="auto"/>
        <w:ind w:right="480" w:firstLine="240" w:firstLineChars="100"/>
        <w:contextualSpacing/>
        <w:jc w:val="center"/>
        <w:rPr>
          <w:rFonts w:ascii="宋体" w:hAnsi="宋体"/>
          <w:b/>
          <w:color w:val="auto"/>
          <w:sz w:val="32"/>
          <w:szCs w:val="32"/>
          <w:highlight w:val="none"/>
        </w:rPr>
      </w:pPr>
      <w:r>
        <w:rPr>
          <w:rFonts w:hint="eastAsia"/>
          <w:color w:val="auto"/>
          <w:sz w:val="24"/>
          <w:highlight w:val="none"/>
        </w:rPr>
        <w:br w:type="page"/>
      </w:r>
      <w:r>
        <w:rPr>
          <w:rFonts w:hint="eastAsia" w:ascii="宋体" w:hAnsi="宋体"/>
          <w:b/>
          <w:bCs/>
          <w:color w:val="auto"/>
          <w:sz w:val="32"/>
          <w:szCs w:val="32"/>
          <w:highlight w:val="none"/>
        </w:rPr>
        <w:t>二、</w:t>
      </w:r>
      <w:r>
        <w:rPr>
          <w:rFonts w:hint="eastAsia" w:ascii="宋体" w:hAnsi="宋体"/>
          <w:b/>
          <w:color w:val="auto"/>
          <w:sz w:val="32"/>
          <w:szCs w:val="32"/>
          <w:highlight w:val="none"/>
        </w:rPr>
        <w:t>报价文件格式</w:t>
      </w:r>
    </w:p>
    <w:p w14:paraId="6F976697">
      <w:pPr>
        <w:snapToGrid w:val="0"/>
        <w:spacing w:beforeLines="50" w:after="50" w:line="360" w:lineRule="auto"/>
        <w:jc w:val="left"/>
        <w:rPr>
          <w:rFonts w:ascii="宋体" w:hAnsi="宋体"/>
          <w:b/>
          <w:color w:val="auto"/>
          <w:sz w:val="32"/>
          <w:szCs w:val="32"/>
          <w:highlight w:val="none"/>
        </w:rPr>
      </w:pPr>
      <w:r>
        <w:rPr>
          <w:rFonts w:hint="eastAsia" w:ascii="宋体" w:hAnsi="宋体"/>
          <w:b/>
          <w:color w:val="auto"/>
          <w:sz w:val="32"/>
          <w:szCs w:val="32"/>
          <w:highlight w:val="none"/>
        </w:rPr>
        <w:t>1.报价文件封面格式</w:t>
      </w:r>
    </w:p>
    <w:p w14:paraId="1964F782">
      <w:pPr>
        <w:snapToGrid w:val="0"/>
        <w:spacing w:beforeLines="50" w:after="50" w:line="360" w:lineRule="auto"/>
        <w:jc w:val="left"/>
        <w:rPr>
          <w:rFonts w:ascii="宋体" w:hAnsi="宋体"/>
          <w:b/>
          <w:color w:val="auto"/>
          <w:sz w:val="32"/>
          <w:szCs w:val="32"/>
          <w:highlight w:val="none"/>
        </w:rPr>
      </w:pPr>
    </w:p>
    <w:p w14:paraId="1594CA15">
      <w:pPr>
        <w:snapToGrid w:val="0"/>
        <w:spacing w:beforeLines="50" w:after="50" w:line="360" w:lineRule="auto"/>
        <w:jc w:val="left"/>
        <w:rPr>
          <w:rFonts w:ascii="宋体" w:hAnsi="宋体"/>
          <w:b/>
          <w:color w:val="auto"/>
          <w:sz w:val="32"/>
          <w:szCs w:val="32"/>
          <w:highlight w:val="none"/>
        </w:rPr>
      </w:pPr>
    </w:p>
    <w:p w14:paraId="1D0FB257">
      <w:pPr>
        <w:snapToGrid w:val="0"/>
        <w:spacing w:beforeLines="50" w:after="50"/>
        <w:rPr>
          <w:rFonts w:ascii="宋体" w:hAnsi="宋体"/>
          <w:color w:val="auto"/>
          <w:sz w:val="24"/>
          <w:highlight w:val="none"/>
        </w:rPr>
      </w:pPr>
      <w:r>
        <w:rPr>
          <w:rFonts w:hint="eastAsia" w:cs="仿宋_GB2312"/>
          <w:bCs/>
          <w:color w:val="auto"/>
          <w:sz w:val="32"/>
          <w:szCs w:val="32"/>
          <w:highlight w:val="none"/>
        </w:rPr>
        <w:t>项目名称</w:t>
      </w:r>
    </w:p>
    <w:p w14:paraId="7FA1A174">
      <w:pPr>
        <w:pStyle w:val="249"/>
        <w:rPr>
          <w:color w:val="auto"/>
          <w:highlight w:val="none"/>
        </w:rPr>
      </w:pPr>
    </w:p>
    <w:p w14:paraId="332359D9">
      <w:pPr>
        <w:pStyle w:val="249"/>
        <w:rPr>
          <w:color w:val="auto"/>
          <w:highlight w:val="none"/>
        </w:rPr>
      </w:pPr>
    </w:p>
    <w:p w14:paraId="36EEA654">
      <w:pPr>
        <w:pStyle w:val="249"/>
        <w:rPr>
          <w:color w:val="auto"/>
          <w:highlight w:val="none"/>
        </w:rPr>
      </w:pPr>
    </w:p>
    <w:p w14:paraId="4AD4FBC0">
      <w:pPr>
        <w:pStyle w:val="249"/>
        <w:rPr>
          <w:color w:val="auto"/>
          <w:highlight w:val="none"/>
        </w:rPr>
      </w:pPr>
    </w:p>
    <w:p w14:paraId="039F1FC7">
      <w:pPr>
        <w:pStyle w:val="249"/>
        <w:rPr>
          <w:color w:val="auto"/>
          <w:highlight w:val="none"/>
        </w:rPr>
      </w:pPr>
    </w:p>
    <w:p w14:paraId="46F2ACA7">
      <w:pPr>
        <w:snapToGrid w:val="0"/>
        <w:spacing w:beforeLines="50" w:after="50"/>
        <w:rPr>
          <w:rFonts w:ascii="宋体" w:hAnsi="宋体"/>
          <w:color w:val="auto"/>
          <w:sz w:val="24"/>
          <w:szCs w:val="20"/>
          <w:highlight w:val="none"/>
        </w:rPr>
      </w:pPr>
    </w:p>
    <w:p w14:paraId="3410B5E9">
      <w:pPr>
        <w:snapToGrid w:val="0"/>
        <w:spacing w:beforeLines="50" w:after="50"/>
        <w:jc w:val="center"/>
        <w:rPr>
          <w:rFonts w:ascii="宋体" w:hAnsi="宋体" w:cs="宋体"/>
          <w:bCs/>
          <w:color w:val="auto"/>
          <w:sz w:val="84"/>
          <w:szCs w:val="84"/>
          <w:highlight w:val="none"/>
        </w:rPr>
      </w:pPr>
      <w:r>
        <w:rPr>
          <w:rFonts w:hint="eastAsia" w:ascii="宋体" w:hAnsi="宋体" w:cs="宋体"/>
          <w:bCs/>
          <w:color w:val="auto"/>
          <w:sz w:val="84"/>
          <w:szCs w:val="84"/>
          <w:highlight w:val="none"/>
        </w:rPr>
        <w:t>响  应  文  件</w:t>
      </w:r>
    </w:p>
    <w:p w14:paraId="1B6B9E4B">
      <w:pPr>
        <w:snapToGrid w:val="0"/>
        <w:spacing w:beforeLines="50" w:after="50"/>
        <w:jc w:val="center"/>
        <w:rPr>
          <w:rFonts w:ascii="宋体" w:hAnsi="宋体" w:cs="宋体"/>
          <w:bCs/>
          <w:color w:val="auto"/>
          <w:sz w:val="44"/>
          <w:szCs w:val="44"/>
          <w:highlight w:val="none"/>
        </w:rPr>
      </w:pPr>
    </w:p>
    <w:p w14:paraId="0B34A948">
      <w:pPr>
        <w:snapToGrid w:val="0"/>
        <w:spacing w:beforeLines="50" w:after="50"/>
        <w:jc w:val="center"/>
        <w:rPr>
          <w:rFonts w:ascii="宋体" w:hAnsi="宋体" w:cs="宋体"/>
          <w:bCs/>
          <w:color w:val="auto"/>
          <w:sz w:val="32"/>
          <w:szCs w:val="32"/>
          <w:highlight w:val="none"/>
        </w:rPr>
      </w:pPr>
      <w:r>
        <w:rPr>
          <w:rFonts w:hint="eastAsia" w:ascii="宋体" w:hAnsi="宋体" w:cs="宋体"/>
          <w:bCs/>
          <w:color w:val="auto"/>
          <w:sz w:val="32"/>
          <w:szCs w:val="32"/>
          <w:highlight w:val="none"/>
        </w:rPr>
        <w:t>报  价  文  件</w:t>
      </w:r>
    </w:p>
    <w:p w14:paraId="16527003">
      <w:pPr>
        <w:snapToGrid w:val="0"/>
        <w:spacing w:beforeLines="50" w:after="50"/>
        <w:jc w:val="center"/>
        <w:rPr>
          <w:rFonts w:ascii="宋体" w:hAnsi="宋体" w:cs="仿宋_GB2312"/>
          <w:bCs/>
          <w:color w:val="auto"/>
          <w:sz w:val="32"/>
          <w:szCs w:val="32"/>
          <w:highlight w:val="none"/>
        </w:rPr>
      </w:pPr>
    </w:p>
    <w:p w14:paraId="1D82B46B">
      <w:pPr>
        <w:snapToGrid w:val="0"/>
        <w:spacing w:beforeLines="50" w:after="50"/>
        <w:jc w:val="center"/>
        <w:rPr>
          <w:rFonts w:ascii="宋体" w:hAnsi="宋体" w:cs="仿宋_GB2312"/>
          <w:bCs/>
          <w:color w:val="auto"/>
          <w:sz w:val="32"/>
          <w:szCs w:val="32"/>
          <w:highlight w:val="none"/>
        </w:rPr>
      </w:pPr>
    </w:p>
    <w:p w14:paraId="5C8DAA6D">
      <w:pPr>
        <w:snapToGrid w:val="0"/>
        <w:spacing w:beforeLines="50" w:after="50"/>
        <w:ind w:firstLine="1280" w:firstLineChars="400"/>
        <w:rPr>
          <w:rFonts w:ascii="宋体" w:hAnsi="宋体" w:cs="仿宋_GB2312"/>
          <w:bCs/>
          <w:color w:val="auto"/>
          <w:sz w:val="32"/>
          <w:szCs w:val="32"/>
          <w:highlight w:val="none"/>
        </w:rPr>
      </w:pPr>
      <w:r>
        <w:rPr>
          <w:rFonts w:hint="eastAsia" w:ascii="宋体" w:hAnsi="宋体" w:cs="仿宋_GB2312"/>
          <w:bCs/>
          <w:color w:val="auto"/>
          <w:sz w:val="32"/>
          <w:szCs w:val="32"/>
          <w:highlight w:val="none"/>
        </w:rPr>
        <w:t>项目编号：</w:t>
      </w:r>
    </w:p>
    <w:p w14:paraId="4C9B775D">
      <w:pPr>
        <w:snapToGrid w:val="0"/>
        <w:spacing w:beforeLines="50" w:after="50"/>
        <w:ind w:firstLine="720" w:firstLineChars="225"/>
        <w:rPr>
          <w:rFonts w:ascii="宋体" w:hAnsi="宋体" w:cs="仿宋_GB2312"/>
          <w:bCs/>
          <w:color w:val="auto"/>
          <w:sz w:val="32"/>
          <w:szCs w:val="32"/>
          <w:highlight w:val="none"/>
        </w:rPr>
      </w:pPr>
    </w:p>
    <w:p w14:paraId="706A679B">
      <w:pPr>
        <w:pStyle w:val="7"/>
        <w:snapToGrid w:val="0"/>
        <w:spacing w:before="50" w:after="50"/>
        <w:ind w:firstLine="1360" w:firstLineChars="425"/>
        <w:rPr>
          <w:rFonts w:ascii="宋体" w:hAnsi="宋体" w:cs="仿宋_GB2312"/>
          <w:bCs/>
          <w:color w:val="auto"/>
          <w:sz w:val="32"/>
          <w:szCs w:val="32"/>
          <w:highlight w:val="none"/>
        </w:rPr>
      </w:pPr>
      <w:r>
        <w:rPr>
          <w:rFonts w:hint="eastAsia" w:ascii="宋体" w:hAnsi="宋体" w:cs="仿宋_GB2312"/>
          <w:bCs/>
          <w:color w:val="auto"/>
          <w:sz w:val="32"/>
          <w:szCs w:val="32"/>
          <w:highlight w:val="none"/>
        </w:rPr>
        <w:t>供应商名称：</w:t>
      </w:r>
    </w:p>
    <w:p w14:paraId="4227F410">
      <w:pPr>
        <w:snapToGrid w:val="0"/>
        <w:spacing w:beforeLines="50" w:after="50"/>
        <w:jc w:val="center"/>
        <w:rPr>
          <w:rFonts w:ascii="宋体" w:hAnsi="宋体" w:cs="仿宋_GB2312"/>
          <w:color w:val="auto"/>
          <w:sz w:val="32"/>
          <w:szCs w:val="32"/>
          <w:highlight w:val="none"/>
        </w:rPr>
      </w:pPr>
    </w:p>
    <w:p w14:paraId="5BC95CDC">
      <w:pPr>
        <w:snapToGrid w:val="0"/>
        <w:spacing w:beforeLines="50" w:after="50"/>
        <w:jc w:val="center"/>
        <w:rPr>
          <w:rFonts w:ascii="宋体" w:hAnsi="宋体" w:cs="仿宋_GB2312"/>
          <w:color w:val="auto"/>
          <w:sz w:val="32"/>
          <w:szCs w:val="32"/>
          <w:highlight w:val="none"/>
        </w:rPr>
      </w:pPr>
    </w:p>
    <w:p w14:paraId="41D2E31C">
      <w:pPr>
        <w:snapToGrid w:val="0"/>
        <w:spacing w:beforeLines="50" w:after="50"/>
        <w:jc w:val="center"/>
        <w:rPr>
          <w:rFonts w:ascii="宋体" w:hAnsi="宋体" w:cs="仿宋_GB2312"/>
          <w:color w:val="auto"/>
          <w:sz w:val="32"/>
          <w:szCs w:val="32"/>
          <w:highlight w:val="none"/>
        </w:rPr>
      </w:pPr>
      <w:r>
        <w:rPr>
          <w:rFonts w:hint="eastAsia" w:ascii="宋体" w:hAnsi="宋体" w:cs="仿宋_GB2312"/>
          <w:color w:val="auto"/>
          <w:sz w:val="32"/>
          <w:szCs w:val="32"/>
          <w:highlight w:val="none"/>
        </w:rPr>
        <w:t>年    月    日</w:t>
      </w:r>
    </w:p>
    <w:p w14:paraId="113647DC">
      <w:pPr>
        <w:snapToGrid w:val="0"/>
        <w:spacing w:beforeLines="50" w:after="50" w:line="360" w:lineRule="auto"/>
        <w:ind w:left="142"/>
        <w:jc w:val="left"/>
        <w:rPr>
          <w:rFonts w:ascii="宋体" w:hAnsi="宋体"/>
          <w:b/>
          <w:bCs/>
          <w:color w:val="auto"/>
          <w:sz w:val="24"/>
          <w:highlight w:val="none"/>
        </w:rPr>
      </w:pPr>
      <w:r>
        <w:rPr>
          <w:rFonts w:ascii="宋体" w:hAnsi="宋体"/>
          <w:color w:val="auto"/>
          <w:sz w:val="24"/>
          <w:highlight w:val="none"/>
        </w:rPr>
        <w:br w:type="page"/>
      </w:r>
      <w:r>
        <w:rPr>
          <w:rFonts w:hint="eastAsia" w:ascii="宋体" w:hAnsi="宋体"/>
          <w:b/>
          <w:bCs/>
          <w:color w:val="auto"/>
          <w:sz w:val="32"/>
          <w:szCs w:val="32"/>
          <w:highlight w:val="none"/>
        </w:rPr>
        <w:t>2.报价文件目录</w:t>
      </w:r>
    </w:p>
    <w:p w14:paraId="3F98C17E">
      <w:pPr>
        <w:snapToGrid w:val="0"/>
        <w:spacing w:beforeLines="50" w:after="50" w:line="360" w:lineRule="auto"/>
        <w:ind w:firstLine="640" w:firstLineChars="200"/>
        <w:rPr>
          <w:rFonts w:ascii="宋体" w:hAnsi="宋体"/>
          <w:color w:val="auto"/>
          <w:sz w:val="32"/>
          <w:szCs w:val="32"/>
          <w:highlight w:val="none"/>
        </w:rPr>
      </w:pPr>
      <w:r>
        <w:rPr>
          <w:rFonts w:hint="eastAsia" w:ascii="宋体" w:hAnsi="宋体"/>
          <w:color w:val="auto"/>
          <w:sz w:val="32"/>
          <w:szCs w:val="32"/>
          <w:highlight w:val="none"/>
        </w:rPr>
        <w:t>根据磋商文件规定及供应商提供的材料自行编写目录（部分格式后附）。</w:t>
      </w:r>
    </w:p>
    <w:p w14:paraId="17D6F6F5">
      <w:pPr>
        <w:spacing w:line="400" w:lineRule="exact"/>
        <w:rPr>
          <w:rFonts w:ascii="仿宋_GB2312" w:hAnsi="仿宋_GB2312" w:eastAsia="仿宋_GB2312" w:cs="仿宋_GB2312"/>
          <w:color w:val="auto"/>
          <w:sz w:val="32"/>
          <w:szCs w:val="32"/>
          <w:highlight w:val="none"/>
        </w:rPr>
      </w:pPr>
    </w:p>
    <w:p w14:paraId="74C362E0">
      <w:pPr>
        <w:spacing w:line="520" w:lineRule="exact"/>
        <w:jc w:val="left"/>
        <w:rPr>
          <w:rStyle w:val="98"/>
          <w:color w:val="auto"/>
          <w:highlight w:val="none"/>
        </w:rPr>
      </w:pPr>
      <w:r>
        <w:rPr>
          <w:rFonts w:hint="eastAsia" w:ascii="方正小标宋简体" w:hAnsi="方正小标宋简体" w:eastAsia="方正小标宋简体" w:cs="方正小标宋简体"/>
          <w:color w:val="auto"/>
          <w:sz w:val="44"/>
          <w:szCs w:val="44"/>
          <w:highlight w:val="none"/>
        </w:rPr>
        <w:br w:type="page"/>
      </w:r>
      <w:r>
        <w:rPr>
          <w:rStyle w:val="98"/>
          <w:rFonts w:hint="eastAsia"/>
          <w:color w:val="auto"/>
          <w:highlight w:val="none"/>
        </w:rPr>
        <w:t>1、磋商函</w:t>
      </w:r>
    </w:p>
    <w:p w14:paraId="2BE794B1">
      <w:pPr>
        <w:pStyle w:val="249"/>
        <w:rPr>
          <w:rFonts w:ascii="宋体" w:hAnsi="宋体"/>
          <w:color w:val="auto"/>
          <w:highlight w:val="none"/>
        </w:rPr>
      </w:pPr>
    </w:p>
    <w:p w14:paraId="17779F55">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1、根据你方项目编号为</w:t>
      </w:r>
      <w:r>
        <w:rPr>
          <w:rStyle w:val="252"/>
          <w:rFonts w:hint="eastAsia" w:hAnsi="宋体" w:cs="宋体"/>
          <w:color w:val="auto"/>
          <w:kern w:val="0"/>
          <w:sz w:val="24"/>
          <w:highlight w:val="none"/>
          <w:u w:val="single"/>
        </w:rPr>
        <w:t xml:space="preserve">  （项目编号） </w:t>
      </w:r>
      <w:r>
        <w:rPr>
          <w:rStyle w:val="252"/>
          <w:rFonts w:hint="eastAsia" w:hAnsi="宋体" w:cs="宋体"/>
          <w:color w:val="auto"/>
          <w:kern w:val="0"/>
          <w:sz w:val="24"/>
          <w:highlight w:val="none"/>
        </w:rPr>
        <w:t xml:space="preserve"> 的</w:t>
      </w:r>
      <w:r>
        <w:rPr>
          <w:rStyle w:val="252"/>
          <w:rFonts w:hint="eastAsia" w:hAnsi="宋体" w:cs="宋体"/>
          <w:color w:val="auto"/>
          <w:kern w:val="0"/>
          <w:sz w:val="24"/>
          <w:highlight w:val="none"/>
          <w:u w:val="single" w:color="000000"/>
        </w:rPr>
        <w:t xml:space="preserve">   （项目名称）  </w:t>
      </w:r>
      <w:r>
        <w:rPr>
          <w:rStyle w:val="252"/>
          <w:rFonts w:hint="eastAsia" w:hAnsi="宋体" w:cs="宋体"/>
          <w:color w:val="auto"/>
          <w:kern w:val="0"/>
          <w:sz w:val="24"/>
          <w:highlight w:val="none"/>
        </w:rPr>
        <w:t>工程竞争性磋商文件，参照</w:t>
      </w:r>
      <w:r>
        <w:rPr>
          <w:rStyle w:val="252"/>
          <w:rFonts w:hint="eastAsia" w:ascii="微软雅黑" w:hAnsi="微软雅黑" w:eastAsia="微软雅黑" w:cs="微软雅黑"/>
          <w:color w:val="auto"/>
          <w:kern w:val="0"/>
          <w:sz w:val="24"/>
          <w:highlight w:val="none"/>
        </w:rPr>
        <w:t>《</w:t>
      </w:r>
      <w:r>
        <w:rPr>
          <w:rStyle w:val="252"/>
          <w:rFonts w:hint="eastAsia" w:hAnsi="宋体" w:cs="宋体"/>
          <w:color w:val="auto"/>
          <w:kern w:val="0"/>
          <w:sz w:val="24"/>
          <w:highlight w:val="none"/>
        </w:rPr>
        <w:t>政府采购竞争性磋商采购方式管理暂行办法</w:t>
      </w:r>
      <w:r>
        <w:rPr>
          <w:rStyle w:val="252"/>
          <w:rFonts w:hint="eastAsia" w:ascii="微软雅黑" w:hAnsi="微软雅黑" w:eastAsia="微软雅黑" w:cs="微软雅黑"/>
          <w:color w:val="auto"/>
          <w:kern w:val="0"/>
          <w:sz w:val="24"/>
          <w:highlight w:val="none"/>
        </w:rPr>
        <w:t>》</w:t>
      </w:r>
      <w:r>
        <w:rPr>
          <w:rStyle w:val="252"/>
          <w:rFonts w:hint="eastAsia" w:hAnsi="宋体" w:cs="宋体"/>
          <w:color w:val="auto"/>
          <w:kern w:val="0"/>
          <w:sz w:val="24"/>
          <w:highlight w:val="none"/>
        </w:rPr>
        <w:t xml:space="preserve"> 等相关法律法规规定，经研究上述竞争性磋商文件的供应商须知、合同条款、图纸、工程建设标准和工程量清单及其他有关文件后，我方愿以人民币（大写 ）元（RMB¥元） 的磋商报价并按上述图纸、合同条款、工程建设标准和工程量清单（如有时）的条件要求承包上述工程的施工、 竣工， 并承担任何质量缺陷保修责任。我方保证工程质量达到</w:t>
      </w:r>
    </w:p>
    <w:p w14:paraId="7F190498">
      <w:pPr>
        <w:pStyle w:val="250"/>
        <w:widowControl/>
        <w:snapToGrid w:val="0"/>
        <w:spacing w:line="500" w:lineRule="exact"/>
        <w:rPr>
          <w:rStyle w:val="252"/>
          <w:rFonts w:hAnsi="宋体" w:cs="宋体"/>
          <w:color w:val="auto"/>
          <w:kern w:val="0"/>
          <w:sz w:val="24"/>
          <w:highlight w:val="none"/>
        </w:rPr>
      </w:pPr>
      <w:r>
        <w:rPr>
          <w:rStyle w:val="252"/>
          <w:rFonts w:hint="eastAsia" w:hAnsi="宋体" w:cs="宋体"/>
          <w:color w:val="auto"/>
          <w:kern w:val="0"/>
          <w:sz w:val="24"/>
          <w:highlight w:val="none"/>
        </w:rPr>
        <w:t>等级。</w:t>
      </w:r>
    </w:p>
    <w:p w14:paraId="74ED8CBD">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2、我方已详细审核全部竞争性磋商文件，包括修改文件（如有时）及有关附件。</w:t>
      </w:r>
    </w:p>
    <w:p w14:paraId="40362239">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3、我方承认磋商函附录是我方磋商函的组成部分。</w:t>
      </w:r>
    </w:p>
    <w:p w14:paraId="67341EAF">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4、一旦我方成交，我方保证按合同书中</w:t>
      </w:r>
      <w:r>
        <w:rPr>
          <w:rFonts w:hint="eastAsia" w:hAnsi="宋体" w:cs="宋体"/>
          <w:color w:val="auto"/>
          <w:sz w:val="24"/>
          <w:szCs w:val="24"/>
          <w:highlight w:val="none"/>
        </w:rPr>
        <w:t>承诺合同履行期限（工期）</w:t>
      </w:r>
      <w:r>
        <w:rPr>
          <w:rStyle w:val="252"/>
          <w:rFonts w:hint="eastAsia" w:hAnsi="宋体" w:cs="宋体"/>
          <w:color w:val="auto"/>
          <w:kern w:val="0"/>
          <w:sz w:val="24"/>
          <w:highlight w:val="none"/>
        </w:rPr>
        <w:t>日历天内完成并移交全部工程。</w:t>
      </w:r>
    </w:p>
    <w:p w14:paraId="193AE0BE">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5、如果我方成交，我方将按照磋商文件规定提交履约保证金作为履约担保。</w:t>
      </w:r>
    </w:p>
    <w:p w14:paraId="36878B3D">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6、我方同意所提交的响应文件在竞争性磋商文件的“供应商须知”中规定的竞标有效期内有效， 在此期间内如果成交，我方将受此约束。</w:t>
      </w:r>
    </w:p>
    <w:p w14:paraId="0B4FAA49">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7、除非另外达成协议并生效，你方的成交通知书和本响应文件将成为约束双方的合同文件的组成部分。</w:t>
      </w:r>
    </w:p>
    <w:p w14:paraId="6FA9982B">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竞标人名称（公章）：</w:t>
      </w:r>
    </w:p>
    <w:p w14:paraId="63C589E0">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单位地址：</w:t>
      </w:r>
    </w:p>
    <w:p w14:paraId="61D8D7D6">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法人代表或委托代理人姓名：（签字）</w:t>
      </w:r>
    </w:p>
    <w:p w14:paraId="0E237A15">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邮政编码：</w:t>
      </w:r>
    </w:p>
    <w:p w14:paraId="6C57B26E">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电话：                    传真：</w:t>
      </w:r>
    </w:p>
    <w:p w14:paraId="4BD61F65">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开户银行名称：</w:t>
      </w:r>
    </w:p>
    <w:p w14:paraId="2EF9C193">
      <w:pPr>
        <w:pStyle w:val="250"/>
        <w:widowControl/>
        <w:snapToGrid w:val="0"/>
        <w:spacing w:line="500" w:lineRule="exact"/>
        <w:ind w:firstLine="480" w:firstLineChars="200"/>
        <w:rPr>
          <w:rStyle w:val="252"/>
          <w:rFonts w:hAnsi="宋体" w:cs="宋体"/>
          <w:color w:val="auto"/>
          <w:kern w:val="0"/>
          <w:sz w:val="24"/>
          <w:highlight w:val="none"/>
        </w:rPr>
      </w:pPr>
      <w:r>
        <w:rPr>
          <w:rStyle w:val="252"/>
          <w:rFonts w:hint="eastAsia" w:hAnsi="宋体" w:cs="宋体"/>
          <w:color w:val="auto"/>
          <w:kern w:val="0"/>
          <w:sz w:val="24"/>
          <w:highlight w:val="none"/>
        </w:rPr>
        <w:t>开户银行账号：</w:t>
      </w:r>
    </w:p>
    <w:p w14:paraId="42B06772">
      <w:pPr>
        <w:pStyle w:val="250"/>
        <w:widowControl/>
        <w:snapToGrid w:val="0"/>
        <w:spacing w:line="500" w:lineRule="exact"/>
        <w:ind w:firstLine="480" w:firstLineChars="200"/>
        <w:rPr>
          <w:rFonts w:hAnsi="宋体"/>
          <w:color w:val="auto"/>
          <w:highlight w:val="none"/>
        </w:rPr>
      </w:pPr>
      <w:r>
        <w:rPr>
          <w:rStyle w:val="252"/>
          <w:rFonts w:hint="eastAsia" w:hAnsi="宋体" w:cs="宋体"/>
          <w:color w:val="auto"/>
          <w:kern w:val="0"/>
          <w:sz w:val="24"/>
          <w:highlight w:val="none"/>
        </w:rPr>
        <w:t>日期：</w:t>
      </w:r>
    </w:p>
    <w:p w14:paraId="4F182F69">
      <w:pPr>
        <w:pStyle w:val="4"/>
        <w:rPr>
          <w:color w:val="auto"/>
          <w:highlight w:val="none"/>
        </w:rPr>
      </w:pPr>
      <w:r>
        <w:rPr>
          <w:rFonts w:hint="eastAsia"/>
          <w:color w:val="auto"/>
          <w:highlight w:val="none"/>
        </w:rPr>
        <w:t>2、磋商函附录</w:t>
      </w:r>
    </w:p>
    <w:p w14:paraId="74C0E24C">
      <w:pPr>
        <w:ind w:left="-178" w:leftChars="-85" w:right="-512" w:rightChars="-244" w:firstLine="840" w:firstLineChars="400"/>
        <w:jc w:val="left"/>
        <w:rPr>
          <w:rFonts w:ascii="宋体" w:hAnsi="宋体" w:cs="宋体"/>
          <w:color w:val="auto"/>
          <w:highlight w:val="none"/>
        </w:rPr>
      </w:pPr>
      <w:r>
        <w:rPr>
          <w:rFonts w:hint="eastAsia" w:ascii="宋体" w:hAnsi="宋体" w:cs="宋体"/>
          <w:color w:val="auto"/>
          <w:highlight w:val="none"/>
        </w:rPr>
        <w:t xml:space="preserve">项目名称： </w:t>
      </w:r>
      <w:r>
        <w:rPr>
          <w:rFonts w:ascii="宋体" w:hAnsi="宋体" w:cs="宋体"/>
          <w:color w:val="auto"/>
          <w:highlight w:val="none"/>
          <w:u w:val="single"/>
        </w:rPr>
        <w:tab/>
      </w:r>
      <w:r>
        <w:rPr>
          <w:rFonts w:ascii="宋体" w:hAnsi="宋体" w:cs="宋体"/>
          <w:color w:val="auto"/>
          <w:highlight w:val="none"/>
          <w:u w:val="single"/>
        </w:rPr>
        <w:tab/>
      </w:r>
      <w:r>
        <w:rPr>
          <w:rFonts w:hint="eastAsia" w:ascii="宋体" w:hAnsi="宋体" w:cs="宋体"/>
          <w:color w:val="auto"/>
          <w:highlight w:val="none"/>
        </w:rPr>
        <w:t>币种：人民币</w:t>
      </w:r>
    </w:p>
    <w:tbl>
      <w:tblPr>
        <w:tblStyle w:val="4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3116"/>
        <w:gridCol w:w="1987"/>
        <w:gridCol w:w="1702"/>
      </w:tblGrid>
      <w:tr w14:paraId="5D8A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5100" w:type="dxa"/>
            <w:gridSpan w:val="2"/>
            <w:vAlign w:val="center"/>
          </w:tcPr>
          <w:p w14:paraId="69DACAAF">
            <w:pPr>
              <w:widowControl/>
              <w:jc w:val="center"/>
              <w:rPr>
                <w:rFonts w:ascii="宋体" w:hAnsi="宋体" w:cs="宋体"/>
                <w:color w:val="auto"/>
                <w:highlight w:val="none"/>
              </w:rPr>
            </w:pPr>
            <w:r>
              <w:rPr>
                <w:rFonts w:hint="eastAsia" w:ascii="宋体" w:hAnsi="宋体" w:cs="宋体"/>
                <w:color w:val="auto"/>
                <w:highlight w:val="none"/>
              </w:rPr>
              <w:t>投标总价</w:t>
            </w:r>
          </w:p>
        </w:tc>
        <w:tc>
          <w:tcPr>
            <w:tcW w:w="1987" w:type="dxa"/>
            <w:vAlign w:val="center"/>
          </w:tcPr>
          <w:p w14:paraId="5327C44F">
            <w:pPr>
              <w:widowControl/>
              <w:jc w:val="right"/>
              <w:rPr>
                <w:rFonts w:ascii="宋体" w:hAnsi="宋体" w:cs="宋体"/>
                <w:color w:val="auto"/>
                <w:highlight w:val="none"/>
              </w:rPr>
            </w:pPr>
            <w:r>
              <w:rPr>
                <w:rFonts w:hint="eastAsia" w:ascii="宋体" w:hAnsi="宋体" w:cs="宋体"/>
                <w:color w:val="auto"/>
                <w:highlight w:val="none"/>
              </w:rPr>
              <w:t>万元</w:t>
            </w:r>
          </w:p>
        </w:tc>
        <w:tc>
          <w:tcPr>
            <w:tcW w:w="1702" w:type="dxa"/>
            <w:vAlign w:val="center"/>
          </w:tcPr>
          <w:p w14:paraId="20755B31">
            <w:pPr>
              <w:widowControl/>
              <w:jc w:val="center"/>
              <w:rPr>
                <w:rFonts w:ascii="宋体" w:hAnsi="宋体" w:cs="宋体"/>
                <w:color w:val="auto"/>
                <w:highlight w:val="none"/>
              </w:rPr>
            </w:pPr>
            <w:r>
              <w:rPr>
                <w:rFonts w:hint="eastAsia" w:ascii="宋体" w:hAnsi="宋体" w:cs="宋体"/>
                <w:color w:val="auto"/>
                <w:highlight w:val="none"/>
              </w:rPr>
              <w:t>备注</w:t>
            </w:r>
          </w:p>
        </w:tc>
      </w:tr>
      <w:tr w14:paraId="3124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984" w:type="dxa"/>
            <w:vMerge w:val="restart"/>
            <w:vAlign w:val="center"/>
          </w:tcPr>
          <w:p w14:paraId="0C73A1AA">
            <w:pPr>
              <w:jc w:val="center"/>
              <w:rPr>
                <w:rFonts w:ascii="宋体" w:hAnsi="宋体" w:cs="宋体"/>
                <w:color w:val="auto"/>
                <w:highlight w:val="none"/>
              </w:rPr>
            </w:pPr>
            <w:r>
              <w:rPr>
                <w:rFonts w:hint="eastAsia" w:ascii="宋体" w:hAnsi="宋体" w:cs="宋体"/>
                <w:color w:val="auto"/>
                <w:highlight w:val="none"/>
              </w:rPr>
              <w:t>其中</w:t>
            </w:r>
          </w:p>
        </w:tc>
        <w:tc>
          <w:tcPr>
            <w:tcW w:w="3116" w:type="dxa"/>
            <w:vAlign w:val="center"/>
          </w:tcPr>
          <w:p w14:paraId="50EB2C59">
            <w:pPr>
              <w:jc w:val="center"/>
              <w:rPr>
                <w:rFonts w:ascii="宋体" w:hAnsi="宋体" w:cs="宋体"/>
                <w:color w:val="auto"/>
                <w:highlight w:val="none"/>
              </w:rPr>
            </w:pPr>
            <w:r>
              <w:rPr>
                <w:rFonts w:hint="eastAsia" w:ascii="宋体" w:hAnsi="宋体" w:cs="宋体"/>
                <w:color w:val="auto"/>
                <w:highlight w:val="none"/>
              </w:rPr>
              <w:t>安全文明施工费</w:t>
            </w:r>
          </w:p>
        </w:tc>
        <w:tc>
          <w:tcPr>
            <w:tcW w:w="1987" w:type="dxa"/>
            <w:vAlign w:val="center"/>
          </w:tcPr>
          <w:p w14:paraId="60D53838">
            <w:pPr>
              <w:jc w:val="right"/>
              <w:rPr>
                <w:rFonts w:ascii="宋体" w:hAnsi="宋体" w:cs="宋体"/>
                <w:color w:val="auto"/>
                <w:highlight w:val="none"/>
              </w:rPr>
            </w:pPr>
            <w:r>
              <w:rPr>
                <w:rFonts w:hint="eastAsia" w:ascii="宋体" w:hAnsi="宋体" w:cs="宋体"/>
                <w:color w:val="auto"/>
                <w:highlight w:val="none"/>
              </w:rPr>
              <w:t>万元</w:t>
            </w:r>
          </w:p>
        </w:tc>
        <w:tc>
          <w:tcPr>
            <w:tcW w:w="1702" w:type="dxa"/>
            <w:vAlign w:val="center"/>
          </w:tcPr>
          <w:p w14:paraId="789E6488">
            <w:pPr>
              <w:jc w:val="center"/>
              <w:rPr>
                <w:rFonts w:ascii="宋体" w:hAnsi="宋体" w:cs="宋体"/>
                <w:color w:val="auto"/>
                <w:highlight w:val="none"/>
              </w:rPr>
            </w:pPr>
          </w:p>
        </w:tc>
      </w:tr>
      <w:tr w14:paraId="7A64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84" w:type="dxa"/>
            <w:vMerge w:val="continue"/>
            <w:vAlign w:val="center"/>
          </w:tcPr>
          <w:p w14:paraId="156ACEA3">
            <w:pPr>
              <w:widowControl/>
              <w:jc w:val="center"/>
              <w:rPr>
                <w:rFonts w:ascii="宋体" w:hAnsi="宋体" w:cs="宋体"/>
                <w:color w:val="auto"/>
                <w:highlight w:val="none"/>
              </w:rPr>
            </w:pPr>
          </w:p>
        </w:tc>
        <w:tc>
          <w:tcPr>
            <w:tcW w:w="3116" w:type="dxa"/>
            <w:vAlign w:val="center"/>
          </w:tcPr>
          <w:p w14:paraId="049A8559">
            <w:pPr>
              <w:jc w:val="center"/>
              <w:rPr>
                <w:rFonts w:ascii="宋体" w:hAnsi="宋体" w:cs="宋体"/>
                <w:color w:val="auto"/>
                <w:highlight w:val="none"/>
              </w:rPr>
            </w:pPr>
            <w:r>
              <w:rPr>
                <w:rFonts w:hint="eastAsia" w:ascii="宋体" w:hAnsi="宋体" w:cs="宋体"/>
                <w:color w:val="auto"/>
                <w:highlight w:val="none"/>
              </w:rPr>
              <w:t>发包人提供材料（设备）暂估价（如有）</w:t>
            </w:r>
          </w:p>
        </w:tc>
        <w:tc>
          <w:tcPr>
            <w:tcW w:w="1987" w:type="dxa"/>
            <w:vAlign w:val="center"/>
          </w:tcPr>
          <w:p w14:paraId="5AD18961">
            <w:pPr>
              <w:widowControl/>
              <w:jc w:val="right"/>
              <w:rPr>
                <w:rFonts w:ascii="宋体" w:hAnsi="宋体" w:cs="宋体"/>
                <w:color w:val="auto"/>
                <w:highlight w:val="none"/>
              </w:rPr>
            </w:pPr>
            <w:r>
              <w:rPr>
                <w:rFonts w:hint="eastAsia" w:ascii="宋体" w:hAnsi="宋体" w:cs="宋体"/>
                <w:color w:val="auto"/>
                <w:highlight w:val="none"/>
              </w:rPr>
              <w:t>万元</w:t>
            </w:r>
          </w:p>
        </w:tc>
        <w:tc>
          <w:tcPr>
            <w:tcW w:w="1702" w:type="dxa"/>
          </w:tcPr>
          <w:p w14:paraId="3114C065">
            <w:pPr>
              <w:widowControl/>
              <w:ind w:right="480"/>
              <w:rPr>
                <w:rFonts w:ascii="宋体" w:hAnsi="宋体" w:cs="宋体"/>
                <w:color w:val="auto"/>
                <w:highlight w:val="none"/>
              </w:rPr>
            </w:pPr>
          </w:p>
        </w:tc>
      </w:tr>
      <w:tr w14:paraId="3E1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84" w:type="dxa"/>
            <w:vMerge w:val="continue"/>
            <w:vAlign w:val="center"/>
          </w:tcPr>
          <w:p w14:paraId="048F6EB3">
            <w:pPr>
              <w:widowControl/>
              <w:jc w:val="center"/>
              <w:rPr>
                <w:rFonts w:ascii="宋体" w:hAnsi="宋体" w:cs="宋体"/>
                <w:color w:val="auto"/>
                <w:highlight w:val="none"/>
              </w:rPr>
            </w:pPr>
          </w:p>
        </w:tc>
        <w:tc>
          <w:tcPr>
            <w:tcW w:w="3116" w:type="dxa"/>
            <w:vAlign w:val="center"/>
          </w:tcPr>
          <w:p w14:paraId="2F7308F1">
            <w:pPr>
              <w:widowControl/>
              <w:rPr>
                <w:rFonts w:ascii="宋体" w:hAnsi="宋体" w:cs="宋体"/>
                <w:color w:val="auto"/>
                <w:highlight w:val="none"/>
              </w:rPr>
            </w:pPr>
            <w:r>
              <w:rPr>
                <w:rFonts w:hint="eastAsia" w:ascii="宋体" w:hAnsi="宋体" w:cs="宋体"/>
                <w:color w:val="auto"/>
                <w:highlight w:val="none"/>
              </w:rPr>
              <w:t>专业工程暂估价（如有）</w:t>
            </w:r>
          </w:p>
        </w:tc>
        <w:tc>
          <w:tcPr>
            <w:tcW w:w="1987" w:type="dxa"/>
            <w:vAlign w:val="center"/>
          </w:tcPr>
          <w:p w14:paraId="7431BA9E">
            <w:pPr>
              <w:widowControl/>
              <w:jc w:val="right"/>
              <w:rPr>
                <w:rFonts w:ascii="宋体" w:hAnsi="宋体" w:cs="宋体"/>
                <w:color w:val="auto"/>
                <w:highlight w:val="none"/>
              </w:rPr>
            </w:pPr>
            <w:r>
              <w:rPr>
                <w:rFonts w:hint="eastAsia" w:ascii="宋体" w:hAnsi="宋体" w:cs="宋体"/>
                <w:color w:val="auto"/>
                <w:highlight w:val="none"/>
              </w:rPr>
              <w:t>万元</w:t>
            </w:r>
          </w:p>
        </w:tc>
        <w:tc>
          <w:tcPr>
            <w:tcW w:w="1702" w:type="dxa"/>
          </w:tcPr>
          <w:p w14:paraId="63EE75CB">
            <w:pPr>
              <w:widowControl/>
              <w:ind w:right="480"/>
              <w:rPr>
                <w:rFonts w:ascii="宋体" w:hAnsi="宋体" w:cs="宋体"/>
                <w:color w:val="auto"/>
                <w:highlight w:val="none"/>
              </w:rPr>
            </w:pPr>
          </w:p>
        </w:tc>
      </w:tr>
      <w:tr w14:paraId="7086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84" w:type="dxa"/>
            <w:vMerge w:val="continue"/>
            <w:vAlign w:val="center"/>
          </w:tcPr>
          <w:p w14:paraId="49CA7579">
            <w:pPr>
              <w:widowControl/>
              <w:jc w:val="center"/>
              <w:rPr>
                <w:rFonts w:ascii="宋体" w:hAnsi="宋体" w:cs="宋体"/>
                <w:color w:val="auto"/>
                <w:highlight w:val="none"/>
              </w:rPr>
            </w:pPr>
          </w:p>
        </w:tc>
        <w:tc>
          <w:tcPr>
            <w:tcW w:w="3116" w:type="dxa"/>
            <w:vAlign w:val="center"/>
          </w:tcPr>
          <w:p w14:paraId="4F231EFE">
            <w:pPr>
              <w:widowControl/>
              <w:ind w:firstLine="945" w:firstLineChars="450"/>
              <w:rPr>
                <w:rFonts w:ascii="宋体" w:hAnsi="宋体" w:cs="宋体"/>
                <w:color w:val="auto"/>
                <w:highlight w:val="none"/>
              </w:rPr>
            </w:pPr>
            <w:r>
              <w:rPr>
                <w:rFonts w:hint="eastAsia" w:ascii="宋体" w:hAnsi="宋体" w:cs="宋体"/>
                <w:color w:val="auto"/>
                <w:highlight w:val="none"/>
              </w:rPr>
              <w:t>暂列金额（如有）</w:t>
            </w:r>
          </w:p>
        </w:tc>
        <w:tc>
          <w:tcPr>
            <w:tcW w:w="1987" w:type="dxa"/>
            <w:vAlign w:val="center"/>
          </w:tcPr>
          <w:p w14:paraId="17F32F2D">
            <w:pPr>
              <w:widowControl/>
              <w:jc w:val="right"/>
              <w:rPr>
                <w:rFonts w:ascii="宋体" w:hAnsi="宋体" w:cs="宋体"/>
                <w:color w:val="auto"/>
                <w:highlight w:val="none"/>
              </w:rPr>
            </w:pPr>
            <w:r>
              <w:rPr>
                <w:rFonts w:hint="eastAsia" w:ascii="宋体" w:hAnsi="宋体" w:cs="宋体"/>
                <w:color w:val="auto"/>
                <w:highlight w:val="none"/>
              </w:rPr>
              <w:t>万元</w:t>
            </w:r>
          </w:p>
        </w:tc>
        <w:tc>
          <w:tcPr>
            <w:tcW w:w="1702" w:type="dxa"/>
          </w:tcPr>
          <w:p w14:paraId="1AC54E50">
            <w:pPr>
              <w:widowControl/>
              <w:ind w:right="480"/>
              <w:rPr>
                <w:rFonts w:ascii="宋体" w:hAnsi="宋体" w:cs="宋体"/>
                <w:color w:val="auto"/>
                <w:highlight w:val="none"/>
              </w:rPr>
            </w:pPr>
          </w:p>
        </w:tc>
      </w:tr>
      <w:tr w14:paraId="59F1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84" w:type="dxa"/>
            <w:vMerge w:val="restart"/>
            <w:vAlign w:val="center"/>
          </w:tcPr>
          <w:p w14:paraId="43A2F7C5">
            <w:pPr>
              <w:widowControl/>
              <w:jc w:val="center"/>
              <w:rPr>
                <w:rFonts w:ascii="宋体" w:hAnsi="宋体" w:cs="宋体"/>
                <w:color w:val="auto"/>
                <w:highlight w:val="none"/>
              </w:rPr>
            </w:pPr>
            <w:r>
              <w:rPr>
                <w:rFonts w:hint="eastAsia" w:ascii="宋体" w:hAnsi="宋体" w:cs="宋体"/>
                <w:color w:val="auto"/>
                <w:highlight w:val="none"/>
              </w:rPr>
              <w:t>主要材料</w:t>
            </w:r>
          </w:p>
        </w:tc>
        <w:tc>
          <w:tcPr>
            <w:tcW w:w="3116" w:type="dxa"/>
            <w:vAlign w:val="center"/>
          </w:tcPr>
          <w:p w14:paraId="54E66B98">
            <w:pPr>
              <w:widowControl/>
              <w:jc w:val="center"/>
              <w:rPr>
                <w:rFonts w:ascii="宋体" w:hAnsi="宋体" w:cs="宋体"/>
                <w:color w:val="auto"/>
                <w:highlight w:val="none"/>
              </w:rPr>
            </w:pPr>
            <w:r>
              <w:rPr>
                <w:rFonts w:hint="eastAsia" w:ascii="宋体" w:hAnsi="宋体" w:cs="宋体"/>
                <w:color w:val="auto"/>
                <w:highlight w:val="none"/>
              </w:rPr>
              <w:t>钢筋</w:t>
            </w:r>
          </w:p>
        </w:tc>
        <w:tc>
          <w:tcPr>
            <w:tcW w:w="1987" w:type="dxa"/>
            <w:vAlign w:val="center"/>
          </w:tcPr>
          <w:p w14:paraId="58717A9B">
            <w:pPr>
              <w:widowControl/>
              <w:jc w:val="right"/>
              <w:rPr>
                <w:rFonts w:ascii="宋体" w:hAnsi="宋体" w:cs="宋体"/>
                <w:color w:val="auto"/>
                <w:highlight w:val="none"/>
              </w:rPr>
            </w:pPr>
            <w:r>
              <w:rPr>
                <w:rFonts w:hint="eastAsia" w:ascii="宋体" w:hAnsi="宋体" w:cs="宋体"/>
                <w:color w:val="auto"/>
                <w:highlight w:val="none"/>
              </w:rPr>
              <w:t>吨</w:t>
            </w:r>
          </w:p>
        </w:tc>
        <w:tc>
          <w:tcPr>
            <w:tcW w:w="1702" w:type="dxa"/>
          </w:tcPr>
          <w:p w14:paraId="6806BA12">
            <w:pPr>
              <w:widowControl/>
              <w:jc w:val="right"/>
              <w:rPr>
                <w:rFonts w:ascii="宋体" w:hAnsi="宋体" w:cs="宋体"/>
                <w:color w:val="auto"/>
                <w:highlight w:val="none"/>
              </w:rPr>
            </w:pPr>
          </w:p>
        </w:tc>
      </w:tr>
      <w:tr w14:paraId="4CC9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984" w:type="dxa"/>
            <w:vMerge w:val="continue"/>
            <w:vAlign w:val="center"/>
          </w:tcPr>
          <w:p w14:paraId="523221AF">
            <w:pPr>
              <w:widowControl/>
              <w:jc w:val="center"/>
              <w:rPr>
                <w:rFonts w:ascii="宋体" w:hAnsi="宋体" w:cs="宋体"/>
                <w:color w:val="auto"/>
                <w:highlight w:val="none"/>
              </w:rPr>
            </w:pPr>
          </w:p>
        </w:tc>
        <w:tc>
          <w:tcPr>
            <w:tcW w:w="3116" w:type="dxa"/>
            <w:vAlign w:val="center"/>
          </w:tcPr>
          <w:p w14:paraId="35F8E716">
            <w:pPr>
              <w:widowControl/>
              <w:jc w:val="center"/>
              <w:rPr>
                <w:rFonts w:ascii="宋体" w:hAnsi="宋体" w:cs="宋体"/>
                <w:color w:val="auto"/>
                <w:highlight w:val="none"/>
              </w:rPr>
            </w:pPr>
            <w:r>
              <w:rPr>
                <w:rFonts w:hint="eastAsia" w:ascii="宋体" w:hAnsi="宋体" w:cs="宋体"/>
                <w:color w:val="auto"/>
                <w:highlight w:val="none"/>
              </w:rPr>
              <w:t>水泥（不含商品混凝土用量）</w:t>
            </w:r>
          </w:p>
        </w:tc>
        <w:tc>
          <w:tcPr>
            <w:tcW w:w="1987" w:type="dxa"/>
            <w:vAlign w:val="center"/>
          </w:tcPr>
          <w:p w14:paraId="79827BD9">
            <w:pPr>
              <w:widowControl/>
              <w:tabs>
                <w:tab w:val="left" w:pos="2398"/>
              </w:tabs>
              <w:ind w:right="18"/>
              <w:jc w:val="right"/>
              <w:rPr>
                <w:rFonts w:ascii="宋体" w:hAnsi="宋体" w:cs="宋体"/>
                <w:color w:val="auto"/>
                <w:highlight w:val="none"/>
              </w:rPr>
            </w:pPr>
            <w:r>
              <w:rPr>
                <w:rFonts w:hint="eastAsia" w:ascii="宋体" w:hAnsi="宋体" w:cs="宋体"/>
                <w:color w:val="auto"/>
                <w:highlight w:val="none"/>
              </w:rPr>
              <w:t>吨</w:t>
            </w:r>
          </w:p>
        </w:tc>
        <w:tc>
          <w:tcPr>
            <w:tcW w:w="1702" w:type="dxa"/>
          </w:tcPr>
          <w:p w14:paraId="0A439142">
            <w:pPr>
              <w:widowControl/>
              <w:jc w:val="right"/>
              <w:rPr>
                <w:rFonts w:ascii="宋体" w:hAnsi="宋体" w:cs="宋体"/>
                <w:color w:val="auto"/>
                <w:highlight w:val="none"/>
              </w:rPr>
            </w:pPr>
          </w:p>
        </w:tc>
      </w:tr>
      <w:tr w14:paraId="70E8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984" w:type="dxa"/>
            <w:vMerge w:val="continue"/>
            <w:vAlign w:val="center"/>
          </w:tcPr>
          <w:p w14:paraId="67141DAF">
            <w:pPr>
              <w:widowControl/>
              <w:jc w:val="center"/>
              <w:rPr>
                <w:rFonts w:ascii="宋体" w:hAnsi="宋体" w:cs="宋体"/>
                <w:color w:val="auto"/>
                <w:highlight w:val="none"/>
              </w:rPr>
            </w:pPr>
          </w:p>
        </w:tc>
        <w:tc>
          <w:tcPr>
            <w:tcW w:w="3116" w:type="dxa"/>
            <w:vAlign w:val="center"/>
          </w:tcPr>
          <w:p w14:paraId="14CBEA7A">
            <w:pPr>
              <w:widowControl/>
              <w:jc w:val="center"/>
              <w:rPr>
                <w:rFonts w:ascii="宋体" w:hAnsi="宋体" w:cs="宋体"/>
                <w:color w:val="auto"/>
                <w:highlight w:val="none"/>
              </w:rPr>
            </w:pPr>
            <w:r>
              <w:rPr>
                <w:rFonts w:hint="eastAsia" w:ascii="宋体" w:hAnsi="宋体" w:cs="宋体"/>
                <w:color w:val="auto"/>
                <w:highlight w:val="none"/>
              </w:rPr>
              <w:t>商品混凝土</w:t>
            </w:r>
          </w:p>
        </w:tc>
        <w:tc>
          <w:tcPr>
            <w:tcW w:w="1987" w:type="dxa"/>
            <w:vAlign w:val="center"/>
          </w:tcPr>
          <w:p w14:paraId="551B84BA">
            <w:pPr>
              <w:widowControl/>
              <w:jc w:val="right"/>
              <w:rPr>
                <w:rFonts w:ascii="宋体" w:hAnsi="宋体" w:cs="宋体"/>
                <w:color w:val="auto"/>
                <w:highlight w:val="none"/>
              </w:rPr>
            </w:pPr>
            <w:r>
              <w:rPr>
                <w:rFonts w:hint="eastAsia" w:ascii="宋体" w:hAnsi="宋体" w:cs="宋体"/>
                <w:color w:val="auto"/>
                <w:highlight w:val="none"/>
              </w:rPr>
              <w:t>m</w:t>
            </w:r>
            <w:r>
              <w:rPr>
                <w:rFonts w:hint="eastAsia" w:ascii="宋体" w:hAnsi="宋体" w:cs="宋体"/>
                <w:color w:val="auto"/>
                <w:highlight w:val="none"/>
                <w:vertAlign w:val="superscript"/>
              </w:rPr>
              <w:t>3</w:t>
            </w:r>
          </w:p>
        </w:tc>
        <w:tc>
          <w:tcPr>
            <w:tcW w:w="1702" w:type="dxa"/>
          </w:tcPr>
          <w:p w14:paraId="7E8B7197">
            <w:pPr>
              <w:widowControl/>
              <w:jc w:val="right"/>
              <w:rPr>
                <w:rFonts w:ascii="宋体" w:hAnsi="宋体" w:cs="宋体"/>
                <w:color w:val="auto"/>
                <w:highlight w:val="none"/>
              </w:rPr>
            </w:pPr>
          </w:p>
        </w:tc>
      </w:tr>
    </w:tbl>
    <w:p w14:paraId="4C84BB8D">
      <w:pPr>
        <w:pStyle w:val="249"/>
        <w:rPr>
          <w:color w:val="auto"/>
          <w:highlight w:val="none"/>
        </w:rPr>
      </w:pPr>
    </w:p>
    <w:p w14:paraId="60CB2FA8">
      <w:pPr>
        <w:snapToGrid w:val="0"/>
        <w:spacing w:beforeLines="50" w:line="360" w:lineRule="auto"/>
        <w:ind w:right="480" w:firstLine="2640" w:firstLineChars="1100"/>
        <w:rPr>
          <w:rFonts w:ascii="宋体" w:hAnsi="宋体" w:cs="仿宋_GB2312"/>
          <w:color w:val="auto"/>
          <w:sz w:val="24"/>
          <w:highlight w:val="none"/>
        </w:rPr>
      </w:pPr>
    </w:p>
    <w:p w14:paraId="6E78C83E">
      <w:pPr>
        <w:snapToGrid w:val="0"/>
        <w:spacing w:beforeLines="50" w:line="360" w:lineRule="auto"/>
        <w:ind w:right="480" w:firstLine="2640" w:firstLineChars="1100"/>
        <w:rPr>
          <w:rFonts w:ascii="宋体" w:hAnsi="宋体" w:cs="仿宋_GB2312"/>
          <w:color w:val="auto"/>
          <w:sz w:val="24"/>
          <w:highlight w:val="none"/>
        </w:rPr>
      </w:pPr>
      <w:r>
        <w:rPr>
          <w:rFonts w:hint="eastAsia" w:ascii="宋体" w:hAnsi="宋体" w:cs="仿宋_GB2312"/>
          <w:color w:val="auto"/>
          <w:sz w:val="24"/>
          <w:highlight w:val="none"/>
        </w:rPr>
        <w:t>法定代表人（或负责人）或委托代理人（</w:t>
      </w:r>
      <w:r>
        <w:rPr>
          <w:rFonts w:hint="eastAsia" w:ascii="宋体" w:hAnsi="宋体" w:cs="宋体"/>
          <w:color w:val="auto"/>
          <w:sz w:val="24"/>
          <w:highlight w:val="none"/>
        </w:rPr>
        <w:t>签字）：</w:t>
      </w:r>
    </w:p>
    <w:p w14:paraId="1494C272">
      <w:pPr>
        <w:spacing w:line="360" w:lineRule="auto"/>
        <w:ind w:right="-817" w:rightChars="-389" w:firstLine="2640" w:firstLineChars="1100"/>
        <w:contextualSpacing/>
        <w:rPr>
          <w:rFonts w:ascii="宋体" w:hAnsi="宋体" w:cs="仿宋_GB2312"/>
          <w:color w:val="auto"/>
          <w:sz w:val="24"/>
          <w:highlight w:val="none"/>
        </w:rPr>
      </w:pPr>
    </w:p>
    <w:p w14:paraId="1736ADD6">
      <w:pPr>
        <w:spacing w:line="360" w:lineRule="auto"/>
        <w:ind w:right="-817" w:rightChars="-389" w:firstLine="2640" w:firstLineChars="1100"/>
        <w:contextualSpacing/>
        <w:rPr>
          <w:rFonts w:ascii="宋体" w:hAnsi="宋体" w:cs="仿宋_GB2312"/>
          <w:color w:val="auto"/>
          <w:sz w:val="24"/>
          <w:highlight w:val="none"/>
        </w:rPr>
      </w:pPr>
      <w:r>
        <w:rPr>
          <w:rFonts w:hint="eastAsia" w:ascii="宋体" w:hAnsi="宋体" w:cs="仿宋_GB2312"/>
          <w:color w:val="auto"/>
          <w:sz w:val="24"/>
          <w:highlight w:val="none"/>
        </w:rPr>
        <w:t>供应商（</w:t>
      </w:r>
      <w:r>
        <w:rPr>
          <w:rFonts w:hint="eastAsia" w:ascii="宋体" w:hAnsi="宋体"/>
          <w:color w:val="auto"/>
          <w:sz w:val="24"/>
          <w:highlight w:val="none"/>
        </w:rPr>
        <w:t>公章</w:t>
      </w:r>
      <w:r>
        <w:rPr>
          <w:rFonts w:hint="eastAsia" w:ascii="宋体" w:hAnsi="宋体" w:cs="仿宋_GB2312"/>
          <w:color w:val="auto"/>
          <w:sz w:val="24"/>
          <w:highlight w:val="none"/>
        </w:rPr>
        <w:t xml:space="preserve">）：      </w:t>
      </w:r>
    </w:p>
    <w:p w14:paraId="3BC7367B">
      <w:pPr>
        <w:spacing w:line="360" w:lineRule="auto"/>
        <w:ind w:right="-817" w:rightChars="-389" w:firstLine="4080" w:firstLineChars="1700"/>
        <w:contextualSpacing/>
        <w:jc w:val="center"/>
        <w:rPr>
          <w:rFonts w:ascii="宋体" w:hAnsi="宋体" w:cs="仿宋_GB2312"/>
          <w:color w:val="auto"/>
          <w:sz w:val="24"/>
          <w:highlight w:val="none"/>
        </w:rPr>
      </w:pPr>
    </w:p>
    <w:p w14:paraId="3FF91F06">
      <w:pPr>
        <w:spacing w:line="360" w:lineRule="auto"/>
        <w:ind w:right="-817" w:rightChars="-389" w:firstLine="4080" w:firstLineChars="1700"/>
        <w:contextualSpacing/>
        <w:jc w:val="left"/>
        <w:rPr>
          <w:rStyle w:val="98"/>
          <w:color w:val="auto"/>
          <w:highlight w:val="none"/>
        </w:rPr>
      </w:pPr>
      <w:r>
        <w:rPr>
          <w:rFonts w:hint="eastAsia" w:ascii="宋体" w:hAnsi="宋体" w:cs="仿宋_GB2312"/>
          <w:color w:val="auto"/>
          <w:sz w:val="24"/>
          <w:highlight w:val="none"/>
        </w:rPr>
        <w:t>日期：   年   月   日</w:t>
      </w:r>
      <w:r>
        <w:rPr>
          <w:rFonts w:hint="eastAsia" w:ascii="宋体" w:hAnsi="Courier New"/>
          <w:color w:val="auto"/>
          <w:sz w:val="32"/>
          <w:szCs w:val="32"/>
          <w:highlight w:val="none"/>
        </w:rPr>
        <w:br w:type="page"/>
      </w:r>
      <w:r>
        <w:rPr>
          <w:rStyle w:val="98"/>
          <w:rFonts w:hint="eastAsia"/>
          <w:color w:val="auto"/>
          <w:highlight w:val="none"/>
        </w:rPr>
        <w:t>3、已标价的工程量清单</w:t>
      </w:r>
    </w:p>
    <w:p w14:paraId="51DBB407">
      <w:pPr>
        <w:numPr>
          <w:ilvl w:val="0"/>
          <w:numId w:val="8"/>
        </w:numPr>
        <w:spacing w:beforeLines="100" w:afterLines="50" w:line="520" w:lineRule="exact"/>
        <w:rPr>
          <w:rFonts w:ascii="宋体" w:hAnsi="Courier New"/>
          <w:bCs/>
          <w:color w:val="auto"/>
          <w:highlight w:val="none"/>
        </w:rPr>
      </w:pPr>
      <w:r>
        <w:rPr>
          <w:rFonts w:hint="eastAsia" w:ascii="宋体" w:hAnsi="Courier New"/>
          <w:bCs/>
          <w:color w:val="auto"/>
          <w:highlight w:val="none"/>
        </w:rPr>
        <w:t>含工程量清单计价表和综合单价分析表、主要材料价格表。</w:t>
      </w:r>
    </w:p>
    <w:p w14:paraId="2D171886">
      <w:pPr>
        <w:spacing w:beforeLines="100" w:afterLines="50" w:line="520" w:lineRule="exact"/>
        <w:rPr>
          <w:rFonts w:ascii="宋体" w:hAnsi="Courier New"/>
          <w:bCs/>
          <w:color w:val="auto"/>
          <w:highlight w:val="none"/>
        </w:rPr>
      </w:pPr>
      <w:r>
        <w:rPr>
          <w:rFonts w:hint="eastAsia" w:ascii="宋体" w:hAnsi="Courier New"/>
          <w:bCs/>
          <w:color w:val="auto"/>
          <w:highlight w:val="none"/>
        </w:rPr>
        <w:t>2.已标价的工程量清单必须加盖电子签章。</w:t>
      </w:r>
    </w:p>
    <w:p w14:paraId="53D488B6">
      <w:pPr>
        <w:spacing w:line="360" w:lineRule="auto"/>
        <w:ind w:right="-817" w:rightChars="-389"/>
        <w:contextualSpacing/>
        <w:rPr>
          <w:rFonts w:ascii="方正小标宋简体" w:hAnsi="方正小标宋简体" w:eastAsia="方正小标宋简体" w:cs="方正小标宋简体"/>
          <w:bCs/>
          <w:color w:val="auto"/>
          <w:sz w:val="44"/>
          <w:szCs w:val="44"/>
          <w:highlight w:val="none"/>
        </w:rPr>
      </w:pPr>
    </w:p>
    <w:p w14:paraId="7956B7BA">
      <w:pPr>
        <w:pStyle w:val="4"/>
        <w:rPr>
          <w:color w:val="auto"/>
          <w:highlight w:val="none"/>
        </w:rPr>
      </w:pPr>
      <w:r>
        <w:rPr>
          <w:rFonts w:hint="eastAsia"/>
          <w:color w:val="auto"/>
          <w:highlight w:val="none"/>
        </w:rPr>
        <w:t>4、供应商认为需要提供的其他有关资料。</w:t>
      </w:r>
    </w:p>
    <w:p w14:paraId="6B8DBAD4">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2B6472F7">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596E6B55">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37324051">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3C97A171">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38C44C22">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6A3851BE">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3D48069D">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2A868692">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74997AE1">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6E5D4783">
      <w:pPr>
        <w:spacing w:beforeLines="100" w:afterLines="50" w:line="520" w:lineRule="exact"/>
        <w:ind w:left="540"/>
        <w:jc w:val="center"/>
        <w:rPr>
          <w:rFonts w:ascii="方正小标宋简体" w:hAnsi="方正小标宋简体" w:eastAsia="方正小标宋简体" w:cs="方正小标宋简体"/>
          <w:bCs/>
          <w:color w:val="auto"/>
          <w:sz w:val="44"/>
          <w:szCs w:val="44"/>
          <w:highlight w:val="none"/>
        </w:rPr>
      </w:pPr>
    </w:p>
    <w:p w14:paraId="378343E2">
      <w:pPr>
        <w:snapToGrid w:val="0"/>
        <w:spacing w:beforeLines="50" w:after="50" w:line="360" w:lineRule="auto"/>
        <w:ind w:right="480"/>
        <w:rPr>
          <w:rFonts w:ascii="宋体" w:hAnsi="宋体"/>
          <w:b/>
          <w:color w:val="auto"/>
          <w:sz w:val="32"/>
          <w:szCs w:val="32"/>
          <w:highlight w:val="none"/>
        </w:rPr>
      </w:pPr>
      <w:r>
        <w:rPr>
          <w:rFonts w:ascii="方正小标宋简体" w:hAnsi="方正小标宋简体" w:eastAsia="方正小标宋简体" w:cs="方正小标宋简体"/>
          <w:bCs/>
          <w:color w:val="auto"/>
          <w:sz w:val="44"/>
          <w:szCs w:val="44"/>
          <w:highlight w:val="none"/>
        </w:rPr>
        <w:br w:type="page"/>
      </w:r>
      <w:r>
        <w:rPr>
          <w:rFonts w:ascii="方正小标宋简体" w:hAnsi="方正小标宋简体" w:eastAsia="方正小标宋简体" w:cs="方正小标宋简体"/>
          <w:bCs/>
          <w:color w:val="auto"/>
          <w:sz w:val="44"/>
          <w:szCs w:val="44"/>
          <w:highlight w:val="none"/>
        </w:rPr>
        <w:tab/>
      </w:r>
      <w:r>
        <w:rPr>
          <w:rFonts w:hint="eastAsia" w:ascii="宋体" w:hAnsi="宋体"/>
          <w:b/>
          <w:color w:val="auto"/>
          <w:sz w:val="32"/>
          <w:szCs w:val="32"/>
          <w:highlight w:val="none"/>
        </w:rPr>
        <w:t>三、商务技术文件格式</w:t>
      </w:r>
    </w:p>
    <w:p w14:paraId="791A6970">
      <w:pPr>
        <w:snapToGrid w:val="0"/>
        <w:spacing w:beforeLines="50" w:after="50" w:line="360" w:lineRule="auto"/>
        <w:jc w:val="left"/>
        <w:rPr>
          <w:rFonts w:ascii="宋体" w:hAnsi="宋体"/>
          <w:b/>
          <w:color w:val="auto"/>
          <w:sz w:val="32"/>
          <w:szCs w:val="32"/>
          <w:highlight w:val="none"/>
        </w:rPr>
      </w:pPr>
      <w:r>
        <w:rPr>
          <w:rFonts w:hint="eastAsia" w:ascii="宋体" w:hAnsi="宋体"/>
          <w:b/>
          <w:color w:val="auto"/>
          <w:sz w:val="32"/>
          <w:szCs w:val="32"/>
          <w:highlight w:val="none"/>
        </w:rPr>
        <w:t>1.商务技术文件封面格式</w:t>
      </w:r>
    </w:p>
    <w:p w14:paraId="6AA82CD3">
      <w:pPr>
        <w:snapToGrid w:val="0"/>
        <w:spacing w:beforeLines="50" w:after="50"/>
        <w:rPr>
          <w:rFonts w:ascii="宋体" w:hAnsi="宋体"/>
          <w:bCs/>
          <w:color w:val="auto"/>
          <w:sz w:val="32"/>
          <w:szCs w:val="20"/>
          <w:highlight w:val="none"/>
        </w:rPr>
      </w:pPr>
    </w:p>
    <w:p w14:paraId="288D7872">
      <w:pPr>
        <w:snapToGrid w:val="0"/>
        <w:spacing w:beforeLines="50" w:after="50"/>
        <w:rPr>
          <w:rFonts w:ascii="宋体" w:hAnsi="宋体"/>
          <w:color w:val="auto"/>
          <w:sz w:val="24"/>
          <w:highlight w:val="none"/>
        </w:rPr>
      </w:pPr>
      <w:r>
        <w:rPr>
          <w:rFonts w:hint="eastAsia" w:cs="仿宋_GB2312"/>
          <w:bCs/>
          <w:color w:val="auto"/>
          <w:sz w:val="32"/>
          <w:szCs w:val="32"/>
          <w:highlight w:val="none"/>
        </w:rPr>
        <w:t>项目名称</w:t>
      </w:r>
    </w:p>
    <w:p w14:paraId="5477CCA1">
      <w:pPr>
        <w:pStyle w:val="249"/>
        <w:rPr>
          <w:color w:val="auto"/>
          <w:highlight w:val="none"/>
        </w:rPr>
      </w:pPr>
    </w:p>
    <w:p w14:paraId="5F7A59FA">
      <w:pPr>
        <w:pStyle w:val="249"/>
        <w:rPr>
          <w:color w:val="auto"/>
          <w:highlight w:val="none"/>
        </w:rPr>
      </w:pPr>
    </w:p>
    <w:p w14:paraId="3AC4F288">
      <w:pPr>
        <w:pStyle w:val="249"/>
        <w:rPr>
          <w:color w:val="auto"/>
          <w:highlight w:val="none"/>
        </w:rPr>
      </w:pPr>
    </w:p>
    <w:p w14:paraId="071B55C8">
      <w:pPr>
        <w:pStyle w:val="249"/>
        <w:rPr>
          <w:color w:val="auto"/>
          <w:highlight w:val="none"/>
        </w:rPr>
      </w:pPr>
    </w:p>
    <w:p w14:paraId="469E8A71">
      <w:pPr>
        <w:pStyle w:val="249"/>
        <w:rPr>
          <w:color w:val="auto"/>
          <w:highlight w:val="none"/>
        </w:rPr>
      </w:pPr>
    </w:p>
    <w:p w14:paraId="77885B5A">
      <w:pPr>
        <w:pStyle w:val="249"/>
        <w:rPr>
          <w:color w:val="auto"/>
          <w:highlight w:val="none"/>
        </w:rPr>
      </w:pPr>
    </w:p>
    <w:p w14:paraId="350209DD">
      <w:pPr>
        <w:pStyle w:val="249"/>
        <w:rPr>
          <w:color w:val="auto"/>
          <w:highlight w:val="none"/>
        </w:rPr>
      </w:pPr>
    </w:p>
    <w:p w14:paraId="7B333480">
      <w:pPr>
        <w:snapToGrid w:val="0"/>
        <w:spacing w:beforeLines="50" w:after="50"/>
        <w:rPr>
          <w:rFonts w:ascii="宋体" w:hAnsi="宋体"/>
          <w:color w:val="auto"/>
          <w:sz w:val="24"/>
          <w:szCs w:val="20"/>
          <w:highlight w:val="none"/>
        </w:rPr>
      </w:pPr>
    </w:p>
    <w:p w14:paraId="05DDFDB3">
      <w:pPr>
        <w:snapToGrid w:val="0"/>
        <w:spacing w:beforeLines="50" w:after="50"/>
        <w:jc w:val="center"/>
        <w:rPr>
          <w:rFonts w:ascii="宋体" w:hAnsi="宋体" w:cs="宋体"/>
          <w:bCs/>
          <w:color w:val="auto"/>
          <w:sz w:val="84"/>
          <w:szCs w:val="84"/>
          <w:highlight w:val="none"/>
        </w:rPr>
      </w:pPr>
      <w:r>
        <w:rPr>
          <w:rFonts w:hint="eastAsia" w:ascii="宋体" w:hAnsi="宋体" w:cs="宋体"/>
          <w:bCs/>
          <w:color w:val="auto"/>
          <w:sz w:val="84"/>
          <w:szCs w:val="84"/>
          <w:highlight w:val="none"/>
        </w:rPr>
        <w:t>响  应  文  件</w:t>
      </w:r>
    </w:p>
    <w:p w14:paraId="4FA820ED">
      <w:pPr>
        <w:snapToGrid w:val="0"/>
        <w:spacing w:beforeLines="50" w:after="50"/>
        <w:jc w:val="center"/>
        <w:rPr>
          <w:rFonts w:ascii="宋体" w:hAnsi="宋体" w:cs="宋体"/>
          <w:bCs/>
          <w:color w:val="auto"/>
          <w:sz w:val="44"/>
          <w:szCs w:val="44"/>
          <w:highlight w:val="none"/>
        </w:rPr>
      </w:pPr>
    </w:p>
    <w:p w14:paraId="436F4F0D">
      <w:pPr>
        <w:snapToGrid w:val="0"/>
        <w:spacing w:beforeLines="50" w:after="50"/>
        <w:jc w:val="center"/>
        <w:rPr>
          <w:rFonts w:ascii="宋体" w:hAnsi="宋体" w:cs="宋体"/>
          <w:bCs/>
          <w:color w:val="auto"/>
          <w:sz w:val="32"/>
          <w:szCs w:val="32"/>
          <w:highlight w:val="none"/>
        </w:rPr>
      </w:pPr>
      <w:r>
        <w:rPr>
          <w:rFonts w:hint="eastAsia" w:ascii="宋体" w:hAnsi="宋体" w:cs="宋体"/>
          <w:bCs/>
          <w:color w:val="auto"/>
          <w:sz w:val="32"/>
          <w:szCs w:val="32"/>
          <w:highlight w:val="none"/>
        </w:rPr>
        <w:t>商  务  技  术  文  件</w:t>
      </w:r>
    </w:p>
    <w:p w14:paraId="540CB6C5">
      <w:pPr>
        <w:snapToGrid w:val="0"/>
        <w:spacing w:beforeLines="50" w:after="50"/>
        <w:rPr>
          <w:rFonts w:ascii="宋体" w:hAnsi="宋体" w:cs="仿宋_GB2312"/>
          <w:bCs/>
          <w:color w:val="auto"/>
          <w:sz w:val="32"/>
          <w:szCs w:val="32"/>
          <w:highlight w:val="none"/>
        </w:rPr>
      </w:pPr>
    </w:p>
    <w:p w14:paraId="4269A46C">
      <w:pPr>
        <w:snapToGrid w:val="0"/>
        <w:spacing w:beforeLines="50" w:after="50"/>
        <w:rPr>
          <w:rFonts w:ascii="宋体" w:hAnsi="宋体" w:cs="仿宋_GB2312"/>
          <w:bCs/>
          <w:color w:val="auto"/>
          <w:sz w:val="32"/>
          <w:szCs w:val="32"/>
          <w:highlight w:val="none"/>
        </w:rPr>
      </w:pPr>
    </w:p>
    <w:p w14:paraId="5E24800C">
      <w:pPr>
        <w:snapToGrid w:val="0"/>
        <w:spacing w:beforeLines="50" w:after="50"/>
        <w:ind w:firstLine="960" w:firstLineChars="300"/>
        <w:rPr>
          <w:rFonts w:ascii="宋体" w:hAnsi="宋体"/>
          <w:bCs/>
          <w:color w:val="auto"/>
          <w:sz w:val="24"/>
          <w:szCs w:val="20"/>
          <w:highlight w:val="none"/>
        </w:rPr>
      </w:pPr>
      <w:r>
        <w:rPr>
          <w:rFonts w:hint="eastAsia" w:ascii="宋体" w:hAnsi="宋体" w:cs="仿宋_GB2312"/>
          <w:bCs/>
          <w:color w:val="auto"/>
          <w:sz w:val="32"/>
          <w:szCs w:val="32"/>
          <w:highlight w:val="none"/>
        </w:rPr>
        <w:t>项目编号：</w:t>
      </w:r>
    </w:p>
    <w:p w14:paraId="28516645">
      <w:pPr>
        <w:snapToGrid w:val="0"/>
        <w:spacing w:beforeLines="50" w:after="50"/>
        <w:rPr>
          <w:rFonts w:ascii="宋体" w:hAnsi="宋体" w:cs="仿宋_GB2312"/>
          <w:bCs/>
          <w:color w:val="auto"/>
          <w:sz w:val="32"/>
          <w:szCs w:val="32"/>
          <w:highlight w:val="none"/>
        </w:rPr>
      </w:pPr>
    </w:p>
    <w:p w14:paraId="1D8DCE54">
      <w:pPr>
        <w:pStyle w:val="7"/>
        <w:snapToGrid w:val="0"/>
        <w:spacing w:before="50" w:after="50"/>
        <w:ind w:firstLine="720" w:firstLineChars="225"/>
        <w:rPr>
          <w:rFonts w:ascii="宋体" w:hAnsi="宋体" w:cs="仿宋_GB2312"/>
          <w:bCs/>
          <w:color w:val="auto"/>
          <w:sz w:val="32"/>
          <w:szCs w:val="32"/>
          <w:highlight w:val="none"/>
        </w:rPr>
      </w:pPr>
      <w:r>
        <w:rPr>
          <w:rFonts w:hint="eastAsia" w:ascii="宋体" w:hAnsi="宋体" w:cs="仿宋_GB2312"/>
          <w:bCs/>
          <w:color w:val="auto"/>
          <w:sz w:val="32"/>
          <w:szCs w:val="32"/>
          <w:highlight w:val="none"/>
        </w:rPr>
        <w:t>供应商名称：</w:t>
      </w:r>
    </w:p>
    <w:p w14:paraId="3C1FFA87">
      <w:pPr>
        <w:snapToGrid w:val="0"/>
        <w:spacing w:beforeLines="50" w:after="50"/>
        <w:jc w:val="center"/>
        <w:rPr>
          <w:rFonts w:ascii="宋体" w:hAnsi="宋体" w:cs="仿宋_GB2312"/>
          <w:color w:val="auto"/>
          <w:sz w:val="32"/>
          <w:szCs w:val="32"/>
          <w:highlight w:val="none"/>
        </w:rPr>
      </w:pPr>
    </w:p>
    <w:p w14:paraId="0CCEE52F">
      <w:pPr>
        <w:snapToGrid w:val="0"/>
        <w:spacing w:beforeLines="50" w:after="50"/>
        <w:jc w:val="center"/>
        <w:rPr>
          <w:rFonts w:ascii="宋体" w:hAnsi="宋体" w:cs="仿宋_GB2312"/>
          <w:color w:val="auto"/>
          <w:sz w:val="32"/>
          <w:szCs w:val="32"/>
          <w:highlight w:val="none"/>
        </w:rPr>
      </w:pPr>
    </w:p>
    <w:p w14:paraId="65562397">
      <w:pPr>
        <w:snapToGrid w:val="0"/>
        <w:spacing w:beforeLines="50" w:after="50"/>
        <w:jc w:val="center"/>
        <w:rPr>
          <w:rFonts w:ascii="宋体" w:hAnsi="宋体" w:cs="仿宋_GB2312"/>
          <w:color w:val="auto"/>
          <w:sz w:val="32"/>
          <w:szCs w:val="32"/>
          <w:highlight w:val="none"/>
        </w:rPr>
      </w:pPr>
      <w:r>
        <w:rPr>
          <w:rFonts w:hint="eastAsia" w:ascii="宋体" w:hAnsi="宋体" w:cs="仿宋_GB2312"/>
          <w:color w:val="auto"/>
          <w:sz w:val="32"/>
          <w:szCs w:val="32"/>
          <w:highlight w:val="none"/>
        </w:rPr>
        <w:t>年    月    日</w:t>
      </w:r>
    </w:p>
    <w:p w14:paraId="5FC8A414">
      <w:pPr>
        <w:snapToGrid w:val="0"/>
        <w:spacing w:beforeLines="50" w:after="50"/>
        <w:rPr>
          <w:rFonts w:ascii="宋体" w:hAnsi="宋体"/>
          <w:color w:val="auto"/>
          <w:sz w:val="24"/>
          <w:szCs w:val="20"/>
          <w:highlight w:val="none"/>
        </w:rPr>
      </w:pPr>
      <w:r>
        <w:rPr>
          <w:rFonts w:ascii="宋体" w:hAnsi="宋体"/>
          <w:color w:val="auto"/>
          <w:sz w:val="24"/>
          <w:highlight w:val="none"/>
        </w:rPr>
        <w:br w:type="page"/>
      </w:r>
    </w:p>
    <w:p w14:paraId="4C4BF50D">
      <w:pPr>
        <w:snapToGrid w:val="0"/>
        <w:spacing w:beforeLines="50" w:after="50" w:line="360" w:lineRule="auto"/>
        <w:ind w:left="142"/>
        <w:jc w:val="left"/>
        <w:rPr>
          <w:rFonts w:ascii="宋体" w:hAnsi="宋体"/>
          <w:b/>
          <w:bCs/>
          <w:color w:val="auto"/>
          <w:sz w:val="24"/>
          <w:highlight w:val="none"/>
        </w:rPr>
      </w:pPr>
      <w:r>
        <w:rPr>
          <w:rFonts w:hint="eastAsia" w:ascii="宋体" w:hAnsi="宋体"/>
          <w:b/>
          <w:bCs/>
          <w:color w:val="auto"/>
          <w:sz w:val="32"/>
          <w:szCs w:val="32"/>
          <w:highlight w:val="none"/>
        </w:rPr>
        <w:t>2.商务技术文件目录</w:t>
      </w:r>
    </w:p>
    <w:p w14:paraId="4AC9AF47">
      <w:pPr>
        <w:snapToGrid w:val="0"/>
        <w:spacing w:beforeLines="50" w:after="50" w:line="360" w:lineRule="auto"/>
        <w:ind w:firstLine="640" w:firstLineChars="200"/>
        <w:rPr>
          <w:rFonts w:ascii="宋体" w:hAnsi="宋体"/>
          <w:color w:val="auto"/>
          <w:sz w:val="32"/>
          <w:szCs w:val="32"/>
          <w:highlight w:val="none"/>
        </w:rPr>
      </w:pPr>
      <w:r>
        <w:rPr>
          <w:rFonts w:hint="eastAsia" w:ascii="宋体" w:hAnsi="宋体"/>
          <w:color w:val="auto"/>
          <w:sz w:val="32"/>
          <w:szCs w:val="32"/>
          <w:highlight w:val="none"/>
        </w:rPr>
        <w:t>根据磋商文件规定及供应商提供的材料自行编写目录（部分格式后附）。</w:t>
      </w:r>
    </w:p>
    <w:p w14:paraId="334E1493">
      <w:pPr>
        <w:spacing w:line="400" w:lineRule="exact"/>
        <w:rPr>
          <w:rFonts w:ascii="仿宋_GB2312" w:hAnsi="仿宋_GB2312" w:eastAsia="仿宋_GB2312" w:cs="仿宋_GB2312"/>
          <w:color w:val="auto"/>
          <w:sz w:val="32"/>
          <w:szCs w:val="32"/>
          <w:highlight w:val="none"/>
        </w:rPr>
      </w:pPr>
    </w:p>
    <w:p w14:paraId="0D470313">
      <w:pPr>
        <w:spacing w:line="520" w:lineRule="exact"/>
        <w:jc w:val="left"/>
        <w:rPr>
          <w:rStyle w:val="98"/>
          <w:color w:val="auto"/>
          <w:highlight w:val="none"/>
        </w:rPr>
      </w:pPr>
      <w:r>
        <w:rPr>
          <w:rFonts w:hint="eastAsia" w:ascii="方正小标宋简体" w:hAnsi="方正小标宋简体" w:eastAsia="方正小标宋简体" w:cs="方正小标宋简体"/>
          <w:color w:val="auto"/>
          <w:sz w:val="44"/>
          <w:szCs w:val="44"/>
          <w:highlight w:val="none"/>
        </w:rPr>
        <w:br w:type="page"/>
      </w:r>
      <w:r>
        <w:rPr>
          <w:rStyle w:val="98"/>
          <w:rFonts w:hint="eastAsia"/>
          <w:color w:val="auto"/>
          <w:highlight w:val="none"/>
        </w:rPr>
        <w:t>1、无串通竞标行为的承诺函</w:t>
      </w:r>
    </w:p>
    <w:p w14:paraId="32FD7567">
      <w:pPr>
        <w:spacing w:line="360" w:lineRule="auto"/>
        <w:ind w:firstLine="640" w:firstLineChars="200"/>
        <w:contextualSpacing/>
        <w:rPr>
          <w:rFonts w:ascii="仿宋_GB2312" w:hAnsi="仿宋_GB2312" w:eastAsia="仿宋_GB2312" w:cs="仿宋_GB2312"/>
          <w:color w:val="auto"/>
          <w:sz w:val="32"/>
          <w:szCs w:val="32"/>
          <w:highlight w:val="none"/>
        </w:rPr>
      </w:pPr>
    </w:p>
    <w:p w14:paraId="58FC7878">
      <w:pPr>
        <w:spacing w:line="360" w:lineRule="auto"/>
        <w:ind w:firstLine="482" w:firstLineChars="200"/>
        <w:contextualSpacing/>
        <w:rPr>
          <w:rFonts w:ascii="宋体" w:hAnsi="宋体" w:cs="仿宋_GB2312"/>
          <w:b/>
          <w:bCs/>
          <w:color w:val="auto"/>
          <w:sz w:val="24"/>
          <w:highlight w:val="none"/>
        </w:rPr>
      </w:pPr>
      <w:r>
        <w:rPr>
          <w:rFonts w:hint="eastAsia" w:ascii="宋体" w:hAnsi="宋体" w:cs="仿宋_GB2312"/>
          <w:b/>
          <w:bCs/>
          <w:color w:val="auto"/>
          <w:sz w:val="24"/>
          <w:highlight w:val="none"/>
        </w:rPr>
        <w:t>一、我方承诺无下列相互串通竞标的情形：</w:t>
      </w:r>
    </w:p>
    <w:p w14:paraId="50AE4AB3">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 xml:space="preserve">1.不同供应商的响应文件由同一单位或者个人编制； </w:t>
      </w:r>
    </w:p>
    <w:p w14:paraId="41C664E4">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2.不同供应商委托同一单位或者个人办理竞标事宜；</w:t>
      </w:r>
    </w:p>
    <w:p w14:paraId="5FE7AD8D">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3.不同供应商的响应文件载明的项目管理员为同一个人；</w:t>
      </w:r>
    </w:p>
    <w:p w14:paraId="5A57F41B">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4.不</w:t>
      </w:r>
      <w:r>
        <w:rPr>
          <w:rFonts w:hint="eastAsia" w:ascii="宋体" w:hAnsi="宋体" w:cs="仿宋_GB2312"/>
          <w:color w:val="auto"/>
          <w:spacing w:val="-6"/>
          <w:sz w:val="24"/>
          <w:highlight w:val="none"/>
        </w:rPr>
        <w:t>同供应商的响应文件异常一致或者竞标报价呈规律性差异；</w:t>
      </w:r>
    </w:p>
    <w:p w14:paraId="44841953">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5.不同供应商的响应文件相互混装；</w:t>
      </w:r>
    </w:p>
    <w:p w14:paraId="25ED8B84">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6.不同供应商的磋商保证金从同一单位或者个人账户转出。</w:t>
      </w:r>
    </w:p>
    <w:p w14:paraId="4873073F">
      <w:pPr>
        <w:spacing w:line="360" w:lineRule="auto"/>
        <w:ind w:firstLine="482" w:firstLineChars="200"/>
        <w:contextualSpacing/>
        <w:rPr>
          <w:rFonts w:ascii="宋体" w:hAnsi="宋体" w:cs="仿宋_GB2312"/>
          <w:b/>
          <w:bCs/>
          <w:color w:val="auto"/>
          <w:sz w:val="24"/>
          <w:highlight w:val="none"/>
        </w:rPr>
      </w:pPr>
      <w:r>
        <w:rPr>
          <w:rFonts w:hint="eastAsia" w:ascii="宋体" w:hAnsi="宋体" w:cs="仿宋_GB2312"/>
          <w:b/>
          <w:bCs/>
          <w:color w:val="auto"/>
          <w:sz w:val="24"/>
          <w:highlight w:val="none"/>
        </w:rPr>
        <w:t>二、我方承诺无下列恶意串通的情形：</w:t>
      </w:r>
    </w:p>
    <w:p w14:paraId="6FF1988E">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1.供应商直接或者间接从采购人或者采购代理机构处获得其他供应商的相关信息并修改其响应文件；</w:t>
      </w:r>
    </w:p>
    <w:p w14:paraId="11C280CF">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2.供应商按照采购人或者采购代理机构的授意撤换、修改响应文件；</w:t>
      </w:r>
    </w:p>
    <w:p w14:paraId="4391C405">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3.供</w:t>
      </w:r>
      <w:r>
        <w:rPr>
          <w:rFonts w:hint="eastAsia" w:ascii="宋体" w:hAnsi="宋体" w:cs="仿宋_GB2312"/>
          <w:color w:val="auto"/>
          <w:spacing w:val="-6"/>
          <w:sz w:val="24"/>
          <w:highlight w:val="none"/>
        </w:rPr>
        <w:t>应商之间协商报价、技术方案等响应文件的实质性内容；</w:t>
      </w:r>
    </w:p>
    <w:p w14:paraId="7B087E7A">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4.属于同一集团、协会、商会等组织成员的供应商按照该组织要求协同参加政府采购活动；</w:t>
      </w:r>
    </w:p>
    <w:p w14:paraId="4D7F3A49">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5.供应商之间事先约定一致抬高或者压低竞标报价，或者在竞争性磋商项目中事先约定轮流以高价位或者低价位成交，或者事先约定由某一特定供应商成交，然后再参加竞标；</w:t>
      </w:r>
    </w:p>
    <w:p w14:paraId="5DF7E909">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6.供应商之间商定部分供应商放弃参加政府采购活动或者放弃成交；</w:t>
      </w:r>
    </w:p>
    <w:p w14:paraId="1F45F965">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7.供应商与采购人或者采购代理机构之间、供应商相互之间，为</w:t>
      </w:r>
      <w:r>
        <w:rPr>
          <w:rFonts w:hint="eastAsia" w:ascii="宋体" w:hAnsi="宋体" w:cs="仿宋_GB2312"/>
          <w:color w:val="auto"/>
          <w:spacing w:val="-6"/>
          <w:sz w:val="24"/>
          <w:highlight w:val="none"/>
        </w:rPr>
        <w:t>谋求特定供应商成交或者排斥其他供应商的其他串通行为。</w:t>
      </w:r>
    </w:p>
    <w:p w14:paraId="5406AB3B">
      <w:pPr>
        <w:spacing w:line="360" w:lineRule="auto"/>
        <w:ind w:firstLine="480" w:firstLineChars="200"/>
        <w:contextualSpacing/>
        <w:rPr>
          <w:rFonts w:ascii="宋体" w:hAnsi="宋体" w:cs="仿宋_GB2312"/>
          <w:color w:val="auto"/>
          <w:sz w:val="24"/>
          <w:highlight w:val="none"/>
        </w:rPr>
      </w:pPr>
    </w:p>
    <w:p w14:paraId="76673CFF">
      <w:pPr>
        <w:spacing w:line="360" w:lineRule="auto"/>
        <w:ind w:firstLine="482" w:firstLineChars="200"/>
        <w:contextualSpacing/>
        <w:rPr>
          <w:rFonts w:ascii="宋体" w:hAnsi="宋体" w:cs="仿宋_GB2312"/>
          <w:b/>
          <w:bCs/>
          <w:color w:val="auto"/>
          <w:sz w:val="24"/>
          <w:highlight w:val="none"/>
        </w:rPr>
      </w:pPr>
      <w:r>
        <w:rPr>
          <w:rFonts w:hint="eastAsia" w:ascii="宋体" w:hAnsi="宋体" w:cs="仿宋_GB2312"/>
          <w:b/>
          <w:bCs/>
          <w:color w:val="auto"/>
          <w:sz w:val="24"/>
          <w:highlight w:val="none"/>
        </w:rPr>
        <w:t>以上情形一经核查属实，我方愿意承担一切后果，并不再寻求任何旨在减轻或者免除法律责任的辩解。</w:t>
      </w:r>
    </w:p>
    <w:p w14:paraId="440B672F">
      <w:pPr>
        <w:spacing w:line="360" w:lineRule="auto"/>
        <w:contextualSpacing/>
        <w:rPr>
          <w:rFonts w:ascii="宋体" w:hAnsi="宋体" w:cs="仿宋_GB2312"/>
          <w:color w:val="auto"/>
          <w:sz w:val="24"/>
          <w:highlight w:val="none"/>
        </w:rPr>
      </w:pPr>
    </w:p>
    <w:p w14:paraId="50B446B0">
      <w:pPr>
        <w:spacing w:line="360" w:lineRule="auto"/>
        <w:ind w:firstLine="3600" w:firstLineChars="1500"/>
        <w:contextualSpacing/>
        <w:rPr>
          <w:rFonts w:ascii="宋体" w:hAnsi="宋体" w:cs="仿宋_GB2312"/>
          <w:color w:val="auto"/>
          <w:sz w:val="24"/>
          <w:highlight w:val="none"/>
        </w:rPr>
      </w:pPr>
      <w:r>
        <w:rPr>
          <w:rFonts w:hint="eastAsia" w:ascii="宋体" w:hAnsi="宋体" w:cs="仿宋_GB2312"/>
          <w:color w:val="auto"/>
          <w:sz w:val="24"/>
          <w:highlight w:val="none"/>
        </w:rPr>
        <w:t>供应商（盖公章）：</w:t>
      </w:r>
    </w:p>
    <w:p w14:paraId="3DE651AF">
      <w:pPr>
        <w:spacing w:line="360" w:lineRule="auto"/>
        <w:ind w:firstLine="480" w:firstLineChars="200"/>
        <w:contextualSpacing/>
        <w:jc w:val="center"/>
        <w:rPr>
          <w:rFonts w:ascii="仿宋_GB2312" w:hAnsi="仿宋_GB2312" w:eastAsia="仿宋_GB2312" w:cs="仿宋_GB2312"/>
          <w:color w:val="auto"/>
          <w:sz w:val="32"/>
          <w:szCs w:val="32"/>
          <w:highlight w:val="none"/>
        </w:rPr>
      </w:pPr>
      <w:r>
        <w:rPr>
          <w:rFonts w:hint="eastAsia" w:ascii="宋体" w:hAnsi="宋体" w:cs="仿宋_GB2312"/>
          <w:color w:val="auto"/>
          <w:sz w:val="24"/>
          <w:highlight w:val="none"/>
        </w:rPr>
        <w:t xml:space="preserve">                               年   月   日</w:t>
      </w:r>
    </w:p>
    <w:p w14:paraId="5D113B42">
      <w:pPr>
        <w:pStyle w:val="4"/>
        <w:numPr>
          <w:ilvl w:val="0"/>
          <w:numId w:val="9"/>
        </w:numPr>
        <w:rPr>
          <w:color w:val="auto"/>
          <w:highlight w:val="none"/>
        </w:rPr>
      </w:pPr>
      <w:r>
        <w:rPr>
          <w:rFonts w:hint="eastAsia"/>
          <w:color w:val="auto"/>
          <w:highlight w:val="none"/>
        </w:rPr>
        <w:t>法定代表人身份证明及法定代表人有效身份证正反面复印件</w:t>
      </w:r>
    </w:p>
    <w:p w14:paraId="38444BC1">
      <w:pPr>
        <w:spacing w:line="520" w:lineRule="exact"/>
        <w:jc w:val="center"/>
        <w:rPr>
          <w:rFonts w:ascii="宋体" w:hAnsi="宋体"/>
          <w:b/>
          <w:color w:val="auto"/>
          <w:sz w:val="32"/>
          <w:szCs w:val="32"/>
          <w:highlight w:val="none"/>
        </w:rPr>
      </w:pPr>
      <w:r>
        <w:rPr>
          <w:rFonts w:hint="eastAsia" w:ascii="宋体" w:hAnsi="宋体"/>
          <w:b/>
          <w:color w:val="auto"/>
          <w:sz w:val="32"/>
          <w:szCs w:val="32"/>
          <w:highlight w:val="none"/>
        </w:rPr>
        <w:t>法定代表人身份证明</w:t>
      </w:r>
    </w:p>
    <w:p w14:paraId="738044BA">
      <w:pPr>
        <w:spacing w:line="360" w:lineRule="auto"/>
        <w:ind w:left="540"/>
        <w:contextualSpacing/>
        <w:rPr>
          <w:rFonts w:ascii="仿宋_GB2312" w:hAnsi="仿宋_GB2312" w:eastAsia="仿宋_GB2312" w:cs="仿宋_GB2312"/>
          <w:color w:val="auto"/>
          <w:sz w:val="32"/>
          <w:szCs w:val="32"/>
          <w:highlight w:val="none"/>
        </w:rPr>
      </w:pPr>
    </w:p>
    <w:p w14:paraId="71693F73">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供应商名称：</w:t>
      </w:r>
    </w:p>
    <w:p w14:paraId="447DCE8F">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地    址：</w:t>
      </w:r>
    </w:p>
    <w:p w14:paraId="5DE7F9FB">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姓    名：                      性     别：</w:t>
      </w:r>
    </w:p>
    <w:p w14:paraId="2E4750BE">
      <w:pPr>
        <w:spacing w:line="360" w:lineRule="auto"/>
        <w:ind w:left="540"/>
        <w:contextualSpacing/>
        <w:rPr>
          <w:rFonts w:ascii="宋体" w:hAnsi="宋体" w:cs="仿宋_GB2312"/>
          <w:color w:val="auto"/>
          <w:sz w:val="24"/>
          <w:highlight w:val="none"/>
          <w:u w:val="single"/>
        </w:rPr>
      </w:pPr>
      <w:r>
        <w:rPr>
          <w:rFonts w:hint="eastAsia" w:ascii="宋体" w:hAnsi="宋体" w:cs="仿宋_GB2312"/>
          <w:color w:val="auto"/>
          <w:sz w:val="24"/>
          <w:highlight w:val="none"/>
        </w:rPr>
        <w:t>年    龄：                      职     务：</w:t>
      </w:r>
    </w:p>
    <w:p w14:paraId="7CD0D75E">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身份证号码：</w:t>
      </w:r>
    </w:p>
    <w:p w14:paraId="419DF9BC">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系</w:t>
      </w:r>
      <w:r>
        <w:rPr>
          <w:rFonts w:hint="eastAsia" w:ascii="宋体" w:hAnsi="宋体" w:cs="仿宋_GB2312"/>
          <w:color w:val="auto"/>
          <w:sz w:val="24"/>
          <w:highlight w:val="none"/>
          <w:u w:val="single"/>
        </w:rPr>
        <w:t>（供应商名称）</w:t>
      </w:r>
      <w:r>
        <w:rPr>
          <w:rFonts w:hint="eastAsia" w:ascii="宋体" w:hAnsi="宋体" w:cs="仿宋_GB2312"/>
          <w:color w:val="auto"/>
          <w:sz w:val="24"/>
          <w:highlight w:val="none"/>
        </w:rPr>
        <w:t>的法定代表人。</w:t>
      </w:r>
    </w:p>
    <w:p w14:paraId="22BCD7F7">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特此证明。</w:t>
      </w:r>
    </w:p>
    <w:p w14:paraId="27AB7F87">
      <w:pPr>
        <w:spacing w:line="360" w:lineRule="auto"/>
        <w:ind w:left="540"/>
        <w:contextualSpacing/>
        <w:rPr>
          <w:rFonts w:ascii="宋体" w:hAnsi="宋体" w:cs="仿宋_GB2312"/>
          <w:color w:val="auto"/>
          <w:sz w:val="24"/>
          <w:highlight w:val="none"/>
        </w:rPr>
      </w:pPr>
    </w:p>
    <w:p w14:paraId="1740EFAB">
      <w:pPr>
        <w:spacing w:line="360" w:lineRule="auto"/>
        <w:ind w:left="540"/>
        <w:contextualSpacing/>
        <w:rPr>
          <w:rFonts w:ascii="宋体" w:hAnsi="宋体" w:cs="仿宋_GB2312"/>
          <w:color w:val="auto"/>
          <w:sz w:val="24"/>
          <w:highlight w:val="none"/>
        </w:rPr>
      </w:pPr>
    </w:p>
    <w:p w14:paraId="24BB1077">
      <w:pPr>
        <w:spacing w:line="360" w:lineRule="auto"/>
        <w:ind w:left="540"/>
        <w:contextualSpacing/>
        <w:rPr>
          <w:rFonts w:ascii="宋体" w:hAnsi="宋体" w:cs="仿宋_GB2312"/>
          <w:color w:val="auto"/>
          <w:sz w:val="24"/>
          <w:highlight w:val="none"/>
        </w:rPr>
      </w:pPr>
    </w:p>
    <w:p w14:paraId="75EABCA9">
      <w:pPr>
        <w:spacing w:line="360" w:lineRule="auto"/>
        <w:ind w:left="540"/>
        <w:contextualSpacing/>
        <w:rPr>
          <w:rFonts w:ascii="宋体" w:hAnsi="宋体" w:cs="仿宋_GB2312"/>
          <w:color w:val="auto"/>
          <w:sz w:val="24"/>
          <w:highlight w:val="none"/>
        </w:rPr>
      </w:pPr>
      <w:r>
        <w:rPr>
          <w:rFonts w:hint="eastAsia" w:ascii="宋体" w:hAnsi="宋体" w:cs="仿宋_GB2312"/>
          <w:color w:val="auto"/>
          <w:sz w:val="24"/>
          <w:highlight w:val="none"/>
        </w:rPr>
        <w:t>附件：法定代表人有效身份证正反面复印件</w:t>
      </w:r>
    </w:p>
    <w:p w14:paraId="2E61F311">
      <w:pPr>
        <w:spacing w:line="360" w:lineRule="auto"/>
        <w:ind w:left="540"/>
        <w:contextualSpacing/>
        <w:rPr>
          <w:rFonts w:ascii="宋体" w:hAnsi="宋体" w:cs="仿宋_GB2312"/>
          <w:color w:val="auto"/>
          <w:sz w:val="24"/>
          <w:highlight w:val="none"/>
        </w:rPr>
      </w:pPr>
    </w:p>
    <w:p w14:paraId="0B051E9D">
      <w:pPr>
        <w:spacing w:line="360" w:lineRule="auto"/>
        <w:ind w:left="540" w:right="960" w:firstLine="2400" w:firstLineChars="1000"/>
        <w:contextualSpacing/>
        <w:rPr>
          <w:rFonts w:ascii="宋体" w:hAnsi="宋体" w:cs="仿宋_GB2312"/>
          <w:color w:val="auto"/>
          <w:sz w:val="24"/>
          <w:highlight w:val="none"/>
        </w:rPr>
      </w:pPr>
      <w:r>
        <w:rPr>
          <w:rFonts w:hint="eastAsia" w:ascii="宋体" w:hAnsi="宋体" w:cs="仿宋_GB2312"/>
          <w:color w:val="auto"/>
          <w:sz w:val="24"/>
          <w:highlight w:val="none"/>
        </w:rPr>
        <w:t>供应商（盖公章）：</w:t>
      </w:r>
    </w:p>
    <w:p w14:paraId="00B16166">
      <w:pPr>
        <w:spacing w:line="360" w:lineRule="auto"/>
        <w:ind w:firstLine="4080" w:firstLineChars="1700"/>
        <w:contextualSpacing/>
        <w:rPr>
          <w:rFonts w:ascii="宋体" w:hAnsi="宋体" w:cs="仿宋_GB2312"/>
          <w:color w:val="auto"/>
          <w:sz w:val="24"/>
          <w:highlight w:val="none"/>
        </w:rPr>
      </w:pPr>
      <w:r>
        <w:rPr>
          <w:rFonts w:hint="eastAsia" w:ascii="宋体" w:hAnsi="宋体" w:cs="仿宋_GB2312"/>
          <w:color w:val="auto"/>
          <w:sz w:val="24"/>
          <w:highlight w:val="none"/>
        </w:rPr>
        <w:t>年月日</w:t>
      </w:r>
    </w:p>
    <w:p w14:paraId="6041334F">
      <w:pPr>
        <w:spacing w:line="360" w:lineRule="auto"/>
        <w:contextualSpacing/>
        <w:jc w:val="center"/>
        <w:rPr>
          <w:rFonts w:ascii="宋体" w:hAnsi="宋体" w:cs="仿宋_GB2312"/>
          <w:b/>
          <w:color w:val="auto"/>
          <w:sz w:val="24"/>
          <w:highlight w:val="none"/>
        </w:rPr>
      </w:pPr>
    </w:p>
    <w:p w14:paraId="00F9700F">
      <w:pPr>
        <w:spacing w:line="360" w:lineRule="auto"/>
        <w:contextualSpacing/>
        <w:jc w:val="left"/>
        <w:rPr>
          <w:rFonts w:ascii="宋体" w:hAnsi="宋体" w:cs="仿宋_GB2312"/>
          <w:color w:val="auto"/>
          <w:sz w:val="24"/>
          <w:highlight w:val="none"/>
        </w:rPr>
      </w:pPr>
    </w:p>
    <w:p w14:paraId="24DE8B9D">
      <w:pPr>
        <w:spacing w:line="360" w:lineRule="auto"/>
        <w:contextualSpacing/>
        <w:jc w:val="left"/>
        <w:rPr>
          <w:rFonts w:ascii="宋体" w:hAnsi="宋体" w:cs="仿宋_GB2312"/>
          <w:color w:val="auto"/>
          <w:sz w:val="24"/>
          <w:highlight w:val="none"/>
        </w:rPr>
      </w:pPr>
      <w:r>
        <w:rPr>
          <w:rFonts w:hint="eastAsia" w:ascii="宋体" w:hAnsi="宋体" w:cs="仿宋_GB2312"/>
          <w:color w:val="auto"/>
          <w:sz w:val="24"/>
          <w:highlight w:val="none"/>
        </w:rPr>
        <w:t>注：自然人竞标的无需提供，联合体竞标的只需牵头人出具。</w:t>
      </w:r>
    </w:p>
    <w:p w14:paraId="1BBB585C">
      <w:pPr>
        <w:adjustRightInd w:val="0"/>
        <w:snapToGrid w:val="0"/>
        <w:spacing w:line="300" w:lineRule="auto"/>
        <w:jc w:val="left"/>
        <w:rPr>
          <w:rFonts w:ascii="宋体" w:hAnsi="宋体"/>
          <w:b/>
          <w:color w:val="auto"/>
          <w:highlight w:val="none"/>
        </w:rPr>
      </w:pPr>
    </w:p>
    <w:p w14:paraId="52D9CAD7">
      <w:pPr>
        <w:spacing w:line="500" w:lineRule="exact"/>
        <w:jc w:val="center"/>
        <w:rPr>
          <w:rStyle w:val="98"/>
          <w:color w:val="auto"/>
          <w:highlight w:val="none"/>
        </w:rPr>
      </w:pPr>
      <w:r>
        <w:rPr>
          <w:rFonts w:hint="eastAsia" w:ascii="方正小标宋简体" w:hAnsi="方正小标宋简体" w:eastAsia="方正小标宋简体" w:cs="方正小标宋简体"/>
          <w:color w:val="auto"/>
          <w:sz w:val="44"/>
          <w:szCs w:val="44"/>
          <w:highlight w:val="none"/>
        </w:rPr>
        <w:br w:type="page"/>
      </w:r>
      <w:r>
        <w:rPr>
          <w:rStyle w:val="98"/>
          <w:rFonts w:hint="eastAsia"/>
          <w:color w:val="auto"/>
          <w:highlight w:val="none"/>
        </w:rPr>
        <w:t>3、授权委托书及委托代理人有效身份证正反面复印件</w:t>
      </w:r>
    </w:p>
    <w:p w14:paraId="42D6D917">
      <w:pPr>
        <w:spacing w:line="520" w:lineRule="exact"/>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14:paraId="5B0D4C48">
      <w:pPr>
        <w:spacing w:line="520" w:lineRule="exact"/>
        <w:rPr>
          <w:rFonts w:ascii="仿宋_GB2312" w:hAnsi="仿宋_GB2312" w:eastAsia="仿宋_GB2312" w:cs="仿宋_GB2312"/>
          <w:color w:val="auto"/>
          <w:sz w:val="32"/>
          <w:szCs w:val="32"/>
          <w:highlight w:val="none"/>
        </w:rPr>
      </w:pPr>
    </w:p>
    <w:p w14:paraId="666D5E58">
      <w:pPr>
        <w:spacing w:line="360" w:lineRule="auto"/>
        <w:rPr>
          <w:rFonts w:ascii="宋体" w:hAnsi="宋体" w:cs="仿宋_GB2312"/>
          <w:color w:val="auto"/>
          <w:sz w:val="24"/>
          <w:highlight w:val="none"/>
        </w:rPr>
      </w:pPr>
      <w:r>
        <w:rPr>
          <w:rFonts w:hint="eastAsia" w:ascii="宋体" w:hAnsi="宋体" w:cs="仿宋_GB2312"/>
          <w:color w:val="auto"/>
          <w:sz w:val="24"/>
          <w:highlight w:val="none"/>
        </w:rPr>
        <w:t>致：</w:t>
      </w:r>
      <w:r>
        <w:rPr>
          <w:rFonts w:hint="eastAsia" w:ascii="宋体" w:hAnsi="宋体" w:cs="仿宋_GB2312"/>
          <w:color w:val="auto"/>
          <w:sz w:val="24"/>
          <w:highlight w:val="none"/>
          <w:u w:val="single"/>
        </w:rPr>
        <w:t>（采购人名称）</w:t>
      </w:r>
      <w:r>
        <w:rPr>
          <w:rFonts w:hint="eastAsia" w:ascii="宋体" w:hAnsi="宋体" w:cs="仿宋_GB2312"/>
          <w:color w:val="auto"/>
          <w:sz w:val="24"/>
          <w:highlight w:val="none"/>
        </w:rPr>
        <w:t>：</w:t>
      </w:r>
    </w:p>
    <w:p w14:paraId="178107E5">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我</w:t>
      </w:r>
      <w:r>
        <w:rPr>
          <w:rFonts w:hint="eastAsia" w:ascii="宋体" w:hAnsi="宋体" w:cs="仿宋_GB2312"/>
          <w:color w:val="auto"/>
          <w:sz w:val="24"/>
          <w:highlight w:val="none"/>
          <w:u w:val="single"/>
        </w:rPr>
        <w:t xml:space="preserve">  （姓名）  </w:t>
      </w:r>
      <w:r>
        <w:rPr>
          <w:rFonts w:hint="eastAsia" w:ascii="宋体" w:hAnsi="宋体" w:cs="仿宋_GB2312"/>
          <w:color w:val="auto"/>
          <w:sz w:val="24"/>
          <w:highlight w:val="none"/>
        </w:rPr>
        <w:t>系</w:t>
      </w:r>
      <w:r>
        <w:rPr>
          <w:rFonts w:hint="eastAsia" w:ascii="宋体" w:hAnsi="宋体" w:cs="仿宋_GB2312"/>
          <w:color w:val="auto"/>
          <w:sz w:val="24"/>
          <w:highlight w:val="none"/>
          <w:u w:val="single"/>
        </w:rPr>
        <w:t xml:space="preserve">  （供应商名称）  </w:t>
      </w:r>
      <w:r>
        <w:rPr>
          <w:rFonts w:hint="eastAsia" w:ascii="宋体" w:hAnsi="宋体" w:cs="仿宋_GB2312"/>
          <w:color w:val="auto"/>
          <w:sz w:val="24"/>
          <w:highlight w:val="none"/>
        </w:rPr>
        <w:t>的（</w:t>
      </w:r>
      <w:r>
        <w:rPr>
          <w:rFonts w:hint="eastAsia" w:ascii="宋体" w:hAnsi="宋体" w:cs="仿宋_GB2312"/>
          <w:color w:val="auto"/>
          <w:sz w:val="24"/>
          <w:highlight w:val="none"/>
          <w:u w:val="single"/>
        </w:rPr>
        <w:t>法定代表人/负责人/自然人本人</w:t>
      </w:r>
      <w:r>
        <w:rPr>
          <w:rFonts w:hint="eastAsia" w:ascii="宋体" w:hAnsi="宋体" w:cs="仿宋_GB2312"/>
          <w:color w:val="auto"/>
          <w:sz w:val="24"/>
          <w:highlight w:val="none"/>
        </w:rPr>
        <w:t>），现授权</w:t>
      </w:r>
      <w:r>
        <w:rPr>
          <w:rFonts w:hint="eastAsia" w:ascii="宋体" w:hAnsi="宋体" w:cs="仿宋_GB2312"/>
          <w:color w:val="auto"/>
          <w:sz w:val="24"/>
          <w:highlight w:val="none"/>
          <w:u w:val="single"/>
        </w:rPr>
        <w:t xml:space="preserve"> （姓名） </w:t>
      </w:r>
      <w:r>
        <w:rPr>
          <w:rFonts w:hint="eastAsia" w:ascii="宋体" w:hAnsi="宋体" w:cs="仿宋_GB2312"/>
          <w:color w:val="auto"/>
          <w:sz w:val="24"/>
          <w:highlight w:val="none"/>
        </w:rPr>
        <w:t>以我方的名义参加项目的竞标活动，并代表我方全权办理针对上述项目的所有采购程序和环节的具体事务和签署相关文件。</w:t>
      </w:r>
    </w:p>
    <w:p w14:paraId="57865A07">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    我方对委托代理人的签字事项负全部责任。</w:t>
      </w:r>
    </w:p>
    <w:p w14:paraId="169840FF">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本授权书自签署之日起生效，在撤销授权的书面通知以前，本授权书一直有效。委托代理人在授权书有效期内签署的所有文件不因授权的撤销而失效。</w:t>
      </w:r>
    </w:p>
    <w:p w14:paraId="5EEAD722">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委托代理人无转委托权，特此委托。</w:t>
      </w:r>
    </w:p>
    <w:p w14:paraId="269768E7">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附：法定代表人身份证明及委托代理人有效身份证正反面复印件</w:t>
      </w:r>
    </w:p>
    <w:p w14:paraId="543AF504">
      <w:pPr>
        <w:spacing w:line="360" w:lineRule="auto"/>
        <w:rPr>
          <w:rFonts w:ascii="宋体" w:hAnsi="宋体" w:cs="仿宋_GB2312"/>
          <w:color w:val="auto"/>
          <w:sz w:val="24"/>
          <w:highlight w:val="none"/>
        </w:rPr>
      </w:pPr>
    </w:p>
    <w:p w14:paraId="5F36EDB3">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委托代理人（签字）：         法定代表人（签字或者盖章）：                    </w:t>
      </w:r>
    </w:p>
    <w:p w14:paraId="11C66632">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委托代理人身份证号码：                              </w:t>
      </w:r>
    </w:p>
    <w:p w14:paraId="0C68D4DE">
      <w:pPr>
        <w:spacing w:line="360" w:lineRule="auto"/>
        <w:rPr>
          <w:rFonts w:ascii="宋体" w:hAnsi="宋体" w:cs="仿宋_GB2312"/>
          <w:color w:val="auto"/>
          <w:sz w:val="24"/>
          <w:highlight w:val="none"/>
        </w:rPr>
      </w:pPr>
    </w:p>
    <w:p w14:paraId="16BD1524">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                         供应商（盖公章）：                      </w:t>
      </w:r>
    </w:p>
    <w:p w14:paraId="2D57067D">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                                         年    月    日</w:t>
      </w:r>
    </w:p>
    <w:p w14:paraId="2290F1C9">
      <w:pPr>
        <w:spacing w:line="360" w:lineRule="auto"/>
        <w:rPr>
          <w:rFonts w:ascii="宋体" w:hAnsi="宋体" w:cs="仿宋_GB2312"/>
          <w:color w:val="auto"/>
          <w:sz w:val="24"/>
          <w:highlight w:val="none"/>
        </w:rPr>
      </w:pPr>
    </w:p>
    <w:p w14:paraId="617B8D5A">
      <w:pPr>
        <w:spacing w:line="360" w:lineRule="auto"/>
        <w:rPr>
          <w:rFonts w:ascii="宋体" w:hAnsi="宋体" w:cs="仿宋_GB2312"/>
          <w:color w:val="auto"/>
          <w:sz w:val="24"/>
          <w:highlight w:val="none"/>
        </w:rPr>
      </w:pPr>
      <w:r>
        <w:rPr>
          <w:rFonts w:hint="eastAsia" w:ascii="宋体" w:hAnsi="宋体" w:cs="仿宋_GB2312"/>
          <w:color w:val="auto"/>
          <w:sz w:val="24"/>
          <w:highlight w:val="none"/>
        </w:rPr>
        <w:t>注：1. 法定代表人必须在授权委托书上亲笔签字或者盖章，委托代理人必须在授权委托书上亲笔签字，</w:t>
      </w:r>
      <w:r>
        <w:rPr>
          <w:rFonts w:hint="eastAsia" w:ascii="宋体" w:hAnsi="宋体" w:cs="仿宋_GB2312"/>
          <w:b/>
          <w:color w:val="auto"/>
          <w:sz w:val="24"/>
          <w:highlight w:val="none"/>
        </w:rPr>
        <w:t>否则其响应文件按无效响应处理。</w:t>
      </w:r>
    </w:p>
    <w:p w14:paraId="22B8D65B">
      <w:pPr>
        <w:spacing w:line="360" w:lineRule="auto"/>
        <w:ind w:firstLine="480" w:firstLineChars="200"/>
        <w:jc w:val="left"/>
        <w:rPr>
          <w:rFonts w:ascii="宋体" w:hAnsi="宋体" w:cs="仿宋_GB2312"/>
          <w:color w:val="auto"/>
          <w:sz w:val="24"/>
          <w:highlight w:val="none"/>
        </w:rPr>
      </w:pPr>
      <w:r>
        <w:rPr>
          <w:rFonts w:ascii="宋体" w:hAnsi="宋体" w:cs="仿宋_GB2312"/>
          <w:color w:val="auto"/>
          <w:sz w:val="24"/>
          <w:highlight w:val="none"/>
        </w:rPr>
        <w:t>2.</w:t>
      </w:r>
      <w:r>
        <w:rPr>
          <w:rFonts w:hint="eastAsia" w:ascii="宋体" w:hAnsi="宋体" w:cs="仿宋_GB2312"/>
          <w:color w:val="auto"/>
          <w:sz w:val="24"/>
          <w:highlight w:val="none"/>
        </w:rPr>
        <w:t>法人、其他组织竞标时“我方”是指“我单位”，自然人竞标时“我方”是指“本人”。</w:t>
      </w:r>
    </w:p>
    <w:p w14:paraId="426B476A">
      <w:pPr>
        <w:spacing w:line="360" w:lineRule="auto"/>
        <w:ind w:firstLine="420" w:firstLineChars="200"/>
        <w:jc w:val="left"/>
        <w:rPr>
          <w:rFonts w:ascii="仿宋_GB2312" w:hAnsi="仿宋_GB2312" w:eastAsia="仿宋_GB2312" w:cs="仿宋_GB2312"/>
          <w:color w:val="auto"/>
          <w:highlight w:val="none"/>
        </w:rPr>
      </w:pPr>
    </w:p>
    <w:p w14:paraId="49CE45AF">
      <w:pPr>
        <w:pStyle w:val="188"/>
        <w:jc w:val="center"/>
        <w:rPr>
          <w:rStyle w:val="98"/>
          <w:color w:val="auto"/>
          <w:highlight w:val="none"/>
        </w:rPr>
      </w:pPr>
      <w:r>
        <w:rPr>
          <w:rFonts w:ascii="仿宋_GB2312" w:hAnsi="仿宋_GB2312" w:eastAsia="仿宋_GB2312" w:cs="仿宋_GB2312"/>
          <w:color w:val="auto"/>
          <w:szCs w:val="21"/>
          <w:highlight w:val="none"/>
        </w:rPr>
        <w:br w:type="page"/>
      </w:r>
      <w:r>
        <w:rPr>
          <w:rStyle w:val="98"/>
          <w:rFonts w:hint="eastAsia"/>
          <w:color w:val="auto"/>
          <w:highlight w:val="none"/>
        </w:rPr>
        <w:t>4、建设工程项目管理承诺书</w:t>
      </w:r>
    </w:p>
    <w:p w14:paraId="46ACBAD8">
      <w:pPr>
        <w:pStyle w:val="188"/>
        <w:jc w:val="center"/>
        <w:rPr>
          <w:rFonts w:ascii="方正小标宋简体" w:hAnsi="方正小标宋简体" w:eastAsia="方正小标宋简体" w:cs="方正小标宋简体"/>
          <w:bCs/>
          <w:color w:val="auto"/>
          <w:sz w:val="24"/>
          <w:highlight w:val="none"/>
        </w:rPr>
      </w:pPr>
    </w:p>
    <w:p w14:paraId="35A68472">
      <w:pPr>
        <w:spacing w:line="440" w:lineRule="exact"/>
        <w:rPr>
          <w:rFonts w:ascii="宋体" w:hAnsi="宋体"/>
          <w:color w:val="auto"/>
          <w:sz w:val="24"/>
          <w:highlight w:val="none"/>
        </w:rPr>
      </w:pPr>
      <w:r>
        <w:rPr>
          <w:rFonts w:hint="eastAsia" w:ascii="宋体" w:hAnsi="宋体"/>
          <w:color w:val="auto"/>
          <w:sz w:val="24"/>
          <w:highlight w:val="none"/>
        </w:rPr>
        <w:t>致（采购单位名称）：</w:t>
      </w:r>
    </w:p>
    <w:p w14:paraId="0AEE4349">
      <w:pPr>
        <w:pStyle w:val="249"/>
        <w:spacing w:line="440" w:lineRule="exact"/>
        <w:rPr>
          <w:rFonts w:ascii="宋体" w:hAnsi="宋体"/>
          <w:bCs w:val="0"/>
          <w:color w:val="auto"/>
          <w:highlight w:val="none"/>
        </w:rPr>
      </w:pPr>
    </w:p>
    <w:p w14:paraId="4A57481D">
      <w:pPr>
        <w:pStyle w:val="249"/>
        <w:spacing w:line="440" w:lineRule="exact"/>
        <w:ind w:firstLine="520" w:firstLineChars="200"/>
        <w:rPr>
          <w:rFonts w:ascii="宋体" w:hAnsi="宋体"/>
          <w:bCs w:val="0"/>
          <w:color w:val="auto"/>
          <w:highlight w:val="none"/>
        </w:rPr>
      </w:pPr>
      <w:r>
        <w:rPr>
          <w:rFonts w:hint="eastAsia" w:ascii="宋体" w:hAnsi="宋体"/>
          <w:bCs w:val="0"/>
          <w:color w:val="auto"/>
          <w:highlight w:val="none"/>
        </w:rPr>
        <w:t>作为参与</w:t>
      </w:r>
      <w:r>
        <w:rPr>
          <w:rFonts w:hint="eastAsia" w:ascii="宋体" w:hAnsi="宋体"/>
          <w:bCs w:val="0"/>
          <w:color w:val="auto"/>
          <w:highlight w:val="none"/>
          <w:u w:val="single"/>
        </w:rPr>
        <w:t xml:space="preserve">（工程名称）  </w:t>
      </w:r>
      <w:r>
        <w:rPr>
          <w:rFonts w:hint="eastAsia" w:ascii="宋体" w:hAnsi="宋体"/>
          <w:bCs w:val="0"/>
          <w:color w:val="auto"/>
          <w:highlight w:val="none"/>
        </w:rPr>
        <w:t>项目的投标方，根据国家、自治区相关文件规定，我方在此向招标人承诺：</w:t>
      </w:r>
    </w:p>
    <w:p w14:paraId="6CB811D5">
      <w:pPr>
        <w:pStyle w:val="249"/>
        <w:spacing w:line="440" w:lineRule="exact"/>
        <w:ind w:firstLine="520" w:firstLineChars="200"/>
        <w:rPr>
          <w:rFonts w:ascii="宋体" w:hAnsi="宋体"/>
          <w:bCs w:val="0"/>
          <w:color w:val="auto"/>
          <w:highlight w:val="none"/>
        </w:rPr>
      </w:pPr>
      <w:r>
        <w:rPr>
          <w:rFonts w:hint="eastAsia" w:ascii="宋体" w:hAnsi="宋体"/>
          <w:bCs w:val="0"/>
          <w:color w:val="auto"/>
          <w:highlight w:val="none"/>
        </w:rPr>
        <w:t>1、一旦中标，我方保证按照政府相关部门的规定，在发出中标通知书之日起7 个工作日内足额将农民工工资保障金转入农民工工资保障金专用账户。一旦我方所承包的该项目中出现拖欠农民工工资情况，由劳动保障、住房城乡建设行政主管部门按照《关于进一步完善建筑行业农民工工资保证金制度的通知》（桂劳社发〔2009〕50 号）从我方农民工工资保障金中先予划支。</w:t>
      </w:r>
    </w:p>
    <w:p w14:paraId="5207508F">
      <w:pPr>
        <w:pStyle w:val="249"/>
        <w:spacing w:line="440" w:lineRule="exact"/>
        <w:ind w:firstLine="520" w:firstLineChars="200"/>
        <w:rPr>
          <w:rFonts w:ascii="宋体" w:hAnsi="宋体"/>
          <w:bCs w:val="0"/>
          <w:color w:val="auto"/>
          <w:highlight w:val="none"/>
        </w:rPr>
      </w:pPr>
      <w:r>
        <w:rPr>
          <w:rFonts w:hint="eastAsia" w:ascii="宋体" w:hAnsi="宋体"/>
          <w:bCs w:val="0"/>
          <w:color w:val="auto"/>
          <w:highlight w:val="none"/>
        </w:rPr>
        <w:t>2、一旦中标，我方保证在施工过程中，严格执行《广西壮族自治区建筑工程安全防护、文明施工措施费及使用管理细则》（桂建质【2015】16 号）的有关规定，确保建设工程各项安全防护、文明施工措施落实到位。如我方在该项目的承包中出现未按桂建质【2015】16 号文规定执行的情形，我方愿意按照相关规定接受建设单位及有关主管部门的处罚。</w:t>
      </w:r>
    </w:p>
    <w:p w14:paraId="38EB1076">
      <w:pPr>
        <w:pStyle w:val="249"/>
        <w:spacing w:line="440" w:lineRule="exact"/>
        <w:ind w:firstLine="520" w:firstLineChars="200"/>
        <w:rPr>
          <w:rFonts w:ascii="宋体" w:hAnsi="宋体"/>
          <w:bCs w:val="0"/>
          <w:color w:val="auto"/>
          <w:highlight w:val="none"/>
        </w:rPr>
      </w:pPr>
      <w:r>
        <w:rPr>
          <w:rFonts w:hint="eastAsia" w:ascii="宋体" w:hAnsi="宋体"/>
          <w:bCs w:val="0"/>
          <w:color w:val="auto"/>
          <w:highlight w:val="none"/>
        </w:rPr>
        <w:t>3、一旦中标，我方保证在施工过程中，严格执行散装水泥和预拌混凝土（或商品混凝土）管理的有关规定，确保建设工程按规定使用散装水泥和预拌混凝土。如我方在该项目的承包中出现未按规定执行的情形，我方愿意按照相关规定接受建设单位及有关主管部门的处罚。</w:t>
      </w:r>
    </w:p>
    <w:p w14:paraId="57F2D091">
      <w:pPr>
        <w:pStyle w:val="249"/>
        <w:spacing w:line="440" w:lineRule="exact"/>
        <w:ind w:firstLine="520" w:firstLineChars="200"/>
        <w:rPr>
          <w:rFonts w:ascii="宋体" w:hAnsi="宋体"/>
          <w:bCs w:val="0"/>
          <w:color w:val="auto"/>
          <w:highlight w:val="none"/>
        </w:rPr>
      </w:pPr>
      <w:r>
        <w:rPr>
          <w:rFonts w:hint="eastAsia" w:ascii="宋体" w:hAnsi="宋体"/>
          <w:bCs w:val="0"/>
          <w:color w:val="auto"/>
          <w:highlight w:val="none"/>
        </w:rPr>
        <w:t>4、一旦中标，我方保证在施工过程中，严格执行《关于禁止使用不符合规范要求的竹脚手架的通知》（桂建管字〔2003〕40 号）的有关规定，不使用竹脚手架。如我方在该项目的承包中出现未按规定执行的情形，我方愿意按照相关规定接受建设单位及有关主管部门的处罚。</w:t>
      </w:r>
    </w:p>
    <w:p w14:paraId="31EA079E">
      <w:pPr>
        <w:pStyle w:val="249"/>
        <w:spacing w:line="440" w:lineRule="exact"/>
        <w:rPr>
          <w:rFonts w:ascii="宋体" w:hAnsi="宋体"/>
          <w:bCs w:val="0"/>
          <w:color w:val="auto"/>
          <w:highlight w:val="none"/>
        </w:rPr>
      </w:pPr>
    </w:p>
    <w:p w14:paraId="20BF4406">
      <w:pPr>
        <w:pStyle w:val="249"/>
        <w:spacing w:line="440" w:lineRule="exact"/>
        <w:rPr>
          <w:rFonts w:ascii="宋体" w:hAnsi="宋体"/>
          <w:bCs w:val="0"/>
          <w:color w:val="auto"/>
          <w:highlight w:val="none"/>
        </w:rPr>
      </w:pPr>
    </w:p>
    <w:p w14:paraId="15D88196">
      <w:pPr>
        <w:pStyle w:val="249"/>
        <w:spacing w:line="440" w:lineRule="exact"/>
        <w:rPr>
          <w:rFonts w:ascii="宋体" w:hAnsi="宋体"/>
          <w:bCs w:val="0"/>
          <w:color w:val="auto"/>
          <w:highlight w:val="none"/>
        </w:rPr>
      </w:pPr>
      <w:r>
        <w:rPr>
          <w:rFonts w:hint="eastAsia" w:ascii="宋体" w:hAnsi="宋体"/>
          <w:bCs w:val="0"/>
          <w:color w:val="auto"/>
          <w:highlight w:val="none"/>
        </w:rPr>
        <w:t xml:space="preserve">            供应商：（公章）</w:t>
      </w:r>
    </w:p>
    <w:p w14:paraId="7B0AA4DD">
      <w:pPr>
        <w:pStyle w:val="249"/>
        <w:spacing w:line="440" w:lineRule="exact"/>
        <w:rPr>
          <w:rFonts w:ascii="宋体" w:hAnsi="宋体"/>
          <w:bCs w:val="0"/>
          <w:color w:val="auto"/>
          <w:highlight w:val="none"/>
        </w:rPr>
      </w:pPr>
      <w:r>
        <w:rPr>
          <w:rFonts w:hint="eastAsia" w:ascii="宋体" w:hAnsi="宋体"/>
          <w:bCs w:val="0"/>
          <w:color w:val="auto"/>
          <w:highlight w:val="none"/>
        </w:rPr>
        <w:t xml:space="preserve">            法定代表人（或负责人）或授权代理人：（签字）</w:t>
      </w:r>
    </w:p>
    <w:p w14:paraId="7CBC31A3">
      <w:pPr>
        <w:pStyle w:val="249"/>
        <w:spacing w:line="440" w:lineRule="exact"/>
        <w:rPr>
          <w:rFonts w:ascii="宋体" w:hAnsi="宋体"/>
          <w:bCs w:val="0"/>
          <w:color w:val="auto"/>
          <w:highlight w:val="none"/>
        </w:rPr>
      </w:pPr>
      <w:r>
        <w:rPr>
          <w:rFonts w:hint="eastAsia" w:ascii="宋体" w:hAnsi="宋体"/>
          <w:bCs w:val="0"/>
          <w:color w:val="auto"/>
          <w:highlight w:val="none"/>
        </w:rPr>
        <w:t xml:space="preserve">            日期：年月日</w:t>
      </w:r>
    </w:p>
    <w:p w14:paraId="34956170">
      <w:pPr>
        <w:adjustRightInd w:val="0"/>
        <w:snapToGrid w:val="0"/>
        <w:spacing w:line="520" w:lineRule="exact"/>
        <w:jc w:val="center"/>
        <w:rPr>
          <w:rStyle w:val="98"/>
          <w:color w:val="auto"/>
          <w:highlight w:val="none"/>
        </w:rPr>
      </w:pPr>
      <w:r>
        <w:rPr>
          <w:rStyle w:val="98"/>
          <w:rFonts w:hint="eastAsia"/>
          <w:color w:val="auto"/>
          <w:highlight w:val="none"/>
        </w:rPr>
        <w:t>5、供应商类似业绩的证明文件</w:t>
      </w:r>
      <w:r>
        <w:rPr>
          <w:rStyle w:val="98"/>
          <w:rFonts w:hint="eastAsia"/>
          <w:color w:val="auto"/>
          <w:highlight w:val="none"/>
        </w:rPr>
        <w:br w:type="page"/>
      </w:r>
      <w:r>
        <w:rPr>
          <w:rStyle w:val="98"/>
          <w:rFonts w:hint="eastAsia"/>
          <w:color w:val="auto"/>
          <w:highlight w:val="none"/>
        </w:rPr>
        <w:t>6、施工组织设计或施工方案</w:t>
      </w:r>
    </w:p>
    <w:p w14:paraId="4598C33B">
      <w:pPr>
        <w:pStyle w:val="249"/>
        <w:rPr>
          <w:color w:val="auto"/>
          <w:highlight w:val="none"/>
        </w:rPr>
      </w:pPr>
    </w:p>
    <w:p w14:paraId="4D862C05">
      <w:pPr>
        <w:spacing w:line="400" w:lineRule="exact"/>
        <w:rPr>
          <w:rFonts w:ascii="宋体" w:cs="宋体"/>
          <w:color w:val="auto"/>
          <w:highlight w:val="none"/>
        </w:rPr>
      </w:pPr>
      <w:r>
        <w:rPr>
          <w:rFonts w:ascii="宋体" w:hAnsi="宋体" w:cs="宋体"/>
          <w:color w:val="auto"/>
          <w:highlight w:val="none"/>
        </w:rPr>
        <w:t>1.</w:t>
      </w:r>
      <w:r>
        <w:rPr>
          <w:rFonts w:hint="eastAsia" w:ascii="宋体" w:hAnsi="宋体" w:cs="宋体"/>
          <w:color w:val="auto"/>
          <w:highlight w:val="none"/>
        </w:rPr>
        <w:t>竞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833C5A2">
      <w:pPr>
        <w:spacing w:line="400" w:lineRule="exact"/>
        <w:rPr>
          <w:rFonts w:ascii="宋体" w:cs="宋体"/>
          <w:color w:val="auto"/>
          <w:highlight w:val="none"/>
        </w:rPr>
      </w:pPr>
      <w:r>
        <w:rPr>
          <w:rFonts w:ascii="宋体" w:hAnsi="宋体" w:cs="宋体"/>
          <w:color w:val="auto"/>
          <w:highlight w:val="none"/>
        </w:rPr>
        <w:t>2.</w:t>
      </w:r>
      <w:r>
        <w:rPr>
          <w:rFonts w:hint="eastAsia" w:ascii="宋体" w:hAnsi="宋体" w:cs="宋体"/>
          <w:color w:val="auto"/>
          <w:highlight w:val="none"/>
        </w:rPr>
        <w:t>施工组织设计除采用文字表述外可附下列图表，图表及格式要求附后。</w:t>
      </w:r>
    </w:p>
    <w:p w14:paraId="6BA3402B">
      <w:pPr>
        <w:spacing w:line="400" w:lineRule="exact"/>
        <w:rPr>
          <w:rFonts w:ascii="宋体" w:cs="宋体"/>
          <w:color w:val="auto"/>
          <w:highlight w:val="none"/>
        </w:rPr>
      </w:pPr>
      <w:r>
        <w:rPr>
          <w:rFonts w:hint="eastAsia" w:ascii="宋体" w:hAnsi="宋体" w:cs="宋体"/>
          <w:color w:val="auto"/>
          <w:highlight w:val="none"/>
        </w:rPr>
        <w:t>附表一拟投入本工程的主要施工设备表</w:t>
      </w:r>
    </w:p>
    <w:p w14:paraId="02591131">
      <w:pPr>
        <w:spacing w:line="400" w:lineRule="exact"/>
        <w:rPr>
          <w:rFonts w:ascii="宋体" w:cs="宋体"/>
          <w:color w:val="auto"/>
          <w:highlight w:val="none"/>
        </w:rPr>
      </w:pPr>
      <w:r>
        <w:rPr>
          <w:rFonts w:hint="eastAsia" w:ascii="宋体" w:hAnsi="宋体" w:cs="宋体"/>
          <w:color w:val="auto"/>
          <w:highlight w:val="none"/>
        </w:rPr>
        <w:t>附表二拟配备本工程的试验和检测仪器设备表</w:t>
      </w:r>
    </w:p>
    <w:p w14:paraId="448358CD">
      <w:pPr>
        <w:spacing w:line="400" w:lineRule="exact"/>
        <w:rPr>
          <w:rFonts w:ascii="宋体" w:cs="宋体"/>
          <w:color w:val="auto"/>
          <w:highlight w:val="none"/>
        </w:rPr>
      </w:pPr>
      <w:r>
        <w:rPr>
          <w:rFonts w:hint="eastAsia" w:ascii="宋体" w:hAnsi="宋体" w:cs="宋体"/>
          <w:color w:val="auto"/>
          <w:highlight w:val="none"/>
        </w:rPr>
        <w:t>附表三劳动力计划表</w:t>
      </w:r>
    </w:p>
    <w:p w14:paraId="658AFDA4">
      <w:pPr>
        <w:spacing w:line="400" w:lineRule="exact"/>
        <w:rPr>
          <w:rFonts w:ascii="宋体" w:cs="宋体"/>
          <w:color w:val="auto"/>
          <w:highlight w:val="none"/>
        </w:rPr>
      </w:pPr>
      <w:r>
        <w:rPr>
          <w:rFonts w:hint="eastAsia" w:ascii="宋体" w:hAnsi="宋体" w:cs="宋体"/>
          <w:color w:val="auto"/>
          <w:highlight w:val="none"/>
        </w:rPr>
        <w:t>附表四计划开、竣工日期和施工进度网络图</w:t>
      </w:r>
    </w:p>
    <w:p w14:paraId="2D1801A1">
      <w:pPr>
        <w:spacing w:line="400" w:lineRule="exact"/>
        <w:rPr>
          <w:rFonts w:ascii="宋体" w:cs="宋体"/>
          <w:color w:val="auto"/>
          <w:highlight w:val="none"/>
        </w:rPr>
      </w:pPr>
      <w:r>
        <w:rPr>
          <w:rFonts w:hint="eastAsia" w:ascii="宋体" w:hAnsi="宋体" w:cs="宋体"/>
          <w:color w:val="auto"/>
          <w:highlight w:val="none"/>
        </w:rPr>
        <w:t>附表五施工总平面图</w:t>
      </w:r>
    </w:p>
    <w:p w14:paraId="7F6FA089">
      <w:pPr>
        <w:spacing w:line="400" w:lineRule="exact"/>
        <w:rPr>
          <w:rFonts w:ascii="宋体" w:cs="宋体"/>
          <w:color w:val="auto"/>
          <w:highlight w:val="none"/>
        </w:rPr>
      </w:pPr>
      <w:r>
        <w:rPr>
          <w:rFonts w:hint="eastAsia" w:ascii="宋体" w:hAnsi="宋体" w:cs="宋体"/>
          <w:color w:val="auto"/>
          <w:highlight w:val="none"/>
        </w:rPr>
        <w:t>附表六临时用地表</w:t>
      </w:r>
    </w:p>
    <w:p w14:paraId="7E51B977">
      <w:pPr>
        <w:spacing w:line="400" w:lineRule="exact"/>
        <w:rPr>
          <w:rFonts w:ascii="宋体" w:cs="宋体"/>
          <w:color w:val="auto"/>
          <w:highlight w:val="none"/>
        </w:rPr>
      </w:pPr>
    </w:p>
    <w:p w14:paraId="381DC1B5">
      <w:pPr>
        <w:spacing w:line="400" w:lineRule="exact"/>
        <w:rPr>
          <w:rFonts w:ascii="宋体" w:cs="宋体"/>
          <w:color w:val="auto"/>
          <w:highlight w:val="none"/>
        </w:rPr>
      </w:pPr>
      <w:r>
        <w:rPr>
          <w:rFonts w:hint="eastAsia" w:ascii="宋体" w:hAnsi="宋体" w:cs="宋体"/>
          <w:color w:val="auto"/>
          <w:highlight w:val="none"/>
        </w:rPr>
        <w:t>附表一：拟投入本工程的主要施工设备表</w:t>
      </w:r>
    </w:p>
    <w:tbl>
      <w:tblPr>
        <w:tblStyle w:val="47"/>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993"/>
        <w:gridCol w:w="993"/>
        <w:gridCol w:w="994"/>
        <w:gridCol w:w="993"/>
        <w:gridCol w:w="993"/>
        <w:gridCol w:w="994"/>
        <w:gridCol w:w="993"/>
        <w:gridCol w:w="993"/>
        <w:gridCol w:w="679"/>
      </w:tblGrid>
      <w:tr w14:paraId="1A719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764" w:type="dxa"/>
            <w:vAlign w:val="center"/>
          </w:tcPr>
          <w:p w14:paraId="5BE51DE9">
            <w:pPr>
              <w:spacing w:line="300" w:lineRule="exact"/>
              <w:jc w:val="center"/>
              <w:rPr>
                <w:rFonts w:ascii="宋体" w:cs="宋体"/>
                <w:color w:val="auto"/>
                <w:highlight w:val="none"/>
              </w:rPr>
            </w:pPr>
            <w:r>
              <w:rPr>
                <w:rFonts w:hint="eastAsia" w:ascii="宋体" w:hAnsi="宋体" w:cs="宋体"/>
                <w:color w:val="auto"/>
                <w:highlight w:val="none"/>
              </w:rPr>
              <w:t>序号</w:t>
            </w:r>
          </w:p>
        </w:tc>
        <w:tc>
          <w:tcPr>
            <w:tcW w:w="993" w:type="dxa"/>
            <w:vAlign w:val="center"/>
          </w:tcPr>
          <w:p w14:paraId="4718293F">
            <w:pPr>
              <w:spacing w:line="300" w:lineRule="exact"/>
              <w:jc w:val="center"/>
              <w:rPr>
                <w:rFonts w:ascii="宋体" w:cs="宋体"/>
                <w:color w:val="auto"/>
                <w:highlight w:val="none"/>
              </w:rPr>
            </w:pPr>
            <w:r>
              <w:rPr>
                <w:rFonts w:hint="eastAsia" w:ascii="宋体" w:hAnsi="宋体" w:cs="宋体"/>
                <w:color w:val="auto"/>
                <w:highlight w:val="none"/>
              </w:rPr>
              <w:t>设备名称</w:t>
            </w:r>
          </w:p>
        </w:tc>
        <w:tc>
          <w:tcPr>
            <w:tcW w:w="993" w:type="dxa"/>
            <w:vAlign w:val="center"/>
          </w:tcPr>
          <w:p w14:paraId="42DA1A61">
            <w:pPr>
              <w:spacing w:line="300" w:lineRule="exact"/>
              <w:jc w:val="center"/>
              <w:rPr>
                <w:rFonts w:ascii="宋体" w:cs="宋体"/>
                <w:color w:val="auto"/>
                <w:highlight w:val="none"/>
              </w:rPr>
            </w:pPr>
            <w:r>
              <w:rPr>
                <w:rFonts w:hint="eastAsia" w:ascii="宋体" w:hAnsi="宋体" w:cs="宋体"/>
                <w:color w:val="auto"/>
                <w:highlight w:val="none"/>
              </w:rPr>
              <w:t>型号规格</w:t>
            </w:r>
          </w:p>
        </w:tc>
        <w:tc>
          <w:tcPr>
            <w:tcW w:w="994" w:type="dxa"/>
            <w:vAlign w:val="center"/>
          </w:tcPr>
          <w:p w14:paraId="4C0FC1AE">
            <w:pPr>
              <w:spacing w:line="300" w:lineRule="exact"/>
              <w:jc w:val="center"/>
              <w:rPr>
                <w:rFonts w:ascii="宋体" w:cs="宋体"/>
                <w:color w:val="auto"/>
                <w:highlight w:val="none"/>
              </w:rPr>
            </w:pPr>
            <w:r>
              <w:rPr>
                <w:rFonts w:hint="eastAsia" w:ascii="宋体" w:hAnsi="宋体" w:cs="宋体"/>
                <w:color w:val="auto"/>
                <w:highlight w:val="none"/>
              </w:rPr>
              <w:t>数量</w:t>
            </w:r>
          </w:p>
        </w:tc>
        <w:tc>
          <w:tcPr>
            <w:tcW w:w="993" w:type="dxa"/>
            <w:vAlign w:val="center"/>
          </w:tcPr>
          <w:p w14:paraId="00F6D2C6">
            <w:pPr>
              <w:spacing w:line="300" w:lineRule="exact"/>
              <w:jc w:val="center"/>
              <w:rPr>
                <w:rFonts w:ascii="宋体" w:cs="宋体"/>
                <w:color w:val="auto"/>
                <w:highlight w:val="none"/>
              </w:rPr>
            </w:pPr>
            <w:r>
              <w:rPr>
                <w:rFonts w:hint="eastAsia" w:ascii="宋体" w:hAnsi="宋体" w:cs="宋体"/>
                <w:color w:val="auto"/>
                <w:highlight w:val="none"/>
              </w:rPr>
              <w:t>国别产地</w:t>
            </w:r>
          </w:p>
        </w:tc>
        <w:tc>
          <w:tcPr>
            <w:tcW w:w="993" w:type="dxa"/>
            <w:vAlign w:val="center"/>
          </w:tcPr>
          <w:p w14:paraId="237727D2">
            <w:pPr>
              <w:spacing w:line="300" w:lineRule="exact"/>
              <w:jc w:val="center"/>
              <w:rPr>
                <w:rFonts w:ascii="宋体" w:cs="宋体"/>
                <w:color w:val="auto"/>
                <w:highlight w:val="none"/>
              </w:rPr>
            </w:pPr>
            <w:r>
              <w:rPr>
                <w:rFonts w:hint="eastAsia" w:ascii="宋体" w:hAnsi="宋体" w:cs="宋体"/>
                <w:color w:val="auto"/>
                <w:highlight w:val="none"/>
              </w:rPr>
              <w:t>制造年份</w:t>
            </w:r>
          </w:p>
        </w:tc>
        <w:tc>
          <w:tcPr>
            <w:tcW w:w="994" w:type="dxa"/>
            <w:vAlign w:val="center"/>
          </w:tcPr>
          <w:p w14:paraId="1A8C4005">
            <w:pPr>
              <w:spacing w:line="300" w:lineRule="exact"/>
              <w:jc w:val="center"/>
              <w:rPr>
                <w:rFonts w:ascii="宋体" w:cs="宋体"/>
                <w:color w:val="auto"/>
                <w:highlight w:val="none"/>
              </w:rPr>
            </w:pPr>
            <w:r>
              <w:rPr>
                <w:rFonts w:hint="eastAsia" w:ascii="宋体" w:hAnsi="宋体" w:cs="宋体"/>
                <w:color w:val="auto"/>
                <w:highlight w:val="none"/>
              </w:rPr>
              <w:t>额定功率</w:t>
            </w:r>
          </w:p>
          <w:p w14:paraId="0E7E82B4">
            <w:pPr>
              <w:spacing w:line="300" w:lineRule="exact"/>
              <w:jc w:val="center"/>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 xml:space="preserve"> KW </w:t>
            </w:r>
            <w:r>
              <w:rPr>
                <w:rFonts w:hint="eastAsia" w:ascii="宋体" w:hAnsi="宋体" w:cs="宋体"/>
                <w:color w:val="auto"/>
                <w:highlight w:val="none"/>
              </w:rPr>
              <w:t>）</w:t>
            </w:r>
          </w:p>
        </w:tc>
        <w:tc>
          <w:tcPr>
            <w:tcW w:w="993" w:type="dxa"/>
            <w:vAlign w:val="center"/>
          </w:tcPr>
          <w:p w14:paraId="346CC9A9">
            <w:pPr>
              <w:spacing w:line="300" w:lineRule="exact"/>
              <w:jc w:val="center"/>
              <w:rPr>
                <w:rFonts w:ascii="宋体" w:cs="宋体"/>
                <w:color w:val="auto"/>
                <w:highlight w:val="none"/>
              </w:rPr>
            </w:pPr>
            <w:r>
              <w:rPr>
                <w:rFonts w:hint="eastAsia" w:ascii="宋体" w:hAnsi="宋体" w:cs="宋体"/>
                <w:color w:val="auto"/>
                <w:highlight w:val="none"/>
              </w:rPr>
              <w:t>生产能力</w:t>
            </w:r>
          </w:p>
        </w:tc>
        <w:tc>
          <w:tcPr>
            <w:tcW w:w="993" w:type="dxa"/>
            <w:vAlign w:val="center"/>
          </w:tcPr>
          <w:p w14:paraId="65D721CC">
            <w:pPr>
              <w:spacing w:line="300" w:lineRule="exact"/>
              <w:jc w:val="center"/>
              <w:rPr>
                <w:rFonts w:ascii="宋体" w:cs="宋体"/>
                <w:color w:val="auto"/>
                <w:highlight w:val="none"/>
              </w:rPr>
            </w:pPr>
            <w:r>
              <w:rPr>
                <w:rFonts w:hint="eastAsia" w:ascii="宋体" w:hAnsi="宋体" w:cs="宋体"/>
                <w:color w:val="auto"/>
                <w:highlight w:val="none"/>
              </w:rPr>
              <w:t>用于施工部位</w:t>
            </w:r>
          </w:p>
        </w:tc>
        <w:tc>
          <w:tcPr>
            <w:tcW w:w="679" w:type="dxa"/>
            <w:vAlign w:val="center"/>
          </w:tcPr>
          <w:p w14:paraId="3F1FF617">
            <w:pPr>
              <w:spacing w:line="300" w:lineRule="exact"/>
              <w:jc w:val="center"/>
              <w:rPr>
                <w:rFonts w:ascii="宋体" w:cs="宋体"/>
                <w:color w:val="auto"/>
                <w:highlight w:val="none"/>
              </w:rPr>
            </w:pPr>
            <w:r>
              <w:rPr>
                <w:rFonts w:hint="eastAsia" w:ascii="宋体" w:hAnsi="宋体" w:cs="宋体"/>
                <w:color w:val="auto"/>
                <w:highlight w:val="none"/>
              </w:rPr>
              <w:t>备注</w:t>
            </w:r>
          </w:p>
        </w:tc>
      </w:tr>
      <w:tr w14:paraId="4788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64" w:type="dxa"/>
            <w:vAlign w:val="center"/>
          </w:tcPr>
          <w:p w14:paraId="6FA4A6CD">
            <w:pPr>
              <w:spacing w:line="300" w:lineRule="exact"/>
              <w:jc w:val="center"/>
              <w:rPr>
                <w:rFonts w:ascii="宋体" w:cs="宋体"/>
                <w:color w:val="auto"/>
                <w:highlight w:val="none"/>
              </w:rPr>
            </w:pPr>
            <w:r>
              <w:rPr>
                <w:rFonts w:hint="eastAsia" w:ascii="宋体" w:hAnsi="宋体" w:cs="宋体"/>
                <w:color w:val="auto"/>
                <w:highlight w:val="none"/>
              </w:rPr>
              <w:t>……</w:t>
            </w:r>
          </w:p>
        </w:tc>
        <w:tc>
          <w:tcPr>
            <w:tcW w:w="993" w:type="dxa"/>
            <w:vAlign w:val="center"/>
          </w:tcPr>
          <w:p w14:paraId="4F49F99A">
            <w:pPr>
              <w:spacing w:line="300" w:lineRule="exact"/>
              <w:ind w:firstLine="420" w:firstLineChars="200"/>
              <w:jc w:val="center"/>
              <w:rPr>
                <w:rFonts w:ascii="宋体" w:cs="宋体"/>
                <w:color w:val="auto"/>
                <w:highlight w:val="none"/>
              </w:rPr>
            </w:pPr>
          </w:p>
        </w:tc>
        <w:tc>
          <w:tcPr>
            <w:tcW w:w="993" w:type="dxa"/>
            <w:vAlign w:val="center"/>
          </w:tcPr>
          <w:p w14:paraId="08E6AAF5">
            <w:pPr>
              <w:spacing w:line="300" w:lineRule="exact"/>
              <w:jc w:val="center"/>
              <w:rPr>
                <w:rFonts w:ascii="宋体" w:cs="宋体"/>
                <w:color w:val="auto"/>
                <w:highlight w:val="none"/>
              </w:rPr>
            </w:pPr>
          </w:p>
        </w:tc>
        <w:tc>
          <w:tcPr>
            <w:tcW w:w="994" w:type="dxa"/>
            <w:vAlign w:val="center"/>
          </w:tcPr>
          <w:p w14:paraId="66A70CF9">
            <w:pPr>
              <w:spacing w:line="300" w:lineRule="exact"/>
              <w:jc w:val="center"/>
              <w:rPr>
                <w:rFonts w:ascii="宋体" w:cs="宋体"/>
                <w:color w:val="auto"/>
                <w:highlight w:val="none"/>
              </w:rPr>
            </w:pPr>
          </w:p>
        </w:tc>
        <w:tc>
          <w:tcPr>
            <w:tcW w:w="993" w:type="dxa"/>
            <w:vAlign w:val="center"/>
          </w:tcPr>
          <w:p w14:paraId="09CEA16F">
            <w:pPr>
              <w:spacing w:line="300" w:lineRule="exact"/>
              <w:jc w:val="center"/>
              <w:rPr>
                <w:rFonts w:ascii="宋体" w:cs="宋体"/>
                <w:color w:val="auto"/>
                <w:highlight w:val="none"/>
              </w:rPr>
            </w:pPr>
          </w:p>
        </w:tc>
        <w:tc>
          <w:tcPr>
            <w:tcW w:w="993" w:type="dxa"/>
            <w:vAlign w:val="center"/>
          </w:tcPr>
          <w:p w14:paraId="2EB2AF60">
            <w:pPr>
              <w:spacing w:line="300" w:lineRule="exact"/>
              <w:jc w:val="center"/>
              <w:rPr>
                <w:rFonts w:ascii="宋体" w:cs="宋体"/>
                <w:color w:val="auto"/>
                <w:highlight w:val="none"/>
              </w:rPr>
            </w:pPr>
          </w:p>
        </w:tc>
        <w:tc>
          <w:tcPr>
            <w:tcW w:w="994" w:type="dxa"/>
            <w:vAlign w:val="center"/>
          </w:tcPr>
          <w:p w14:paraId="03EAA33B">
            <w:pPr>
              <w:spacing w:line="300" w:lineRule="exact"/>
              <w:jc w:val="center"/>
              <w:rPr>
                <w:rFonts w:ascii="宋体" w:cs="宋体"/>
                <w:color w:val="auto"/>
                <w:highlight w:val="none"/>
              </w:rPr>
            </w:pPr>
          </w:p>
        </w:tc>
        <w:tc>
          <w:tcPr>
            <w:tcW w:w="993" w:type="dxa"/>
            <w:vAlign w:val="center"/>
          </w:tcPr>
          <w:p w14:paraId="0CA47701">
            <w:pPr>
              <w:spacing w:line="300" w:lineRule="exact"/>
              <w:jc w:val="center"/>
              <w:rPr>
                <w:rFonts w:ascii="宋体" w:cs="宋体"/>
                <w:color w:val="auto"/>
                <w:highlight w:val="none"/>
              </w:rPr>
            </w:pPr>
          </w:p>
        </w:tc>
        <w:tc>
          <w:tcPr>
            <w:tcW w:w="993" w:type="dxa"/>
            <w:vAlign w:val="center"/>
          </w:tcPr>
          <w:p w14:paraId="7958C82D">
            <w:pPr>
              <w:spacing w:line="300" w:lineRule="exact"/>
              <w:jc w:val="center"/>
              <w:rPr>
                <w:rFonts w:ascii="宋体" w:cs="宋体"/>
                <w:color w:val="auto"/>
                <w:highlight w:val="none"/>
              </w:rPr>
            </w:pPr>
          </w:p>
        </w:tc>
        <w:tc>
          <w:tcPr>
            <w:tcW w:w="679" w:type="dxa"/>
            <w:vAlign w:val="center"/>
          </w:tcPr>
          <w:p w14:paraId="6A3247AB">
            <w:pPr>
              <w:spacing w:line="300" w:lineRule="exact"/>
              <w:jc w:val="center"/>
              <w:rPr>
                <w:rFonts w:ascii="宋体" w:cs="宋体"/>
                <w:color w:val="auto"/>
                <w:highlight w:val="none"/>
              </w:rPr>
            </w:pPr>
          </w:p>
        </w:tc>
      </w:tr>
      <w:tr w14:paraId="29FD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64" w:type="dxa"/>
            <w:vAlign w:val="center"/>
          </w:tcPr>
          <w:p w14:paraId="34C3F333">
            <w:pPr>
              <w:spacing w:line="300" w:lineRule="exact"/>
              <w:jc w:val="center"/>
              <w:rPr>
                <w:rFonts w:ascii="宋体" w:cs="宋体"/>
                <w:color w:val="auto"/>
                <w:highlight w:val="none"/>
              </w:rPr>
            </w:pPr>
            <w:r>
              <w:rPr>
                <w:rFonts w:ascii="宋体" w:hAnsi="宋体" w:cs="宋体"/>
                <w:color w:val="auto"/>
                <w:highlight w:val="none"/>
              </w:rPr>
              <w:t>N</w:t>
            </w:r>
          </w:p>
        </w:tc>
        <w:tc>
          <w:tcPr>
            <w:tcW w:w="993" w:type="dxa"/>
            <w:vAlign w:val="center"/>
          </w:tcPr>
          <w:p w14:paraId="69928B58">
            <w:pPr>
              <w:spacing w:line="300" w:lineRule="exact"/>
              <w:jc w:val="center"/>
              <w:rPr>
                <w:rFonts w:ascii="宋体" w:cs="宋体"/>
                <w:color w:val="auto"/>
                <w:highlight w:val="none"/>
              </w:rPr>
            </w:pPr>
          </w:p>
        </w:tc>
        <w:tc>
          <w:tcPr>
            <w:tcW w:w="993" w:type="dxa"/>
            <w:vAlign w:val="center"/>
          </w:tcPr>
          <w:p w14:paraId="60FAACAA">
            <w:pPr>
              <w:spacing w:line="300" w:lineRule="exact"/>
              <w:jc w:val="center"/>
              <w:rPr>
                <w:rFonts w:ascii="宋体" w:cs="宋体"/>
                <w:color w:val="auto"/>
                <w:highlight w:val="none"/>
              </w:rPr>
            </w:pPr>
          </w:p>
        </w:tc>
        <w:tc>
          <w:tcPr>
            <w:tcW w:w="994" w:type="dxa"/>
            <w:vAlign w:val="center"/>
          </w:tcPr>
          <w:p w14:paraId="34533712">
            <w:pPr>
              <w:spacing w:line="300" w:lineRule="exact"/>
              <w:jc w:val="center"/>
              <w:rPr>
                <w:rFonts w:ascii="宋体" w:cs="宋体"/>
                <w:color w:val="auto"/>
                <w:highlight w:val="none"/>
              </w:rPr>
            </w:pPr>
          </w:p>
        </w:tc>
        <w:tc>
          <w:tcPr>
            <w:tcW w:w="993" w:type="dxa"/>
            <w:vAlign w:val="center"/>
          </w:tcPr>
          <w:p w14:paraId="319C3902">
            <w:pPr>
              <w:spacing w:line="300" w:lineRule="exact"/>
              <w:jc w:val="center"/>
              <w:rPr>
                <w:rFonts w:ascii="宋体" w:cs="宋体"/>
                <w:color w:val="auto"/>
                <w:highlight w:val="none"/>
              </w:rPr>
            </w:pPr>
          </w:p>
        </w:tc>
        <w:tc>
          <w:tcPr>
            <w:tcW w:w="993" w:type="dxa"/>
            <w:vAlign w:val="center"/>
          </w:tcPr>
          <w:p w14:paraId="64708CE8">
            <w:pPr>
              <w:spacing w:line="300" w:lineRule="exact"/>
              <w:jc w:val="center"/>
              <w:rPr>
                <w:rFonts w:ascii="宋体" w:cs="宋体"/>
                <w:color w:val="auto"/>
                <w:highlight w:val="none"/>
              </w:rPr>
            </w:pPr>
          </w:p>
        </w:tc>
        <w:tc>
          <w:tcPr>
            <w:tcW w:w="994" w:type="dxa"/>
            <w:vAlign w:val="center"/>
          </w:tcPr>
          <w:p w14:paraId="14D11FC2">
            <w:pPr>
              <w:spacing w:line="300" w:lineRule="exact"/>
              <w:jc w:val="center"/>
              <w:rPr>
                <w:rFonts w:ascii="宋体" w:cs="宋体"/>
                <w:color w:val="auto"/>
                <w:highlight w:val="none"/>
              </w:rPr>
            </w:pPr>
          </w:p>
        </w:tc>
        <w:tc>
          <w:tcPr>
            <w:tcW w:w="993" w:type="dxa"/>
            <w:vAlign w:val="center"/>
          </w:tcPr>
          <w:p w14:paraId="04497AE3">
            <w:pPr>
              <w:spacing w:line="300" w:lineRule="exact"/>
              <w:jc w:val="center"/>
              <w:rPr>
                <w:rFonts w:ascii="宋体" w:cs="宋体"/>
                <w:color w:val="auto"/>
                <w:highlight w:val="none"/>
              </w:rPr>
            </w:pPr>
          </w:p>
        </w:tc>
        <w:tc>
          <w:tcPr>
            <w:tcW w:w="993" w:type="dxa"/>
            <w:vAlign w:val="center"/>
          </w:tcPr>
          <w:p w14:paraId="56065AEC">
            <w:pPr>
              <w:spacing w:line="300" w:lineRule="exact"/>
              <w:jc w:val="center"/>
              <w:rPr>
                <w:rFonts w:ascii="宋体" w:cs="宋体"/>
                <w:color w:val="auto"/>
                <w:highlight w:val="none"/>
              </w:rPr>
            </w:pPr>
          </w:p>
        </w:tc>
        <w:tc>
          <w:tcPr>
            <w:tcW w:w="679" w:type="dxa"/>
            <w:vAlign w:val="center"/>
          </w:tcPr>
          <w:p w14:paraId="10C422EF">
            <w:pPr>
              <w:spacing w:line="300" w:lineRule="exact"/>
              <w:jc w:val="center"/>
              <w:rPr>
                <w:rFonts w:ascii="宋体" w:cs="宋体"/>
                <w:color w:val="auto"/>
                <w:highlight w:val="none"/>
              </w:rPr>
            </w:pPr>
          </w:p>
        </w:tc>
      </w:tr>
    </w:tbl>
    <w:p w14:paraId="7E957831">
      <w:pPr>
        <w:spacing w:line="400" w:lineRule="exact"/>
        <w:rPr>
          <w:rFonts w:ascii="宋体" w:cs="宋体"/>
          <w:color w:val="auto"/>
          <w:highlight w:val="none"/>
        </w:rPr>
      </w:pPr>
    </w:p>
    <w:p w14:paraId="06A8B7D0">
      <w:pPr>
        <w:spacing w:line="400" w:lineRule="exact"/>
        <w:rPr>
          <w:rFonts w:ascii="宋体" w:cs="宋体"/>
          <w:color w:val="auto"/>
          <w:highlight w:val="none"/>
        </w:rPr>
      </w:pPr>
      <w:r>
        <w:rPr>
          <w:rFonts w:hint="eastAsia" w:ascii="宋体" w:hAnsi="宋体" w:cs="宋体"/>
          <w:color w:val="auto"/>
          <w:highlight w:val="none"/>
        </w:rPr>
        <w:t>附表二：拟配备本工程的试验和检测仪器设备表</w:t>
      </w:r>
    </w:p>
    <w:tbl>
      <w:tblPr>
        <w:tblStyle w:val="47"/>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1138"/>
        <w:gridCol w:w="1138"/>
        <w:gridCol w:w="1138"/>
        <w:gridCol w:w="1138"/>
        <w:gridCol w:w="1138"/>
        <w:gridCol w:w="1138"/>
        <w:gridCol w:w="1138"/>
        <w:gridCol w:w="795"/>
      </w:tblGrid>
      <w:tr w14:paraId="484E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99" w:type="dxa"/>
            <w:vAlign w:val="center"/>
          </w:tcPr>
          <w:p w14:paraId="1E82A94D">
            <w:pPr>
              <w:spacing w:line="300" w:lineRule="exact"/>
              <w:jc w:val="center"/>
              <w:rPr>
                <w:rFonts w:ascii="宋体" w:cs="宋体"/>
                <w:color w:val="auto"/>
                <w:highlight w:val="none"/>
              </w:rPr>
            </w:pPr>
            <w:r>
              <w:rPr>
                <w:rFonts w:hint="eastAsia" w:ascii="宋体" w:hAnsi="宋体" w:cs="宋体"/>
                <w:color w:val="auto"/>
                <w:highlight w:val="none"/>
              </w:rPr>
              <w:t>序号</w:t>
            </w:r>
          </w:p>
        </w:tc>
        <w:tc>
          <w:tcPr>
            <w:tcW w:w="1138" w:type="dxa"/>
            <w:vAlign w:val="center"/>
          </w:tcPr>
          <w:p w14:paraId="79AB2C58">
            <w:pPr>
              <w:spacing w:line="300" w:lineRule="exact"/>
              <w:jc w:val="center"/>
              <w:rPr>
                <w:rFonts w:ascii="宋体" w:cs="宋体"/>
                <w:color w:val="auto"/>
                <w:highlight w:val="none"/>
              </w:rPr>
            </w:pPr>
            <w:r>
              <w:rPr>
                <w:rFonts w:hint="eastAsia" w:ascii="宋体" w:hAnsi="宋体" w:cs="宋体"/>
                <w:color w:val="auto"/>
                <w:highlight w:val="none"/>
              </w:rPr>
              <w:t>仪器设备</w:t>
            </w:r>
          </w:p>
          <w:p w14:paraId="11013D43">
            <w:pPr>
              <w:spacing w:line="300" w:lineRule="exact"/>
              <w:jc w:val="center"/>
              <w:rPr>
                <w:rFonts w:ascii="宋体" w:cs="宋体"/>
                <w:color w:val="auto"/>
                <w:highlight w:val="none"/>
              </w:rPr>
            </w:pPr>
            <w:r>
              <w:rPr>
                <w:rFonts w:hint="eastAsia" w:ascii="宋体" w:hAnsi="宋体" w:cs="宋体"/>
                <w:color w:val="auto"/>
                <w:highlight w:val="none"/>
              </w:rPr>
              <w:t>名称</w:t>
            </w:r>
          </w:p>
        </w:tc>
        <w:tc>
          <w:tcPr>
            <w:tcW w:w="1138" w:type="dxa"/>
            <w:vAlign w:val="center"/>
          </w:tcPr>
          <w:p w14:paraId="68C2CC23">
            <w:pPr>
              <w:spacing w:line="300" w:lineRule="exact"/>
              <w:jc w:val="center"/>
              <w:rPr>
                <w:rFonts w:ascii="宋体" w:cs="宋体"/>
                <w:color w:val="auto"/>
                <w:highlight w:val="none"/>
              </w:rPr>
            </w:pPr>
            <w:r>
              <w:rPr>
                <w:rFonts w:hint="eastAsia" w:ascii="宋体" w:hAnsi="宋体" w:cs="宋体"/>
                <w:color w:val="auto"/>
                <w:highlight w:val="none"/>
              </w:rPr>
              <w:t>型号</w:t>
            </w:r>
          </w:p>
          <w:p w14:paraId="46ED0A94">
            <w:pPr>
              <w:spacing w:line="300" w:lineRule="exact"/>
              <w:jc w:val="center"/>
              <w:rPr>
                <w:rFonts w:ascii="宋体" w:cs="宋体"/>
                <w:color w:val="auto"/>
                <w:highlight w:val="none"/>
              </w:rPr>
            </w:pPr>
            <w:r>
              <w:rPr>
                <w:rFonts w:hint="eastAsia" w:ascii="宋体" w:hAnsi="宋体" w:cs="宋体"/>
                <w:color w:val="auto"/>
                <w:highlight w:val="none"/>
              </w:rPr>
              <w:t>规格</w:t>
            </w:r>
          </w:p>
        </w:tc>
        <w:tc>
          <w:tcPr>
            <w:tcW w:w="1138" w:type="dxa"/>
            <w:vAlign w:val="center"/>
          </w:tcPr>
          <w:p w14:paraId="277FC65E">
            <w:pPr>
              <w:spacing w:line="300" w:lineRule="exact"/>
              <w:jc w:val="center"/>
              <w:rPr>
                <w:rFonts w:ascii="宋体" w:cs="宋体"/>
                <w:color w:val="auto"/>
                <w:highlight w:val="none"/>
              </w:rPr>
            </w:pPr>
            <w:r>
              <w:rPr>
                <w:rFonts w:hint="eastAsia" w:ascii="宋体" w:hAnsi="宋体" w:cs="宋体"/>
                <w:color w:val="auto"/>
                <w:highlight w:val="none"/>
              </w:rPr>
              <w:t>数量</w:t>
            </w:r>
          </w:p>
        </w:tc>
        <w:tc>
          <w:tcPr>
            <w:tcW w:w="1138" w:type="dxa"/>
            <w:vAlign w:val="center"/>
          </w:tcPr>
          <w:p w14:paraId="09C8D384">
            <w:pPr>
              <w:spacing w:line="300" w:lineRule="exact"/>
              <w:jc w:val="center"/>
              <w:rPr>
                <w:rFonts w:ascii="宋体" w:cs="宋体"/>
                <w:color w:val="auto"/>
                <w:highlight w:val="none"/>
              </w:rPr>
            </w:pPr>
            <w:r>
              <w:rPr>
                <w:rFonts w:hint="eastAsia" w:ascii="宋体" w:hAnsi="宋体" w:cs="宋体"/>
                <w:color w:val="auto"/>
                <w:highlight w:val="none"/>
              </w:rPr>
              <w:t>国别</w:t>
            </w:r>
          </w:p>
          <w:p w14:paraId="0CA7F513">
            <w:pPr>
              <w:spacing w:line="300" w:lineRule="exact"/>
              <w:jc w:val="center"/>
              <w:rPr>
                <w:rFonts w:ascii="宋体" w:cs="宋体"/>
                <w:color w:val="auto"/>
                <w:highlight w:val="none"/>
              </w:rPr>
            </w:pPr>
            <w:r>
              <w:rPr>
                <w:rFonts w:hint="eastAsia" w:ascii="宋体" w:hAnsi="宋体" w:cs="宋体"/>
                <w:color w:val="auto"/>
                <w:highlight w:val="none"/>
              </w:rPr>
              <w:t>产地</w:t>
            </w:r>
          </w:p>
        </w:tc>
        <w:tc>
          <w:tcPr>
            <w:tcW w:w="1138" w:type="dxa"/>
            <w:vAlign w:val="center"/>
          </w:tcPr>
          <w:p w14:paraId="13666545">
            <w:pPr>
              <w:spacing w:line="300" w:lineRule="exact"/>
              <w:jc w:val="center"/>
              <w:rPr>
                <w:rFonts w:ascii="宋体" w:cs="宋体"/>
                <w:color w:val="auto"/>
                <w:highlight w:val="none"/>
              </w:rPr>
            </w:pPr>
            <w:r>
              <w:rPr>
                <w:rFonts w:hint="eastAsia" w:ascii="宋体" w:hAnsi="宋体" w:cs="宋体"/>
                <w:color w:val="auto"/>
                <w:highlight w:val="none"/>
              </w:rPr>
              <w:t>制造年份</w:t>
            </w:r>
          </w:p>
        </w:tc>
        <w:tc>
          <w:tcPr>
            <w:tcW w:w="1138" w:type="dxa"/>
            <w:vAlign w:val="center"/>
          </w:tcPr>
          <w:p w14:paraId="2909BFB0">
            <w:pPr>
              <w:spacing w:line="300" w:lineRule="exact"/>
              <w:jc w:val="center"/>
              <w:rPr>
                <w:rFonts w:ascii="宋体" w:cs="宋体"/>
                <w:color w:val="auto"/>
                <w:highlight w:val="none"/>
              </w:rPr>
            </w:pPr>
            <w:r>
              <w:rPr>
                <w:rFonts w:hint="eastAsia" w:ascii="宋体" w:hAnsi="宋体" w:cs="宋体"/>
                <w:color w:val="auto"/>
                <w:highlight w:val="none"/>
              </w:rPr>
              <w:t>已使用</w:t>
            </w:r>
          </w:p>
          <w:p w14:paraId="5A005439">
            <w:pPr>
              <w:spacing w:line="300" w:lineRule="exact"/>
              <w:jc w:val="center"/>
              <w:rPr>
                <w:rFonts w:ascii="宋体" w:cs="宋体"/>
                <w:color w:val="auto"/>
                <w:highlight w:val="none"/>
              </w:rPr>
            </w:pPr>
            <w:r>
              <w:rPr>
                <w:rFonts w:hint="eastAsia" w:ascii="宋体" w:hAnsi="宋体" w:cs="宋体"/>
                <w:color w:val="auto"/>
                <w:highlight w:val="none"/>
              </w:rPr>
              <w:t>台时数</w:t>
            </w:r>
          </w:p>
        </w:tc>
        <w:tc>
          <w:tcPr>
            <w:tcW w:w="1138" w:type="dxa"/>
            <w:vAlign w:val="center"/>
          </w:tcPr>
          <w:p w14:paraId="46482001">
            <w:pPr>
              <w:spacing w:line="300" w:lineRule="exact"/>
              <w:jc w:val="center"/>
              <w:rPr>
                <w:rFonts w:ascii="宋体" w:cs="宋体"/>
                <w:color w:val="auto"/>
                <w:highlight w:val="none"/>
              </w:rPr>
            </w:pPr>
            <w:r>
              <w:rPr>
                <w:rFonts w:hint="eastAsia" w:ascii="宋体" w:hAnsi="宋体" w:cs="宋体"/>
                <w:color w:val="auto"/>
                <w:highlight w:val="none"/>
              </w:rPr>
              <w:t>用途</w:t>
            </w:r>
          </w:p>
        </w:tc>
        <w:tc>
          <w:tcPr>
            <w:tcW w:w="795" w:type="dxa"/>
            <w:vAlign w:val="center"/>
          </w:tcPr>
          <w:p w14:paraId="302B0D54">
            <w:pPr>
              <w:spacing w:line="300" w:lineRule="exact"/>
              <w:jc w:val="center"/>
              <w:rPr>
                <w:rFonts w:ascii="宋体" w:cs="宋体"/>
                <w:color w:val="auto"/>
                <w:highlight w:val="none"/>
              </w:rPr>
            </w:pPr>
            <w:r>
              <w:rPr>
                <w:rFonts w:hint="eastAsia" w:ascii="宋体" w:hAnsi="宋体" w:cs="宋体"/>
                <w:color w:val="auto"/>
                <w:highlight w:val="none"/>
              </w:rPr>
              <w:t>备注</w:t>
            </w:r>
          </w:p>
        </w:tc>
      </w:tr>
      <w:tr w14:paraId="79CF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99" w:type="dxa"/>
            <w:vAlign w:val="center"/>
          </w:tcPr>
          <w:p w14:paraId="6634C3F4">
            <w:pPr>
              <w:spacing w:line="300" w:lineRule="exact"/>
              <w:jc w:val="center"/>
              <w:rPr>
                <w:rFonts w:ascii="宋体" w:cs="宋体"/>
                <w:color w:val="auto"/>
                <w:highlight w:val="none"/>
              </w:rPr>
            </w:pPr>
            <w:r>
              <w:rPr>
                <w:rFonts w:hint="eastAsia" w:ascii="宋体" w:hAnsi="宋体" w:cs="宋体"/>
                <w:color w:val="auto"/>
                <w:highlight w:val="none"/>
              </w:rPr>
              <w:t>……</w:t>
            </w:r>
          </w:p>
        </w:tc>
        <w:tc>
          <w:tcPr>
            <w:tcW w:w="1138" w:type="dxa"/>
            <w:vAlign w:val="center"/>
          </w:tcPr>
          <w:p w14:paraId="303434AF">
            <w:pPr>
              <w:spacing w:line="300" w:lineRule="exact"/>
              <w:ind w:firstLine="420" w:firstLineChars="200"/>
              <w:rPr>
                <w:rFonts w:ascii="宋体" w:cs="宋体"/>
                <w:color w:val="auto"/>
                <w:highlight w:val="none"/>
              </w:rPr>
            </w:pPr>
          </w:p>
        </w:tc>
        <w:tc>
          <w:tcPr>
            <w:tcW w:w="1138" w:type="dxa"/>
            <w:vAlign w:val="center"/>
          </w:tcPr>
          <w:p w14:paraId="0D78E23B">
            <w:pPr>
              <w:spacing w:line="300" w:lineRule="exact"/>
              <w:ind w:firstLine="420" w:firstLineChars="200"/>
              <w:rPr>
                <w:rFonts w:ascii="宋体" w:cs="宋体"/>
                <w:color w:val="auto"/>
                <w:highlight w:val="none"/>
              </w:rPr>
            </w:pPr>
          </w:p>
        </w:tc>
        <w:tc>
          <w:tcPr>
            <w:tcW w:w="1138" w:type="dxa"/>
            <w:vAlign w:val="center"/>
          </w:tcPr>
          <w:p w14:paraId="6191CFD5">
            <w:pPr>
              <w:spacing w:line="300" w:lineRule="exact"/>
              <w:ind w:firstLine="420" w:firstLineChars="200"/>
              <w:rPr>
                <w:rFonts w:ascii="宋体" w:cs="宋体"/>
                <w:color w:val="auto"/>
                <w:highlight w:val="none"/>
              </w:rPr>
            </w:pPr>
          </w:p>
        </w:tc>
        <w:tc>
          <w:tcPr>
            <w:tcW w:w="1138" w:type="dxa"/>
            <w:vAlign w:val="center"/>
          </w:tcPr>
          <w:p w14:paraId="6D6A59CF">
            <w:pPr>
              <w:spacing w:line="300" w:lineRule="exact"/>
              <w:ind w:firstLine="420" w:firstLineChars="200"/>
              <w:rPr>
                <w:rFonts w:ascii="宋体" w:cs="宋体"/>
                <w:color w:val="auto"/>
                <w:highlight w:val="none"/>
              </w:rPr>
            </w:pPr>
          </w:p>
        </w:tc>
        <w:tc>
          <w:tcPr>
            <w:tcW w:w="1138" w:type="dxa"/>
            <w:vAlign w:val="center"/>
          </w:tcPr>
          <w:p w14:paraId="7A502F5D">
            <w:pPr>
              <w:spacing w:line="300" w:lineRule="exact"/>
              <w:ind w:firstLine="420" w:firstLineChars="200"/>
              <w:rPr>
                <w:rFonts w:ascii="宋体" w:cs="宋体"/>
                <w:color w:val="auto"/>
                <w:highlight w:val="none"/>
              </w:rPr>
            </w:pPr>
          </w:p>
        </w:tc>
        <w:tc>
          <w:tcPr>
            <w:tcW w:w="1138" w:type="dxa"/>
            <w:vAlign w:val="center"/>
          </w:tcPr>
          <w:p w14:paraId="571841F5">
            <w:pPr>
              <w:spacing w:line="300" w:lineRule="exact"/>
              <w:ind w:firstLine="420" w:firstLineChars="200"/>
              <w:rPr>
                <w:rFonts w:ascii="宋体" w:cs="宋体"/>
                <w:color w:val="auto"/>
                <w:highlight w:val="none"/>
              </w:rPr>
            </w:pPr>
          </w:p>
        </w:tc>
        <w:tc>
          <w:tcPr>
            <w:tcW w:w="1138" w:type="dxa"/>
            <w:vAlign w:val="center"/>
          </w:tcPr>
          <w:p w14:paraId="3784D1A9">
            <w:pPr>
              <w:spacing w:line="300" w:lineRule="exact"/>
              <w:ind w:firstLine="420" w:firstLineChars="200"/>
              <w:rPr>
                <w:rFonts w:ascii="宋体" w:cs="宋体"/>
                <w:color w:val="auto"/>
                <w:highlight w:val="none"/>
              </w:rPr>
            </w:pPr>
          </w:p>
        </w:tc>
        <w:tc>
          <w:tcPr>
            <w:tcW w:w="795" w:type="dxa"/>
          </w:tcPr>
          <w:p w14:paraId="16FB35A0">
            <w:pPr>
              <w:spacing w:line="300" w:lineRule="exact"/>
              <w:ind w:firstLine="420" w:firstLineChars="200"/>
              <w:rPr>
                <w:rFonts w:ascii="宋体" w:cs="宋体"/>
                <w:color w:val="auto"/>
                <w:highlight w:val="none"/>
              </w:rPr>
            </w:pPr>
          </w:p>
        </w:tc>
      </w:tr>
      <w:tr w14:paraId="6B09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99" w:type="dxa"/>
            <w:vAlign w:val="center"/>
          </w:tcPr>
          <w:p w14:paraId="3F38B3D1">
            <w:pPr>
              <w:spacing w:line="300" w:lineRule="exact"/>
              <w:jc w:val="center"/>
              <w:rPr>
                <w:rFonts w:ascii="宋体" w:cs="宋体"/>
                <w:color w:val="auto"/>
                <w:highlight w:val="none"/>
              </w:rPr>
            </w:pPr>
            <w:r>
              <w:rPr>
                <w:rFonts w:ascii="宋体" w:hAnsi="宋体" w:cs="宋体"/>
                <w:color w:val="auto"/>
                <w:highlight w:val="none"/>
              </w:rPr>
              <w:t>N</w:t>
            </w:r>
          </w:p>
        </w:tc>
        <w:tc>
          <w:tcPr>
            <w:tcW w:w="1138" w:type="dxa"/>
            <w:vAlign w:val="center"/>
          </w:tcPr>
          <w:p w14:paraId="664B6F10">
            <w:pPr>
              <w:spacing w:line="300" w:lineRule="exact"/>
              <w:ind w:firstLine="420" w:firstLineChars="200"/>
              <w:rPr>
                <w:rFonts w:ascii="宋体" w:cs="宋体"/>
                <w:color w:val="auto"/>
                <w:highlight w:val="none"/>
              </w:rPr>
            </w:pPr>
          </w:p>
        </w:tc>
        <w:tc>
          <w:tcPr>
            <w:tcW w:w="1138" w:type="dxa"/>
            <w:vAlign w:val="center"/>
          </w:tcPr>
          <w:p w14:paraId="44E69287">
            <w:pPr>
              <w:spacing w:line="300" w:lineRule="exact"/>
              <w:ind w:firstLine="420" w:firstLineChars="200"/>
              <w:rPr>
                <w:rFonts w:ascii="宋体" w:cs="宋体"/>
                <w:color w:val="auto"/>
                <w:highlight w:val="none"/>
              </w:rPr>
            </w:pPr>
          </w:p>
        </w:tc>
        <w:tc>
          <w:tcPr>
            <w:tcW w:w="1138" w:type="dxa"/>
            <w:vAlign w:val="center"/>
          </w:tcPr>
          <w:p w14:paraId="0A6BCB74">
            <w:pPr>
              <w:spacing w:line="300" w:lineRule="exact"/>
              <w:ind w:firstLine="420" w:firstLineChars="200"/>
              <w:rPr>
                <w:rFonts w:ascii="宋体" w:cs="宋体"/>
                <w:color w:val="auto"/>
                <w:highlight w:val="none"/>
              </w:rPr>
            </w:pPr>
          </w:p>
        </w:tc>
        <w:tc>
          <w:tcPr>
            <w:tcW w:w="1138" w:type="dxa"/>
            <w:vAlign w:val="center"/>
          </w:tcPr>
          <w:p w14:paraId="44727A90">
            <w:pPr>
              <w:spacing w:line="300" w:lineRule="exact"/>
              <w:ind w:firstLine="420" w:firstLineChars="200"/>
              <w:rPr>
                <w:rFonts w:ascii="宋体" w:cs="宋体"/>
                <w:color w:val="auto"/>
                <w:highlight w:val="none"/>
              </w:rPr>
            </w:pPr>
          </w:p>
        </w:tc>
        <w:tc>
          <w:tcPr>
            <w:tcW w:w="1138" w:type="dxa"/>
            <w:vAlign w:val="center"/>
          </w:tcPr>
          <w:p w14:paraId="2F16CB7C">
            <w:pPr>
              <w:spacing w:line="300" w:lineRule="exact"/>
              <w:ind w:firstLine="420" w:firstLineChars="200"/>
              <w:rPr>
                <w:rFonts w:ascii="宋体" w:cs="宋体"/>
                <w:color w:val="auto"/>
                <w:highlight w:val="none"/>
              </w:rPr>
            </w:pPr>
          </w:p>
        </w:tc>
        <w:tc>
          <w:tcPr>
            <w:tcW w:w="1138" w:type="dxa"/>
            <w:vAlign w:val="center"/>
          </w:tcPr>
          <w:p w14:paraId="753038B0">
            <w:pPr>
              <w:spacing w:line="300" w:lineRule="exact"/>
              <w:ind w:firstLine="420" w:firstLineChars="200"/>
              <w:rPr>
                <w:rFonts w:ascii="宋体" w:cs="宋体"/>
                <w:color w:val="auto"/>
                <w:highlight w:val="none"/>
              </w:rPr>
            </w:pPr>
          </w:p>
        </w:tc>
        <w:tc>
          <w:tcPr>
            <w:tcW w:w="1138" w:type="dxa"/>
            <w:vAlign w:val="center"/>
          </w:tcPr>
          <w:p w14:paraId="11B2FA14">
            <w:pPr>
              <w:spacing w:line="300" w:lineRule="exact"/>
              <w:ind w:firstLine="420" w:firstLineChars="200"/>
              <w:rPr>
                <w:rFonts w:ascii="宋体" w:cs="宋体"/>
                <w:color w:val="auto"/>
                <w:highlight w:val="none"/>
              </w:rPr>
            </w:pPr>
          </w:p>
        </w:tc>
        <w:tc>
          <w:tcPr>
            <w:tcW w:w="795" w:type="dxa"/>
          </w:tcPr>
          <w:p w14:paraId="1A991E81">
            <w:pPr>
              <w:spacing w:line="300" w:lineRule="exact"/>
              <w:ind w:firstLine="420" w:firstLineChars="200"/>
              <w:rPr>
                <w:rFonts w:ascii="宋体" w:cs="宋体"/>
                <w:color w:val="auto"/>
                <w:highlight w:val="none"/>
              </w:rPr>
            </w:pPr>
          </w:p>
        </w:tc>
      </w:tr>
    </w:tbl>
    <w:p w14:paraId="525A9338">
      <w:pPr>
        <w:spacing w:line="400" w:lineRule="exact"/>
        <w:rPr>
          <w:rFonts w:ascii="宋体" w:cs="宋体"/>
          <w:color w:val="auto"/>
          <w:highlight w:val="none"/>
        </w:rPr>
      </w:pPr>
    </w:p>
    <w:p w14:paraId="2BF1ABBE">
      <w:pPr>
        <w:spacing w:line="400" w:lineRule="exact"/>
        <w:rPr>
          <w:rFonts w:ascii="宋体" w:cs="宋体"/>
          <w:color w:val="auto"/>
          <w:highlight w:val="none"/>
        </w:rPr>
      </w:pPr>
      <w:r>
        <w:rPr>
          <w:rFonts w:hint="eastAsia" w:ascii="宋体" w:hAnsi="宋体" w:cs="宋体"/>
          <w:color w:val="auto"/>
          <w:highlight w:val="none"/>
        </w:rPr>
        <w:t>附表三：劳动力计划表</w:t>
      </w:r>
    </w:p>
    <w:p w14:paraId="2E8CAB8A">
      <w:pPr>
        <w:spacing w:line="400" w:lineRule="exact"/>
        <w:ind w:firstLine="7245" w:firstLineChars="3450"/>
        <w:rPr>
          <w:rFonts w:ascii="宋体" w:cs="宋体"/>
          <w:color w:val="auto"/>
          <w:highlight w:val="none"/>
        </w:rPr>
      </w:pPr>
      <w:r>
        <w:rPr>
          <w:rFonts w:hint="eastAsia" w:ascii="宋体" w:hAnsi="宋体" w:cs="宋体"/>
          <w:color w:val="auto"/>
          <w:highlight w:val="none"/>
        </w:rPr>
        <w:t>单位：人</w:t>
      </w:r>
    </w:p>
    <w:tbl>
      <w:tblPr>
        <w:tblStyle w:val="47"/>
        <w:tblW w:w="9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912"/>
        <w:gridCol w:w="1193"/>
        <w:gridCol w:w="1194"/>
        <w:gridCol w:w="1193"/>
        <w:gridCol w:w="1194"/>
        <w:gridCol w:w="1193"/>
        <w:gridCol w:w="1767"/>
      </w:tblGrid>
      <w:tr w14:paraId="4902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10" w:type="dxa"/>
            <w:vAlign w:val="center"/>
          </w:tcPr>
          <w:p w14:paraId="606F0444">
            <w:pPr>
              <w:spacing w:line="300" w:lineRule="exact"/>
              <w:jc w:val="center"/>
              <w:rPr>
                <w:rFonts w:ascii="宋体" w:cs="宋体"/>
                <w:color w:val="auto"/>
                <w:highlight w:val="none"/>
              </w:rPr>
            </w:pPr>
            <w:r>
              <w:rPr>
                <w:rFonts w:hint="eastAsia" w:ascii="宋体" w:hAnsi="宋体" w:cs="宋体"/>
                <w:color w:val="auto"/>
                <w:highlight w:val="none"/>
              </w:rPr>
              <w:t>工种</w:t>
            </w:r>
          </w:p>
        </w:tc>
        <w:tc>
          <w:tcPr>
            <w:tcW w:w="8646" w:type="dxa"/>
            <w:gridSpan w:val="7"/>
            <w:vAlign w:val="center"/>
          </w:tcPr>
          <w:p w14:paraId="4092F6E2">
            <w:pPr>
              <w:spacing w:line="300" w:lineRule="exact"/>
              <w:jc w:val="center"/>
              <w:rPr>
                <w:rFonts w:ascii="宋体" w:cs="宋体"/>
                <w:color w:val="auto"/>
                <w:highlight w:val="none"/>
              </w:rPr>
            </w:pPr>
            <w:r>
              <w:rPr>
                <w:rFonts w:hint="eastAsia" w:ascii="宋体" w:hAnsi="宋体" w:cs="宋体"/>
                <w:color w:val="auto"/>
                <w:highlight w:val="none"/>
              </w:rPr>
              <w:t>按工程施工阶段投入劳动力情况</w:t>
            </w:r>
          </w:p>
        </w:tc>
      </w:tr>
      <w:tr w14:paraId="2BF7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10" w:type="dxa"/>
            <w:vAlign w:val="center"/>
          </w:tcPr>
          <w:p w14:paraId="5C05DE35">
            <w:pPr>
              <w:spacing w:line="300" w:lineRule="exact"/>
              <w:jc w:val="center"/>
              <w:rPr>
                <w:rFonts w:ascii="宋体" w:cs="宋体"/>
                <w:color w:val="auto"/>
                <w:highlight w:val="none"/>
              </w:rPr>
            </w:pPr>
            <w:r>
              <w:rPr>
                <w:rFonts w:hint="eastAsia" w:ascii="宋体" w:hAnsi="宋体" w:cs="宋体"/>
                <w:color w:val="auto"/>
                <w:highlight w:val="none"/>
              </w:rPr>
              <w:t>……</w:t>
            </w:r>
          </w:p>
        </w:tc>
        <w:tc>
          <w:tcPr>
            <w:tcW w:w="912" w:type="dxa"/>
            <w:vAlign w:val="center"/>
          </w:tcPr>
          <w:p w14:paraId="2C4D9FE1">
            <w:pPr>
              <w:spacing w:line="300" w:lineRule="exact"/>
              <w:rPr>
                <w:rFonts w:ascii="宋体" w:cs="宋体"/>
                <w:color w:val="auto"/>
                <w:highlight w:val="none"/>
              </w:rPr>
            </w:pPr>
          </w:p>
        </w:tc>
        <w:tc>
          <w:tcPr>
            <w:tcW w:w="1193" w:type="dxa"/>
            <w:vAlign w:val="center"/>
          </w:tcPr>
          <w:p w14:paraId="33529504">
            <w:pPr>
              <w:spacing w:line="300" w:lineRule="exact"/>
              <w:rPr>
                <w:rFonts w:ascii="宋体" w:cs="宋体"/>
                <w:color w:val="auto"/>
                <w:highlight w:val="none"/>
              </w:rPr>
            </w:pPr>
          </w:p>
        </w:tc>
        <w:tc>
          <w:tcPr>
            <w:tcW w:w="1194" w:type="dxa"/>
            <w:vAlign w:val="center"/>
          </w:tcPr>
          <w:p w14:paraId="517C1B9E">
            <w:pPr>
              <w:spacing w:line="300" w:lineRule="exact"/>
              <w:rPr>
                <w:rFonts w:ascii="宋体" w:cs="宋体"/>
                <w:color w:val="auto"/>
                <w:highlight w:val="none"/>
              </w:rPr>
            </w:pPr>
          </w:p>
        </w:tc>
        <w:tc>
          <w:tcPr>
            <w:tcW w:w="1193" w:type="dxa"/>
            <w:vAlign w:val="center"/>
          </w:tcPr>
          <w:p w14:paraId="035FBFA0">
            <w:pPr>
              <w:spacing w:line="300" w:lineRule="exact"/>
              <w:rPr>
                <w:rFonts w:ascii="宋体" w:cs="宋体"/>
                <w:color w:val="auto"/>
                <w:highlight w:val="none"/>
              </w:rPr>
            </w:pPr>
          </w:p>
        </w:tc>
        <w:tc>
          <w:tcPr>
            <w:tcW w:w="1194" w:type="dxa"/>
            <w:vAlign w:val="center"/>
          </w:tcPr>
          <w:p w14:paraId="734AE9DE">
            <w:pPr>
              <w:spacing w:line="300" w:lineRule="exact"/>
              <w:rPr>
                <w:rFonts w:ascii="宋体" w:cs="宋体"/>
                <w:color w:val="auto"/>
                <w:highlight w:val="none"/>
              </w:rPr>
            </w:pPr>
          </w:p>
        </w:tc>
        <w:tc>
          <w:tcPr>
            <w:tcW w:w="1193" w:type="dxa"/>
            <w:vAlign w:val="center"/>
          </w:tcPr>
          <w:p w14:paraId="73DB2426">
            <w:pPr>
              <w:spacing w:line="300" w:lineRule="exact"/>
              <w:rPr>
                <w:rFonts w:ascii="宋体" w:cs="宋体"/>
                <w:color w:val="auto"/>
                <w:highlight w:val="none"/>
              </w:rPr>
            </w:pPr>
          </w:p>
        </w:tc>
        <w:tc>
          <w:tcPr>
            <w:tcW w:w="1767" w:type="dxa"/>
            <w:vAlign w:val="center"/>
          </w:tcPr>
          <w:p w14:paraId="5B446202">
            <w:pPr>
              <w:spacing w:line="300" w:lineRule="exact"/>
              <w:rPr>
                <w:rFonts w:ascii="宋体" w:cs="宋体"/>
                <w:color w:val="auto"/>
                <w:highlight w:val="none"/>
              </w:rPr>
            </w:pPr>
          </w:p>
        </w:tc>
      </w:tr>
      <w:tr w14:paraId="6943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10" w:type="dxa"/>
            <w:vAlign w:val="center"/>
          </w:tcPr>
          <w:p w14:paraId="2539F159">
            <w:pPr>
              <w:spacing w:line="300" w:lineRule="exact"/>
              <w:jc w:val="center"/>
              <w:rPr>
                <w:rFonts w:ascii="宋体" w:cs="宋体"/>
                <w:color w:val="auto"/>
                <w:highlight w:val="none"/>
              </w:rPr>
            </w:pPr>
            <w:r>
              <w:rPr>
                <w:rFonts w:ascii="宋体" w:hAnsi="宋体" w:cs="宋体"/>
                <w:color w:val="auto"/>
                <w:highlight w:val="none"/>
              </w:rPr>
              <w:t>N</w:t>
            </w:r>
          </w:p>
        </w:tc>
        <w:tc>
          <w:tcPr>
            <w:tcW w:w="912" w:type="dxa"/>
            <w:vAlign w:val="center"/>
          </w:tcPr>
          <w:p w14:paraId="3EB41117">
            <w:pPr>
              <w:spacing w:line="300" w:lineRule="exact"/>
              <w:rPr>
                <w:rFonts w:ascii="宋体" w:cs="宋体"/>
                <w:color w:val="auto"/>
                <w:highlight w:val="none"/>
              </w:rPr>
            </w:pPr>
          </w:p>
        </w:tc>
        <w:tc>
          <w:tcPr>
            <w:tcW w:w="1193" w:type="dxa"/>
            <w:vAlign w:val="center"/>
          </w:tcPr>
          <w:p w14:paraId="0B570F2E">
            <w:pPr>
              <w:spacing w:line="300" w:lineRule="exact"/>
              <w:rPr>
                <w:rFonts w:ascii="宋体" w:cs="宋体"/>
                <w:color w:val="auto"/>
                <w:highlight w:val="none"/>
              </w:rPr>
            </w:pPr>
          </w:p>
        </w:tc>
        <w:tc>
          <w:tcPr>
            <w:tcW w:w="1194" w:type="dxa"/>
            <w:vAlign w:val="center"/>
          </w:tcPr>
          <w:p w14:paraId="275EE7C9">
            <w:pPr>
              <w:spacing w:line="300" w:lineRule="exact"/>
              <w:rPr>
                <w:rFonts w:ascii="宋体" w:cs="宋体"/>
                <w:color w:val="auto"/>
                <w:highlight w:val="none"/>
              </w:rPr>
            </w:pPr>
          </w:p>
        </w:tc>
        <w:tc>
          <w:tcPr>
            <w:tcW w:w="1193" w:type="dxa"/>
            <w:vAlign w:val="center"/>
          </w:tcPr>
          <w:p w14:paraId="22850ACB">
            <w:pPr>
              <w:spacing w:line="300" w:lineRule="exact"/>
              <w:rPr>
                <w:rFonts w:ascii="宋体" w:cs="宋体"/>
                <w:color w:val="auto"/>
                <w:highlight w:val="none"/>
              </w:rPr>
            </w:pPr>
          </w:p>
        </w:tc>
        <w:tc>
          <w:tcPr>
            <w:tcW w:w="1194" w:type="dxa"/>
            <w:vAlign w:val="center"/>
          </w:tcPr>
          <w:p w14:paraId="561071A3">
            <w:pPr>
              <w:spacing w:line="300" w:lineRule="exact"/>
              <w:rPr>
                <w:rFonts w:ascii="宋体" w:cs="宋体"/>
                <w:color w:val="auto"/>
                <w:highlight w:val="none"/>
              </w:rPr>
            </w:pPr>
          </w:p>
        </w:tc>
        <w:tc>
          <w:tcPr>
            <w:tcW w:w="1193" w:type="dxa"/>
            <w:vAlign w:val="center"/>
          </w:tcPr>
          <w:p w14:paraId="7C898219">
            <w:pPr>
              <w:spacing w:line="300" w:lineRule="exact"/>
              <w:rPr>
                <w:rFonts w:ascii="宋体" w:cs="宋体"/>
                <w:color w:val="auto"/>
                <w:highlight w:val="none"/>
              </w:rPr>
            </w:pPr>
          </w:p>
        </w:tc>
        <w:tc>
          <w:tcPr>
            <w:tcW w:w="1767" w:type="dxa"/>
            <w:vAlign w:val="center"/>
          </w:tcPr>
          <w:p w14:paraId="673B82B9">
            <w:pPr>
              <w:spacing w:line="300" w:lineRule="exact"/>
              <w:rPr>
                <w:rFonts w:ascii="宋体" w:cs="宋体"/>
                <w:color w:val="auto"/>
                <w:highlight w:val="none"/>
              </w:rPr>
            </w:pPr>
          </w:p>
        </w:tc>
      </w:tr>
    </w:tbl>
    <w:p w14:paraId="7AFA73E3">
      <w:pPr>
        <w:spacing w:line="400" w:lineRule="exact"/>
        <w:rPr>
          <w:rFonts w:ascii="宋体" w:cs="宋体"/>
          <w:color w:val="auto"/>
          <w:highlight w:val="none"/>
        </w:rPr>
      </w:pPr>
    </w:p>
    <w:p w14:paraId="5CB675C2">
      <w:pPr>
        <w:spacing w:line="400" w:lineRule="exact"/>
        <w:rPr>
          <w:rFonts w:ascii="宋体" w:cs="宋体"/>
          <w:color w:val="auto"/>
          <w:highlight w:val="none"/>
        </w:rPr>
      </w:pPr>
      <w:r>
        <w:rPr>
          <w:rFonts w:hint="eastAsia" w:ascii="宋体" w:hAnsi="宋体" w:cs="宋体"/>
          <w:color w:val="auto"/>
          <w:highlight w:val="none"/>
        </w:rPr>
        <w:t>附表四：计划开、竣工日期和施工进度网络图</w:t>
      </w:r>
    </w:p>
    <w:p w14:paraId="6F2A495D">
      <w:pPr>
        <w:spacing w:line="400" w:lineRule="exact"/>
        <w:rPr>
          <w:rFonts w:ascii="宋体" w:cs="宋体"/>
          <w:color w:val="auto"/>
          <w:highlight w:val="none"/>
        </w:rPr>
      </w:pPr>
      <w:r>
        <w:rPr>
          <w:rFonts w:ascii="宋体" w:hAnsi="宋体" w:cs="宋体"/>
          <w:color w:val="auto"/>
          <w:highlight w:val="none"/>
        </w:rPr>
        <w:t>1.</w:t>
      </w:r>
      <w:r>
        <w:rPr>
          <w:rFonts w:hint="eastAsia" w:ascii="宋体" w:hAnsi="宋体" w:cs="宋体"/>
          <w:color w:val="auto"/>
          <w:highlight w:val="none"/>
        </w:rPr>
        <w:t>竞标人应提交的施工进度网络图或施工进度表，说明按《竞争性磋商文件》要求的工期进行施工的各个关键日期。成交的竞标人还应按合同条件有关条款的要求提交详细的施工进度计划。</w:t>
      </w:r>
    </w:p>
    <w:p w14:paraId="79BFA899">
      <w:pPr>
        <w:spacing w:line="400" w:lineRule="exact"/>
        <w:rPr>
          <w:rFonts w:ascii="宋体" w:cs="宋体"/>
          <w:color w:val="auto"/>
          <w:highlight w:val="none"/>
        </w:rPr>
      </w:pPr>
      <w:r>
        <w:rPr>
          <w:rFonts w:ascii="宋体" w:hAnsi="宋体" w:cs="宋体"/>
          <w:color w:val="auto"/>
          <w:highlight w:val="none"/>
        </w:rPr>
        <w:t>2.</w:t>
      </w:r>
      <w:r>
        <w:rPr>
          <w:rFonts w:hint="eastAsia" w:ascii="宋体" w:hAnsi="宋体" w:cs="宋体"/>
          <w:color w:val="auto"/>
          <w:highlight w:val="none"/>
        </w:rPr>
        <w:t>施工进度表可采用网络图（或横道图）表示，说明计划开工日期和各分项工程各阶段的完工日期和分包合同签订的日期。</w:t>
      </w:r>
    </w:p>
    <w:p w14:paraId="1484DD41">
      <w:pPr>
        <w:spacing w:line="400" w:lineRule="exact"/>
        <w:rPr>
          <w:rFonts w:ascii="宋体" w:cs="宋体"/>
          <w:color w:val="auto"/>
          <w:highlight w:val="none"/>
        </w:rPr>
      </w:pPr>
      <w:r>
        <w:rPr>
          <w:rFonts w:ascii="宋体" w:hAnsi="宋体" w:cs="宋体"/>
          <w:color w:val="auto"/>
          <w:highlight w:val="none"/>
        </w:rPr>
        <w:t>3.</w:t>
      </w:r>
      <w:r>
        <w:rPr>
          <w:rFonts w:hint="eastAsia" w:ascii="宋体" w:hAnsi="宋体" w:cs="宋体"/>
          <w:color w:val="auto"/>
          <w:highlight w:val="none"/>
        </w:rPr>
        <w:t>施工进度计划应与施工组织设计相适应。</w:t>
      </w:r>
    </w:p>
    <w:p w14:paraId="03079A5D">
      <w:pPr>
        <w:spacing w:line="400" w:lineRule="exact"/>
        <w:rPr>
          <w:rFonts w:ascii="宋体" w:cs="宋体"/>
          <w:color w:val="auto"/>
          <w:highlight w:val="none"/>
        </w:rPr>
      </w:pPr>
    </w:p>
    <w:p w14:paraId="6DC85773">
      <w:pPr>
        <w:spacing w:line="400" w:lineRule="exact"/>
        <w:rPr>
          <w:rFonts w:ascii="宋体" w:cs="宋体"/>
          <w:color w:val="auto"/>
          <w:highlight w:val="none"/>
        </w:rPr>
      </w:pPr>
      <w:r>
        <w:rPr>
          <w:rFonts w:hint="eastAsia" w:ascii="宋体" w:hAnsi="宋体" w:cs="宋体"/>
          <w:color w:val="auto"/>
          <w:highlight w:val="none"/>
        </w:rPr>
        <w:t>附表五：施工总平面图</w:t>
      </w:r>
    </w:p>
    <w:p w14:paraId="03B4305F">
      <w:pPr>
        <w:spacing w:line="400" w:lineRule="exact"/>
        <w:rPr>
          <w:rFonts w:ascii="宋体" w:cs="宋体"/>
          <w:color w:val="auto"/>
          <w:highlight w:val="none"/>
        </w:rPr>
      </w:pPr>
      <w:r>
        <w:rPr>
          <w:rFonts w:hint="eastAsia" w:ascii="宋体" w:hAnsi="宋体" w:cs="宋体"/>
          <w:color w:val="auto"/>
          <w:highlight w:val="none"/>
        </w:rPr>
        <w:t>竞标人应递交一份施工总平面图，绘出现场临时设施布置图表并附文字说明，说明临时设施、加工车间、现场办公、设备及仓储、供电、供水、卫生、生活、道路、消防等设施的情况和布置。</w:t>
      </w:r>
    </w:p>
    <w:p w14:paraId="5CF453CA">
      <w:pPr>
        <w:spacing w:line="400" w:lineRule="exact"/>
        <w:rPr>
          <w:rFonts w:ascii="宋体" w:cs="宋体"/>
          <w:color w:val="auto"/>
          <w:highlight w:val="none"/>
        </w:rPr>
      </w:pPr>
    </w:p>
    <w:p w14:paraId="5DBC7246">
      <w:pPr>
        <w:spacing w:line="400" w:lineRule="exact"/>
        <w:rPr>
          <w:rFonts w:ascii="宋体" w:cs="宋体"/>
          <w:color w:val="auto"/>
          <w:highlight w:val="none"/>
        </w:rPr>
      </w:pPr>
      <w:r>
        <w:rPr>
          <w:rFonts w:hint="eastAsia" w:ascii="宋体" w:hAnsi="宋体" w:cs="宋体"/>
          <w:color w:val="auto"/>
          <w:highlight w:val="none"/>
        </w:rPr>
        <w:t>附表六：临时用地表</w:t>
      </w:r>
    </w:p>
    <w:p w14:paraId="1A6F3B45">
      <w:pPr>
        <w:rPr>
          <w:rFonts w:ascii="宋体" w:cs="宋体"/>
          <w:color w:val="auto"/>
          <w:highlight w:val="none"/>
        </w:rPr>
      </w:pPr>
    </w:p>
    <w:tbl>
      <w:tblPr>
        <w:tblStyle w:val="47"/>
        <w:tblW w:w="93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2450"/>
        <w:gridCol w:w="2450"/>
        <w:gridCol w:w="2029"/>
      </w:tblGrid>
      <w:tr w14:paraId="448A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450" w:type="dxa"/>
            <w:vAlign w:val="center"/>
          </w:tcPr>
          <w:p w14:paraId="6B77B12A">
            <w:pPr>
              <w:spacing w:line="300" w:lineRule="exact"/>
              <w:jc w:val="center"/>
              <w:rPr>
                <w:rFonts w:ascii="宋体" w:cs="宋体"/>
                <w:color w:val="auto"/>
                <w:highlight w:val="none"/>
              </w:rPr>
            </w:pPr>
            <w:r>
              <w:rPr>
                <w:rFonts w:hint="eastAsia" w:ascii="宋体" w:hAnsi="宋体" w:cs="宋体"/>
                <w:color w:val="auto"/>
                <w:highlight w:val="none"/>
              </w:rPr>
              <w:t>用途</w:t>
            </w:r>
          </w:p>
        </w:tc>
        <w:tc>
          <w:tcPr>
            <w:tcW w:w="2450" w:type="dxa"/>
            <w:vAlign w:val="center"/>
          </w:tcPr>
          <w:p w14:paraId="760D9C83">
            <w:pPr>
              <w:spacing w:line="300" w:lineRule="exact"/>
              <w:jc w:val="center"/>
              <w:rPr>
                <w:rFonts w:ascii="宋体" w:cs="宋体"/>
                <w:color w:val="auto"/>
                <w:highlight w:val="none"/>
              </w:rPr>
            </w:pPr>
            <w:r>
              <w:rPr>
                <w:rFonts w:hint="eastAsia" w:ascii="宋体" w:hAnsi="宋体" w:cs="宋体"/>
                <w:color w:val="auto"/>
                <w:highlight w:val="none"/>
              </w:rPr>
              <w:t>面积（平方米）</w:t>
            </w:r>
          </w:p>
        </w:tc>
        <w:tc>
          <w:tcPr>
            <w:tcW w:w="2450" w:type="dxa"/>
            <w:vAlign w:val="center"/>
          </w:tcPr>
          <w:p w14:paraId="38F07134">
            <w:pPr>
              <w:spacing w:line="300" w:lineRule="exact"/>
              <w:jc w:val="center"/>
              <w:rPr>
                <w:rFonts w:ascii="宋体" w:cs="宋体"/>
                <w:color w:val="auto"/>
                <w:highlight w:val="none"/>
              </w:rPr>
            </w:pPr>
            <w:r>
              <w:rPr>
                <w:rFonts w:hint="eastAsia" w:ascii="宋体" w:hAnsi="宋体" w:cs="宋体"/>
                <w:color w:val="auto"/>
                <w:highlight w:val="none"/>
              </w:rPr>
              <w:t>位置</w:t>
            </w:r>
          </w:p>
        </w:tc>
        <w:tc>
          <w:tcPr>
            <w:tcW w:w="2029" w:type="dxa"/>
            <w:vAlign w:val="center"/>
          </w:tcPr>
          <w:p w14:paraId="2D00D33D">
            <w:pPr>
              <w:spacing w:line="300" w:lineRule="exact"/>
              <w:jc w:val="center"/>
              <w:rPr>
                <w:rFonts w:ascii="宋体" w:cs="宋体"/>
                <w:color w:val="auto"/>
                <w:highlight w:val="none"/>
              </w:rPr>
            </w:pPr>
            <w:r>
              <w:rPr>
                <w:rFonts w:hint="eastAsia" w:ascii="宋体" w:hAnsi="宋体" w:cs="宋体"/>
                <w:color w:val="auto"/>
                <w:highlight w:val="none"/>
              </w:rPr>
              <w:t>需用时间</w:t>
            </w:r>
          </w:p>
        </w:tc>
      </w:tr>
      <w:tr w14:paraId="2C9F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450" w:type="dxa"/>
            <w:vAlign w:val="center"/>
          </w:tcPr>
          <w:p w14:paraId="3D9A2544">
            <w:pPr>
              <w:spacing w:line="300" w:lineRule="exact"/>
              <w:jc w:val="center"/>
              <w:rPr>
                <w:rFonts w:ascii="宋体" w:cs="宋体"/>
                <w:color w:val="auto"/>
                <w:highlight w:val="none"/>
              </w:rPr>
            </w:pPr>
            <w:r>
              <w:rPr>
                <w:rFonts w:hint="eastAsia" w:ascii="宋体" w:hAnsi="宋体" w:cs="宋体"/>
                <w:color w:val="auto"/>
                <w:highlight w:val="none"/>
              </w:rPr>
              <w:t>……</w:t>
            </w:r>
          </w:p>
        </w:tc>
        <w:tc>
          <w:tcPr>
            <w:tcW w:w="2450" w:type="dxa"/>
          </w:tcPr>
          <w:p w14:paraId="2ECFB697">
            <w:pPr>
              <w:spacing w:line="300" w:lineRule="exact"/>
              <w:rPr>
                <w:rFonts w:ascii="宋体" w:cs="宋体"/>
                <w:color w:val="auto"/>
                <w:highlight w:val="none"/>
              </w:rPr>
            </w:pPr>
          </w:p>
        </w:tc>
        <w:tc>
          <w:tcPr>
            <w:tcW w:w="2450" w:type="dxa"/>
          </w:tcPr>
          <w:p w14:paraId="2D429BD6">
            <w:pPr>
              <w:spacing w:line="300" w:lineRule="exact"/>
              <w:rPr>
                <w:rFonts w:ascii="宋体" w:cs="宋体"/>
                <w:color w:val="auto"/>
                <w:highlight w:val="none"/>
              </w:rPr>
            </w:pPr>
          </w:p>
        </w:tc>
        <w:tc>
          <w:tcPr>
            <w:tcW w:w="2029" w:type="dxa"/>
          </w:tcPr>
          <w:p w14:paraId="203FBF94">
            <w:pPr>
              <w:spacing w:line="300" w:lineRule="exact"/>
              <w:rPr>
                <w:rFonts w:ascii="宋体" w:cs="宋体"/>
                <w:color w:val="auto"/>
                <w:highlight w:val="none"/>
              </w:rPr>
            </w:pPr>
          </w:p>
        </w:tc>
      </w:tr>
      <w:tr w14:paraId="39F4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450" w:type="dxa"/>
            <w:vAlign w:val="center"/>
          </w:tcPr>
          <w:p w14:paraId="43A10388">
            <w:pPr>
              <w:spacing w:line="300" w:lineRule="exact"/>
              <w:jc w:val="center"/>
              <w:rPr>
                <w:rFonts w:ascii="宋体" w:cs="宋体"/>
                <w:color w:val="auto"/>
                <w:highlight w:val="none"/>
              </w:rPr>
            </w:pPr>
            <w:r>
              <w:rPr>
                <w:rFonts w:ascii="宋体" w:hAnsi="宋体" w:cs="宋体"/>
                <w:color w:val="auto"/>
                <w:highlight w:val="none"/>
              </w:rPr>
              <w:t>N</w:t>
            </w:r>
          </w:p>
        </w:tc>
        <w:tc>
          <w:tcPr>
            <w:tcW w:w="2450" w:type="dxa"/>
          </w:tcPr>
          <w:p w14:paraId="41FD2EEB">
            <w:pPr>
              <w:spacing w:line="300" w:lineRule="exact"/>
              <w:rPr>
                <w:rFonts w:ascii="宋体" w:cs="宋体"/>
                <w:color w:val="auto"/>
                <w:highlight w:val="none"/>
              </w:rPr>
            </w:pPr>
          </w:p>
        </w:tc>
        <w:tc>
          <w:tcPr>
            <w:tcW w:w="2450" w:type="dxa"/>
          </w:tcPr>
          <w:p w14:paraId="47F0B126">
            <w:pPr>
              <w:spacing w:line="300" w:lineRule="exact"/>
              <w:rPr>
                <w:rFonts w:ascii="宋体" w:cs="宋体"/>
                <w:color w:val="auto"/>
                <w:highlight w:val="none"/>
              </w:rPr>
            </w:pPr>
          </w:p>
        </w:tc>
        <w:tc>
          <w:tcPr>
            <w:tcW w:w="2029" w:type="dxa"/>
          </w:tcPr>
          <w:p w14:paraId="2E479310">
            <w:pPr>
              <w:spacing w:line="300" w:lineRule="exact"/>
              <w:rPr>
                <w:rFonts w:ascii="宋体" w:cs="宋体"/>
                <w:color w:val="auto"/>
                <w:highlight w:val="none"/>
              </w:rPr>
            </w:pPr>
          </w:p>
        </w:tc>
      </w:tr>
    </w:tbl>
    <w:p w14:paraId="199F29D5">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163B81E9">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28FD7194">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0C49C6A1">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62E3F562">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280ADBD3">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59FC28BE">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12F769AF">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7FF9E085">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45E368AE">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752C1832">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0FA11EE1">
      <w:pPr>
        <w:adjustRightInd w:val="0"/>
        <w:snapToGrid w:val="0"/>
        <w:spacing w:line="520" w:lineRule="exact"/>
        <w:rPr>
          <w:rFonts w:ascii="方正小标宋简体" w:hAnsi="方正小标宋简体" w:eastAsia="方正小标宋简体" w:cs="方正小标宋简体"/>
          <w:bCs/>
          <w:color w:val="auto"/>
          <w:sz w:val="28"/>
          <w:szCs w:val="28"/>
          <w:highlight w:val="none"/>
        </w:rPr>
      </w:pPr>
    </w:p>
    <w:p w14:paraId="6E65115E">
      <w:pPr>
        <w:pStyle w:val="4"/>
        <w:rPr>
          <w:color w:val="auto"/>
          <w:highlight w:val="none"/>
        </w:rPr>
      </w:pPr>
      <w:r>
        <w:rPr>
          <w:rFonts w:hint="eastAsia"/>
          <w:color w:val="auto"/>
          <w:highlight w:val="none"/>
        </w:rPr>
        <w:t>7、项目管理机构配备情况</w:t>
      </w:r>
    </w:p>
    <w:p w14:paraId="099B1E76">
      <w:pPr>
        <w:pStyle w:val="6"/>
        <w:jc w:val="center"/>
        <w:rPr>
          <w:color w:val="auto"/>
          <w:highlight w:val="none"/>
        </w:rPr>
      </w:pPr>
      <w:r>
        <w:rPr>
          <w:color w:val="auto"/>
          <w:highlight w:val="none"/>
        </w:rPr>
        <w:t>（</w:t>
      </w:r>
      <w:r>
        <w:rPr>
          <w:rFonts w:hint="eastAsia"/>
          <w:color w:val="auto"/>
          <w:highlight w:val="none"/>
        </w:rPr>
        <w:t>1）项目管理机构配备情况表</w:t>
      </w:r>
    </w:p>
    <w:tbl>
      <w:tblPr>
        <w:tblStyle w:val="47"/>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749C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C26BF9C">
            <w:pPr>
              <w:ind w:left="223" w:hanging="222" w:hangingChars="106"/>
              <w:jc w:val="center"/>
              <w:rPr>
                <w:rFonts w:ascii="宋体" w:hAnsi="宋体"/>
                <w:color w:val="auto"/>
                <w:highlight w:val="none"/>
              </w:rPr>
            </w:pPr>
            <w:r>
              <w:rPr>
                <w:rFonts w:ascii="宋体" w:hAnsi="宋体"/>
                <w:color w:val="auto"/>
                <w:highlight w:val="none"/>
              </w:rPr>
              <w:t>岗位</w:t>
            </w:r>
          </w:p>
        </w:tc>
        <w:tc>
          <w:tcPr>
            <w:tcW w:w="829" w:type="dxa"/>
            <w:vMerge w:val="restart"/>
            <w:vAlign w:val="center"/>
          </w:tcPr>
          <w:p w14:paraId="3F6DCA83">
            <w:pPr>
              <w:ind w:left="223" w:hanging="222" w:hangingChars="106"/>
              <w:jc w:val="center"/>
              <w:rPr>
                <w:rFonts w:ascii="宋体" w:hAnsi="宋体"/>
                <w:color w:val="auto"/>
                <w:highlight w:val="none"/>
              </w:rPr>
            </w:pPr>
            <w:r>
              <w:rPr>
                <w:rFonts w:ascii="宋体" w:hAnsi="宋体"/>
                <w:color w:val="auto"/>
                <w:highlight w:val="none"/>
              </w:rPr>
              <w:t>姓名</w:t>
            </w:r>
          </w:p>
        </w:tc>
        <w:tc>
          <w:tcPr>
            <w:tcW w:w="816" w:type="dxa"/>
            <w:vMerge w:val="restart"/>
            <w:vAlign w:val="center"/>
          </w:tcPr>
          <w:p w14:paraId="545D9902">
            <w:pPr>
              <w:ind w:left="223" w:hanging="222" w:hangingChars="106"/>
              <w:jc w:val="center"/>
              <w:rPr>
                <w:rFonts w:ascii="宋体" w:hAnsi="宋体"/>
                <w:color w:val="auto"/>
                <w:highlight w:val="none"/>
              </w:rPr>
            </w:pPr>
            <w:r>
              <w:rPr>
                <w:rFonts w:ascii="宋体" w:hAnsi="宋体"/>
                <w:color w:val="auto"/>
                <w:highlight w:val="none"/>
              </w:rPr>
              <w:t>职称</w:t>
            </w:r>
          </w:p>
        </w:tc>
        <w:tc>
          <w:tcPr>
            <w:tcW w:w="4592" w:type="dxa"/>
            <w:gridSpan w:val="4"/>
            <w:vAlign w:val="center"/>
          </w:tcPr>
          <w:p w14:paraId="2B57B3AA">
            <w:pPr>
              <w:ind w:left="223" w:hanging="222" w:hangingChars="106"/>
              <w:jc w:val="center"/>
              <w:rPr>
                <w:rFonts w:ascii="宋体" w:hAnsi="宋体"/>
                <w:color w:val="auto"/>
                <w:highlight w:val="none"/>
              </w:rPr>
            </w:pPr>
            <w:r>
              <w:rPr>
                <w:rFonts w:ascii="宋体" w:hAnsi="宋体"/>
                <w:color w:val="auto"/>
                <w:highlight w:val="none"/>
              </w:rPr>
              <w:t>执业或职业资格证明</w:t>
            </w:r>
          </w:p>
        </w:tc>
        <w:tc>
          <w:tcPr>
            <w:tcW w:w="2126" w:type="dxa"/>
            <w:gridSpan w:val="2"/>
            <w:vAlign w:val="center"/>
          </w:tcPr>
          <w:p w14:paraId="578A09AE">
            <w:pPr>
              <w:ind w:left="223" w:hanging="222" w:hangingChars="106"/>
              <w:jc w:val="center"/>
              <w:rPr>
                <w:rFonts w:ascii="宋体" w:hAnsi="宋体"/>
                <w:color w:val="auto"/>
                <w:highlight w:val="none"/>
              </w:rPr>
            </w:pPr>
            <w:r>
              <w:rPr>
                <w:rFonts w:ascii="宋体" w:hAnsi="宋体"/>
                <w:color w:val="auto"/>
                <w:highlight w:val="none"/>
              </w:rPr>
              <w:t>承担完工工程情况</w:t>
            </w:r>
          </w:p>
        </w:tc>
      </w:tr>
      <w:tr w14:paraId="4CD9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A0BDDF7">
            <w:pPr>
              <w:ind w:left="223" w:hanging="222" w:hangingChars="106"/>
              <w:jc w:val="center"/>
              <w:rPr>
                <w:rFonts w:ascii="宋体" w:hAnsi="宋体"/>
                <w:color w:val="auto"/>
                <w:highlight w:val="none"/>
              </w:rPr>
            </w:pPr>
          </w:p>
        </w:tc>
        <w:tc>
          <w:tcPr>
            <w:tcW w:w="829" w:type="dxa"/>
            <w:vMerge w:val="continue"/>
            <w:vAlign w:val="center"/>
          </w:tcPr>
          <w:p w14:paraId="4C32926C">
            <w:pPr>
              <w:ind w:left="223" w:hanging="222" w:hangingChars="106"/>
              <w:jc w:val="center"/>
              <w:rPr>
                <w:rFonts w:ascii="宋体" w:hAnsi="宋体"/>
                <w:color w:val="auto"/>
                <w:highlight w:val="none"/>
              </w:rPr>
            </w:pPr>
          </w:p>
        </w:tc>
        <w:tc>
          <w:tcPr>
            <w:tcW w:w="816" w:type="dxa"/>
            <w:vMerge w:val="continue"/>
            <w:vAlign w:val="center"/>
          </w:tcPr>
          <w:p w14:paraId="48195B53">
            <w:pPr>
              <w:ind w:left="223" w:hanging="222" w:hangingChars="106"/>
              <w:jc w:val="center"/>
              <w:rPr>
                <w:rFonts w:ascii="宋体" w:hAnsi="宋体"/>
                <w:color w:val="auto"/>
                <w:highlight w:val="none"/>
              </w:rPr>
            </w:pPr>
          </w:p>
        </w:tc>
        <w:tc>
          <w:tcPr>
            <w:tcW w:w="1148" w:type="dxa"/>
            <w:vAlign w:val="center"/>
          </w:tcPr>
          <w:p w14:paraId="5306E162">
            <w:pPr>
              <w:ind w:left="223" w:hanging="222" w:hangingChars="106"/>
              <w:jc w:val="center"/>
              <w:rPr>
                <w:rFonts w:ascii="宋体" w:hAnsi="宋体"/>
                <w:color w:val="auto"/>
                <w:highlight w:val="none"/>
              </w:rPr>
            </w:pPr>
            <w:r>
              <w:rPr>
                <w:rFonts w:ascii="宋体" w:hAnsi="宋体"/>
                <w:color w:val="auto"/>
                <w:highlight w:val="none"/>
              </w:rPr>
              <w:t>证书名称</w:t>
            </w:r>
          </w:p>
        </w:tc>
        <w:tc>
          <w:tcPr>
            <w:tcW w:w="1148" w:type="dxa"/>
            <w:vAlign w:val="center"/>
          </w:tcPr>
          <w:p w14:paraId="7692F171">
            <w:pPr>
              <w:ind w:left="223" w:hanging="222" w:hangingChars="106"/>
              <w:jc w:val="center"/>
              <w:rPr>
                <w:rFonts w:ascii="宋体" w:hAnsi="宋体"/>
                <w:color w:val="auto"/>
                <w:highlight w:val="none"/>
              </w:rPr>
            </w:pPr>
            <w:r>
              <w:rPr>
                <w:rFonts w:ascii="宋体" w:hAnsi="宋体"/>
                <w:color w:val="auto"/>
                <w:highlight w:val="none"/>
              </w:rPr>
              <w:t>级别</w:t>
            </w:r>
          </w:p>
        </w:tc>
        <w:tc>
          <w:tcPr>
            <w:tcW w:w="1148" w:type="dxa"/>
            <w:vAlign w:val="center"/>
          </w:tcPr>
          <w:p w14:paraId="064F316F">
            <w:pPr>
              <w:ind w:left="223" w:hanging="222" w:hangingChars="106"/>
              <w:jc w:val="center"/>
              <w:rPr>
                <w:rFonts w:ascii="宋体" w:hAnsi="宋体"/>
                <w:color w:val="auto"/>
                <w:highlight w:val="none"/>
              </w:rPr>
            </w:pPr>
            <w:r>
              <w:rPr>
                <w:rFonts w:ascii="宋体" w:hAnsi="宋体"/>
                <w:color w:val="auto"/>
                <w:highlight w:val="none"/>
              </w:rPr>
              <w:t>证号</w:t>
            </w:r>
          </w:p>
        </w:tc>
        <w:tc>
          <w:tcPr>
            <w:tcW w:w="1148" w:type="dxa"/>
            <w:vAlign w:val="center"/>
          </w:tcPr>
          <w:p w14:paraId="17CC12C1">
            <w:pPr>
              <w:ind w:left="223" w:hanging="222" w:hangingChars="106"/>
              <w:jc w:val="center"/>
              <w:rPr>
                <w:rFonts w:ascii="宋体" w:hAnsi="宋体"/>
                <w:color w:val="auto"/>
                <w:highlight w:val="none"/>
              </w:rPr>
            </w:pPr>
            <w:r>
              <w:rPr>
                <w:rFonts w:ascii="宋体" w:hAnsi="宋体"/>
                <w:color w:val="auto"/>
                <w:highlight w:val="none"/>
              </w:rPr>
              <w:t>专业</w:t>
            </w:r>
          </w:p>
        </w:tc>
        <w:tc>
          <w:tcPr>
            <w:tcW w:w="850" w:type="dxa"/>
            <w:vAlign w:val="center"/>
          </w:tcPr>
          <w:p w14:paraId="61D8D5C8">
            <w:pPr>
              <w:ind w:left="223" w:hanging="222" w:hangingChars="106"/>
              <w:jc w:val="center"/>
              <w:rPr>
                <w:rFonts w:ascii="宋体" w:hAnsi="宋体"/>
                <w:color w:val="auto"/>
                <w:highlight w:val="none"/>
              </w:rPr>
            </w:pPr>
            <w:r>
              <w:rPr>
                <w:rFonts w:ascii="宋体" w:hAnsi="宋体"/>
                <w:color w:val="auto"/>
                <w:highlight w:val="none"/>
              </w:rPr>
              <w:t>项目数</w:t>
            </w:r>
          </w:p>
        </w:tc>
        <w:tc>
          <w:tcPr>
            <w:tcW w:w="1276" w:type="dxa"/>
            <w:vAlign w:val="center"/>
          </w:tcPr>
          <w:p w14:paraId="17920352">
            <w:pPr>
              <w:ind w:left="223" w:hanging="222" w:hangingChars="106"/>
              <w:jc w:val="center"/>
              <w:rPr>
                <w:rFonts w:ascii="宋体" w:hAnsi="宋体"/>
                <w:color w:val="auto"/>
                <w:highlight w:val="none"/>
              </w:rPr>
            </w:pPr>
            <w:r>
              <w:rPr>
                <w:rFonts w:ascii="宋体" w:hAnsi="宋体"/>
                <w:color w:val="auto"/>
                <w:highlight w:val="none"/>
              </w:rPr>
              <w:t>主要项目</w:t>
            </w:r>
          </w:p>
          <w:p w14:paraId="4699388B">
            <w:pPr>
              <w:ind w:left="223" w:hanging="222" w:hangingChars="106"/>
              <w:jc w:val="center"/>
              <w:rPr>
                <w:rFonts w:ascii="宋体" w:hAnsi="宋体"/>
                <w:color w:val="auto"/>
                <w:highlight w:val="none"/>
              </w:rPr>
            </w:pPr>
            <w:r>
              <w:rPr>
                <w:rFonts w:ascii="宋体" w:hAnsi="宋体"/>
                <w:color w:val="auto"/>
                <w:highlight w:val="none"/>
              </w:rPr>
              <w:t>名称</w:t>
            </w:r>
          </w:p>
        </w:tc>
      </w:tr>
      <w:tr w14:paraId="638C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Align w:val="center"/>
          </w:tcPr>
          <w:p w14:paraId="44B147E8">
            <w:pPr>
              <w:ind w:left="223" w:hanging="222" w:hangingChars="106"/>
              <w:rPr>
                <w:rFonts w:ascii="宋体" w:hAnsi="宋体"/>
                <w:color w:val="auto"/>
                <w:highlight w:val="none"/>
              </w:rPr>
            </w:pPr>
            <w:r>
              <w:rPr>
                <w:rFonts w:hint="eastAsia" w:ascii="宋体" w:hAnsi="宋体"/>
                <w:color w:val="auto"/>
                <w:highlight w:val="none"/>
              </w:rPr>
              <w:t>项目经理</w:t>
            </w:r>
          </w:p>
        </w:tc>
        <w:tc>
          <w:tcPr>
            <w:tcW w:w="829" w:type="dxa"/>
            <w:vAlign w:val="center"/>
          </w:tcPr>
          <w:p w14:paraId="4C027C6D">
            <w:pPr>
              <w:ind w:left="223" w:hanging="222" w:hangingChars="106"/>
              <w:jc w:val="center"/>
              <w:rPr>
                <w:rFonts w:ascii="宋体" w:hAnsi="宋体"/>
                <w:color w:val="auto"/>
                <w:highlight w:val="none"/>
              </w:rPr>
            </w:pPr>
          </w:p>
        </w:tc>
        <w:tc>
          <w:tcPr>
            <w:tcW w:w="816" w:type="dxa"/>
            <w:vAlign w:val="center"/>
          </w:tcPr>
          <w:p w14:paraId="285FA198">
            <w:pPr>
              <w:ind w:left="223" w:hanging="222" w:hangingChars="106"/>
              <w:jc w:val="center"/>
              <w:rPr>
                <w:rFonts w:ascii="宋体" w:hAnsi="宋体"/>
                <w:color w:val="auto"/>
                <w:highlight w:val="none"/>
              </w:rPr>
            </w:pPr>
          </w:p>
        </w:tc>
        <w:tc>
          <w:tcPr>
            <w:tcW w:w="1148" w:type="dxa"/>
            <w:vAlign w:val="center"/>
          </w:tcPr>
          <w:p w14:paraId="23652AC0">
            <w:pPr>
              <w:ind w:left="223" w:hanging="222" w:hangingChars="106"/>
              <w:jc w:val="center"/>
              <w:rPr>
                <w:rFonts w:ascii="宋体" w:hAnsi="宋体"/>
                <w:color w:val="auto"/>
                <w:highlight w:val="none"/>
              </w:rPr>
            </w:pPr>
          </w:p>
        </w:tc>
        <w:tc>
          <w:tcPr>
            <w:tcW w:w="1148" w:type="dxa"/>
            <w:vAlign w:val="center"/>
          </w:tcPr>
          <w:p w14:paraId="70E5B361">
            <w:pPr>
              <w:ind w:left="223" w:hanging="222" w:hangingChars="106"/>
              <w:jc w:val="center"/>
              <w:rPr>
                <w:rFonts w:ascii="宋体" w:hAnsi="宋体"/>
                <w:color w:val="auto"/>
                <w:highlight w:val="none"/>
              </w:rPr>
            </w:pPr>
          </w:p>
        </w:tc>
        <w:tc>
          <w:tcPr>
            <w:tcW w:w="1148" w:type="dxa"/>
            <w:vAlign w:val="center"/>
          </w:tcPr>
          <w:p w14:paraId="4DDA8BE1">
            <w:pPr>
              <w:ind w:left="223" w:hanging="222" w:hangingChars="106"/>
              <w:jc w:val="center"/>
              <w:rPr>
                <w:rFonts w:ascii="宋体" w:hAnsi="宋体"/>
                <w:color w:val="auto"/>
                <w:highlight w:val="none"/>
              </w:rPr>
            </w:pPr>
          </w:p>
        </w:tc>
        <w:tc>
          <w:tcPr>
            <w:tcW w:w="1148" w:type="dxa"/>
            <w:vAlign w:val="center"/>
          </w:tcPr>
          <w:p w14:paraId="4AED8D2B">
            <w:pPr>
              <w:ind w:left="223" w:hanging="222" w:hangingChars="106"/>
              <w:jc w:val="center"/>
              <w:rPr>
                <w:rFonts w:ascii="宋体" w:hAnsi="宋体"/>
                <w:color w:val="auto"/>
                <w:highlight w:val="none"/>
              </w:rPr>
            </w:pPr>
          </w:p>
        </w:tc>
        <w:tc>
          <w:tcPr>
            <w:tcW w:w="850" w:type="dxa"/>
            <w:vAlign w:val="center"/>
          </w:tcPr>
          <w:p w14:paraId="32A2FE18">
            <w:pPr>
              <w:ind w:left="223" w:hanging="222" w:hangingChars="106"/>
              <w:jc w:val="center"/>
              <w:rPr>
                <w:rFonts w:ascii="宋体" w:hAnsi="宋体"/>
                <w:color w:val="auto"/>
                <w:highlight w:val="none"/>
              </w:rPr>
            </w:pPr>
          </w:p>
        </w:tc>
        <w:tc>
          <w:tcPr>
            <w:tcW w:w="1276" w:type="dxa"/>
            <w:vAlign w:val="center"/>
          </w:tcPr>
          <w:p w14:paraId="5E4EC3E5">
            <w:pPr>
              <w:ind w:left="223" w:hanging="222" w:hangingChars="106"/>
              <w:jc w:val="center"/>
              <w:rPr>
                <w:rFonts w:ascii="宋体" w:hAnsi="宋体"/>
                <w:color w:val="auto"/>
                <w:highlight w:val="none"/>
              </w:rPr>
            </w:pPr>
          </w:p>
        </w:tc>
      </w:tr>
      <w:tr w14:paraId="7484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Align w:val="center"/>
          </w:tcPr>
          <w:p w14:paraId="7ADE8E3E">
            <w:pPr>
              <w:ind w:left="223" w:hanging="222" w:hangingChars="106"/>
              <w:rPr>
                <w:rFonts w:ascii="宋体" w:hAnsi="宋体"/>
                <w:color w:val="auto"/>
                <w:highlight w:val="none"/>
              </w:rPr>
            </w:pPr>
            <w:r>
              <w:rPr>
                <w:rFonts w:hint="eastAsia" w:ascii="宋体" w:hAnsi="宋体"/>
                <w:color w:val="auto"/>
                <w:highlight w:val="none"/>
              </w:rPr>
              <w:t>技术负责人</w:t>
            </w:r>
          </w:p>
        </w:tc>
        <w:tc>
          <w:tcPr>
            <w:tcW w:w="829" w:type="dxa"/>
            <w:vAlign w:val="center"/>
          </w:tcPr>
          <w:p w14:paraId="7885C8B0">
            <w:pPr>
              <w:ind w:left="223" w:hanging="222" w:hangingChars="106"/>
              <w:jc w:val="center"/>
              <w:rPr>
                <w:rFonts w:ascii="宋体" w:hAnsi="宋体"/>
                <w:color w:val="auto"/>
                <w:highlight w:val="none"/>
              </w:rPr>
            </w:pPr>
          </w:p>
        </w:tc>
        <w:tc>
          <w:tcPr>
            <w:tcW w:w="816" w:type="dxa"/>
            <w:vAlign w:val="center"/>
          </w:tcPr>
          <w:p w14:paraId="6CC39017">
            <w:pPr>
              <w:ind w:left="223" w:hanging="222" w:hangingChars="106"/>
              <w:jc w:val="center"/>
              <w:rPr>
                <w:rFonts w:ascii="宋体" w:hAnsi="宋体"/>
                <w:color w:val="auto"/>
                <w:highlight w:val="none"/>
              </w:rPr>
            </w:pPr>
          </w:p>
        </w:tc>
        <w:tc>
          <w:tcPr>
            <w:tcW w:w="1148" w:type="dxa"/>
            <w:vAlign w:val="center"/>
          </w:tcPr>
          <w:p w14:paraId="32BDCA76">
            <w:pPr>
              <w:ind w:left="223" w:hanging="222" w:hangingChars="106"/>
              <w:jc w:val="center"/>
              <w:rPr>
                <w:rFonts w:ascii="宋体" w:hAnsi="宋体"/>
                <w:color w:val="auto"/>
                <w:highlight w:val="none"/>
              </w:rPr>
            </w:pPr>
          </w:p>
        </w:tc>
        <w:tc>
          <w:tcPr>
            <w:tcW w:w="1148" w:type="dxa"/>
            <w:vAlign w:val="center"/>
          </w:tcPr>
          <w:p w14:paraId="23937AED">
            <w:pPr>
              <w:ind w:left="223" w:hanging="222" w:hangingChars="106"/>
              <w:jc w:val="center"/>
              <w:rPr>
                <w:rFonts w:ascii="宋体" w:hAnsi="宋体"/>
                <w:color w:val="auto"/>
                <w:highlight w:val="none"/>
              </w:rPr>
            </w:pPr>
          </w:p>
        </w:tc>
        <w:tc>
          <w:tcPr>
            <w:tcW w:w="1148" w:type="dxa"/>
            <w:vAlign w:val="center"/>
          </w:tcPr>
          <w:p w14:paraId="04EE38CF">
            <w:pPr>
              <w:ind w:left="223" w:hanging="222" w:hangingChars="106"/>
              <w:jc w:val="center"/>
              <w:rPr>
                <w:rFonts w:ascii="宋体" w:hAnsi="宋体"/>
                <w:color w:val="auto"/>
                <w:highlight w:val="none"/>
              </w:rPr>
            </w:pPr>
          </w:p>
        </w:tc>
        <w:tc>
          <w:tcPr>
            <w:tcW w:w="1148" w:type="dxa"/>
            <w:vAlign w:val="center"/>
          </w:tcPr>
          <w:p w14:paraId="363CC93E">
            <w:pPr>
              <w:ind w:left="223" w:hanging="222" w:hangingChars="106"/>
              <w:jc w:val="center"/>
              <w:rPr>
                <w:rFonts w:ascii="宋体" w:hAnsi="宋体"/>
                <w:color w:val="auto"/>
                <w:highlight w:val="none"/>
              </w:rPr>
            </w:pPr>
          </w:p>
        </w:tc>
        <w:tc>
          <w:tcPr>
            <w:tcW w:w="850" w:type="dxa"/>
            <w:vAlign w:val="center"/>
          </w:tcPr>
          <w:p w14:paraId="4B3904AA">
            <w:pPr>
              <w:ind w:left="223" w:hanging="222" w:hangingChars="106"/>
              <w:jc w:val="center"/>
              <w:rPr>
                <w:rFonts w:ascii="宋体" w:hAnsi="宋体"/>
                <w:color w:val="auto"/>
                <w:highlight w:val="none"/>
              </w:rPr>
            </w:pPr>
          </w:p>
        </w:tc>
        <w:tc>
          <w:tcPr>
            <w:tcW w:w="1276" w:type="dxa"/>
            <w:vAlign w:val="center"/>
          </w:tcPr>
          <w:p w14:paraId="7221085B">
            <w:pPr>
              <w:ind w:left="223" w:hanging="222" w:hangingChars="106"/>
              <w:jc w:val="center"/>
              <w:rPr>
                <w:rFonts w:ascii="宋体" w:hAnsi="宋体"/>
                <w:color w:val="auto"/>
                <w:highlight w:val="none"/>
              </w:rPr>
            </w:pPr>
          </w:p>
        </w:tc>
      </w:tr>
      <w:tr w14:paraId="7D2B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215EB07">
            <w:pPr>
              <w:ind w:left="223" w:hanging="222" w:hangingChars="106"/>
              <w:jc w:val="center"/>
              <w:rPr>
                <w:rFonts w:ascii="宋体" w:hAnsi="宋体"/>
                <w:color w:val="auto"/>
                <w:highlight w:val="none"/>
              </w:rPr>
            </w:pPr>
            <w:r>
              <w:rPr>
                <w:rFonts w:ascii="宋体" w:hAnsi="宋体"/>
                <w:color w:val="auto"/>
                <w:highlight w:val="none"/>
              </w:rPr>
              <w:t>施工员</w:t>
            </w:r>
          </w:p>
        </w:tc>
        <w:tc>
          <w:tcPr>
            <w:tcW w:w="829" w:type="dxa"/>
            <w:vAlign w:val="center"/>
          </w:tcPr>
          <w:p w14:paraId="30EA7802">
            <w:pPr>
              <w:ind w:left="223" w:hanging="222" w:hangingChars="106"/>
              <w:jc w:val="center"/>
              <w:rPr>
                <w:rFonts w:ascii="宋体" w:hAnsi="宋体"/>
                <w:color w:val="auto"/>
                <w:highlight w:val="none"/>
              </w:rPr>
            </w:pPr>
          </w:p>
        </w:tc>
        <w:tc>
          <w:tcPr>
            <w:tcW w:w="816" w:type="dxa"/>
            <w:vAlign w:val="center"/>
          </w:tcPr>
          <w:p w14:paraId="106DB48A">
            <w:pPr>
              <w:ind w:left="223" w:hanging="222" w:hangingChars="106"/>
              <w:jc w:val="center"/>
              <w:rPr>
                <w:rFonts w:ascii="宋体" w:hAnsi="宋体"/>
                <w:color w:val="auto"/>
                <w:highlight w:val="none"/>
              </w:rPr>
            </w:pPr>
          </w:p>
        </w:tc>
        <w:tc>
          <w:tcPr>
            <w:tcW w:w="1148" w:type="dxa"/>
            <w:vAlign w:val="center"/>
          </w:tcPr>
          <w:p w14:paraId="5F9F9CAE">
            <w:pPr>
              <w:ind w:left="223" w:hanging="222" w:hangingChars="106"/>
              <w:jc w:val="center"/>
              <w:rPr>
                <w:rFonts w:ascii="宋体" w:hAnsi="宋体"/>
                <w:color w:val="auto"/>
                <w:highlight w:val="none"/>
              </w:rPr>
            </w:pPr>
          </w:p>
        </w:tc>
        <w:tc>
          <w:tcPr>
            <w:tcW w:w="1148" w:type="dxa"/>
            <w:vAlign w:val="center"/>
          </w:tcPr>
          <w:p w14:paraId="2A0F82AD">
            <w:pPr>
              <w:ind w:left="223" w:hanging="222" w:hangingChars="106"/>
              <w:jc w:val="center"/>
              <w:rPr>
                <w:rFonts w:ascii="宋体" w:hAnsi="宋体"/>
                <w:color w:val="auto"/>
                <w:highlight w:val="none"/>
              </w:rPr>
            </w:pPr>
          </w:p>
        </w:tc>
        <w:tc>
          <w:tcPr>
            <w:tcW w:w="1148" w:type="dxa"/>
            <w:vAlign w:val="center"/>
          </w:tcPr>
          <w:p w14:paraId="6FF6D284">
            <w:pPr>
              <w:ind w:left="223" w:hanging="222" w:hangingChars="106"/>
              <w:jc w:val="center"/>
              <w:rPr>
                <w:rFonts w:ascii="宋体" w:hAnsi="宋体"/>
                <w:color w:val="auto"/>
                <w:highlight w:val="none"/>
              </w:rPr>
            </w:pPr>
          </w:p>
        </w:tc>
        <w:tc>
          <w:tcPr>
            <w:tcW w:w="1148" w:type="dxa"/>
            <w:vAlign w:val="center"/>
          </w:tcPr>
          <w:p w14:paraId="6DCD696D">
            <w:pPr>
              <w:ind w:left="223" w:hanging="222" w:hangingChars="106"/>
              <w:jc w:val="center"/>
              <w:rPr>
                <w:rFonts w:ascii="宋体" w:hAnsi="宋体"/>
                <w:color w:val="auto"/>
                <w:highlight w:val="none"/>
              </w:rPr>
            </w:pPr>
          </w:p>
        </w:tc>
        <w:tc>
          <w:tcPr>
            <w:tcW w:w="850" w:type="dxa"/>
            <w:vAlign w:val="center"/>
          </w:tcPr>
          <w:p w14:paraId="1CE520E5">
            <w:pPr>
              <w:ind w:left="223" w:hanging="222" w:hangingChars="106"/>
              <w:jc w:val="center"/>
              <w:rPr>
                <w:rFonts w:ascii="宋体" w:hAnsi="宋体"/>
                <w:color w:val="auto"/>
                <w:highlight w:val="none"/>
              </w:rPr>
            </w:pPr>
          </w:p>
        </w:tc>
        <w:tc>
          <w:tcPr>
            <w:tcW w:w="1276" w:type="dxa"/>
            <w:vAlign w:val="center"/>
          </w:tcPr>
          <w:p w14:paraId="496E569D">
            <w:pPr>
              <w:ind w:left="223" w:hanging="222" w:hangingChars="106"/>
              <w:jc w:val="center"/>
              <w:rPr>
                <w:rFonts w:ascii="宋体" w:hAnsi="宋体"/>
                <w:color w:val="auto"/>
                <w:highlight w:val="none"/>
              </w:rPr>
            </w:pPr>
          </w:p>
        </w:tc>
      </w:tr>
      <w:tr w14:paraId="42E4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3EC74A2">
            <w:pPr>
              <w:ind w:left="223" w:hanging="222" w:hangingChars="106"/>
              <w:jc w:val="center"/>
              <w:rPr>
                <w:rFonts w:ascii="宋体" w:hAnsi="宋体"/>
                <w:color w:val="auto"/>
                <w:highlight w:val="none"/>
              </w:rPr>
            </w:pPr>
            <w:r>
              <w:rPr>
                <w:rFonts w:ascii="宋体" w:hAnsi="宋体"/>
                <w:color w:val="auto"/>
                <w:highlight w:val="none"/>
              </w:rPr>
              <w:t>质量员</w:t>
            </w:r>
          </w:p>
        </w:tc>
        <w:tc>
          <w:tcPr>
            <w:tcW w:w="829" w:type="dxa"/>
            <w:vAlign w:val="center"/>
          </w:tcPr>
          <w:p w14:paraId="535FE656">
            <w:pPr>
              <w:ind w:left="223" w:hanging="222" w:hangingChars="106"/>
              <w:jc w:val="center"/>
              <w:rPr>
                <w:rFonts w:ascii="宋体" w:hAnsi="宋体"/>
                <w:color w:val="auto"/>
                <w:highlight w:val="none"/>
              </w:rPr>
            </w:pPr>
          </w:p>
        </w:tc>
        <w:tc>
          <w:tcPr>
            <w:tcW w:w="816" w:type="dxa"/>
            <w:vAlign w:val="center"/>
          </w:tcPr>
          <w:p w14:paraId="394897B2">
            <w:pPr>
              <w:ind w:left="223" w:hanging="222" w:hangingChars="106"/>
              <w:jc w:val="center"/>
              <w:rPr>
                <w:rFonts w:ascii="宋体" w:hAnsi="宋体"/>
                <w:color w:val="auto"/>
                <w:highlight w:val="none"/>
              </w:rPr>
            </w:pPr>
          </w:p>
        </w:tc>
        <w:tc>
          <w:tcPr>
            <w:tcW w:w="1148" w:type="dxa"/>
            <w:vAlign w:val="center"/>
          </w:tcPr>
          <w:p w14:paraId="2D5043F0">
            <w:pPr>
              <w:ind w:left="223" w:hanging="222" w:hangingChars="106"/>
              <w:jc w:val="center"/>
              <w:rPr>
                <w:rFonts w:ascii="宋体" w:hAnsi="宋体"/>
                <w:color w:val="auto"/>
                <w:highlight w:val="none"/>
              </w:rPr>
            </w:pPr>
          </w:p>
        </w:tc>
        <w:tc>
          <w:tcPr>
            <w:tcW w:w="1148" w:type="dxa"/>
            <w:vAlign w:val="center"/>
          </w:tcPr>
          <w:p w14:paraId="6BECFFF4">
            <w:pPr>
              <w:ind w:left="223" w:hanging="222" w:hangingChars="106"/>
              <w:jc w:val="center"/>
              <w:rPr>
                <w:rFonts w:ascii="宋体" w:hAnsi="宋体"/>
                <w:color w:val="auto"/>
                <w:highlight w:val="none"/>
              </w:rPr>
            </w:pPr>
          </w:p>
        </w:tc>
        <w:tc>
          <w:tcPr>
            <w:tcW w:w="1148" w:type="dxa"/>
            <w:vAlign w:val="center"/>
          </w:tcPr>
          <w:p w14:paraId="39540C2C">
            <w:pPr>
              <w:ind w:left="223" w:hanging="222" w:hangingChars="106"/>
              <w:jc w:val="center"/>
              <w:rPr>
                <w:rFonts w:ascii="宋体" w:hAnsi="宋体"/>
                <w:color w:val="auto"/>
                <w:highlight w:val="none"/>
              </w:rPr>
            </w:pPr>
          </w:p>
        </w:tc>
        <w:tc>
          <w:tcPr>
            <w:tcW w:w="1148" w:type="dxa"/>
            <w:vAlign w:val="center"/>
          </w:tcPr>
          <w:p w14:paraId="3EBEBB6C">
            <w:pPr>
              <w:ind w:left="223" w:hanging="222" w:hangingChars="106"/>
              <w:jc w:val="center"/>
              <w:rPr>
                <w:rFonts w:ascii="宋体" w:hAnsi="宋体"/>
                <w:color w:val="auto"/>
                <w:highlight w:val="none"/>
              </w:rPr>
            </w:pPr>
          </w:p>
        </w:tc>
        <w:tc>
          <w:tcPr>
            <w:tcW w:w="850" w:type="dxa"/>
            <w:vAlign w:val="center"/>
          </w:tcPr>
          <w:p w14:paraId="0EB79258">
            <w:pPr>
              <w:ind w:left="223" w:hanging="222" w:hangingChars="106"/>
              <w:jc w:val="center"/>
              <w:rPr>
                <w:rFonts w:ascii="宋体" w:hAnsi="宋体"/>
                <w:color w:val="auto"/>
                <w:highlight w:val="none"/>
              </w:rPr>
            </w:pPr>
          </w:p>
        </w:tc>
        <w:tc>
          <w:tcPr>
            <w:tcW w:w="1276" w:type="dxa"/>
            <w:vAlign w:val="center"/>
          </w:tcPr>
          <w:p w14:paraId="7837DBB0">
            <w:pPr>
              <w:ind w:left="223" w:hanging="222" w:hangingChars="106"/>
              <w:jc w:val="center"/>
              <w:rPr>
                <w:rFonts w:ascii="宋体" w:hAnsi="宋体"/>
                <w:color w:val="auto"/>
                <w:highlight w:val="none"/>
              </w:rPr>
            </w:pPr>
          </w:p>
        </w:tc>
      </w:tr>
      <w:tr w14:paraId="4028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Merge w:val="restart"/>
            <w:vAlign w:val="center"/>
          </w:tcPr>
          <w:p w14:paraId="334C85A2">
            <w:pPr>
              <w:ind w:left="223" w:hanging="222" w:hangingChars="106"/>
              <w:jc w:val="center"/>
              <w:rPr>
                <w:rFonts w:ascii="宋体" w:hAnsi="宋体"/>
                <w:color w:val="auto"/>
                <w:highlight w:val="none"/>
              </w:rPr>
            </w:pPr>
            <w:r>
              <w:rPr>
                <w:rFonts w:ascii="宋体" w:hAnsi="宋体"/>
                <w:color w:val="auto"/>
                <w:highlight w:val="none"/>
              </w:rPr>
              <w:t>安全员</w:t>
            </w:r>
          </w:p>
        </w:tc>
        <w:tc>
          <w:tcPr>
            <w:tcW w:w="829" w:type="dxa"/>
            <w:vAlign w:val="center"/>
          </w:tcPr>
          <w:p w14:paraId="42ED3961">
            <w:pPr>
              <w:ind w:left="223" w:hanging="222" w:hangingChars="106"/>
              <w:jc w:val="center"/>
              <w:rPr>
                <w:rFonts w:ascii="宋体" w:hAnsi="宋体"/>
                <w:color w:val="auto"/>
                <w:highlight w:val="none"/>
              </w:rPr>
            </w:pPr>
          </w:p>
        </w:tc>
        <w:tc>
          <w:tcPr>
            <w:tcW w:w="816" w:type="dxa"/>
            <w:vAlign w:val="center"/>
          </w:tcPr>
          <w:p w14:paraId="5C00BC72">
            <w:pPr>
              <w:ind w:left="223" w:hanging="222" w:hangingChars="106"/>
              <w:jc w:val="center"/>
              <w:rPr>
                <w:rFonts w:ascii="宋体" w:hAnsi="宋体"/>
                <w:color w:val="auto"/>
                <w:highlight w:val="none"/>
              </w:rPr>
            </w:pPr>
          </w:p>
        </w:tc>
        <w:tc>
          <w:tcPr>
            <w:tcW w:w="1148" w:type="dxa"/>
            <w:vAlign w:val="center"/>
          </w:tcPr>
          <w:p w14:paraId="23639B37">
            <w:pPr>
              <w:ind w:left="223" w:hanging="222" w:hangingChars="106"/>
              <w:jc w:val="center"/>
              <w:rPr>
                <w:rFonts w:ascii="宋体" w:hAnsi="宋体"/>
                <w:color w:val="auto"/>
                <w:highlight w:val="none"/>
              </w:rPr>
            </w:pPr>
          </w:p>
        </w:tc>
        <w:tc>
          <w:tcPr>
            <w:tcW w:w="1148" w:type="dxa"/>
            <w:vAlign w:val="center"/>
          </w:tcPr>
          <w:p w14:paraId="78DED282">
            <w:pPr>
              <w:ind w:left="223" w:hanging="222" w:hangingChars="106"/>
              <w:jc w:val="center"/>
              <w:rPr>
                <w:rFonts w:ascii="宋体" w:hAnsi="宋体"/>
                <w:color w:val="auto"/>
                <w:highlight w:val="none"/>
              </w:rPr>
            </w:pPr>
          </w:p>
        </w:tc>
        <w:tc>
          <w:tcPr>
            <w:tcW w:w="1148" w:type="dxa"/>
            <w:vAlign w:val="center"/>
          </w:tcPr>
          <w:p w14:paraId="3DD2ECE7">
            <w:pPr>
              <w:ind w:left="223" w:hanging="222" w:hangingChars="106"/>
              <w:jc w:val="center"/>
              <w:rPr>
                <w:rFonts w:ascii="宋体" w:hAnsi="宋体"/>
                <w:color w:val="auto"/>
                <w:highlight w:val="none"/>
              </w:rPr>
            </w:pPr>
          </w:p>
        </w:tc>
        <w:tc>
          <w:tcPr>
            <w:tcW w:w="1148" w:type="dxa"/>
            <w:vAlign w:val="center"/>
          </w:tcPr>
          <w:p w14:paraId="1114D8FA">
            <w:pPr>
              <w:ind w:left="223" w:hanging="222" w:hangingChars="106"/>
              <w:jc w:val="center"/>
              <w:rPr>
                <w:rFonts w:ascii="宋体" w:hAnsi="宋体"/>
                <w:color w:val="auto"/>
                <w:highlight w:val="none"/>
              </w:rPr>
            </w:pPr>
          </w:p>
        </w:tc>
        <w:tc>
          <w:tcPr>
            <w:tcW w:w="850" w:type="dxa"/>
            <w:vAlign w:val="center"/>
          </w:tcPr>
          <w:p w14:paraId="3637EF6E">
            <w:pPr>
              <w:ind w:left="223" w:hanging="222" w:hangingChars="106"/>
              <w:jc w:val="center"/>
              <w:rPr>
                <w:rFonts w:ascii="宋体" w:hAnsi="宋体"/>
                <w:color w:val="auto"/>
                <w:highlight w:val="none"/>
              </w:rPr>
            </w:pPr>
          </w:p>
        </w:tc>
        <w:tc>
          <w:tcPr>
            <w:tcW w:w="1276" w:type="dxa"/>
            <w:vAlign w:val="center"/>
          </w:tcPr>
          <w:p w14:paraId="2AA73C4D">
            <w:pPr>
              <w:ind w:left="223" w:hanging="222" w:hangingChars="106"/>
              <w:jc w:val="center"/>
              <w:rPr>
                <w:rFonts w:ascii="宋体" w:hAnsi="宋体"/>
                <w:color w:val="auto"/>
                <w:highlight w:val="none"/>
              </w:rPr>
            </w:pPr>
          </w:p>
        </w:tc>
      </w:tr>
      <w:tr w14:paraId="0A98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Merge w:val="continue"/>
            <w:vAlign w:val="center"/>
          </w:tcPr>
          <w:p w14:paraId="0F89C76D">
            <w:pPr>
              <w:ind w:left="223" w:hanging="222" w:hangingChars="106"/>
              <w:jc w:val="center"/>
              <w:rPr>
                <w:rFonts w:ascii="宋体" w:hAnsi="宋体"/>
                <w:color w:val="auto"/>
                <w:highlight w:val="none"/>
              </w:rPr>
            </w:pPr>
          </w:p>
        </w:tc>
        <w:tc>
          <w:tcPr>
            <w:tcW w:w="829" w:type="dxa"/>
            <w:vAlign w:val="center"/>
          </w:tcPr>
          <w:p w14:paraId="4A4853F6">
            <w:pPr>
              <w:ind w:left="223" w:hanging="222" w:hangingChars="106"/>
              <w:jc w:val="center"/>
              <w:rPr>
                <w:rFonts w:ascii="宋体" w:hAnsi="宋体"/>
                <w:color w:val="auto"/>
                <w:highlight w:val="none"/>
              </w:rPr>
            </w:pPr>
          </w:p>
        </w:tc>
        <w:tc>
          <w:tcPr>
            <w:tcW w:w="816" w:type="dxa"/>
            <w:vAlign w:val="center"/>
          </w:tcPr>
          <w:p w14:paraId="197143B6">
            <w:pPr>
              <w:ind w:left="223" w:hanging="222" w:hangingChars="106"/>
              <w:jc w:val="center"/>
              <w:rPr>
                <w:rFonts w:ascii="宋体" w:hAnsi="宋体"/>
                <w:color w:val="auto"/>
                <w:highlight w:val="none"/>
              </w:rPr>
            </w:pPr>
          </w:p>
        </w:tc>
        <w:tc>
          <w:tcPr>
            <w:tcW w:w="1148" w:type="dxa"/>
            <w:vAlign w:val="center"/>
          </w:tcPr>
          <w:p w14:paraId="228B3A44">
            <w:pPr>
              <w:ind w:left="223" w:hanging="222" w:hangingChars="106"/>
              <w:jc w:val="center"/>
              <w:rPr>
                <w:rFonts w:ascii="宋体" w:hAnsi="宋体"/>
                <w:color w:val="auto"/>
                <w:highlight w:val="none"/>
              </w:rPr>
            </w:pPr>
          </w:p>
        </w:tc>
        <w:tc>
          <w:tcPr>
            <w:tcW w:w="1148" w:type="dxa"/>
            <w:vAlign w:val="center"/>
          </w:tcPr>
          <w:p w14:paraId="05D8BF0F">
            <w:pPr>
              <w:ind w:left="223" w:hanging="222" w:hangingChars="106"/>
              <w:jc w:val="center"/>
              <w:rPr>
                <w:rFonts w:ascii="宋体" w:hAnsi="宋体"/>
                <w:color w:val="auto"/>
                <w:highlight w:val="none"/>
              </w:rPr>
            </w:pPr>
          </w:p>
        </w:tc>
        <w:tc>
          <w:tcPr>
            <w:tcW w:w="1148" w:type="dxa"/>
            <w:vAlign w:val="center"/>
          </w:tcPr>
          <w:p w14:paraId="42A997C9">
            <w:pPr>
              <w:ind w:left="223" w:hanging="222" w:hangingChars="106"/>
              <w:jc w:val="center"/>
              <w:rPr>
                <w:rFonts w:ascii="宋体" w:hAnsi="宋体"/>
                <w:color w:val="auto"/>
                <w:highlight w:val="none"/>
              </w:rPr>
            </w:pPr>
          </w:p>
        </w:tc>
        <w:tc>
          <w:tcPr>
            <w:tcW w:w="1148" w:type="dxa"/>
            <w:vAlign w:val="center"/>
          </w:tcPr>
          <w:p w14:paraId="29DE9408">
            <w:pPr>
              <w:ind w:left="223" w:hanging="222" w:hangingChars="106"/>
              <w:jc w:val="center"/>
              <w:rPr>
                <w:rFonts w:ascii="宋体" w:hAnsi="宋体"/>
                <w:color w:val="auto"/>
                <w:highlight w:val="none"/>
              </w:rPr>
            </w:pPr>
          </w:p>
        </w:tc>
        <w:tc>
          <w:tcPr>
            <w:tcW w:w="850" w:type="dxa"/>
            <w:vAlign w:val="center"/>
          </w:tcPr>
          <w:p w14:paraId="61EFBB3B">
            <w:pPr>
              <w:ind w:left="223" w:hanging="222" w:hangingChars="106"/>
              <w:jc w:val="center"/>
              <w:rPr>
                <w:rFonts w:ascii="宋体" w:hAnsi="宋体"/>
                <w:color w:val="auto"/>
                <w:highlight w:val="none"/>
              </w:rPr>
            </w:pPr>
          </w:p>
        </w:tc>
        <w:tc>
          <w:tcPr>
            <w:tcW w:w="1276" w:type="dxa"/>
            <w:vAlign w:val="center"/>
          </w:tcPr>
          <w:p w14:paraId="77EE2B19">
            <w:pPr>
              <w:ind w:left="223" w:hanging="222" w:hangingChars="106"/>
              <w:jc w:val="center"/>
              <w:rPr>
                <w:rFonts w:ascii="宋体" w:hAnsi="宋体"/>
                <w:color w:val="auto"/>
                <w:highlight w:val="none"/>
              </w:rPr>
            </w:pPr>
          </w:p>
        </w:tc>
      </w:tr>
      <w:tr w14:paraId="44BD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Merge w:val="continue"/>
            <w:vAlign w:val="center"/>
          </w:tcPr>
          <w:p w14:paraId="3E0E9264">
            <w:pPr>
              <w:ind w:left="223" w:hanging="222" w:hangingChars="106"/>
              <w:jc w:val="center"/>
              <w:rPr>
                <w:rFonts w:ascii="宋体" w:hAnsi="宋体"/>
                <w:color w:val="auto"/>
                <w:highlight w:val="none"/>
              </w:rPr>
            </w:pPr>
          </w:p>
        </w:tc>
        <w:tc>
          <w:tcPr>
            <w:tcW w:w="829" w:type="dxa"/>
            <w:vAlign w:val="center"/>
          </w:tcPr>
          <w:p w14:paraId="1E3665F2">
            <w:pPr>
              <w:ind w:left="223" w:hanging="222" w:hangingChars="106"/>
              <w:jc w:val="center"/>
              <w:rPr>
                <w:rFonts w:ascii="宋体" w:hAnsi="宋体"/>
                <w:color w:val="auto"/>
                <w:highlight w:val="none"/>
              </w:rPr>
            </w:pPr>
          </w:p>
        </w:tc>
        <w:tc>
          <w:tcPr>
            <w:tcW w:w="816" w:type="dxa"/>
            <w:vAlign w:val="center"/>
          </w:tcPr>
          <w:p w14:paraId="202484F6">
            <w:pPr>
              <w:ind w:left="223" w:hanging="222" w:hangingChars="106"/>
              <w:jc w:val="center"/>
              <w:rPr>
                <w:rFonts w:ascii="宋体" w:hAnsi="宋体"/>
                <w:color w:val="auto"/>
                <w:highlight w:val="none"/>
              </w:rPr>
            </w:pPr>
          </w:p>
        </w:tc>
        <w:tc>
          <w:tcPr>
            <w:tcW w:w="1148" w:type="dxa"/>
            <w:vAlign w:val="center"/>
          </w:tcPr>
          <w:p w14:paraId="0A478B7A">
            <w:pPr>
              <w:ind w:left="223" w:hanging="222" w:hangingChars="106"/>
              <w:jc w:val="center"/>
              <w:rPr>
                <w:rFonts w:ascii="宋体" w:hAnsi="宋体"/>
                <w:color w:val="auto"/>
                <w:highlight w:val="none"/>
              </w:rPr>
            </w:pPr>
          </w:p>
        </w:tc>
        <w:tc>
          <w:tcPr>
            <w:tcW w:w="1148" w:type="dxa"/>
            <w:vAlign w:val="center"/>
          </w:tcPr>
          <w:p w14:paraId="18A14D8F">
            <w:pPr>
              <w:ind w:left="223" w:hanging="222" w:hangingChars="106"/>
              <w:jc w:val="center"/>
              <w:rPr>
                <w:rFonts w:ascii="宋体" w:hAnsi="宋体"/>
                <w:color w:val="auto"/>
                <w:highlight w:val="none"/>
              </w:rPr>
            </w:pPr>
          </w:p>
        </w:tc>
        <w:tc>
          <w:tcPr>
            <w:tcW w:w="1148" w:type="dxa"/>
            <w:vAlign w:val="center"/>
          </w:tcPr>
          <w:p w14:paraId="64D8D3B0">
            <w:pPr>
              <w:ind w:left="223" w:hanging="222" w:hangingChars="106"/>
              <w:jc w:val="center"/>
              <w:rPr>
                <w:rFonts w:ascii="宋体" w:hAnsi="宋体"/>
                <w:color w:val="auto"/>
                <w:highlight w:val="none"/>
              </w:rPr>
            </w:pPr>
          </w:p>
        </w:tc>
        <w:tc>
          <w:tcPr>
            <w:tcW w:w="1148" w:type="dxa"/>
            <w:vAlign w:val="center"/>
          </w:tcPr>
          <w:p w14:paraId="0ED0B1D8">
            <w:pPr>
              <w:ind w:left="223" w:hanging="222" w:hangingChars="106"/>
              <w:jc w:val="center"/>
              <w:rPr>
                <w:rFonts w:ascii="宋体" w:hAnsi="宋体"/>
                <w:color w:val="auto"/>
                <w:highlight w:val="none"/>
              </w:rPr>
            </w:pPr>
          </w:p>
        </w:tc>
        <w:tc>
          <w:tcPr>
            <w:tcW w:w="850" w:type="dxa"/>
            <w:vAlign w:val="center"/>
          </w:tcPr>
          <w:p w14:paraId="7C93E9F7">
            <w:pPr>
              <w:ind w:left="223" w:hanging="222" w:hangingChars="106"/>
              <w:jc w:val="center"/>
              <w:rPr>
                <w:rFonts w:ascii="宋体" w:hAnsi="宋体"/>
                <w:color w:val="auto"/>
                <w:highlight w:val="none"/>
              </w:rPr>
            </w:pPr>
          </w:p>
        </w:tc>
        <w:tc>
          <w:tcPr>
            <w:tcW w:w="1276" w:type="dxa"/>
            <w:vAlign w:val="center"/>
          </w:tcPr>
          <w:p w14:paraId="1B9326ED">
            <w:pPr>
              <w:ind w:left="223" w:hanging="222" w:hangingChars="106"/>
              <w:jc w:val="center"/>
              <w:rPr>
                <w:rFonts w:ascii="宋体" w:hAnsi="宋体"/>
                <w:color w:val="auto"/>
                <w:highlight w:val="none"/>
              </w:rPr>
            </w:pPr>
          </w:p>
        </w:tc>
      </w:tr>
      <w:tr w14:paraId="7B57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EFEDCEF">
            <w:pPr>
              <w:ind w:left="223" w:hanging="222" w:hangingChars="106"/>
              <w:jc w:val="center"/>
              <w:rPr>
                <w:rFonts w:ascii="宋体" w:hAnsi="宋体"/>
                <w:color w:val="auto"/>
                <w:highlight w:val="none"/>
              </w:rPr>
            </w:pPr>
            <w:r>
              <w:rPr>
                <w:rFonts w:ascii="宋体" w:hAnsi="宋体"/>
                <w:color w:val="auto"/>
                <w:highlight w:val="none"/>
              </w:rPr>
              <w:t>材料员</w:t>
            </w:r>
          </w:p>
        </w:tc>
        <w:tc>
          <w:tcPr>
            <w:tcW w:w="829" w:type="dxa"/>
            <w:vAlign w:val="center"/>
          </w:tcPr>
          <w:p w14:paraId="59CC7F8A">
            <w:pPr>
              <w:ind w:left="223" w:hanging="222" w:hangingChars="106"/>
              <w:jc w:val="center"/>
              <w:rPr>
                <w:rFonts w:ascii="宋体" w:hAnsi="宋体"/>
                <w:color w:val="auto"/>
                <w:highlight w:val="none"/>
              </w:rPr>
            </w:pPr>
          </w:p>
        </w:tc>
        <w:tc>
          <w:tcPr>
            <w:tcW w:w="816" w:type="dxa"/>
            <w:vAlign w:val="center"/>
          </w:tcPr>
          <w:p w14:paraId="2E9EF048">
            <w:pPr>
              <w:ind w:left="223" w:hanging="222" w:hangingChars="106"/>
              <w:jc w:val="center"/>
              <w:rPr>
                <w:rFonts w:ascii="宋体" w:hAnsi="宋体"/>
                <w:color w:val="auto"/>
                <w:highlight w:val="none"/>
              </w:rPr>
            </w:pPr>
          </w:p>
        </w:tc>
        <w:tc>
          <w:tcPr>
            <w:tcW w:w="1148" w:type="dxa"/>
            <w:vAlign w:val="center"/>
          </w:tcPr>
          <w:p w14:paraId="1FB11168">
            <w:pPr>
              <w:ind w:left="223" w:hanging="222" w:hangingChars="106"/>
              <w:jc w:val="center"/>
              <w:rPr>
                <w:rFonts w:ascii="宋体" w:hAnsi="宋体"/>
                <w:color w:val="auto"/>
                <w:highlight w:val="none"/>
              </w:rPr>
            </w:pPr>
          </w:p>
        </w:tc>
        <w:tc>
          <w:tcPr>
            <w:tcW w:w="1148" w:type="dxa"/>
            <w:vAlign w:val="center"/>
          </w:tcPr>
          <w:p w14:paraId="2718CA3C">
            <w:pPr>
              <w:ind w:left="223" w:hanging="222" w:hangingChars="106"/>
              <w:jc w:val="center"/>
              <w:rPr>
                <w:rFonts w:ascii="宋体" w:hAnsi="宋体"/>
                <w:color w:val="auto"/>
                <w:highlight w:val="none"/>
              </w:rPr>
            </w:pPr>
          </w:p>
        </w:tc>
        <w:tc>
          <w:tcPr>
            <w:tcW w:w="1148" w:type="dxa"/>
            <w:vAlign w:val="center"/>
          </w:tcPr>
          <w:p w14:paraId="0CC1DDE9">
            <w:pPr>
              <w:ind w:left="223" w:hanging="222" w:hangingChars="106"/>
              <w:jc w:val="center"/>
              <w:rPr>
                <w:rFonts w:ascii="宋体" w:hAnsi="宋体"/>
                <w:color w:val="auto"/>
                <w:highlight w:val="none"/>
              </w:rPr>
            </w:pPr>
          </w:p>
        </w:tc>
        <w:tc>
          <w:tcPr>
            <w:tcW w:w="1148" w:type="dxa"/>
            <w:vAlign w:val="center"/>
          </w:tcPr>
          <w:p w14:paraId="1EDD6DA9">
            <w:pPr>
              <w:ind w:left="223" w:hanging="222" w:hangingChars="106"/>
              <w:jc w:val="center"/>
              <w:rPr>
                <w:rFonts w:ascii="宋体" w:hAnsi="宋体"/>
                <w:color w:val="auto"/>
                <w:highlight w:val="none"/>
              </w:rPr>
            </w:pPr>
          </w:p>
        </w:tc>
        <w:tc>
          <w:tcPr>
            <w:tcW w:w="850" w:type="dxa"/>
            <w:vAlign w:val="center"/>
          </w:tcPr>
          <w:p w14:paraId="724F5F28">
            <w:pPr>
              <w:ind w:left="223" w:hanging="222" w:hangingChars="106"/>
              <w:jc w:val="center"/>
              <w:rPr>
                <w:rFonts w:ascii="宋体" w:hAnsi="宋体"/>
                <w:color w:val="auto"/>
                <w:highlight w:val="none"/>
              </w:rPr>
            </w:pPr>
          </w:p>
        </w:tc>
        <w:tc>
          <w:tcPr>
            <w:tcW w:w="1276" w:type="dxa"/>
            <w:vAlign w:val="center"/>
          </w:tcPr>
          <w:p w14:paraId="6C89BDA3">
            <w:pPr>
              <w:ind w:left="223" w:hanging="222" w:hangingChars="106"/>
              <w:jc w:val="center"/>
              <w:rPr>
                <w:rFonts w:ascii="宋体" w:hAnsi="宋体"/>
                <w:color w:val="auto"/>
                <w:highlight w:val="none"/>
              </w:rPr>
            </w:pPr>
          </w:p>
        </w:tc>
      </w:tr>
      <w:tr w14:paraId="3FFB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E8B325D">
            <w:pPr>
              <w:ind w:left="223" w:hanging="222" w:hangingChars="106"/>
              <w:jc w:val="center"/>
              <w:rPr>
                <w:rFonts w:ascii="宋体" w:hAnsi="宋体"/>
                <w:color w:val="auto"/>
                <w:highlight w:val="none"/>
              </w:rPr>
            </w:pPr>
            <w:r>
              <w:rPr>
                <w:rFonts w:ascii="宋体" w:hAnsi="宋体"/>
                <w:color w:val="auto"/>
                <w:highlight w:val="none"/>
              </w:rPr>
              <w:t>……</w:t>
            </w:r>
          </w:p>
        </w:tc>
        <w:tc>
          <w:tcPr>
            <w:tcW w:w="829" w:type="dxa"/>
            <w:vAlign w:val="center"/>
          </w:tcPr>
          <w:p w14:paraId="60BD1B22">
            <w:pPr>
              <w:ind w:left="223" w:hanging="222" w:hangingChars="106"/>
              <w:jc w:val="center"/>
              <w:rPr>
                <w:rFonts w:ascii="宋体" w:hAnsi="宋体"/>
                <w:color w:val="auto"/>
                <w:highlight w:val="none"/>
              </w:rPr>
            </w:pPr>
          </w:p>
        </w:tc>
        <w:tc>
          <w:tcPr>
            <w:tcW w:w="816" w:type="dxa"/>
            <w:vAlign w:val="center"/>
          </w:tcPr>
          <w:p w14:paraId="46BDDA47">
            <w:pPr>
              <w:ind w:left="223" w:hanging="222" w:hangingChars="106"/>
              <w:jc w:val="center"/>
              <w:rPr>
                <w:rFonts w:ascii="宋体" w:hAnsi="宋体"/>
                <w:color w:val="auto"/>
                <w:highlight w:val="none"/>
              </w:rPr>
            </w:pPr>
          </w:p>
        </w:tc>
        <w:tc>
          <w:tcPr>
            <w:tcW w:w="1148" w:type="dxa"/>
            <w:vAlign w:val="center"/>
          </w:tcPr>
          <w:p w14:paraId="62086C33">
            <w:pPr>
              <w:ind w:left="223" w:hanging="222" w:hangingChars="106"/>
              <w:jc w:val="center"/>
              <w:rPr>
                <w:rFonts w:ascii="宋体" w:hAnsi="宋体"/>
                <w:color w:val="auto"/>
                <w:highlight w:val="none"/>
              </w:rPr>
            </w:pPr>
          </w:p>
        </w:tc>
        <w:tc>
          <w:tcPr>
            <w:tcW w:w="1148" w:type="dxa"/>
            <w:vAlign w:val="center"/>
          </w:tcPr>
          <w:p w14:paraId="790B2526">
            <w:pPr>
              <w:ind w:left="223" w:hanging="222" w:hangingChars="106"/>
              <w:jc w:val="center"/>
              <w:rPr>
                <w:rFonts w:ascii="宋体" w:hAnsi="宋体"/>
                <w:color w:val="auto"/>
                <w:highlight w:val="none"/>
              </w:rPr>
            </w:pPr>
          </w:p>
        </w:tc>
        <w:tc>
          <w:tcPr>
            <w:tcW w:w="1148" w:type="dxa"/>
            <w:vAlign w:val="center"/>
          </w:tcPr>
          <w:p w14:paraId="77CA0269">
            <w:pPr>
              <w:ind w:left="223" w:hanging="222" w:hangingChars="106"/>
              <w:jc w:val="center"/>
              <w:rPr>
                <w:rFonts w:ascii="宋体" w:hAnsi="宋体"/>
                <w:color w:val="auto"/>
                <w:highlight w:val="none"/>
              </w:rPr>
            </w:pPr>
          </w:p>
        </w:tc>
        <w:tc>
          <w:tcPr>
            <w:tcW w:w="1148" w:type="dxa"/>
            <w:vAlign w:val="center"/>
          </w:tcPr>
          <w:p w14:paraId="4C895E22">
            <w:pPr>
              <w:ind w:left="223" w:hanging="222" w:hangingChars="106"/>
              <w:jc w:val="center"/>
              <w:rPr>
                <w:rFonts w:ascii="宋体" w:hAnsi="宋体"/>
                <w:color w:val="auto"/>
                <w:highlight w:val="none"/>
              </w:rPr>
            </w:pPr>
          </w:p>
        </w:tc>
        <w:tc>
          <w:tcPr>
            <w:tcW w:w="850" w:type="dxa"/>
            <w:vAlign w:val="center"/>
          </w:tcPr>
          <w:p w14:paraId="380F046B">
            <w:pPr>
              <w:ind w:left="223" w:hanging="222" w:hangingChars="106"/>
              <w:jc w:val="center"/>
              <w:rPr>
                <w:rFonts w:ascii="宋体" w:hAnsi="宋体"/>
                <w:color w:val="auto"/>
                <w:highlight w:val="none"/>
              </w:rPr>
            </w:pPr>
          </w:p>
        </w:tc>
        <w:tc>
          <w:tcPr>
            <w:tcW w:w="1276" w:type="dxa"/>
            <w:vAlign w:val="center"/>
          </w:tcPr>
          <w:p w14:paraId="46904E0F">
            <w:pPr>
              <w:ind w:left="223" w:hanging="222" w:hangingChars="106"/>
              <w:jc w:val="center"/>
              <w:rPr>
                <w:rFonts w:ascii="宋体" w:hAnsi="宋体"/>
                <w:color w:val="auto"/>
                <w:highlight w:val="none"/>
              </w:rPr>
            </w:pPr>
          </w:p>
        </w:tc>
      </w:tr>
      <w:tr w14:paraId="77CC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F17F6D1">
            <w:pPr>
              <w:ind w:left="223" w:hanging="222" w:hangingChars="106"/>
              <w:jc w:val="center"/>
              <w:rPr>
                <w:rFonts w:ascii="宋体" w:hAnsi="宋体"/>
                <w:color w:val="auto"/>
                <w:highlight w:val="none"/>
              </w:rPr>
            </w:pPr>
            <w:r>
              <w:rPr>
                <w:rFonts w:ascii="宋体" w:hAnsi="宋体"/>
                <w:color w:val="auto"/>
                <w:highlight w:val="none"/>
              </w:rPr>
              <w:t>……</w:t>
            </w:r>
          </w:p>
        </w:tc>
        <w:tc>
          <w:tcPr>
            <w:tcW w:w="829" w:type="dxa"/>
            <w:vAlign w:val="center"/>
          </w:tcPr>
          <w:p w14:paraId="31016B35">
            <w:pPr>
              <w:ind w:left="223" w:hanging="222" w:hangingChars="106"/>
              <w:jc w:val="center"/>
              <w:rPr>
                <w:rFonts w:ascii="宋体" w:hAnsi="宋体"/>
                <w:color w:val="auto"/>
                <w:highlight w:val="none"/>
              </w:rPr>
            </w:pPr>
          </w:p>
        </w:tc>
        <w:tc>
          <w:tcPr>
            <w:tcW w:w="816" w:type="dxa"/>
            <w:vAlign w:val="center"/>
          </w:tcPr>
          <w:p w14:paraId="02035A15">
            <w:pPr>
              <w:ind w:left="223" w:hanging="222" w:hangingChars="106"/>
              <w:jc w:val="center"/>
              <w:rPr>
                <w:rFonts w:ascii="宋体" w:hAnsi="宋体"/>
                <w:color w:val="auto"/>
                <w:highlight w:val="none"/>
              </w:rPr>
            </w:pPr>
          </w:p>
        </w:tc>
        <w:tc>
          <w:tcPr>
            <w:tcW w:w="1148" w:type="dxa"/>
            <w:vAlign w:val="center"/>
          </w:tcPr>
          <w:p w14:paraId="376ECE1D">
            <w:pPr>
              <w:ind w:left="223" w:hanging="222" w:hangingChars="106"/>
              <w:jc w:val="center"/>
              <w:rPr>
                <w:rFonts w:ascii="宋体" w:hAnsi="宋体"/>
                <w:color w:val="auto"/>
                <w:highlight w:val="none"/>
              </w:rPr>
            </w:pPr>
          </w:p>
        </w:tc>
        <w:tc>
          <w:tcPr>
            <w:tcW w:w="1148" w:type="dxa"/>
            <w:vAlign w:val="center"/>
          </w:tcPr>
          <w:p w14:paraId="29F37AC8">
            <w:pPr>
              <w:ind w:left="223" w:hanging="222" w:hangingChars="106"/>
              <w:jc w:val="center"/>
              <w:rPr>
                <w:rFonts w:ascii="宋体" w:hAnsi="宋体"/>
                <w:color w:val="auto"/>
                <w:highlight w:val="none"/>
              </w:rPr>
            </w:pPr>
          </w:p>
        </w:tc>
        <w:tc>
          <w:tcPr>
            <w:tcW w:w="1148" w:type="dxa"/>
            <w:vAlign w:val="center"/>
          </w:tcPr>
          <w:p w14:paraId="48FFFB96">
            <w:pPr>
              <w:ind w:left="223" w:hanging="222" w:hangingChars="106"/>
              <w:jc w:val="center"/>
              <w:rPr>
                <w:rFonts w:ascii="宋体" w:hAnsi="宋体"/>
                <w:color w:val="auto"/>
                <w:highlight w:val="none"/>
              </w:rPr>
            </w:pPr>
          </w:p>
        </w:tc>
        <w:tc>
          <w:tcPr>
            <w:tcW w:w="1148" w:type="dxa"/>
            <w:vAlign w:val="center"/>
          </w:tcPr>
          <w:p w14:paraId="259D5AF9">
            <w:pPr>
              <w:ind w:left="223" w:hanging="222" w:hangingChars="106"/>
              <w:jc w:val="center"/>
              <w:rPr>
                <w:rFonts w:ascii="宋体" w:hAnsi="宋体"/>
                <w:color w:val="auto"/>
                <w:highlight w:val="none"/>
              </w:rPr>
            </w:pPr>
          </w:p>
        </w:tc>
        <w:tc>
          <w:tcPr>
            <w:tcW w:w="850" w:type="dxa"/>
            <w:vAlign w:val="center"/>
          </w:tcPr>
          <w:p w14:paraId="18278767">
            <w:pPr>
              <w:ind w:left="223" w:hanging="222" w:hangingChars="106"/>
              <w:jc w:val="center"/>
              <w:rPr>
                <w:rFonts w:ascii="宋体" w:hAnsi="宋体"/>
                <w:color w:val="auto"/>
                <w:highlight w:val="none"/>
              </w:rPr>
            </w:pPr>
          </w:p>
        </w:tc>
        <w:tc>
          <w:tcPr>
            <w:tcW w:w="1276" w:type="dxa"/>
            <w:vAlign w:val="center"/>
          </w:tcPr>
          <w:p w14:paraId="528E5175">
            <w:pPr>
              <w:ind w:left="223" w:hanging="222" w:hangingChars="106"/>
              <w:jc w:val="center"/>
              <w:rPr>
                <w:rFonts w:ascii="宋体" w:hAnsi="宋体"/>
                <w:color w:val="auto"/>
                <w:highlight w:val="none"/>
              </w:rPr>
            </w:pPr>
          </w:p>
        </w:tc>
      </w:tr>
      <w:tr w14:paraId="354B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069E3081">
            <w:pPr>
              <w:spacing w:line="360" w:lineRule="auto"/>
              <w:rPr>
                <w:rFonts w:ascii="宋体" w:hAnsi="宋体"/>
                <w:color w:val="auto"/>
                <w:highlight w:val="none"/>
              </w:rPr>
            </w:pPr>
            <w:r>
              <w:rPr>
                <w:rFonts w:ascii="宋体" w:hAnsi="宋体"/>
                <w:color w:val="auto"/>
                <w:highlight w:val="none"/>
              </w:rPr>
              <w:t>一旦我单位成交，将实行项目经理负责制，我方保证并配备上述项目管理机构。上述填报内容真实，若不真实，愿按有关规定接受处理。项目管理班子机构设置、职责分工等情况另附资料说明。</w:t>
            </w:r>
          </w:p>
        </w:tc>
      </w:tr>
    </w:tbl>
    <w:p w14:paraId="4490702B">
      <w:pPr>
        <w:tabs>
          <w:tab w:val="left" w:pos="0"/>
        </w:tabs>
        <w:spacing w:line="360" w:lineRule="auto"/>
        <w:ind w:right="-210"/>
        <w:rPr>
          <w:rFonts w:ascii="宋体" w:hAnsi="宋体"/>
          <w:color w:val="auto"/>
          <w:highlight w:val="none"/>
        </w:rPr>
      </w:pPr>
    </w:p>
    <w:p w14:paraId="3C853F8D">
      <w:pPr>
        <w:spacing w:line="360" w:lineRule="auto"/>
        <w:contextualSpacing/>
        <w:rPr>
          <w:rFonts w:ascii="宋体" w:hAnsi="宋体"/>
          <w:color w:val="auto"/>
          <w:sz w:val="24"/>
          <w:szCs w:val="20"/>
          <w:highlight w:val="none"/>
        </w:rPr>
      </w:pPr>
      <w:r>
        <w:rPr>
          <w:rFonts w:ascii="宋体" w:hAnsi="宋体" w:eastAsia="楷体_GB2312"/>
          <w:color w:val="auto"/>
          <w:highlight w:val="none"/>
        </w:rPr>
        <w:t>【备注：</w:t>
      </w:r>
      <w:r>
        <w:rPr>
          <w:rFonts w:hint="eastAsia" w:ascii="宋体" w:hAnsi="宋体" w:eastAsia="楷体_GB2312"/>
          <w:color w:val="auto"/>
          <w:highlight w:val="none"/>
        </w:rPr>
        <w:t>附以上各岗位人员资格证件等相关证明材料复印件。】</w:t>
      </w:r>
    </w:p>
    <w:p w14:paraId="79BE7C0D">
      <w:pPr>
        <w:adjustRightInd w:val="0"/>
        <w:snapToGrid w:val="0"/>
        <w:spacing w:line="520" w:lineRule="exact"/>
        <w:jc w:val="center"/>
        <w:rPr>
          <w:rFonts w:ascii="方正小标宋简体" w:hAnsi="方正小标宋简体" w:eastAsia="方正小标宋简体" w:cs="方正小标宋简体"/>
          <w:bCs/>
          <w:color w:val="auto"/>
          <w:sz w:val="28"/>
          <w:szCs w:val="28"/>
          <w:highlight w:val="none"/>
        </w:rPr>
      </w:pPr>
    </w:p>
    <w:p w14:paraId="443E98BA">
      <w:pPr>
        <w:pStyle w:val="14"/>
        <w:ind w:left="0"/>
        <w:rPr>
          <w:rFonts w:ascii="宋体" w:hAnsi="宋体"/>
          <w:color w:val="auto"/>
          <w:highlight w:val="none"/>
          <w:u w:val="single"/>
        </w:rPr>
      </w:pPr>
    </w:p>
    <w:p w14:paraId="12CA01CD">
      <w:pPr>
        <w:pStyle w:val="188"/>
        <w:rPr>
          <w:rFonts w:ascii="方正小标宋简体" w:hAnsi="方正小标宋简体" w:eastAsia="方正小标宋简体" w:cs="方正小标宋简体"/>
          <w:bCs/>
          <w:color w:val="auto"/>
          <w:sz w:val="28"/>
          <w:szCs w:val="28"/>
          <w:highlight w:val="none"/>
        </w:rPr>
      </w:pPr>
      <w:r>
        <w:rPr>
          <w:rFonts w:ascii="方正小标宋简体" w:hAnsi="方正小标宋简体" w:eastAsia="方正小标宋简体" w:cs="方正小标宋简体"/>
          <w:bCs/>
          <w:color w:val="auto"/>
          <w:sz w:val="44"/>
          <w:szCs w:val="44"/>
          <w:highlight w:val="none"/>
        </w:rPr>
        <w:br w:type="page"/>
      </w:r>
    </w:p>
    <w:p w14:paraId="6D623C99">
      <w:pPr>
        <w:pStyle w:val="6"/>
        <w:jc w:val="center"/>
        <w:rPr>
          <w:color w:val="auto"/>
          <w:highlight w:val="none"/>
        </w:rPr>
      </w:pPr>
      <w:r>
        <w:rPr>
          <w:rFonts w:hint="eastAsia"/>
          <w:color w:val="auto"/>
          <w:highlight w:val="none"/>
        </w:rPr>
        <w:t>（2）项目经理（注册建造师）简历表</w:t>
      </w:r>
    </w:p>
    <w:p w14:paraId="3AC863E6">
      <w:pPr>
        <w:spacing w:line="400" w:lineRule="exact"/>
        <w:rPr>
          <w:rFonts w:ascii="宋体" w:cs="宋体"/>
          <w:b/>
          <w:color w:val="auto"/>
          <w:sz w:val="28"/>
          <w:szCs w:val="28"/>
          <w:highlight w:val="none"/>
        </w:rPr>
      </w:pPr>
    </w:p>
    <w:p w14:paraId="067E4669">
      <w:pPr>
        <w:spacing w:line="400" w:lineRule="exact"/>
        <w:rPr>
          <w:color w:val="auto"/>
          <w:highlight w:val="none"/>
        </w:rPr>
      </w:pPr>
      <w:r>
        <w:rPr>
          <w:rFonts w:hint="eastAsia"/>
          <w:color w:val="auto"/>
          <w:highlight w:val="none"/>
        </w:rPr>
        <w:t>采购项目名称：</w:t>
      </w:r>
    </w:p>
    <w:tbl>
      <w:tblPr>
        <w:tblStyle w:val="47"/>
        <w:tblW w:w="9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63"/>
        <w:gridCol w:w="1544"/>
        <w:gridCol w:w="327"/>
        <w:gridCol w:w="1216"/>
        <w:gridCol w:w="672"/>
        <w:gridCol w:w="872"/>
        <w:gridCol w:w="708"/>
        <w:gridCol w:w="835"/>
        <w:gridCol w:w="271"/>
        <w:gridCol w:w="1164"/>
      </w:tblGrid>
      <w:tr w14:paraId="5161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080" w:type="dxa"/>
            <w:vAlign w:val="center"/>
          </w:tcPr>
          <w:p w14:paraId="30479933">
            <w:pPr>
              <w:spacing w:line="300" w:lineRule="exact"/>
              <w:jc w:val="center"/>
              <w:rPr>
                <w:rFonts w:ascii="宋体" w:cs="宋体"/>
                <w:color w:val="auto"/>
                <w:highlight w:val="none"/>
              </w:rPr>
            </w:pPr>
            <w:r>
              <w:rPr>
                <w:rFonts w:hint="eastAsia" w:ascii="宋体" w:hAnsi="宋体" w:cs="宋体"/>
                <w:color w:val="auto"/>
                <w:highlight w:val="none"/>
              </w:rPr>
              <w:t>姓名</w:t>
            </w:r>
          </w:p>
        </w:tc>
        <w:tc>
          <w:tcPr>
            <w:tcW w:w="2334" w:type="dxa"/>
            <w:gridSpan w:val="3"/>
            <w:vAlign w:val="center"/>
          </w:tcPr>
          <w:p w14:paraId="4A2B2C39">
            <w:pPr>
              <w:spacing w:line="300" w:lineRule="exact"/>
              <w:jc w:val="center"/>
              <w:rPr>
                <w:rFonts w:ascii="宋体" w:cs="宋体"/>
                <w:color w:val="auto"/>
                <w:highlight w:val="none"/>
              </w:rPr>
            </w:pPr>
          </w:p>
        </w:tc>
        <w:tc>
          <w:tcPr>
            <w:tcW w:w="1888" w:type="dxa"/>
            <w:gridSpan w:val="2"/>
            <w:vAlign w:val="center"/>
          </w:tcPr>
          <w:p w14:paraId="573AF51F">
            <w:pPr>
              <w:spacing w:line="300" w:lineRule="exact"/>
              <w:jc w:val="center"/>
              <w:rPr>
                <w:rFonts w:ascii="宋体" w:cs="宋体"/>
                <w:color w:val="auto"/>
                <w:highlight w:val="none"/>
              </w:rPr>
            </w:pPr>
            <w:r>
              <w:rPr>
                <w:rFonts w:hint="eastAsia" w:ascii="宋体" w:hAnsi="宋体" w:cs="宋体"/>
                <w:color w:val="auto"/>
                <w:highlight w:val="none"/>
              </w:rPr>
              <w:t>性别</w:t>
            </w:r>
          </w:p>
        </w:tc>
        <w:tc>
          <w:tcPr>
            <w:tcW w:w="1580" w:type="dxa"/>
            <w:gridSpan w:val="2"/>
            <w:vAlign w:val="center"/>
          </w:tcPr>
          <w:p w14:paraId="7C2E2E63">
            <w:pPr>
              <w:spacing w:line="300" w:lineRule="exact"/>
              <w:jc w:val="center"/>
              <w:rPr>
                <w:rFonts w:ascii="宋体" w:cs="宋体"/>
                <w:color w:val="auto"/>
                <w:highlight w:val="none"/>
              </w:rPr>
            </w:pPr>
          </w:p>
        </w:tc>
        <w:tc>
          <w:tcPr>
            <w:tcW w:w="1106" w:type="dxa"/>
            <w:gridSpan w:val="2"/>
            <w:vAlign w:val="center"/>
          </w:tcPr>
          <w:p w14:paraId="17424C84">
            <w:pPr>
              <w:spacing w:line="300" w:lineRule="exact"/>
              <w:jc w:val="center"/>
              <w:rPr>
                <w:rFonts w:ascii="宋体" w:cs="宋体"/>
                <w:color w:val="auto"/>
                <w:highlight w:val="none"/>
              </w:rPr>
            </w:pPr>
            <w:r>
              <w:rPr>
                <w:rFonts w:hint="eastAsia" w:ascii="宋体" w:hAnsi="宋体" w:cs="宋体"/>
                <w:color w:val="auto"/>
                <w:highlight w:val="none"/>
              </w:rPr>
              <w:t>年龄</w:t>
            </w:r>
          </w:p>
        </w:tc>
        <w:tc>
          <w:tcPr>
            <w:tcW w:w="1164" w:type="dxa"/>
            <w:vAlign w:val="center"/>
          </w:tcPr>
          <w:p w14:paraId="6E7DB120">
            <w:pPr>
              <w:spacing w:line="300" w:lineRule="exact"/>
              <w:jc w:val="center"/>
              <w:rPr>
                <w:rFonts w:ascii="宋体" w:cs="宋体"/>
                <w:color w:val="auto"/>
                <w:highlight w:val="none"/>
              </w:rPr>
            </w:pPr>
          </w:p>
        </w:tc>
      </w:tr>
      <w:tr w14:paraId="3991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080" w:type="dxa"/>
            <w:vAlign w:val="center"/>
          </w:tcPr>
          <w:p w14:paraId="464AE866">
            <w:pPr>
              <w:spacing w:line="300" w:lineRule="exact"/>
              <w:jc w:val="center"/>
              <w:rPr>
                <w:rFonts w:ascii="宋体" w:cs="宋体"/>
                <w:color w:val="auto"/>
                <w:highlight w:val="none"/>
              </w:rPr>
            </w:pPr>
            <w:r>
              <w:rPr>
                <w:rFonts w:hint="eastAsia" w:ascii="宋体" w:hAnsi="宋体" w:cs="宋体"/>
                <w:color w:val="auto"/>
                <w:highlight w:val="none"/>
              </w:rPr>
              <w:t>职务</w:t>
            </w:r>
          </w:p>
        </w:tc>
        <w:tc>
          <w:tcPr>
            <w:tcW w:w="2334" w:type="dxa"/>
            <w:gridSpan w:val="3"/>
            <w:vAlign w:val="center"/>
          </w:tcPr>
          <w:p w14:paraId="6F31E757">
            <w:pPr>
              <w:spacing w:line="300" w:lineRule="exact"/>
              <w:jc w:val="center"/>
              <w:rPr>
                <w:rFonts w:ascii="宋体" w:cs="宋体"/>
                <w:color w:val="auto"/>
                <w:highlight w:val="none"/>
              </w:rPr>
            </w:pPr>
          </w:p>
        </w:tc>
        <w:tc>
          <w:tcPr>
            <w:tcW w:w="1888" w:type="dxa"/>
            <w:gridSpan w:val="2"/>
            <w:vAlign w:val="center"/>
          </w:tcPr>
          <w:p w14:paraId="3664878D">
            <w:pPr>
              <w:spacing w:line="300" w:lineRule="exact"/>
              <w:jc w:val="center"/>
              <w:rPr>
                <w:rFonts w:ascii="宋体" w:cs="宋体"/>
                <w:color w:val="auto"/>
                <w:highlight w:val="none"/>
              </w:rPr>
            </w:pPr>
            <w:r>
              <w:rPr>
                <w:rFonts w:hint="eastAsia" w:ascii="宋体" w:hAnsi="宋体" w:cs="宋体"/>
                <w:color w:val="auto"/>
                <w:highlight w:val="none"/>
              </w:rPr>
              <w:t>职称</w:t>
            </w:r>
          </w:p>
        </w:tc>
        <w:tc>
          <w:tcPr>
            <w:tcW w:w="1580" w:type="dxa"/>
            <w:gridSpan w:val="2"/>
            <w:vAlign w:val="center"/>
          </w:tcPr>
          <w:p w14:paraId="487EF7E0">
            <w:pPr>
              <w:spacing w:line="300" w:lineRule="exact"/>
              <w:jc w:val="center"/>
              <w:rPr>
                <w:rFonts w:ascii="宋体" w:cs="宋体"/>
                <w:color w:val="auto"/>
                <w:highlight w:val="none"/>
              </w:rPr>
            </w:pPr>
          </w:p>
        </w:tc>
        <w:tc>
          <w:tcPr>
            <w:tcW w:w="1106" w:type="dxa"/>
            <w:gridSpan w:val="2"/>
            <w:vAlign w:val="center"/>
          </w:tcPr>
          <w:p w14:paraId="4AB09437">
            <w:pPr>
              <w:spacing w:line="300" w:lineRule="exact"/>
              <w:jc w:val="center"/>
              <w:rPr>
                <w:rFonts w:ascii="宋体" w:cs="宋体"/>
                <w:color w:val="auto"/>
                <w:highlight w:val="none"/>
              </w:rPr>
            </w:pPr>
            <w:r>
              <w:rPr>
                <w:rFonts w:hint="eastAsia" w:ascii="宋体" w:hAnsi="宋体" w:cs="宋体"/>
                <w:color w:val="auto"/>
                <w:highlight w:val="none"/>
              </w:rPr>
              <w:t>学历</w:t>
            </w:r>
          </w:p>
        </w:tc>
        <w:tc>
          <w:tcPr>
            <w:tcW w:w="1164" w:type="dxa"/>
            <w:vAlign w:val="center"/>
          </w:tcPr>
          <w:p w14:paraId="3076B9F5">
            <w:pPr>
              <w:spacing w:line="300" w:lineRule="exact"/>
              <w:jc w:val="center"/>
              <w:rPr>
                <w:rFonts w:ascii="宋体" w:cs="宋体"/>
                <w:color w:val="auto"/>
                <w:highlight w:val="none"/>
              </w:rPr>
            </w:pPr>
          </w:p>
        </w:tc>
      </w:tr>
      <w:tr w14:paraId="72B3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14" w:type="dxa"/>
            <w:gridSpan w:val="4"/>
            <w:vAlign w:val="center"/>
          </w:tcPr>
          <w:p w14:paraId="268D561E">
            <w:pPr>
              <w:spacing w:line="300" w:lineRule="exact"/>
              <w:jc w:val="center"/>
              <w:rPr>
                <w:rFonts w:ascii="宋体" w:cs="宋体"/>
                <w:color w:val="auto"/>
                <w:highlight w:val="none"/>
              </w:rPr>
            </w:pPr>
            <w:r>
              <w:rPr>
                <w:rFonts w:hint="eastAsia" w:ascii="宋体" w:hAnsi="宋体" w:cs="宋体"/>
                <w:color w:val="auto"/>
                <w:highlight w:val="none"/>
              </w:rPr>
              <w:t>参加工作时间</w:t>
            </w:r>
          </w:p>
        </w:tc>
        <w:tc>
          <w:tcPr>
            <w:tcW w:w="1888" w:type="dxa"/>
            <w:gridSpan w:val="2"/>
            <w:vAlign w:val="center"/>
          </w:tcPr>
          <w:p w14:paraId="32833439">
            <w:pPr>
              <w:spacing w:line="300" w:lineRule="exact"/>
              <w:jc w:val="center"/>
              <w:rPr>
                <w:rFonts w:ascii="宋体" w:cs="宋体"/>
                <w:color w:val="auto"/>
                <w:highlight w:val="none"/>
              </w:rPr>
            </w:pPr>
          </w:p>
        </w:tc>
        <w:tc>
          <w:tcPr>
            <w:tcW w:w="2686" w:type="dxa"/>
            <w:gridSpan w:val="4"/>
            <w:vAlign w:val="center"/>
          </w:tcPr>
          <w:p w14:paraId="3D6461BF">
            <w:pPr>
              <w:spacing w:line="300" w:lineRule="exact"/>
              <w:jc w:val="center"/>
              <w:rPr>
                <w:rFonts w:ascii="宋体" w:cs="宋体"/>
                <w:color w:val="auto"/>
                <w:highlight w:val="none"/>
              </w:rPr>
            </w:pPr>
            <w:r>
              <w:rPr>
                <w:rFonts w:hint="eastAsia" w:ascii="宋体" w:hAnsi="宋体" w:cs="宋体"/>
                <w:color w:val="auto"/>
                <w:highlight w:val="none"/>
              </w:rPr>
              <w:t>担任项目经理年限</w:t>
            </w:r>
          </w:p>
        </w:tc>
        <w:tc>
          <w:tcPr>
            <w:tcW w:w="1164" w:type="dxa"/>
            <w:vAlign w:val="center"/>
          </w:tcPr>
          <w:p w14:paraId="220898C2">
            <w:pPr>
              <w:spacing w:line="300" w:lineRule="exact"/>
              <w:jc w:val="center"/>
              <w:rPr>
                <w:rFonts w:ascii="宋体" w:cs="宋体"/>
                <w:color w:val="auto"/>
                <w:highlight w:val="none"/>
              </w:rPr>
            </w:pPr>
          </w:p>
        </w:tc>
      </w:tr>
      <w:tr w14:paraId="32AF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14" w:type="dxa"/>
            <w:gridSpan w:val="4"/>
            <w:vAlign w:val="center"/>
          </w:tcPr>
          <w:p w14:paraId="41118643">
            <w:pPr>
              <w:spacing w:line="300" w:lineRule="exact"/>
              <w:jc w:val="center"/>
              <w:rPr>
                <w:rFonts w:ascii="宋体" w:cs="宋体"/>
                <w:color w:val="auto"/>
                <w:highlight w:val="none"/>
              </w:rPr>
            </w:pPr>
            <w:r>
              <w:rPr>
                <w:rFonts w:hint="eastAsia" w:ascii="宋体" w:hAnsi="宋体" w:cs="宋体"/>
                <w:color w:val="auto"/>
                <w:highlight w:val="none"/>
              </w:rPr>
              <w:t>项目经理注册证书编号</w:t>
            </w:r>
          </w:p>
        </w:tc>
        <w:tc>
          <w:tcPr>
            <w:tcW w:w="5738" w:type="dxa"/>
            <w:gridSpan w:val="7"/>
            <w:vAlign w:val="center"/>
          </w:tcPr>
          <w:p w14:paraId="4CF84AA8">
            <w:pPr>
              <w:spacing w:line="300" w:lineRule="exact"/>
              <w:jc w:val="center"/>
              <w:rPr>
                <w:rFonts w:ascii="宋体" w:cs="宋体"/>
                <w:color w:val="auto"/>
                <w:highlight w:val="none"/>
              </w:rPr>
            </w:pPr>
          </w:p>
        </w:tc>
      </w:tr>
      <w:tr w14:paraId="6584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9152" w:type="dxa"/>
            <w:gridSpan w:val="11"/>
            <w:vAlign w:val="center"/>
          </w:tcPr>
          <w:p w14:paraId="39843A8E">
            <w:pPr>
              <w:spacing w:line="300" w:lineRule="exact"/>
              <w:jc w:val="center"/>
              <w:rPr>
                <w:rFonts w:ascii="宋体" w:cs="宋体"/>
                <w:color w:val="auto"/>
                <w:highlight w:val="none"/>
              </w:rPr>
            </w:pPr>
            <w:r>
              <w:rPr>
                <w:rFonts w:hint="eastAsia" w:ascii="宋体" w:hAnsi="宋体" w:cs="宋体"/>
                <w:color w:val="auto"/>
                <w:highlight w:val="none"/>
              </w:rPr>
              <w:t>在建和已完工程项目情况</w:t>
            </w:r>
          </w:p>
        </w:tc>
      </w:tr>
      <w:tr w14:paraId="6F1D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43" w:type="dxa"/>
            <w:gridSpan w:val="2"/>
            <w:vAlign w:val="center"/>
          </w:tcPr>
          <w:p w14:paraId="409917ED">
            <w:pPr>
              <w:spacing w:line="300" w:lineRule="exact"/>
              <w:jc w:val="center"/>
              <w:rPr>
                <w:rFonts w:ascii="宋体" w:cs="宋体"/>
                <w:color w:val="auto"/>
                <w:highlight w:val="none"/>
              </w:rPr>
            </w:pPr>
            <w:r>
              <w:rPr>
                <w:rFonts w:hint="eastAsia" w:ascii="宋体" w:hAnsi="宋体" w:cs="宋体"/>
                <w:color w:val="auto"/>
                <w:highlight w:val="none"/>
              </w:rPr>
              <w:t>建设单位</w:t>
            </w:r>
          </w:p>
        </w:tc>
        <w:tc>
          <w:tcPr>
            <w:tcW w:w="1544" w:type="dxa"/>
            <w:vAlign w:val="center"/>
          </w:tcPr>
          <w:p w14:paraId="4CBD7AC7">
            <w:pPr>
              <w:spacing w:line="300" w:lineRule="exact"/>
              <w:jc w:val="center"/>
              <w:rPr>
                <w:rFonts w:ascii="宋体" w:cs="宋体"/>
                <w:color w:val="auto"/>
                <w:highlight w:val="none"/>
              </w:rPr>
            </w:pPr>
            <w:r>
              <w:rPr>
                <w:rFonts w:hint="eastAsia" w:ascii="宋体" w:hAnsi="宋体" w:cs="宋体"/>
                <w:color w:val="auto"/>
                <w:highlight w:val="none"/>
              </w:rPr>
              <w:t>项目名称</w:t>
            </w:r>
          </w:p>
        </w:tc>
        <w:tc>
          <w:tcPr>
            <w:tcW w:w="1543" w:type="dxa"/>
            <w:gridSpan w:val="2"/>
            <w:vAlign w:val="center"/>
          </w:tcPr>
          <w:p w14:paraId="72FC5422">
            <w:pPr>
              <w:spacing w:line="300" w:lineRule="exact"/>
              <w:jc w:val="center"/>
              <w:rPr>
                <w:rFonts w:ascii="宋体" w:cs="宋体"/>
                <w:color w:val="auto"/>
                <w:highlight w:val="none"/>
              </w:rPr>
            </w:pPr>
            <w:r>
              <w:rPr>
                <w:rFonts w:hint="eastAsia" w:ascii="宋体" w:hAnsi="宋体" w:cs="宋体"/>
                <w:color w:val="auto"/>
                <w:highlight w:val="none"/>
              </w:rPr>
              <w:t>建设规模</w:t>
            </w:r>
          </w:p>
        </w:tc>
        <w:tc>
          <w:tcPr>
            <w:tcW w:w="1544" w:type="dxa"/>
            <w:gridSpan w:val="2"/>
            <w:vAlign w:val="center"/>
          </w:tcPr>
          <w:p w14:paraId="5A4CF4FC">
            <w:pPr>
              <w:spacing w:line="300" w:lineRule="exact"/>
              <w:jc w:val="center"/>
              <w:rPr>
                <w:rFonts w:ascii="宋体" w:cs="宋体"/>
                <w:color w:val="auto"/>
                <w:highlight w:val="none"/>
              </w:rPr>
            </w:pPr>
            <w:r>
              <w:rPr>
                <w:rFonts w:hint="eastAsia" w:ascii="宋体" w:hAnsi="宋体" w:cs="宋体"/>
                <w:color w:val="auto"/>
                <w:highlight w:val="none"/>
              </w:rPr>
              <w:t>开、竣工日期</w:t>
            </w:r>
          </w:p>
        </w:tc>
        <w:tc>
          <w:tcPr>
            <w:tcW w:w="1543" w:type="dxa"/>
            <w:gridSpan w:val="2"/>
            <w:vAlign w:val="center"/>
          </w:tcPr>
          <w:p w14:paraId="62A7F57C">
            <w:pPr>
              <w:spacing w:line="300" w:lineRule="exact"/>
              <w:jc w:val="center"/>
              <w:rPr>
                <w:rFonts w:ascii="宋体" w:cs="宋体"/>
                <w:color w:val="auto"/>
                <w:highlight w:val="none"/>
              </w:rPr>
            </w:pPr>
            <w:r>
              <w:rPr>
                <w:rFonts w:hint="eastAsia" w:ascii="宋体" w:hAnsi="宋体" w:cs="宋体"/>
                <w:color w:val="auto"/>
                <w:highlight w:val="none"/>
              </w:rPr>
              <w:t>在建或已完</w:t>
            </w:r>
          </w:p>
        </w:tc>
        <w:tc>
          <w:tcPr>
            <w:tcW w:w="1435" w:type="dxa"/>
            <w:gridSpan w:val="2"/>
            <w:vAlign w:val="center"/>
          </w:tcPr>
          <w:p w14:paraId="64F51EBE">
            <w:pPr>
              <w:spacing w:line="300" w:lineRule="exact"/>
              <w:jc w:val="center"/>
              <w:rPr>
                <w:rFonts w:ascii="宋体" w:cs="宋体"/>
                <w:color w:val="auto"/>
                <w:highlight w:val="none"/>
              </w:rPr>
            </w:pPr>
            <w:r>
              <w:rPr>
                <w:rFonts w:hint="eastAsia" w:ascii="宋体" w:hAnsi="宋体" w:cs="宋体"/>
                <w:color w:val="auto"/>
                <w:highlight w:val="none"/>
              </w:rPr>
              <w:t>工程质量</w:t>
            </w:r>
          </w:p>
        </w:tc>
      </w:tr>
      <w:tr w14:paraId="133E5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43" w:type="dxa"/>
            <w:gridSpan w:val="2"/>
            <w:vAlign w:val="center"/>
          </w:tcPr>
          <w:p w14:paraId="5BB9622B">
            <w:pPr>
              <w:spacing w:line="300" w:lineRule="exact"/>
              <w:jc w:val="center"/>
              <w:rPr>
                <w:rFonts w:ascii="宋体" w:cs="宋体"/>
                <w:color w:val="auto"/>
                <w:highlight w:val="none"/>
              </w:rPr>
            </w:pPr>
          </w:p>
        </w:tc>
        <w:tc>
          <w:tcPr>
            <w:tcW w:w="1544" w:type="dxa"/>
            <w:vAlign w:val="center"/>
          </w:tcPr>
          <w:p w14:paraId="0A737F8A">
            <w:pPr>
              <w:spacing w:line="300" w:lineRule="exact"/>
              <w:jc w:val="center"/>
              <w:rPr>
                <w:rFonts w:ascii="宋体" w:cs="宋体"/>
                <w:color w:val="auto"/>
                <w:highlight w:val="none"/>
              </w:rPr>
            </w:pPr>
          </w:p>
        </w:tc>
        <w:tc>
          <w:tcPr>
            <w:tcW w:w="1543" w:type="dxa"/>
            <w:gridSpan w:val="2"/>
            <w:vAlign w:val="center"/>
          </w:tcPr>
          <w:p w14:paraId="6CF28B7C">
            <w:pPr>
              <w:spacing w:line="300" w:lineRule="exact"/>
              <w:jc w:val="center"/>
              <w:rPr>
                <w:rFonts w:ascii="宋体" w:cs="宋体"/>
                <w:color w:val="auto"/>
                <w:highlight w:val="none"/>
              </w:rPr>
            </w:pPr>
          </w:p>
        </w:tc>
        <w:tc>
          <w:tcPr>
            <w:tcW w:w="1544" w:type="dxa"/>
            <w:gridSpan w:val="2"/>
            <w:vAlign w:val="center"/>
          </w:tcPr>
          <w:p w14:paraId="4023B508">
            <w:pPr>
              <w:spacing w:line="300" w:lineRule="exact"/>
              <w:jc w:val="center"/>
              <w:rPr>
                <w:rFonts w:ascii="宋体" w:cs="宋体"/>
                <w:color w:val="auto"/>
                <w:highlight w:val="none"/>
              </w:rPr>
            </w:pPr>
          </w:p>
        </w:tc>
        <w:tc>
          <w:tcPr>
            <w:tcW w:w="1543" w:type="dxa"/>
            <w:gridSpan w:val="2"/>
            <w:vAlign w:val="center"/>
          </w:tcPr>
          <w:p w14:paraId="3C4BC0A0">
            <w:pPr>
              <w:spacing w:line="300" w:lineRule="exact"/>
              <w:jc w:val="center"/>
              <w:rPr>
                <w:rFonts w:ascii="宋体" w:cs="宋体"/>
                <w:color w:val="auto"/>
                <w:highlight w:val="none"/>
              </w:rPr>
            </w:pPr>
          </w:p>
        </w:tc>
        <w:tc>
          <w:tcPr>
            <w:tcW w:w="1435" w:type="dxa"/>
            <w:gridSpan w:val="2"/>
            <w:vAlign w:val="center"/>
          </w:tcPr>
          <w:p w14:paraId="6D4E8260">
            <w:pPr>
              <w:spacing w:line="300" w:lineRule="exact"/>
              <w:jc w:val="center"/>
              <w:rPr>
                <w:rFonts w:ascii="宋体" w:cs="宋体"/>
                <w:color w:val="auto"/>
                <w:highlight w:val="none"/>
              </w:rPr>
            </w:pPr>
          </w:p>
        </w:tc>
      </w:tr>
      <w:tr w14:paraId="4EDFF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43" w:type="dxa"/>
            <w:gridSpan w:val="2"/>
            <w:vAlign w:val="center"/>
          </w:tcPr>
          <w:p w14:paraId="0B415202">
            <w:pPr>
              <w:spacing w:line="300" w:lineRule="exact"/>
              <w:jc w:val="center"/>
              <w:rPr>
                <w:rFonts w:ascii="宋体" w:cs="宋体"/>
                <w:color w:val="auto"/>
                <w:highlight w:val="none"/>
              </w:rPr>
            </w:pPr>
          </w:p>
        </w:tc>
        <w:tc>
          <w:tcPr>
            <w:tcW w:w="1544" w:type="dxa"/>
            <w:vAlign w:val="center"/>
          </w:tcPr>
          <w:p w14:paraId="02E03613">
            <w:pPr>
              <w:spacing w:line="300" w:lineRule="exact"/>
              <w:jc w:val="center"/>
              <w:rPr>
                <w:rFonts w:ascii="宋体" w:cs="宋体"/>
                <w:color w:val="auto"/>
                <w:highlight w:val="none"/>
              </w:rPr>
            </w:pPr>
          </w:p>
        </w:tc>
        <w:tc>
          <w:tcPr>
            <w:tcW w:w="1543" w:type="dxa"/>
            <w:gridSpan w:val="2"/>
            <w:vAlign w:val="center"/>
          </w:tcPr>
          <w:p w14:paraId="753C5E71">
            <w:pPr>
              <w:spacing w:line="300" w:lineRule="exact"/>
              <w:jc w:val="center"/>
              <w:rPr>
                <w:rFonts w:ascii="宋体" w:cs="宋体"/>
                <w:color w:val="auto"/>
                <w:highlight w:val="none"/>
              </w:rPr>
            </w:pPr>
          </w:p>
        </w:tc>
        <w:tc>
          <w:tcPr>
            <w:tcW w:w="1544" w:type="dxa"/>
            <w:gridSpan w:val="2"/>
            <w:vAlign w:val="center"/>
          </w:tcPr>
          <w:p w14:paraId="6A17F9CE">
            <w:pPr>
              <w:spacing w:line="300" w:lineRule="exact"/>
              <w:jc w:val="center"/>
              <w:rPr>
                <w:rFonts w:ascii="宋体" w:cs="宋体"/>
                <w:color w:val="auto"/>
                <w:highlight w:val="none"/>
              </w:rPr>
            </w:pPr>
          </w:p>
        </w:tc>
        <w:tc>
          <w:tcPr>
            <w:tcW w:w="1543" w:type="dxa"/>
            <w:gridSpan w:val="2"/>
            <w:vAlign w:val="center"/>
          </w:tcPr>
          <w:p w14:paraId="34A06E73">
            <w:pPr>
              <w:spacing w:line="300" w:lineRule="exact"/>
              <w:jc w:val="center"/>
              <w:rPr>
                <w:rFonts w:ascii="宋体" w:cs="宋体"/>
                <w:color w:val="auto"/>
                <w:highlight w:val="none"/>
              </w:rPr>
            </w:pPr>
          </w:p>
        </w:tc>
        <w:tc>
          <w:tcPr>
            <w:tcW w:w="1435" w:type="dxa"/>
            <w:gridSpan w:val="2"/>
            <w:vAlign w:val="center"/>
          </w:tcPr>
          <w:p w14:paraId="76D719C5">
            <w:pPr>
              <w:spacing w:line="300" w:lineRule="exact"/>
              <w:jc w:val="center"/>
              <w:rPr>
                <w:rFonts w:ascii="宋体" w:cs="宋体"/>
                <w:color w:val="auto"/>
                <w:highlight w:val="none"/>
              </w:rPr>
            </w:pPr>
          </w:p>
        </w:tc>
      </w:tr>
      <w:tr w14:paraId="7B52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43" w:type="dxa"/>
            <w:gridSpan w:val="2"/>
            <w:vAlign w:val="center"/>
          </w:tcPr>
          <w:p w14:paraId="49BB061D">
            <w:pPr>
              <w:spacing w:line="300" w:lineRule="exact"/>
              <w:jc w:val="center"/>
              <w:rPr>
                <w:rFonts w:ascii="宋体" w:cs="宋体"/>
                <w:color w:val="auto"/>
                <w:highlight w:val="none"/>
              </w:rPr>
            </w:pPr>
          </w:p>
        </w:tc>
        <w:tc>
          <w:tcPr>
            <w:tcW w:w="1544" w:type="dxa"/>
            <w:vAlign w:val="center"/>
          </w:tcPr>
          <w:p w14:paraId="67C97766">
            <w:pPr>
              <w:spacing w:line="300" w:lineRule="exact"/>
              <w:jc w:val="center"/>
              <w:rPr>
                <w:rFonts w:ascii="宋体" w:cs="宋体"/>
                <w:color w:val="auto"/>
                <w:highlight w:val="none"/>
              </w:rPr>
            </w:pPr>
          </w:p>
        </w:tc>
        <w:tc>
          <w:tcPr>
            <w:tcW w:w="1543" w:type="dxa"/>
            <w:gridSpan w:val="2"/>
            <w:vAlign w:val="center"/>
          </w:tcPr>
          <w:p w14:paraId="174D8865">
            <w:pPr>
              <w:spacing w:line="300" w:lineRule="exact"/>
              <w:jc w:val="center"/>
              <w:rPr>
                <w:rFonts w:ascii="宋体" w:cs="宋体"/>
                <w:color w:val="auto"/>
                <w:highlight w:val="none"/>
              </w:rPr>
            </w:pPr>
          </w:p>
        </w:tc>
        <w:tc>
          <w:tcPr>
            <w:tcW w:w="1544" w:type="dxa"/>
            <w:gridSpan w:val="2"/>
            <w:vAlign w:val="center"/>
          </w:tcPr>
          <w:p w14:paraId="0048CD06">
            <w:pPr>
              <w:spacing w:line="300" w:lineRule="exact"/>
              <w:jc w:val="center"/>
              <w:rPr>
                <w:rFonts w:ascii="宋体" w:cs="宋体"/>
                <w:color w:val="auto"/>
                <w:highlight w:val="none"/>
              </w:rPr>
            </w:pPr>
          </w:p>
        </w:tc>
        <w:tc>
          <w:tcPr>
            <w:tcW w:w="1543" w:type="dxa"/>
            <w:gridSpan w:val="2"/>
            <w:vAlign w:val="center"/>
          </w:tcPr>
          <w:p w14:paraId="53CB4A77">
            <w:pPr>
              <w:spacing w:line="300" w:lineRule="exact"/>
              <w:jc w:val="center"/>
              <w:rPr>
                <w:rFonts w:ascii="宋体" w:cs="宋体"/>
                <w:color w:val="auto"/>
                <w:highlight w:val="none"/>
              </w:rPr>
            </w:pPr>
          </w:p>
        </w:tc>
        <w:tc>
          <w:tcPr>
            <w:tcW w:w="1435" w:type="dxa"/>
            <w:gridSpan w:val="2"/>
            <w:vAlign w:val="center"/>
          </w:tcPr>
          <w:p w14:paraId="64725609">
            <w:pPr>
              <w:spacing w:line="300" w:lineRule="exact"/>
              <w:jc w:val="center"/>
              <w:rPr>
                <w:rFonts w:ascii="宋体" w:cs="宋体"/>
                <w:color w:val="auto"/>
                <w:highlight w:val="none"/>
              </w:rPr>
            </w:pPr>
          </w:p>
        </w:tc>
      </w:tr>
      <w:tr w14:paraId="1124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43" w:type="dxa"/>
            <w:gridSpan w:val="2"/>
            <w:vAlign w:val="center"/>
          </w:tcPr>
          <w:p w14:paraId="1029A359">
            <w:pPr>
              <w:spacing w:line="300" w:lineRule="exact"/>
              <w:jc w:val="center"/>
              <w:rPr>
                <w:rFonts w:ascii="宋体" w:cs="宋体"/>
                <w:color w:val="auto"/>
                <w:highlight w:val="none"/>
              </w:rPr>
            </w:pPr>
          </w:p>
        </w:tc>
        <w:tc>
          <w:tcPr>
            <w:tcW w:w="1544" w:type="dxa"/>
            <w:vAlign w:val="center"/>
          </w:tcPr>
          <w:p w14:paraId="0783A76A">
            <w:pPr>
              <w:spacing w:line="300" w:lineRule="exact"/>
              <w:jc w:val="center"/>
              <w:rPr>
                <w:rFonts w:ascii="宋体" w:cs="宋体"/>
                <w:color w:val="auto"/>
                <w:highlight w:val="none"/>
              </w:rPr>
            </w:pPr>
          </w:p>
        </w:tc>
        <w:tc>
          <w:tcPr>
            <w:tcW w:w="1543" w:type="dxa"/>
            <w:gridSpan w:val="2"/>
            <w:vAlign w:val="center"/>
          </w:tcPr>
          <w:p w14:paraId="7B22E4DB">
            <w:pPr>
              <w:spacing w:line="300" w:lineRule="exact"/>
              <w:jc w:val="center"/>
              <w:rPr>
                <w:rFonts w:ascii="宋体" w:cs="宋体"/>
                <w:color w:val="auto"/>
                <w:highlight w:val="none"/>
              </w:rPr>
            </w:pPr>
          </w:p>
        </w:tc>
        <w:tc>
          <w:tcPr>
            <w:tcW w:w="1544" w:type="dxa"/>
            <w:gridSpan w:val="2"/>
            <w:vAlign w:val="center"/>
          </w:tcPr>
          <w:p w14:paraId="7808F710">
            <w:pPr>
              <w:spacing w:line="300" w:lineRule="exact"/>
              <w:jc w:val="center"/>
              <w:rPr>
                <w:rFonts w:ascii="宋体" w:cs="宋体"/>
                <w:color w:val="auto"/>
                <w:highlight w:val="none"/>
              </w:rPr>
            </w:pPr>
          </w:p>
        </w:tc>
        <w:tc>
          <w:tcPr>
            <w:tcW w:w="1543" w:type="dxa"/>
            <w:gridSpan w:val="2"/>
            <w:vAlign w:val="center"/>
          </w:tcPr>
          <w:p w14:paraId="71FE9791">
            <w:pPr>
              <w:spacing w:line="300" w:lineRule="exact"/>
              <w:jc w:val="center"/>
              <w:rPr>
                <w:rFonts w:ascii="宋体" w:cs="宋体"/>
                <w:color w:val="auto"/>
                <w:highlight w:val="none"/>
              </w:rPr>
            </w:pPr>
          </w:p>
        </w:tc>
        <w:tc>
          <w:tcPr>
            <w:tcW w:w="1435" w:type="dxa"/>
            <w:gridSpan w:val="2"/>
            <w:vAlign w:val="center"/>
          </w:tcPr>
          <w:p w14:paraId="32CCC6DA">
            <w:pPr>
              <w:spacing w:line="300" w:lineRule="exact"/>
              <w:jc w:val="center"/>
              <w:rPr>
                <w:rFonts w:ascii="宋体" w:cs="宋体"/>
                <w:color w:val="auto"/>
                <w:highlight w:val="none"/>
              </w:rPr>
            </w:pPr>
          </w:p>
        </w:tc>
      </w:tr>
    </w:tbl>
    <w:p w14:paraId="1F80F5AA">
      <w:pPr>
        <w:spacing w:line="360" w:lineRule="auto"/>
        <w:rPr>
          <w:rFonts w:ascii="宋体" w:hAnsi="宋体" w:cs="宋体"/>
          <w:color w:val="auto"/>
          <w:highlight w:val="none"/>
        </w:rPr>
      </w:pPr>
    </w:p>
    <w:p w14:paraId="23F47B18">
      <w:pPr>
        <w:spacing w:line="360" w:lineRule="auto"/>
        <w:rPr>
          <w:rFonts w:ascii="宋体" w:hAnsi="宋体" w:cs="宋体"/>
          <w:color w:val="auto"/>
          <w:highlight w:val="none"/>
        </w:rPr>
      </w:pPr>
    </w:p>
    <w:p w14:paraId="303E7861">
      <w:pPr>
        <w:spacing w:line="360" w:lineRule="auto"/>
        <w:rPr>
          <w:rFonts w:ascii="宋体" w:hAnsi="宋体" w:cs="宋体"/>
          <w:color w:val="auto"/>
          <w:highlight w:val="none"/>
        </w:rPr>
      </w:pPr>
      <w:r>
        <w:rPr>
          <w:rFonts w:hint="eastAsia" w:ascii="宋体" w:hAnsi="宋体" w:cs="宋体"/>
          <w:color w:val="auto"/>
          <w:highlight w:val="none"/>
        </w:rPr>
        <w:t>备注：附项目经理注册建造师注册证书、职称证书</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如有）</w:t>
      </w:r>
      <w:r>
        <w:rPr>
          <w:rFonts w:hint="eastAsia" w:ascii="宋体" w:hAnsi="宋体" w:cs="宋体"/>
          <w:color w:val="auto"/>
          <w:highlight w:val="none"/>
        </w:rPr>
        <w:t>、安全生产考核合格证书（B 证）扫描件，以及供应商认为需要增加的其他证明材料扫描件。</w:t>
      </w:r>
    </w:p>
    <w:p w14:paraId="67FF9C98">
      <w:pPr>
        <w:spacing w:line="300" w:lineRule="auto"/>
        <w:rPr>
          <w:rFonts w:ascii="宋体" w:hAnsi="宋体"/>
          <w:b/>
          <w:bCs/>
          <w:color w:val="auto"/>
          <w:sz w:val="24"/>
          <w:highlight w:val="none"/>
        </w:rPr>
      </w:pPr>
    </w:p>
    <w:p w14:paraId="02BD740A">
      <w:pPr>
        <w:spacing w:line="300" w:lineRule="auto"/>
        <w:rPr>
          <w:rFonts w:ascii="宋体" w:hAnsi="宋体"/>
          <w:b/>
          <w:bCs/>
          <w:color w:val="auto"/>
          <w:sz w:val="24"/>
          <w:highlight w:val="none"/>
        </w:rPr>
      </w:pPr>
    </w:p>
    <w:p w14:paraId="3FEA3F56">
      <w:pPr>
        <w:spacing w:line="300" w:lineRule="auto"/>
        <w:rPr>
          <w:rFonts w:ascii="宋体" w:hAnsi="宋体"/>
          <w:b/>
          <w:bCs/>
          <w:color w:val="auto"/>
          <w:sz w:val="24"/>
          <w:highlight w:val="none"/>
        </w:rPr>
      </w:pPr>
    </w:p>
    <w:p w14:paraId="7165EADA">
      <w:pPr>
        <w:spacing w:line="300" w:lineRule="auto"/>
        <w:rPr>
          <w:rFonts w:ascii="宋体" w:hAnsi="宋体"/>
          <w:b/>
          <w:bCs/>
          <w:color w:val="auto"/>
          <w:sz w:val="24"/>
          <w:highlight w:val="none"/>
        </w:rPr>
      </w:pPr>
    </w:p>
    <w:p w14:paraId="72D242E9">
      <w:pPr>
        <w:pStyle w:val="249"/>
        <w:rPr>
          <w:color w:val="auto"/>
          <w:highlight w:val="none"/>
        </w:rPr>
      </w:pPr>
    </w:p>
    <w:p w14:paraId="6A74F41A">
      <w:pPr>
        <w:pStyle w:val="249"/>
        <w:rPr>
          <w:color w:val="auto"/>
          <w:highlight w:val="none"/>
        </w:rPr>
      </w:pPr>
    </w:p>
    <w:p w14:paraId="77FD5FCA">
      <w:pPr>
        <w:pStyle w:val="249"/>
        <w:rPr>
          <w:color w:val="auto"/>
          <w:highlight w:val="none"/>
        </w:rPr>
      </w:pPr>
    </w:p>
    <w:p w14:paraId="7880479B">
      <w:pPr>
        <w:pStyle w:val="249"/>
        <w:rPr>
          <w:color w:val="auto"/>
          <w:highlight w:val="none"/>
        </w:rPr>
      </w:pPr>
    </w:p>
    <w:p w14:paraId="2150D9E0">
      <w:pPr>
        <w:spacing w:line="300" w:lineRule="auto"/>
        <w:rPr>
          <w:rFonts w:ascii="宋体" w:hAnsi="宋体"/>
          <w:b/>
          <w:bCs/>
          <w:color w:val="auto"/>
          <w:sz w:val="24"/>
          <w:highlight w:val="none"/>
        </w:rPr>
      </w:pPr>
    </w:p>
    <w:p w14:paraId="178E5C6C">
      <w:pPr>
        <w:spacing w:line="300" w:lineRule="auto"/>
        <w:rPr>
          <w:rFonts w:ascii="宋体" w:hAnsi="宋体"/>
          <w:b/>
          <w:bCs/>
          <w:color w:val="auto"/>
          <w:sz w:val="24"/>
          <w:highlight w:val="none"/>
        </w:rPr>
      </w:pPr>
    </w:p>
    <w:p w14:paraId="573D9393">
      <w:pPr>
        <w:pStyle w:val="249"/>
        <w:rPr>
          <w:color w:val="auto"/>
          <w:highlight w:val="none"/>
        </w:rPr>
      </w:pPr>
    </w:p>
    <w:p w14:paraId="591FA888">
      <w:pPr>
        <w:spacing w:line="300" w:lineRule="auto"/>
        <w:rPr>
          <w:rFonts w:ascii="宋体" w:hAnsi="宋体"/>
          <w:b/>
          <w:bCs/>
          <w:color w:val="auto"/>
          <w:sz w:val="24"/>
          <w:highlight w:val="none"/>
        </w:rPr>
      </w:pPr>
    </w:p>
    <w:p w14:paraId="440AF77B">
      <w:pPr>
        <w:pStyle w:val="6"/>
        <w:jc w:val="center"/>
        <w:rPr>
          <w:color w:val="auto"/>
          <w:highlight w:val="none"/>
        </w:rPr>
      </w:pPr>
      <w:r>
        <w:rPr>
          <w:rFonts w:hint="eastAsia"/>
          <w:color w:val="auto"/>
          <w:highlight w:val="none"/>
        </w:rPr>
        <w:t>（3）项目技术负责人简历表</w:t>
      </w:r>
    </w:p>
    <w:p w14:paraId="32CAA786">
      <w:pPr>
        <w:spacing w:line="400" w:lineRule="exact"/>
        <w:rPr>
          <w:rFonts w:ascii="宋体" w:cs="宋体"/>
          <w:b/>
          <w:color w:val="auto"/>
          <w:sz w:val="28"/>
          <w:szCs w:val="28"/>
          <w:highlight w:val="none"/>
        </w:rPr>
      </w:pPr>
    </w:p>
    <w:p w14:paraId="107A6AE1">
      <w:pPr>
        <w:spacing w:line="400" w:lineRule="exact"/>
        <w:rPr>
          <w:rFonts w:ascii="宋体" w:cs="宋体"/>
          <w:color w:val="auto"/>
          <w:highlight w:val="none"/>
        </w:rPr>
      </w:pPr>
      <w:bookmarkStart w:id="77" w:name="_Toc251052220"/>
      <w:r>
        <w:rPr>
          <w:rFonts w:hint="eastAsia" w:ascii="宋体" w:hAnsi="宋体" w:cs="宋体"/>
          <w:color w:val="auto"/>
          <w:highlight w:val="none"/>
        </w:rPr>
        <w:t>采购项目名称：</w:t>
      </w:r>
      <w:r>
        <w:rPr>
          <w:rFonts w:ascii="宋体" w:hAnsi="宋体" w:cs="宋体"/>
          <w:color w:val="auto"/>
          <w:highlight w:val="none"/>
        </w:rPr>
        <w:tab/>
      </w:r>
      <w:r>
        <w:rPr>
          <w:rFonts w:ascii="宋体" w:hAnsi="宋体" w:cs="宋体"/>
          <w:color w:val="auto"/>
          <w:highlight w:val="none"/>
        </w:rPr>
        <w:tab/>
      </w:r>
      <w:r>
        <w:rPr>
          <w:rFonts w:ascii="宋体" w:hAnsi="宋体" w:cs="宋体"/>
          <w:color w:val="auto"/>
          <w:highlight w:val="none"/>
        </w:rPr>
        <w:tab/>
      </w:r>
      <w:bookmarkEnd w:id="77"/>
    </w:p>
    <w:tbl>
      <w:tblPr>
        <w:tblStyle w:val="47"/>
        <w:tblW w:w="91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428"/>
        <w:gridCol w:w="1427"/>
        <w:gridCol w:w="304"/>
        <w:gridCol w:w="1122"/>
        <w:gridCol w:w="624"/>
        <w:gridCol w:w="803"/>
        <w:gridCol w:w="658"/>
        <w:gridCol w:w="768"/>
        <w:gridCol w:w="254"/>
        <w:gridCol w:w="1771"/>
      </w:tblGrid>
      <w:tr w14:paraId="53C2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8" w:type="dxa"/>
            <w:vAlign w:val="center"/>
          </w:tcPr>
          <w:p w14:paraId="15220F68">
            <w:pPr>
              <w:spacing w:line="300" w:lineRule="exact"/>
              <w:jc w:val="center"/>
              <w:rPr>
                <w:rFonts w:ascii="宋体" w:cs="宋体"/>
                <w:color w:val="auto"/>
                <w:highlight w:val="none"/>
              </w:rPr>
            </w:pPr>
            <w:r>
              <w:rPr>
                <w:rFonts w:hint="eastAsia" w:ascii="宋体" w:hAnsi="宋体" w:cs="宋体"/>
                <w:color w:val="auto"/>
                <w:highlight w:val="none"/>
              </w:rPr>
              <w:t>姓名</w:t>
            </w:r>
          </w:p>
        </w:tc>
        <w:tc>
          <w:tcPr>
            <w:tcW w:w="2159" w:type="dxa"/>
            <w:gridSpan w:val="3"/>
            <w:vAlign w:val="center"/>
          </w:tcPr>
          <w:p w14:paraId="74FFC271">
            <w:pPr>
              <w:spacing w:line="300" w:lineRule="exact"/>
              <w:jc w:val="center"/>
              <w:rPr>
                <w:rFonts w:ascii="宋体" w:cs="宋体"/>
                <w:color w:val="auto"/>
                <w:highlight w:val="none"/>
              </w:rPr>
            </w:pPr>
          </w:p>
        </w:tc>
        <w:tc>
          <w:tcPr>
            <w:tcW w:w="1746" w:type="dxa"/>
            <w:gridSpan w:val="2"/>
            <w:vAlign w:val="center"/>
          </w:tcPr>
          <w:p w14:paraId="33BBADF5">
            <w:pPr>
              <w:spacing w:line="300" w:lineRule="exact"/>
              <w:jc w:val="center"/>
              <w:rPr>
                <w:rFonts w:ascii="宋体" w:cs="宋体"/>
                <w:color w:val="auto"/>
                <w:highlight w:val="none"/>
              </w:rPr>
            </w:pPr>
            <w:r>
              <w:rPr>
                <w:rFonts w:hint="eastAsia" w:ascii="宋体" w:hAnsi="宋体" w:cs="宋体"/>
                <w:color w:val="auto"/>
                <w:highlight w:val="none"/>
              </w:rPr>
              <w:t>性别</w:t>
            </w:r>
          </w:p>
        </w:tc>
        <w:tc>
          <w:tcPr>
            <w:tcW w:w="1461" w:type="dxa"/>
            <w:gridSpan w:val="2"/>
            <w:vAlign w:val="center"/>
          </w:tcPr>
          <w:p w14:paraId="394E5AEC">
            <w:pPr>
              <w:spacing w:line="300" w:lineRule="exact"/>
              <w:jc w:val="center"/>
              <w:rPr>
                <w:rFonts w:ascii="宋体" w:cs="宋体"/>
                <w:color w:val="auto"/>
                <w:highlight w:val="none"/>
              </w:rPr>
            </w:pPr>
          </w:p>
        </w:tc>
        <w:tc>
          <w:tcPr>
            <w:tcW w:w="1022" w:type="dxa"/>
            <w:gridSpan w:val="2"/>
            <w:vAlign w:val="center"/>
          </w:tcPr>
          <w:p w14:paraId="6875C8B3">
            <w:pPr>
              <w:spacing w:line="300" w:lineRule="exact"/>
              <w:jc w:val="center"/>
              <w:rPr>
                <w:rFonts w:ascii="宋体" w:cs="宋体"/>
                <w:color w:val="auto"/>
                <w:highlight w:val="none"/>
              </w:rPr>
            </w:pPr>
            <w:r>
              <w:rPr>
                <w:rFonts w:hint="eastAsia" w:ascii="宋体" w:hAnsi="宋体" w:cs="宋体"/>
                <w:color w:val="auto"/>
                <w:highlight w:val="none"/>
              </w:rPr>
              <w:t>年龄</w:t>
            </w:r>
          </w:p>
        </w:tc>
        <w:tc>
          <w:tcPr>
            <w:tcW w:w="1771" w:type="dxa"/>
            <w:vAlign w:val="center"/>
          </w:tcPr>
          <w:p w14:paraId="1A9FD674">
            <w:pPr>
              <w:spacing w:line="300" w:lineRule="exact"/>
              <w:jc w:val="center"/>
              <w:rPr>
                <w:rFonts w:ascii="宋体" w:cs="宋体"/>
                <w:color w:val="auto"/>
                <w:highlight w:val="none"/>
              </w:rPr>
            </w:pPr>
          </w:p>
        </w:tc>
      </w:tr>
      <w:tr w14:paraId="7CB0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8" w:type="dxa"/>
            <w:vAlign w:val="center"/>
          </w:tcPr>
          <w:p w14:paraId="2C51675A">
            <w:pPr>
              <w:spacing w:line="300" w:lineRule="exact"/>
              <w:jc w:val="center"/>
              <w:rPr>
                <w:rFonts w:ascii="宋体" w:cs="宋体"/>
                <w:color w:val="auto"/>
                <w:highlight w:val="none"/>
              </w:rPr>
            </w:pPr>
            <w:r>
              <w:rPr>
                <w:rFonts w:hint="eastAsia" w:ascii="宋体" w:hAnsi="宋体" w:cs="宋体"/>
                <w:color w:val="auto"/>
                <w:highlight w:val="none"/>
              </w:rPr>
              <w:t>职务</w:t>
            </w:r>
          </w:p>
        </w:tc>
        <w:tc>
          <w:tcPr>
            <w:tcW w:w="2159" w:type="dxa"/>
            <w:gridSpan w:val="3"/>
            <w:vAlign w:val="center"/>
          </w:tcPr>
          <w:p w14:paraId="106A16B6">
            <w:pPr>
              <w:spacing w:line="300" w:lineRule="exact"/>
              <w:jc w:val="center"/>
              <w:rPr>
                <w:rFonts w:ascii="宋体" w:cs="宋体"/>
                <w:color w:val="auto"/>
                <w:highlight w:val="none"/>
              </w:rPr>
            </w:pPr>
          </w:p>
        </w:tc>
        <w:tc>
          <w:tcPr>
            <w:tcW w:w="1746" w:type="dxa"/>
            <w:gridSpan w:val="2"/>
            <w:vAlign w:val="center"/>
          </w:tcPr>
          <w:p w14:paraId="543EFC94">
            <w:pPr>
              <w:spacing w:line="300" w:lineRule="exact"/>
              <w:jc w:val="center"/>
              <w:rPr>
                <w:rFonts w:ascii="宋体" w:cs="宋体"/>
                <w:color w:val="auto"/>
                <w:highlight w:val="none"/>
              </w:rPr>
            </w:pPr>
            <w:r>
              <w:rPr>
                <w:rFonts w:hint="eastAsia" w:ascii="宋体" w:hAnsi="宋体" w:cs="宋体"/>
                <w:color w:val="auto"/>
                <w:highlight w:val="none"/>
              </w:rPr>
              <w:t>职称</w:t>
            </w:r>
          </w:p>
        </w:tc>
        <w:tc>
          <w:tcPr>
            <w:tcW w:w="1461" w:type="dxa"/>
            <w:gridSpan w:val="2"/>
            <w:vAlign w:val="center"/>
          </w:tcPr>
          <w:p w14:paraId="38121529">
            <w:pPr>
              <w:spacing w:line="300" w:lineRule="exact"/>
              <w:jc w:val="center"/>
              <w:rPr>
                <w:rFonts w:ascii="宋体" w:cs="宋体"/>
                <w:color w:val="auto"/>
                <w:highlight w:val="none"/>
              </w:rPr>
            </w:pPr>
          </w:p>
        </w:tc>
        <w:tc>
          <w:tcPr>
            <w:tcW w:w="1022" w:type="dxa"/>
            <w:gridSpan w:val="2"/>
            <w:vAlign w:val="center"/>
          </w:tcPr>
          <w:p w14:paraId="07A02457">
            <w:pPr>
              <w:spacing w:line="300" w:lineRule="exact"/>
              <w:jc w:val="center"/>
              <w:rPr>
                <w:rFonts w:ascii="宋体" w:cs="宋体"/>
                <w:color w:val="auto"/>
                <w:highlight w:val="none"/>
              </w:rPr>
            </w:pPr>
            <w:r>
              <w:rPr>
                <w:rFonts w:hint="eastAsia" w:ascii="宋体" w:hAnsi="宋体" w:cs="宋体"/>
                <w:color w:val="auto"/>
                <w:highlight w:val="none"/>
              </w:rPr>
              <w:t>学历</w:t>
            </w:r>
          </w:p>
        </w:tc>
        <w:tc>
          <w:tcPr>
            <w:tcW w:w="1771" w:type="dxa"/>
            <w:vAlign w:val="center"/>
          </w:tcPr>
          <w:p w14:paraId="219B13C6">
            <w:pPr>
              <w:spacing w:line="300" w:lineRule="exact"/>
              <w:jc w:val="center"/>
              <w:rPr>
                <w:rFonts w:ascii="宋体" w:cs="宋体"/>
                <w:color w:val="auto"/>
                <w:highlight w:val="none"/>
              </w:rPr>
            </w:pPr>
          </w:p>
        </w:tc>
      </w:tr>
      <w:tr w14:paraId="0F00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3157" w:type="dxa"/>
            <w:gridSpan w:val="4"/>
            <w:vAlign w:val="center"/>
          </w:tcPr>
          <w:p w14:paraId="16D908C7">
            <w:pPr>
              <w:spacing w:line="300" w:lineRule="exact"/>
              <w:jc w:val="center"/>
              <w:rPr>
                <w:rFonts w:ascii="宋体" w:cs="宋体"/>
                <w:color w:val="auto"/>
                <w:highlight w:val="none"/>
              </w:rPr>
            </w:pPr>
            <w:r>
              <w:rPr>
                <w:rFonts w:hint="eastAsia" w:ascii="宋体" w:hAnsi="宋体" w:cs="宋体"/>
                <w:color w:val="auto"/>
                <w:highlight w:val="none"/>
              </w:rPr>
              <w:t>参加工作时间</w:t>
            </w:r>
          </w:p>
        </w:tc>
        <w:tc>
          <w:tcPr>
            <w:tcW w:w="1746" w:type="dxa"/>
            <w:gridSpan w:val="2"/>
            <w:vAlign w:val="center"/>
          </w:tcPr>
          <w:p w14:paraId="43B67972">
            <w:pPr>
              <w:spacing w:line="300" w:lineRule="exact"/>
              <w:jc w:val="center"/>
              <w:rPr>
                <w:rFonts w:ascii="宋体" w:cs="宋体"/>
                <w:color w:val="auto"/>
                <w:highlight w:val="none"/>
              </w:rPr>
            </w:pPr>
          </w:p>
        </w:tc>
        <w:tc>
          <w:tcPr>
            <w:tcW w:w="2483" w:type="dxa"/>
            <w:gridSpan w:val="4"/>
            <w:vAlign w:val="center"/>
          </w:tcPr>
          <w:p w14:paraId="3100C8B4">
            <w:pPr>
              <w:spacing w:line="300" w:lineRule="exact"/>
              <w:jc w:val="center"/>
              <w:rPr>
                <w:rFonts w:ascii="宋体" w:cs="宋体"/>
                <w:color w:val="auto"/>
                <w:highlight w:val="none"/>
              </w:rPr>
            </w:pPr>
            <w:r>
              <w:rPr>
                <w:rFonts w:hint="eastAsia" w:ascii="宋体" w:hAnsi="宋体" w:cs="宋体"/>
                <w:color w:val="auto"/>
                <w:highlight w:val="none"/>
              </w:rPr>
              <w:t>担任技术负责人年限</w:t>
            </w:r>
          </w:p>
        </w:tc>
        <w:tc>
          <w:tcPr>
            <w:tcW w:w="1771" w:type="dxa"/>
            <w:vAlign w:val="center"/>
          </w:tcPr>
          <w:p w14:paraId="52EBD152">
            <w:pPr>
              <w:spacing w:line="300" w:lineRule="exact"/>
              <w:jc w:val="center"/>
              <w:rPr>
                <w:rFonts w:ascii="宋体" w:cs="宋体"/>
                <w:color w:val="auto"/>
                <w:highlight w:val="none"/>
              </w:rPr>
            </w:pPr>
          </w:p>
        </w:tc>
      </w:tr>
      <w:tr w14:paraId="06A6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157" w:type="dxa"/>
            <w:gridSpan w:val="11"/>
            <w:vAlign w:val="center"/>
          </w:tcPr>
          <w:p w14:paraId="6E41B205">
            <w:pPr>
              <w:spacing w:line="300" w:lineRule="exact"/>
              <w:jc w:val="center"/>
              <w:rPr>
                <w:rFonts w:ascii="宋体" w:cs="宋体"/>
                <w:color w:val="auto"/>
                <w:highlight w:val="none"/>
              </w:rPr>
            </w:pPr>
            <w:r>
              <w:rPr>
                <w:rFonts w:hint="eastAsia" w:ascii="宋体" w:hAnsi="宋体" w:cs="宋体"/>
                <w:color w:val="auto"/>
                <w:highlight w:val="none"/>
              </w:rPr>
              <w:t>在建和已完工程项目情况</w:t>
            </w:r>
          </w:p>
        </w:tc>
      </w:tr>
      <w:tr w14:paraId="685A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426" w:type="dxa"/>
            <w:gridSpan w:val="2"/>
            <w:vAlign w:val="center"/>
          </w:tcPr>
          <w:p w14:paraId="6B5D6AA9">
            <w:pPr>
              <w:spacing w:line="300" w:lineRule="exact"/>
              <w:jc w:val="center"/>
              <w:rPr>
                <w:rFonts w:ascii="宋体" w:cs="宋体"/>
                <w:color w:val="auto"/>
                <w:highlight w:val="none"/>
              </w:rPr>
            </w:pPr>
            <w:r>
              <w:rPr>
                <w:rFonts w:hint="eastAsia" w:ascii="宋体" w:hAnsi="宋体" w:cs="宋体"/>
                <w:color w:val="auto"/>
                <w:highlight w:val="none"/>
              </w:rPr>
              <w:t>建设单位</w:t>
            </w:r>
          </w:p>
        </w:tc>
        <w:tc>
          <w:tcPr>
            <w:tcW w:w="1427" w:type="dxa"/>
            <w:vAlign w:val="center"/>
          </w:tcPr>
          <w:p w14:paraId="23D3F9BB">
            <w:pPr>
              <w:spacing w:line="300" w:lineRule="exact"/>
              <w:jc w:val="center"/>
              <w:rPr>
                <w:rFonts w:ascii="宋体" w:cs="宋体"/>
                <w:color w:val="auto"/>
                <w:highlight w:val="none"/>
              </w:rPr>
            </w:pPr>
            <w:r>
              <w:rPr>
                <w:rFonts w:hint="eastAsia" w:ascii="宋体" w:hAnsi="宋体" w:cs="宋体"/>
                <w:color w:val="auto"/>
                <w:highlight w:val="none"/>
              </w:rPr>
              <w:t>项目名称</w:t>
            </w:r>
          </w:p>
        </w:tc>
        <w:tc>
          <w:tcPr>
            <w:tcW w:w="1426" w:type="dxa"/>
            <w:gridSpan w:val="2"/>
            <w:vAlign w:val="center"/>
          </w:tcPr>
          <w:p w14:paraId="6BE53AA8">
            <w:pPr>
              <w:spacing w:line="300" w:lineRule="exact"/>
              <w:jc w:val="center"/>
              <w:rPr>
                <w:rFonts w:ascii="宋体" w:cs="宋体"/>
                <w:color w:val="auto"/>
                <w:highlight w:val="none"/>
              </w:rPr>
            </w:pPr>
            <w:r>
              <w:rPr>
                <w:rFonts w:hint="eastAsia" w:ascii="宋体" w:hAnsi="宋体" w:cs="宋体"/>
                <w:color w:val="auto"/>
                <w:highlight w:val="none"/>
              </w:rPr>
              <w:t>建设规模</w:t>
            </w:r>
          </w:p>
        </w:tc>
        <w:tc>
          <w:tcPr>
            <w:tcW w:w="1427" w:type="dxa"/>
            <w:gridSpan w:val="2"/>
            <w:vAlign w:val="center"/>
          </w:tcPr>
          <w:p w14:paraId="6CE384A6">
            <w:pPr>
              <w:spacing w:line="300" w:lineRule="exact"/>
              <w:jc w:val="center"/>
              <w:rPr>
                <w:rFonts w:ascii="宋体" w:cs="宋体"/>
                <w:color w:val="auto"/>
                <w:highlight w:val="none"/>
              </w:rPr>
            </w:pPr>
            <w:r>
              <w:rPr>
                <w:rFonts w:hint="eastAsia" w:ascii="宋体" w:hAnsi="宋体" w:cs="宋体"/>
                <w:color w:val="auto"/>
                <w:highlight w:val="none"/>
              </w:rPr>
              <w:t>开、竣工日期</w:t>
            </w:r>
          </w:p>
        </w:tc>
        <w:tc>
          <w:tcPr>
            <w:tcW w:w="1426" w:type="dxa"/>
            <w:gridSpan w:val="2"/>
            <w:vAlign w:val="center"/>
          </w:tcPr>
          <w:p w14:paraId="3D4CB4D6">
            <w:pPr>
              <w:spacing w:line="300" w:lineRule="exact"/>
              <w:jc w:val="center"/>
              <w:rPr>
                <w:rFonts w:ascii="宋体" w:cs="宋体"/>
                <w:color w:val="auto"/>
                <w:highlight w:val="none"/>
              </w:rPr>
            </w:pPr>
            <w:r>
              <w:rPr>
                <w:rFonts w:hint="eastAsia" w:ascii="宋体" w:hAnsi="宋体" w:cs="宋体"/>
                <w:color w:val="auto"/>
                <w:highlight w:val="none"/>
              </w:rPr>
              <w:t>在建或已完</w:t>
            </w:r>
          </w:p>
        </w:tc>
        <w:tc>
          <w:tcPr>
            <w:tcW w:w="2025" w:type="dxa"/>
            <w:gridSpan w:val="2"/>
            <w:vAlign w:val="center"/>
          </w:tcPr>
          <w:p w14:paraId="1E316494">
            <w:pPr>
              <w:spacing w:line="300" w:lineRule="exact"/>
              <w:jc w:val="center"/>
              <w:rPr>
                <w:rFonts w:ascii="宋体" w:cs="宋体"/>
                <w:color w:val="auto"/>
                <w:highlight w:val="none"/>
              </w:rPr>
            </w:pPr>
            <w:r>
              <w:rPr>
                <w:rFonts w:hint="eastAsia" w:ascii="宋体" w:hAnsi="宋体" w:cs="宋体"/>
                <w:color w:val="auto"/>
                <w:highlight w:val="none"/>
              </w:rPr>
              <w:t>工程质量</w:t>
            </w:r>
          </w:p>
        </w:tc>
      </w:tr>
      <w:tr w14:paraId="40B2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426" w:type="dxa"/>
            <w:gridSpan w:val="2"/>
            <w:vAlign w:val="center"/>
          </w:tcPr>
          <w:p w14:paraId="08E8B180">
            <w:pPr>
              <w:spacing w:line="300" w:lineRule="exact"/>
              <w:jc w:val="center"/>
              <w:rPr>
                <w:rFonts w:ascii="宋体" w:cs="宋体"/>
                <w:color w:val="auto"/>
                <w:highlight w:val="none"/>
              </w:rPr>
            </w:pPr>
          </w:p>
        </w:tc>
        <w:tc>
          <w:tcPr>
            <w:tcW w:w="1427" w:type="dxa"/>
            <w:vAlign w:val="center"/>
          </w:tcPr>
          <w:p w14:paraId="69678156">
            <w:pPr>
              <w:spacing w:line="300" w:lineRule="exact"/>
              <w:jc w:val="center"/>
              <w:rPr>
                <w:rFonts w:ascii="宋体" w:cs="宋体"/>
                <w:color w:val="auto"/>
                <w:highlight w:val="none"/>
              </w:rPr>
            </w:pPr>
          </w:p>
        </w:tc>
        <w:tc>
          <w:tcPr>
            <w:tcW w:w="1426" w:type="dxa"/>
            <w:gridSpan w:val="2"/>
            <w:vAlign w:val="center"/>
          </w:tcPr>
          <w:p w14:paraId="101561C2">
            <w:pPr>
              <w:spacing w:line="300" w:lineRule="exact"/>
              <w:jc w:val="center"/>
              <w:rPr>
                <w:rFonts w:ascii="宋体" w:cs="宋体"/>
                <w:color w:val="auto"/>
                <w:highlight w:val="none"/>
              </w:rPr>
            </w:pPr>
          </w:p>
        </w:tc>
        <w:tc>
          <w:tcPr>
            <w:tcW w:w="1427" w:type="dxa"/>
            <w:gridSpan w:val="2"/>
            <w:vAlign w:val="center"/>
          </w:tcPr>
          <w:p w14:paraId="217AA5FC">
            <w:pPr>
              <w:spacing w:line="300" w:lineRule="exact"/>
              <w:jc w:val="center"/>
              <w:rPr>
                <w:rFonts w:ascii="宋体" w:cs="宋体"/>
                <w:color w:val="auto"/>
                <w:highlight w:val="none"/>
              </w:rPr>
            </w:pPr>
          </w:p>
        </w:tc>
        <w:tc>
          <w:tcPr>
            <w:tcW w:w="1426" w:type="dxa"/>
            <w:gridSpan w:val="2"/>
            <w:vAlign w:val="center"/>
          </w:tcPr>
          <w:p w14:paraId="61DDAFFD">
            <w:pPr>
              <w:spacing w:line="300" w:lineRule="exact"/>
              <w:jc w:val="center"/>
              <w:rPr>
                <w:rFonts w:ascii="宋体" w:cs="宋体"/>
                <w:color w:val="auto"/>
                <w:highlight w:val="none"/>
              </w:rPr>
            </w:pPr>
          </w:p>
        </w:tc>
        <w:tc>
          <w:tcPr>
            <w:tcW w:w="2025" w:type="dxa"/>
            <w:gridSpan w:val="2"/>
            <w:vAlign w:val="center"/>
          </w:tcPr>
          <w:p w14:paraId="784C9885">
            <w:pPr>
              <w:spacing w:line="300" w:lineRule="exact"/>
              <w:jc w:val="center"/>
              <w:rPr>
                <w:rFonts w:ascii="宋体" w:cs="宋体"/>
                <w:color w:val="auto"/>
                <w:highlight w:val="none"/>
              </w:rPr>
            </w:pPr>
          </w:p>
        </w:tc>
      </w:tr>
      <w:tr w14:paraId="061B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426" w:type="dxa"/>
            <w:gridSpan w:val="2"/>
            <w:vAlign w:val="center"/>
          </w:tcPr>
          <w:p w14:paraId="42564E5B">
            <w:pPr>
              <w:spacing w:line="300" w:lineRule="exact"/>
              <w:jc w:val="center"/>
              <w:rPr>
                <w:rFonts w:ascii="宋体" w:cs="宋体"/>
                <w:color w:val="auto"/>
                <w:highlight w:val="none"/>
              </w:rPr>
            </w:pPr>
          </w:p>
        </w:tc>
        <w:tc>
          <w:tcPr>
            <w:tcW w:w="1427" w:type="dxa"/>
            <w:vAlign w:val="center"/>
          </w:tcPr>
          <w:p w14:paraId="65EC14F9">
            <w:pPr>
              <w:spacing w:line="300" w:lineRule="exact"/>
              <w:jc w:val="center"/>
              <w:rPr>
                <w:rFonts w:ascii="宋体" w:cs="宋体"/>
                <w:color w:val="auto"/>
                <w:highlight w:val="none"/>
              </w:rPr>
            </w:pPr>
          </w:p>
        </w:tc>
        <w:tc>
          <w:tcPr>
            <w:tcW w:w="1426" w:type="dxa"/>
            <w:gridSpan w:val="2"/>
            <w:vAlign w:val="center"/>
          </w:tcPr>
          <w:p w14:paraId="3F4BB01E">
            <w:pPr>
              <w:spacing w:line="300" w:lineRule="exact"/>
              <w:jc w:val="center"/>
              <w:rPr>
                <w:rFonts w:ascii="宋体" w:cs="宋体"/>
                <w:color w:val="auto"/>
                <w:highlight w:val="none"/>
              </w:rPr>
            </w:pPr>
          </w:p>
        </w:tc>
        <w:tc>
          <w:tcPr>
            <w:tcW w:w="1427" w:type="dxa"/>
            <w:gridSpan w:val="2"/>
            <w:vAlign w:val="center"/>
          </w:tcPr>
          <w:p w14:paraId="1F12570D">
            <w:pPr>
              <w:spacing w:line="300" w:lineRule="exact"/>
              <w:jc w:val="center"/>
              <w:rPr>
                <w:rFonts w:ascii="宋体" w:cs="宋体"/>
                <w:color w:val="auto"/>
                <w:highlight w:val="none"/>
              </w:rPr>
            </w:pPr>
          </w:p>
        </w:tc>
        <w:tc>
          <w:tcPr>
            <w:tcW w:w="1426" w:type="dxa"/>
            <w:gridSpan w:val="2"/>
            <w:vAlign w:val="center"/>
          </w:tcPr>
          <w:p w14:paraId="5A01B1AF">
            <w:pPr>
              <w:spacing w:line="300" w:lineRule="exact"/>
              <w:jc w:val="center"/>
              <w:rPr>
                <w:rFonts w:ascii="宋体" w:cs="宋体"/>
                <w:color w:val="auto"/>
                <w:highlight w:val="none"/>
              </w:rPr>
            </w:pPr>
          </w:p>
        </w:tc>
        <w:tc>
          <w:tcPr>
            <w:tcW w:w="2025" w:type="dxa"/>
            <w:gridSpan w:val="2"/>
            <w:vAlign w:val="center"/>
          </w:tcPr>
          <w:p w14:paraId="09A81F6C">
            <w:pPr>
              <w:spacing w:line="300" w:lineRule="exact"/>
              <w:jc w:val="center"/>
              <w:rPr>
                <w:rFonts w:ascii="宋体" w:cs="宋体"/>
                <w:color w:val="auto"/>
                <w:highlight w:val="none"/>
              </w:rPr>
            </w:pPr>
          </w:p>
        </w:tc>
      </w:tr>
      <w:tr w14:paraId="1977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426" w:type="dxa"/>
            <w:gridSpan w:val="2"/>
            <w:vAlign w:val="center"/>
          </w:tcPr>
          <w:p w14:paraId="1D87726D">
            <w:pPr>
              <w:spacing w:line="300" w:lineRule="exact"/>
              <w:jc w:val="center"/>
              <w:rPr>
                <w:rFonts w:ascii="宋体" w:cs="宋体"/>
                <w:color w:val="auto"/>
                <w:highlight w:val="none"/>
              </w:rPr>
            </w:pPr>
          </w:p>
        </w:tc>
        <w:tc>
          <w:tcPr>
            <w:tcW w:w="1427" w:type="dxa"/>
            <w:vAlign w:val="center"/>
          </w:tcPr>
          <w:p w14:paraId="6B5C0F42">
            <w:pPr>
              <w:spacing w:line="300" w:lineRule="exact"/>
              <w:jc w:val="center"/>
              <w:rPr>
                <w:rFonts w:ascii="宋体" w:cs="宋体"/>
                <w:color w:val="auto"/>
                <w:highlight w:val="none"/>
              </w:rPr>
            </w:pPr>
          </w:p>
        </w:tc>
        <w:tc>
          <w:tcPr>
            <w:tcW w:w="1426" w:type="dxa"/>
            <w:gridSpan w:val="2"/>
            <w:vAlign w:val="center"/>
          </w:tcPr>
          <w:p w14:paraId="0674AAD4">
            <w:pPr>
              <w:spacing w:line="300" w:lineRule="exact"/>
              <w:jc w:val="center"/>
              <w:rPr>
                <w:rFonts w:ascii="宋体" w:cs="宋体"/>
                <w:color w:val="auto"/>
                <w:highlight w:val="none"/>
              </w:rPr>
            </w:pPr>
          </w:p>
        </w:tc>
        <w:tc>
          <w:tcPr>
            <w:tcW w:w="1427" w:type="dxa"/>
            <w:gridSpan w:val="2"/>
            <w:vAlign w:val="center"/>
          </w:tcPr>
          <w:p w14:paraId="67E9F9DF">
            <w:pPr>
              <w:spacing w:line="300" w:lineRule="exact"/>
              <w:jc w:val="center"/>
              <w:rPr>
                <w:rFonts w:ascii="宋体" w:cs="宋体"/>
                <w:color w:val="auto"/>
                <w:highlight w:val="none"/>
              </w:rPr>
            </w:pPr>
          </w:p>
        </w:tc>
        <w:tc>
          <w:tcPr>
            <w:tcW w:w="1426" w:type="dxa"/>
            <w:gridSpan w:val="2"/>
            <w:vAlign w:val="center"/>
          </w:tcPr>
          <w:p w14:paraId="201CE28B">
            <w:pPr>
              <w:spacing w:line="300" w:lineRule="exact"/>
              <w:jc w:val="center"/>
              <w:rPr>
                <w:rFonts w:ascii="宋体" w:cs="宋体"/>
                <w:color w:val="auto"/>
                <w:highlight w:val="none"/>
              </w:rPr>
            </w:pPr>
          </w:p>
        </w:tc>
        <w:tc>
          <w:tcPr>
            <w:tcW w:w="2025" w:type="dxa"/>
            <w:gridSpan w:val="2"/>
            <w:vAlign w:val="center"/>
          </w:tcPr>
          <w:p w14:paraId="33AA1CD0">
            <w:pPr>
              <w:spacing w:line="300" w:lineRule="exact"/>
              <w:jc w:val="center"/>
              <w:rPr>
                <w:rFonts w:ascii="宋体" w:cs="宋体"/>
                <w:color w:val="auto"/>
                <w:highlight w:val="none"/>
              </w:rPr>
            </w:pPr>
          </w:p>
        </w:tc>
      </w:tr>
      <w:tr w14:paraId="1E53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426" w:type="dxa"/>
            <w:gridSpan w:val="2"/>
            <w:vAlign w:val="center"/>
          </w:tcPr>
          <w:p w14:paraId="766D2C16">
            <w:pPr>
              <w:spacing w:line="300" w:lineRule="exact"/>
              <w:jc w:val="center"/>
              <w:rPr>
                <w:rFonts w:ascii="宋体" w:cs="宋体"/>
                <w:color w:val="auto"/>
                <w:highlight w:val="none"/>
              </w:rPr>
            </w:pPr>
          </w:p>
        </w:tc>
        <w:tc>
          <w:tcPr>
            <w:tcW w:w="1427" w:type="dxa"/>
            <w:vAlign w:val="center"/>
          </w:tcPr>
          <w:p w14:paraId="7E08B9EB">
            <w:pPr>
              <w:spacing w:line="300" w:lineRule="exact"/>
              <w:jc w:val="center"/>
              <w:rPr>
                <w:rFonts w:ascii="宋体" w:cs="宋体"/>
                <w:color w:val="auto"/>
                <w:highlight w:val="none"/>
              </w:rPr>
            </w:pPr>
          </w:p>
        </w:tc>
        <w:tc>
          <w:tcPr>
            <w:tcW w:w="1426" w:type="dxa"/>
            <w:gridSpan w:val="2"/>
            <w:vAlign w:val="center"/>
          </w:tcPr>
          <w:p w14:paraId="1B053E4C">
            <w:pPr>
              <w:spacing w:line="300" w:lineRule="exact"/>
              <w:jc w:val="center"/>
              <w:rPr>
                <w:rFonts w:ascii="宋体" w:cs="宋体"/>
                <w:color w:val="auto"/>
                <w:highlight w:val="none"/>
              </w:rPr>
            </w:pPr>
          </w:p>
        </w:tc>
        <w:tc>
          <w:tcPr>
            <w:tcW w:w="1427" w:type="dxa"/>
            <w:gridSpan w:val="2"/>
            <w:vAlign w:val="center"/>
          </w:tcPr>
          <w:p w14:paraId="77717FBA">
            <w:pPr>
              <w:spacing w:line="300" w:lineRule="exact"/>
              <w:jc w:val="center"/>
              <w:rPr>
                <w:rFonts w:ascii="宋体" w:cs="宋体"/>
                <w:color w:val="auto"/>
                <w:highlight w:val="none"/>
              </w:rPr>
            </w:pPr>
          </w:p>
        </w:tc>
        <w:tc>
          <w:tcPr>
            <w:tcW w:w="1426" w:type="dxa"/>
            <w:gridSpan w:val="2"/>
            <w:vAlign w:val="center"/>
          </w:tcPr>
          <w:p w14:paraId="636CF903">
            <w:pPr>
              <w:spacing w:line="300" w:lineRule="exact"/>
              <w:jc w:val="center"/>
              <w:rPr>
                <w:rFonts w:ascii="宋体" w:cs="宋体"/>
                <w:color w:val="auto"/>
                <w:highlight w:val="none"/>
              </w:rPr>
            </w:pPr>
          </w:p>
        </w:tc>
        <w:tc>
          <w:tcPr>
            <w:tcW w:w="2025" w:type="dxa"/>
            <w:gridSpan w:val="2"/>
            <w:vAlign w:val="center"/>
          </w:tcPr>
          <w:p w14:paraId="61EEAF3A">
            <w:pPr>
              <w:spacing w:line="300" w:lineRule="exact"/>
              <w:jc w:val="center"/>
              <w:rPr>
                <w:rFonts w:ascii="宋体" w:cs="宋体"/>
                <w:color w:val="auto"/>
                <w:highlight w:val="none"/>
              </w:rPr>
            </w:pPr>
          </w:p>
        </w:tc>
      </w:tr>
    </w:tbl>
    <w:p w14:paraId="2E8C7AAF">
      <w:pPr>
        <w:spacing w:line="360" w:lineRule="auto"/>
        <w:jc w:val="center"/>
        <w:rPr>
          <w:rFonts w:ascii="宋体" w:hAnsi="宋体" w:cs="宋体"/>
          <w:color w:val="auto"/>
          <w:highlight w:val="none"/>
        </w:rPr>
      </w:pPr>
    </w:p>
    <w:p w14:paraId="3499EFED">
      <w:pPr>
        <w:spacing w:line="360" w:lineRule="auto"/>
        <w:jc w:val="left"/>
        <w:rPr>
          <w:rFonts w:ascii="宋体" w:hAnsi="宋体" w:cs="宋体"/>
          <w:color w:val="auto"/>
          <w:highlight w:val="none"/>
        </w:rPr>
      </w:pPr>
      <w:r>
        <w:rPr>
          <w:rFonts w:hint="eastAsia" w:ascii="宋体" w:hAnsi="宋体" w:cs="宋体"/>
          <w:color w:val="auto"/>
          <w:highlight w:val="none"/>
        </w:rPr>
        <w:t>备注：附项目技术负责人职称证书，以及供应商认为需要增加的其他证明材料扫描件。</w:t>
      </w:r>
    </w:p>
    <w:p w14:paraId="1F8BE7EA">
      <w:pPr>
        <w:spacing w:line="360" w:lineRule="auto"/>
        <w:ind w:firstLine="3600" w:firstLineChars="1500"/>
        <w:contextualSpacing/>
        <w:rPr>
          <w:rFonts w:ascii="宋体" w:hAnsi="宋体" w:cs="仿宋_GB2312"/>
          <w:color w:val="auto"/>
          <w:sz w:val="24"/>
          <w:highlight w:val="none"/>
        </w:rPr>
      </w:pPr>
    </w:p>
    <w:p w14:paraId="17060FF6">
      <w:pPr>
        <w:spacing w:line="360" w:lineRule="auto"/>
        <w:jc w:val="center"/>
        <w:rPr>
          <w:rFonts w:ascii="宋体" w:hAnsi="宋体" w:cs="仿宋_GB2312"/>
          <w:color w:val="auto"/>
          <w:sz w:val="24"/>
          <w:highlight w:val="none"/>
        </w:rPr>
      </w:pPr>
    </w:p>
    <w:p w14:paraId="07505B39">
      <w:pPr>
        <w:pStyle w:val="249"/>
        <w:rPr>
          <w:color w:val="auto"/>
          <w:highlight w:val="none"/>
        </w:rPr>
      </w:pPr>
    </w:p>
    <w:p w14:paraId="73156D21">
      <w:pPr>
        <w:spacing w:line="360" w:lineRule="auto"/>
        <w:jc w:val="center"/>
        <w:rPr>
          <w:rStyle w:val="98"/>
          <w:color w:val="auto"/>
          <w:highlight w:val="none"/>
        </w:rPr>
      </w:pPr>
      <w:r>
        <w:rPr>
          <w:rFonts w:ascii="宋体" w:hAnsi="宋体"/>
          <w:b/>
          <w:bCs/>
          <w:color w:val="auto"/>
          <w:sz w:val="24"/>
          <w:highlight w:val="none"/>
        </w:rPr>
        <w:br w:type="page"/>
      </w:r>
      <w:r>
        <w:rPr>
          <w:rStyle w:val="98"/>
          <w:color w:val="auto"/>
          <w:highlight w:val="none"/>
        </w:rPr>
        <w:t>8</w:t>
      </w:r>
      <w:r>
        <w:rPr>
          <w:rStyle w:val="98"/>
          <w:rFonts w:hint="eastAsia"/>
          <w:color w:val="auto"/>
          <w:highlight w:val="none"/>
        </w:rPr>
        <w:t>、供应商认为需要提供的其他有关资料。</w:t>
      </w:r>
    </w:p>
    <w:p w14:paraId="03DB129F">
      <w:pPr>
        <w:spacing w:line="300" w:lineRule="auto"/>
        <w:rPr>
          <w:rFonts w:ascii="宋体" w:hAnsi="宋体"/>
          <w:b/>
          <w:bCs/>
          <w:color w:val="auto"/>
          <w:sz w:val="24"/>
          <w:highlight w:val="none"/>
        </w:rPr>
      </w:pPr>
    </w:p>
    <w:p w14:paraId="0840018D">
      <w:pPr>
        <w:spacing w:line="300" w:lineRule="auto"/>
        <w:rPr>
          <w:rFonts w:ascii="宋体" w:hAnsi="宋体"/>
          <w:color w:val="auto"/>
          <w:highlight w:val="none"/>
        </w:rPr>
      </w:pPr>
      <w:r>
        <w:rPr>
          <w:rFonts w:hint="eastAsia" w:ascii="宋体" w:hAnsi="宋体"/>
          <w:b/>
          <w:bCs/>
          <w:color w:val="auto"/>
          <w:sz w:val="24"/>
          <w:highlight w:val="none"/>
        </w:rPr>
        <w:t>其他文书、文件格式</w:t>
      </w:r>
    </w:p>
    <w:p w14:paraId="27F2BF64">
      <w:pPr>
        <w:adjustRightInd w:val="0"/>
        <w:snapToGrid w:val="0"/>
        <w:spacing w:line="520" w:lineRule="exact"/>
        <w:jc w:val="center"/>
        <w:rPr>
          <w:rFonts w:ascii="宋体" w:hAnsi="宋体"/>
          <w:b/>
          <w:color w:val="auto"/>
          <w:sz w:val="32"/>
          <w:szCs w:val="32"/>
          <w:highlight w:val="none"/>
        </w:rPr>
      </w:pPr>
      <w:r>
        <w:rPr>
          <w:rFonts w:hint="eastAsia" w:ascii="宋体" w:hAnsi="宋体"/>
          <w:b/>
          <w:color w:val="auto"/>
          <w:sz w:val="32"/>
          <w:szCs w:val="32"/>
          <w:highlight w:val="none"/>
        </w:rPr>
        <w:t>中小企业声明函（工程）</w:t>
      </w:r>
    </w:p>
    <w:p w14:paraId="6AED0370">
      <w:pPr>
        <w:spacing w:before="2" w:line="500" w:lineRule="exact"/>
        <w:ind w:firstLine="708" w:firstLineChars="294"/>
        <w:rPr>
          <w:rFonts w:ascii="宋体" w:hAnsi="宋体" w:cs="宋体"/>
          <w:b/>
          <w:bCs/>
          <w:color w:val="auto"/>
          <w:sz w:val="24"/>
          <w:highlight w:val="none"/>
        </w:rPr>
      </w:pPr>
    </w:p>
    <w:p w14:paraId="1A32F9CA">
      <w:pPr>
        <w:pStyle w:val="19"/>
        <w:spacing w:line="500" w:lineRule="exact"/>
        <w:ind w:right="142" w:firstLine="705" w:firstLineChars="294"/>
        <w:rPr>
          <w:rFonts w:ascii="宋体" w:hAnsi="宋体"/>
          <w:color w:val="auto"/>
          <w:sz w:val="24"/>
          <w:highlight w:val="none"/>
        </w:rPr>
      </w:pPr>
      <w:r>
        <w:rPr>
          <w:rFonts w:ascii="宋体" w:hAnsi="宋体"/>
          <w:color w:val="auto"/>
          <w:sz w:val="24"/>
          <w:highlight w:val="none"/>
        </w:rPr>
        <w:t>本公司（联合体）郑重声明，根据《政府采购促进中小企业发展管理办法》（财库﹝2020﹞46号）的规定，本公司（联合体）参加</w:t>
      </w:r>
      <w:r>
        <w:rPr>
          <w:rFonts w:ascii="宋体" w:hAnsi="宋体"/>
          <w:color w:val="auto"/>
          <w:sz w:val="24"/>
          <w:highlight w:val="none"/>
          <w:u w:val="single"/>
        </w:rPr>
        <w:t>（</w:t>
      </w:r>
      <w:r>
        <w:rPr>
          <w:rFonts w:hint="eastAsia" w:ascii="宋体" w:hAnsi="宋体"/>
          <w:color w:val="auto"/>
          <w:sz w:val="24"/>
          <w:highlight w:val="none"/>
          <w:u w:val="single"/>
        </w:rPr>
        <w:t>采购单位名称</w:t>
      </w:r>
      <w:r>
        <w:rPr>
          <w:rFonts w:ascii="宋体" w:hAnsi="宋体"/>
          <w:color w:val="auto"/>
          <w:sz w:val="24"/>
          <w:highlight w:val="none"/>
          <w:u w:val="single"/>
        </w:rPr>
        <w:t>）</w:t>
      </w:r>
      <w:r>
        <w:rPr>
          <w:rFonts w:ascii="宋体" w:hAnsi="宋体"/>
          <w:color w:val="auto"/>
          <w:sz w:val="24"/>
          <w:highlight w:val="none"/>
        </w:rPr>
        <w:t>的</w:t>
      </w:r>
      <w:r>
        <w:rPr>
          <w:rFonts w:ascii="宋体" w:hAnsi="宋体"/>
          <w:color w:val="auto"/>
          <w:sz w:val="24"/>
          <w:highlight w:val="none"/>
          <w:u w:val="single"/>
        </w:rPr>
        <w:t>（项目名称）</w:t>
      </w:r>
      <w:r>
        <w:rPr>
          <w:rFonts w:ascii="宋体" w:hAnsi="宋体"/>
          <w:color w:val="auto"/>
          <w:sz w:val="24"/>
          <w:highlight w:val="none"/>
        </w:rPr>
        <w:t>采购活动，</w:t>
      </w:r>
      <w:r>
        <w:rPr>
          <w:rFonts w:hint="eastAsia" w:ascii="宋体" w:hAnsi="宋体"/>
          <w:color w:val="auto"/>
          <w:sz w:val="24"/>
          <w:highlight w:val="none"/>
        </w:rPr>
        <w:t>工程的施工单位全部为符合政策要求的中小企业。相关企业（含联合体中的中小企业、签订分包意向协议的中小企业）的具体情况如下：</w:t>
      </w:r>
    </w:p>
    <w:p w14:paraId="6920EC68">
      <w:pPr>
        <w:tabs>
          <w:tab w:val="left" w:pos="1384"/>
          <w:tab w:val="left" w:pos="4562"/>
          <w:tab w:val="left" w:pos="6803"/>
        </w:tabs>
        <w:spacing w:before="13" w:line="500" w:lineRule="exact"/>
        <w:ind w:right="142" w:firstLine="772" w:firstLineChars="322"/>
        <w:rPr>
          <w:rFonts w:ascii="宋体" w:hAnsi="宋体"/>
          <w:color w:val="auto"/>
          <w:sz w:val="24"/>
          <w:highlight w:val="none"/>
        </w:rPr>
      </w:pPr>
      <w:r>
        <w:rPr>
          <w:rFonts w:ascii="宋体" w:hAnsi="宋体"/>
          <w:color w:val="auto"/>
          <w:sz w:val="24"/>
          <w:highlight w:val="none"/>
        </w:rPr>
        <w:t>1.</w:t>
      </w:r>
      <w:r>
        <w:rPr>
          <w:rFonts w:ascii="宋体" w:hAnsi="宋体"/>
          <w:color w:val="auto"/>
          <w:sz w:val="24"/>
          <w:highlight w:val="none"/>
          <w:u w:val="single"/>
        </w:rPr>
        <w:t>（标的名称）</w:t>
      </w:r>
      <w:r>
        <w:rPr>
          <w:rFonts w:ascii="宋体" w:hAnsi="宋体"/>
          <w:color w:val="auto"/>
          <w:sz w:val="24"/>
          <w:highlight w:val="none"/>
        </w:rPr>
        <w:t>，属于</w:t>
      </w:r>
      <w:r>
        <w:rPr>
          <w:rFonts w:hint="eastAsia" w:ascii="宋体" w:hAnsi="宋体"/>
          <w:color w:val="auto"/>
          <w:sz w:val="24"/>
          <w:highlight w:val="none"/>
          <w:u w:val="single"/>
        </w:rPr>
        <w:t>建筑行业</w:t>
      </w:r>
      <w:r>
        <w:rPr>
          <w:rFonts w:ascii="宋体" w:hAnsi="宋体"/>
          <w:color w:val="auto"/>
          <w:sz w:val="24"/>
          <w:highlight w:val="none"/>
        </w:rPr>
        <w:t>；</w:t>
      </w:r>
      <w:r>
        <w:rPr>
          <w:rFonts w:hint="eastAsia" w:ascii="宋体" w:hAnsi="宋体"/>
          <w:color w:val="auto"/>
          <w:sz w:val="24"/>
          <w:highlight w:val="none"/>
        </w:rPr>
        <w:t>承建企业为</w:t>
      </w:r>
      <w:r>
        <w:rPr>
          <w:rFonts w:hint="eastAsia" w:ascii="宋体" w:hAnsi="宋体"/>
          <w:color w:val="auto"/>
          <w:sz w:val="24"/>
          <w:highlight w:val="none"/>
          <w:u w:val="single"/>
        </w:rPr>
        <w:t>（企业名称）</w:t>
      </w:r>
      <w:r>
        <w:rPr>
          <w:rFonts w:hint="eastAsia" w:ascii="宋体" w:hAnsi="宋体"/>
          <w:color w:val="auto"/>
          <w:sz w:val="24"/>
          <w:highlight w:val="none"/>
        </w:rPr>
        <w:t>，从业人员人，营业收入为万元，资产总额为万元</w:t>
      </w:r>
      <w:r>
        <w:rPr>
          <w:rFonts w:ascii="宋体" w:hAnsi="宋体"/>
          <w:color w:val="auto"/>
          <w:sz w:val="24"/>
          <w:highlight w:val="none"/>
        </w:rPr>
        <w:t>，属于</w:t>
      </w:r>
      <w:r>
        <w:rPr>
          <w:rFonts w:ascii="宋体" w:hAnsi="宋体"/>
          <w:color w:val="auto"/>
          <w:sz w:val="24"/>
          <w:highlight w:val="none"/>
          <w:u w:val="single"/>
        </w:rPr>
        <w:t>（中型企业、</w:t>
      </w:r>
      <w:r>
        <w:rPr>
          <w:rFonts w:hint="eastAsia" w:ascii="宋体" w:hAnsi="宋体"/>
          <w:color w:val="auto"/>
          <w:sz w:val="24"/>
          <w:highlight w:val="none"/>
          <w:u w:val="single"/>
        </w:rPr>
        <w:t>小型企业、微型企业）</w:t>
      </w:r>
      <w:r>
        <w:rPr>
          <w:rFonts w:hint="eastAsia" w:ascii="宋体" w:hAnsi="宋体"/>
          <w:color w:val="auto"/>
          <w:sz w:val="24"/>
          <w:highlight w:val="none"/>
        </w:rPr>
        <w:t>；</w:t>
      </w:r>
    </w:p>
    <w:p w14:paraId="39F4DD06">
      <w:pPr>
        <w:tabs>
          <w:tab w:val="left" w:pos="1065"/>
          <w:tab w:val="left" w:pos="4262"/>
          <w:tab w:val="left" w:pos="6477"/>
        </w:tabs>
        <w:spacing w:before="20" w:line="500" w:lineRule="exact"/>
        <w:ind w:right="84" w:firstLine="772" w:firstLineChars="322"/>
        <w:rPr>
          <w:rFonts w:ascii="宋体" w:hAnsi="宋体"/>
          <w:color w:val="auto"/>
          <w:sz w:val="24"/>
          <w:highlight w:val="none"/>
          <w:u w:val="single"/>
        </w:rPr>
      </w:pPr>
      <w:r>
        <w:rPr>
          <w:rFonts w:ascii="宋体" w:hAnsi="宋体"/>
          <w:color w:val="auto"/>
          <w:sz w:val="24"/>
          <w:highlight w:val="none"/>
        </w:rPr>
        <w:t>2.</w:t>
      </w:r>
      <w:r>
        <w:rPr>
          <w:rFonts w:ascii="宋体" w:hAnsi="宋体"/>
          <w:color w:val="auto"/>
          <w:sz w:val="24"/>
          <w:highlight w:val="none"/>
          <w:u w:val="single"/>
        </w:rPr>
        <w:t>（标的名称）</w:t>
      </w:r>
      <w:r>
        <w:rPr>
          <w:rFonts w:ascii="宋体" w:hAnsi="宋体"/>
          <w:color w:val="auto"/>
          <w:sz w:val="24"/>
          <w:highlight w:val="none"/>
        </w:rPr>
        <w:t>，属于</w:t>
      </w:r>
      <w:r>
        <w:rPr>
          <w:rFonts w:hint="eastAsia" w:ascii="宋体" w:hAnsi="宋体"/>
          <w:color w:val="auto"/>
          <w:sz w:val="24"/>
          <w:highlight w:val="none"/>
          <w:u w:val="single"/>
        </w:rPr>
        <w:t>建筑行业</w:t>
      </w:r>
      <w:r>
        <w:rPr>
          <w:rFonts w:ascii="宋体" w:hAnsi="宋体"/>
          <w:color w:val="auto"/>
          <w:sz w:val="24"/>
          <w:highlight w:val="none"/>
        </w:rPr>
        <w:t>；</w:t>
      </w:r>
      <w:r>
        <w:rPr>
          <w:rFonts w:hint="eastAsia" w:ascii="宋体" w:hAnsi="宋体"/>
          <w:color w:val="auto"/>
          <w:sz w:val="24"/>
          <w:highlight w:val="none"/>
        </w:rPr>
        <w:t>承建企业为</w:t>
      </w:r>
      <w:r>
        <w:rPr>
          <w:rFonts w:hint="eastAsia" w:ascii="宋体" w:hAnsi="宋体"/>
          <w:color w:val="auto"/>
          <w:sz w:val="24"/>
          <w:highlight w:val="none"/>
          <w:u w:val="single"/>
        </w:rPr>
        <w:t>（企业名称）</w:t>
      </w:r>
      <w:r>
        <w:rPr>
          <w:rFonts w:hint="eastAsia" w:ascii="宋体" w:hAnsi="宋体"/>
          <w:color w:val="auto"/>
          <w:sz w:val="24"/>
          <w:highlight w:val="none"/>
        </w:rPr>
        <w:t>，从业人员人，营业收入为万元，资产总额为万元</w:t>
      </w:r>
      <w:r>
        <w:rPr>
          <w:rFonts w:ascii="宋体" w:hAnsi="宋体"/>
          <w:color w:val="auto"/>
          <w:sz w:val="24"/>
          <w:highlight w:val="none"/>
        </w:rPr>
        <w:t>，属于</w:t>
      </w:r>
      <w:r>
        <w:rPr>
          <w:rFonts w:ascii="宋体" w:hAnsi="宋体"/>
          <w:color w:val="auto"/>
          <w:sz w:val="24"/>
          <w:highlight w:val="none"/>
          <w:u w:val="single"/>
        </w:rPr>
        <w:t>（中型企业、</w:t>
      </w:r>
      <w:r>
        <w:rPr>
          <w:rFonts w:hint="eastAsia" w:ascii="宋体" w:hAnsi="宋体"/>
          <w:color w:val="auto"/>
          <w:sz w:val="24"/>
          <w:highlight w:val="none"/>
          <w:u w:val="single"/>
        </w:rPr>
        <w:t>小型企业、微型企业）</w:t>
      </w:r>
      <w:r>
        <w:rPr>
          <w:rFonts w:hint="eastAsia" w:ascii="宋体" w:hAnsi="宋体"/>
          <w:color w:val="auto"/>
          <w:sz w:val="24"/>
          <w:highlight w:val="none"/>
        </w:rPr>
        <w:t>；</w:t>
      </w:r>
    </w:p>
    <w:p w14:paraId="74F27F81">
      <w:pPr>
        <w:pStyle w:val="19"/>
        <w:spacing w:before="34" w:line="500" w:lineRule="exact"/>
        <w:ind w:right="142" w:firstLine="705" w:firstLineChars="294"/>
        <w:rPr>
          <w:rFonts w:ascii="宋体" w:hAnsi="宋体"/>
          <w:color w:val="auto"/>
          <w:sz w:val="24"/>
          <w:highlight w:val="none"/>
        </w:rPr>
      </w:pPr>
      <w:r>
        <w:rPr>
          <w:rFonts w:ascii="宋体" w:hAnsi="宋体"/>
          <w:color w:val="auto"/>
          <w:sz w:val="24"/>
          <w:highlight w:val="none"/>
        </w:rPr>
        <w:t xml:space="preserve">…… </w:t>
      </w:r>
    </w:p>
    <w:p w14:paraId="048E2ED8">
      <w:pPr>
        <w:pStyle w:val="19"/>
        <w:spacing w:before="34" w:line="500" w:lineRule="exact"/>
        <w:ind w:right="142" w:firstLine="705" w:firstLineChars="294"/>
        <w:rPr>
          <w:rFonts w:ascii="宋体" w:hAnsi="宋体"/>
          <w:color w:val="auto"/>
          <w:sz w:val="24"/>
          <w:highlight w:val="none"/>
        </w:rPr>
      </w:pPr>
      <w:r>
        <w:rPr>
          <w:rFonts w:ascii="宋体" w:hAnsi="宋体"/>
          <w:color w:val="auto"/>
          <w:sz w:val="24"/>
          <w:highlight w:val="none"/>
        </w:rPr>
        <w:t>以上企业，不属于大企业的分支机构，不存在控股股东为大企业的情形，也不存在与大企业的负责人为同一人的情形。</w:t>
      </w:r>
    </w:p>
    <w:p w14:paraId="3809803E">
      <w:pPr>
        <w:pStyle w:val="19"/>
        <w:spacing w:before="25" w:line="500" w:lineRule="exact"/>
        <w:ind w:right="142" w:firstLine="705" w:firstLineChars="294"/>
        <w:rPr>
          <w:rFonts w:ascii="宋体" w:hAnsi="宋体"/>
          <w:color w:val="auto"/>
          <w:sz w:val="24"/>
          <w:highlight w:val="none"/>
        </w:rPr>
      </w:pPr>
      <w:r>
        <w:rPr>
          <w:rFonts w:ascii="宋体" w:hAnsi="宋体"/>
          <w:color w:val="auto"/>
          <w:sz w:val="24"/>
          <w:highlight w:val="none"/>
        </w:rPr>
        <w:t>本企业对上述声明内容的真实性负责。如有虚假，将依法承担相应责任。</w:t>
      </w:r>
    </w:p>
    <w:p w14:paraId="12B8EF41">
      <w:pPr>
        <w:pStyle w:val="19"/>
        <w:spacing w:before="56" w:line="500" w:lineRule="exact"/>
        <w:ind w:right="1808" w:firstLine="705" w:firstLineChars="294"/>
        <w:rPr>
          <w:rFonts w:ascii="宋体" w:hAnsi="宋体"/>
          <w:color w:val="auto"/>
          <w:sz w:val="24"/>
          <w:highlight w:val="none"/>
        </w:rPr>
      </w:pPr>
    </w:p>
    <w:p w14:paraId="5A248D5F">
      <w:pPr>
        <w:pStyle w:val="19"/>
        <w:spacing w:before="56" w:line="500" w:lineRule="exact"/>
        <w:ind w:right="650" w:firstLine="5625" w:firstLineChars="2344"/>
        <w:rPr>
          <w:rFonts w:ascii="宋体" w:hAnsi="宋体"/>
          <w:color w:val="auto"/>
          <w:sz w:val="24"/>
          <w:highlight w:val="none"/>
        </w:rPr>
      </w:pPr>
      <w:r>
        <w:rPr>
          <w:rFonts w:ascii="宋体" w:hAnsi="宋体"/>
          <w:color w:val="auto"/>
          <w:sz w:val="24"/>
          <w:highlight w:val="none"/>
        </w:rPr>
        <w:t xml:space="preserve">企业名称（章）： </w:t>
      </w:r>
    </w:p>
    <w:p w14:paraId="0A14E729">
      <w:pPr>
        <w:pStyle w:val="19"/>
        <w:spacing w:before="56" w:line="500" w:lineRule="exact"/>
        <w:ind w:right="1808" w:firstLine="5625" w:firstLineChars="2344"/>
        <w:rPr>
          <w:rFonts w:ascii="宋体" w:hAnsi="宋体"/>
          <w:color w:val="auto"/>
          <w:sz w:val="24"/>
          <w:highlight w:val="none"/>
        </w:rPr>
      </w:pPr>
      <w:r>
        <w:rPr>
          <w:rFonts w:ascii="宋体" w:hAnsi="宋体"/>
          <w:color w:val="auto"/>
          <w:sz w:val="24"/>
          <w:highlight w:val="none"/>
        </w:rPr>
        <w:t>日 期：</w:t>
      </w:r>
    </w:p>
    <w:p w14:paraId="1A3C083F">
      <w:pPr>
        <w:spacing w:line="520" w:lineRule="exact"/>
        <w:jc w:val="left"/>
        <w:rPr>
          <w:rFonts w:ascii="宋体" w:hAnsi="宋体" w:cs="仿宋_GB2312"/>
          <w:color w:val="auto"/>
          <w:sz w:val="24"/>
          <w:highlight w:val="none"/>
        </w:rPr>
      </w:pPr>
      <w:r>
        <w:rPr>
          <w:rFonts w:hint="eastAsia" w:ascii="宋体" w:hAnsi="宋体" w:cs="仿宋_GB2312"/>
          <w:color w:val="auto"/>
          <w:sz w:val="24"/>
          <w:highlight w:val="none"/>
        </w:rPr>
        <w:t>注：从业人员、营业收入、资产总额填报上一年度数据，无上一年度数据的新成立企业可不填报。</w:t>
      </w:r>
    </w:p>
    <w:p w14:paraId="4EDF960C">
      <w:pPr>
        <w:spacing w:line="520" w:lineRule="exact"/>
        <w:jc w:val="center"/>
        <w:rPr>
          <w:rFonts w:ascii="宋体" w:hAnsi="宋体"/>
          <w:color w:val="auto"/>
          <w:sz w:val="24"/>
          <w:highlight w:val="none"/>
        </w:rPr>
      </w:pPr>
    </w:p>
    <w:p w14:paraId="69137B79">
      <w:pPr>
        <w:rPr>
          <w:color w:val="auto"/>
          <w:highlight w:val="none"/>
        </w:rPr>
      </w:pPr>
    </w:p>
    <w:p w14:paraId="65FF4AF6">
      <w:pPr>
        <w:pStyle w:val="249"/>
        <w:rPr>
          <w:color w:val="auto"/>
          <w:highlight w:val="none"/>
        </w:rPr>
      </w:pPr>
    </w:p>
    <w:p w14:paraId="10AAC5EB">
      <w:pPr>
        <w:pStyle w:val="25"/>
        <w:jc w:val="left"/>
        <w:rPr>
          <w:rFonts w:ascii="Arial Unicode MS" w:hAnsi="Arial Unicode MS" w:eastAsia="Arial Unicode MS" w:cs="Arial Unicode MS"/>
          <w:color w:val="auto"/>
          <w:sz w:val="32"/>
          <w:szCs w:val="32"/>
          <w:highlight w:val="none"/>
        </w:rPr>
      </w:pPr>
      <w:r>
        <w:rPr>
          <w:rFonts w:hint="eastAsia" w:ascii="Arial Unicode MS" w:hAnsi="Arial Unicode MS" w:eastAsia="Arial Unicode MS" w:cs="Arial Unicode MS"/>
          <w:color w:val="auto"/>
          <w:sz w:val="32"/>
          <w:szCs w:val="32"/>
          <w:highlight w:val="none"/>
        </w:rPr>
        <w:t>附：</w:t>
      </w:r>
    </w:p>
    <w:p w14:paraId="1E3E4C52">
      <w:pPr>
        <w:jc w:val="center"/>
        <w:rPr>
          <w:rFonts w:ascii="宋体" w:hAnsi="宋体" w:cs="Arial Unicode MS"/>
          <w:color w:val="auto"/>
          <w:sz w:val="44"/>
          <w:szCs w:val="44"/>
          <w:highlight w:val="none"/>
        </w:rPr>
      </w:pPr>
      <w:r>
        <w:rPr>
          <w:rFonts w:hint="eastAsia" w:ascii="宋体" w:hAnsi="宋体" w:cs="Arial Unicode MS"/>
          <w:color w:val="auto"/>
          <w:sz w:val="44"/>
          <w:szCs w:val="44"/>
          <w:highlight w:val="none"/>
        </w:rPr>
        <w:t>中小微企业划型标准</w:t>
      </w:r>
    </w:p>
    <w:p w14:paraId="15BDF1EE">
      <w:pPr>
        <w:ind w:left="1871"/>
        <w:rPr>
          <w:rFonts w:ascii="宋体" w:hAnsi="宋体" w:cs="Arial Unicode MS"/>
          <w:color w:val="auto"/>
          <w:highlight w:val="none"/>
        </w:rPr>
      </w:pPr>
    </w:p>
    <w:tbl>
      <w:tblPr>
        <w:tblStyle w:val="47"/>
        <w:tblW w:w="7983" w:type="dxa"/>
        <w:jc w:val="center"/>
        <w:tblLayout w:type="fixed"/>
        <w:tblCellMar>
          <w:top w:w="0" w:type="dxa"/>
          <w:left w:w="108" w:type="dxa"/>
          <w:bottom w:w="0" w:type="dxa"/>
          <w:right w:w="108" w:type="dxa"/>
        </w:tblCellMar>
      </w:tblPr>
      <w:tblGrid>
        <w:gridCol w:w="1701"/>
        <w:gridCol w:w="1384"/>
        <w:gridCol w:w="913"/>
        <w:gridCol w:w="1620"/>
        <w:gridCol w:w="1440"/>
        <w:gridCol w:w="925"/>
      </w:tblGrid>
      <w:tr w14:paraId="5235D2A9">
        <w:tblPrEx>
          <w:tblCellMar>
            <w:top w:w="0" w:type="dxa"/>
            <w:left w:w="108" w:type="dxa"/>
            <w:bottom w:w="0" w:type="dxa"/>
            <w:right w:w="108" w:type="dxa"/>
          </w:tblCellMar>
        </w:tblPrEx>
        <w:trPr>
          <w:trHeight w:val="28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124DC685">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行业名称</w:t>
            </w:r>
          </w:p>
        </w:tc>
        <w:tc>
          <w:tcPr>
            <w:tcW w:w="1384" w:type="dxa"/>
            <w:tcBorders>
              <w:top w:val="single" w:color="auto" w:sz="4" w:space="0"/>
              <w:left w:val="nil"/>
              <w:bottom w:val="single" w:color="auto" w:sz="4" w:space="0"/>
              <w:right w:val="single" w:color="auto" w:sz="4" w:space="0"/>
            </w:tcBorders>
            <w:vAlign w:val="center"/>
          </w:tcPr>
          <w:p w14:paraId="655361C5">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指标名称</w:t>
            </w:r>
          </w:p>
        </w:tc>
        <w:tc>
          <w:tcPr>
            <w:tcW w:w="913" w:type="dxa"/>
            <w:tcBorders>
              <w:top w:val="single" w:color="auto" w:sz="4" w:space="0"/>
              <w:left w:val="nil"/>
              <w:bottom w:val="single" w:color="auto" w:sz="4" w:space="0"/>
              <w:right w:val="single" w:color="auto" w:sz="4" w:space="0"/>
            </w:tcBorders>
            <w:vAlign w:val="center"/>
          </w:tcPr>
          <w:p w14:paraId="13D371D6">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计量单位</w:t>
            </w:r>
          </w:p>
        </w:tc>
        <w:tc>
          <w:tcPr>
            <w:tcW w:w="1620" w:type="dxa"/>
            <w:tcBorders>
              <w:top w:val="single" w:color="auto" w:sz="4" w:space="0"/>
              <w:left w:val="nil"/>
              <w:bottom w:val="single" w:color="auto" w:sz="4" w:space="0"/>
              <w:right w:val="single" w:color="auto" w:sz="4" w:space="0"/>
            </w:tcBorders>
            <w:vAlign w:val="center"/>
          </w:tcPr>
          <w:p w14:paraId="5D954534">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中型</w:t>
            </w:r>
          </w:p>
        </w:tc>
        <w:tc>
          <w:tcPr>
            <w:tcW w:w="1440" w:type="dxa"/>
            <w:tcBorders>
              <w:top w:val="single" w:color="auto" w:sz="4" w:space="0"/>
              <w:left w:val="nil"/>
              <w:bottom w:val="single" w:color="auto" w:sz="4" w:space="0"/>
              <w:right w:val="single" w:color="auto" w:sz="4" w:space="0"/>
            </w:tcBorders>
            <w:vAlign w:val="center"/>
          </w:tcPr>
          <w:p w14:paraId="138008B5">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小型</w:t>
            </w:r>
          </w:p>
        </w:tc>
        <w:tc>
          <w:tcPr>
            <w:tcW w:w="925" w:type="dxa"/>
            <w:tcBorders>
              <w:top w:val="single" w:color="auto" w:sz="4" w:space="0"/>
              <w:left w:val="nil"/>
              <w:bottom w:val="single" w:color="auto" w:sz="4" w:space="0"/>
              <w:right w:val="single" w:color="auto" w:sz="4" w:space="0"/>
            </w:tcBorders>
            <w:vAlign w:val="center"/>
          </w:tcPr>
          <w:p w14:paraId="66530A23">
            <w:pPr>
              <w:widowControl/>
              <w:jc w:val="left"/>
              <w:rPr>
                <w:rFonts w:ascii="仿宋_GB2312" w:hAnsi="仿宋" w:eastAsia="仿宋_GB2312" w:cs="宋体"/>
                <w:b/>
                <w:color w:val="auto"/>
                <w:kern w:val="0"/>
                <w:sz w:val="24"/>
                <w:highlight w:val="none"/>
              </w:rPr>
            </w:pPr>
            <w:r>
              <w:rPr>
                <w:rFonts w:hint="eastAsia" w:ascii="仿宋_GB2312" w:hAnsi="仿宋" w:eastAsia="仿宋_GB2312" w:cs="宋体"/>
                <w:b/>
                <w:color w:val="auto"/>
                <w:kern w:val="0"/>
                <w:sz w:val="24"/>
                <w:highlight w:val="none"/>
              </w:rPr>
              <w:t>微型</w:t>
            </w:r>
          </w:p>
        </w:tc>
      </w:tr>
      <w:tr w14:paraId="15CEE656">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vAlign w:val="bottom"/>
          </w:tcPr>
          <w:p w14:paraId="1D067109">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农、林、牧、渔</w:t>
            </w:r>
          </w:p>
        </w:tc>
        <w:tc>
          <w:tcPr>
            <w:tcW w:w="1384" w:type="dxa"/>
            <w:tcBorders>
              <w:top w:val="nil"/>
              <w:left w:val="nil"/>
              <w:bottom w:val="single" w:color="auto" w:sz="4" w:space="0"/>
              <w:right w:val="single" w:color="auto" w:sz="4" w:space="0"/>
            </w:tcBorders>
            <w:vAlign w:val="center"/>
          </w:tcPr>
          <w:p w14:paraId="254A2C9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4FACC61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66423E5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500≤Y＜20000</w:t>
            </w:r>
          </w:p>
        </w:tc>
        <w:tc>
          <w:tcPr>
            <w:tcW w:w="1440" w:type="dxa"/>
            <w:tcBorders>
              <w:top w:val="nil"/>
              <w:left w:val="nil"/>
              <w:bottom w:val="single" w:color="auto" w:sz="4" w:space="0"/>
              <w:right w:val="single" w:color="auto" w:sz="4" w:space="0"/>
            </w:tcBorders>
            <w:vAlign w:val="center"/>
          </w:tcPr>
          <w:p w14:paraId="6FE5D43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50≤Y＜500</w:t>
            </w:r>
          </w:p>
        </w:tc>
        <w:tc>
          <w:tcPr>
            <w:tcW w:w="925" w:type="dxa"/>
            <w:tcBorders>
              <w:top w:val="nil"/>
              <w:left w:val="nil"/>
              <w:bottom w:val="single" w:color="auto" w:sz="4" w:space="0"/>
              <w:right w:val="single" w:color="auto" w:sz="4" w:space="0"/>
            </w:tcBorders>
            <w:vAlign w:val="center"/>
          </w:tcPr>
          <w:p w14:paraId="1DDBD5A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Y＜50</w:t>
            </w:r>
          </w:p>
        </w:tc>
      </w:tr>
      <w:tr w14:paraId="343886F9">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3882BE60">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工业</w:t>
            </w:r>
          </w:p>
        </w:tc>
        <w:tc>
          <w:tcPr>
            <w:tcW w:w="1384" w:type="dxa"/>
            <w:tcBorders>
              <w:top w:val="nil"/>
              <w:left w:val="nil"/>
              <w:bottom w:val="single" w:color="auto" w:sz="4" w:space="0"/>
              <w:right w:val="single" w:color="auto" w:sz="4" w:space="0"/>
            </w:tcBorders>
            <w:vAlign w:val="center"/>
          </w:tcPr>
          <w:p w14:paraId="74760B1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4F80A2E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0AF5B68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300≤X＜1000</w:t>
            </w:r>
          </w:p>
        </w:tc>
        <w:tc>
          <w:tcPr>
            <w:tcW w:w="1440" w:type="dxa"/>
            <w:tcBorders>
              <w:top w:val="nil"/>
              <w:left w:val="nil"/>
              <w:bottom w:val="single" w:color="auto" w:sz="4" w:space="0"/>
              <w:right w:val="single" w:color="auto" w:sz="4" w:space="0"/>
            </w:tcBorders>
            <w:vAlign w:val="center"/>
          </w:tcPr>
          <w:p w14:paraId="6699EDF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20≤X＜300</w:t>
            </w:r>
          </w:p>
        </w:tc>
        <w:tc>
          <w:tcPr>
            <w:tcW w:w="925" w:type="dxa"/>
            <w:tcBorders>
              <w:top w:val="nil"/>
              <w:left w:val="nil"/>
              <w:bottom w:val="single" w:color="auto" w:sz="4" w:space="0"/>
              <w:right w:val="single" w:color="auto" w:sz="4" w:space="0"/>
            </w:tcBorders>
            <w:vAlign w:val="center"/>
          </w:tcPr>
          <w:p w14:paraId="1A55FB4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X＜20</w:t>
            </w:r>
          </w:p>
        </w:tc>
      </w:tr>
      <w:tr w14:paraId="4333335C">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6D9122BD">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118F28A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3973463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6D25511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2000≤Y＜40000</w:t>
            </w:r>
          </w:p>
        </w:tc>
        <w:tc>
          <w:tcPr>
            <w:tcW w:w="1440" w:type="dxa"/>
            <w:tcBorders>
              <w:top w:val="nil"/>
              <w:left w:val="nil"/>
              <w:bottom w:val="single" w:color="auto" w:sz="4" w:space="0"/>
              <w:right w:val="single" w:color="auto" w:sz="4" w:space="0"/>
            </w:tcBorders>
            <w:vAlign w:val="center"/>
          </w:tcPr>
          <w:p w14:paraId="1F326CB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300≤Y＜2000</w:t>
            </w:r>
          </w:p>
        </w:tc>
        <w:tc>
          <w:tcPr>
            <w:tcW w:w="925" w:type="dxa"/>
            <w:tcBorders>
              <w:top w:val="nil"/>
              <w:left w:val="nil"/>
              <w:bottom w:val="single" w:color="auto" w:sz="4" w:space="0"/>
              <w:right w:val="single" w:color="auto" w:sz="4" w:space="0"/>
            </w:tcBorders>
            <w:vAlign w:val="center"/>
          </w:tcPr>
          <w:p w14:paraId="5ADD147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Y＜300</w:t>
            </w:r>
          </w:p>
        </w:tc>
      </w:tr>
      <w:tr w14:paraId="3DBB93D9">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7CE3371B">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建筑业</w:t>
            </w:r>
          </w:p>
        </w:tc>
        <w:tc>
          <w:tcPr>
            <w:tcW w:w="1384" w:type="dxa"/>
            <w:tcBorders>
              <w:top w:val="nil"/>
              <w:left w:val="nil"/>
              <w:bottom w:val="single" w:color="auto" w:sz="4" w:space="0"/>
              <w:right w:val="single" w:color="auto" w:sz="4" w:space="0"/>
            </w:tcBorders>
            <w:vAlign w:val="center"/>
          </w:tcPr>
          <w:p w14:paraId="51876B2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2947886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12F1569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6000≤Y＜80000</w:t>
            </w:r>
          </w:p>
        </w:tc>
        <w:tc>
          <w:tcPr>
            <w:tcW w:w="1440" w:type="dxa"/>
            <w:tcBorders>
              <w:top w:val="nil"/>
              <w:left w:val="nil"/>
              <w:bottom w:val="single" w:color="auto" w:sz="4" w:space="0"/>
              <w:right w:val="single" w:color="auto" w:sz="4" w:space="0"/>
            </w:tcBorders>
            <w:vAlign w:val="center"/>
          </w:tcPr>
          <w:p w14:paraId="6D49AFD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300≤Y＜6000</w:t>
            </w:r>
          </w:p>
        </w:tc>
        <w:tc>
          <w:tcPr>
            <w:tcW w:w="925" w:type="dxa"/>
            <w:tcBorders>
              <w:top w:val="nil"/>
              <w:left w:val="nil"/>
              <w:bottom w:val="single" w:color="auto" w:sz="4" w:space="0"/>
              <w:right w:val="single" w:color="auto" w:sz="4" w:space="0"/>
            </w:tcBorders>
            <w:vAlign w:val="center"/>
          </w:tcPr>
          <w:p w14:paraId="5080F48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Y＜300</w:t>
            </w:r>
          </w:p>
        </w:tc>
      </w:tr>
      <w:tr w14:paraId="54EAEC9C">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8C89811">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20D39582">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vAlign w:val="center"/>
          </w:tcPr>
          <w:p w14:paraId="3315FB6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1A5C7D0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5000≤Z＜80000</w:t>
            </w:r>
          </w:p>
        </w:tc>
        <w:tc>
          <w:tcPr>
            <w:tcW w:w="1440" w:type="dxa"/>
            <w:tcBorders>
              <w:top w:val="nil"/>
              <w:left w:val="nil"/>
              <w:bottom w:val="single" w:color="auto" w:sz="4" w:space="0"/>
              <w:right w:val="single" w:color="auto" w:sz="4" w:space="0"/>
            </w:tcBorders>
            <w:vAlign w:val="center"/>
          </w:tcPr>
          <w:p w14:paraId="0145122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300≤Z＜5000</w:t>
            </w:r>
          </w:p>
        </w:tc>
        <w:tc>
          <w:tcPr>
            <w:tcW w:w="925" w:type="dxa"/>
            <w:tcBorders>
              <w:top w:val="nil"/>
              <w:left w:val="nil"/>
              <w:bottom w:val="single" w:color="auto" w:sz="4" w:space="0"/>
              <w:right w:val="single" w:color="auto" w:sz="4" w:space="0"/>
            </w:tcBorders>
            <w:vAlign w:val="center"/>
          </w:tcPr>
          <w:p w14:paraId="0E85781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Z＜300</w:t>
            </w:r>
          </w:p>
        </w:tc>
      </w:tr>
      <w:tr w14:paraId="0E87296E">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2373FA6D">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批发业</w:t>
            </w:r>
          </w:p>
        </w:tc>
        <w:tc>
          <w:tcPr>
            <w:tcW w:w="1384" w:type="dxa"/>
            <w:tcBorders>
              <w:top w:val="nil"/>
              <w:left w:val="nil"/>
              <w:bottom w:val="single" w:color="auto" w:sz="4" w:space="0"/>
              <w:right w:val="single" w:color="auto" w:sz="4" w:space="0"/>
            </w:tcBorders>
            <w:vAlign w:val="center"/>
          </w:tcPr>
          <w:p w14:paraId="26D190A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3F0BB5E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316FF33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20≤X＜200</w:t>
            </w:r>
          </w:p>
        </w:tc>
        <w:tc>
          <w:tcPr>
            <w:tcW w:w="1440" w:type="dxa"/>
            <w:tcBorders>
              <w:top w:val="nil"/>
              <w:left w:val="nil"/>
              <w:bottom w:val="single" w:color="auto" w:sz="4" w:space="0"/>
              <w:right w:val="single" w:color="auto" w:sz="4" w:space="0"/>
            </w:tcBorders>
            <w:vAlign w:val="center"/>
          </w:tcPr>
          <w:p w14:paraId="3604AAA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5≤X＜20</w:t>
            </w:r>
          </w:p>
        </w:tc>
        <w:tc>
          <w:tcPr>
            <w:tcW w:w="925" w:type="dxa"/>
            <w:tcBorders>
              <w:top w:val="nil"/>
              <w:left w:val="nil"/>
              <w:bottom w:val="single" w:color="auto" w:sz="4" w:space="0"/>
              <w:right w:val="single" w:color="auto" w:sz="4" w:space="0"/>
            </w:tcBorders>
            <w:vAlign w:val="center"/>
          </w:tcPr>
          <w:p w14:paraId="73FE730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X＜5</w:t>
            </w:r>
          </w:p>
        </w:tc>
      </w:tr>
      <w:tr w14:paraId="20A16754">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8F0937E">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428293DD">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6F218A0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32F5199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5000≤Y＜40000</w:t>
            </w:r>
          </w:p>
        </w:tc>
        <w:tc>
          <w:tcPr>
            <w:tcW w:w="1440" w:type="dxa"/>
            <w:tcBorders>
              <w:top w:val="nil"/>
              <w:left w:val="nil"/>
              <w:bottom w:val="single" w:color="auto" w:sz="4" w:space="0"/>
              <w:right w:val="single" w:color="auto" w:sz="4" w:space="0"/>
            </w:tcBorders>
            <w:vAlign w:val="center"/>
          </w:tcPr>
          <w:p w14:paraId="744F243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1000≤Y＜5000</w:t>
            </w:r>
          </w:p>
        </w:tc>
        <w:tc>
          <w:tcPr>
            <w:tcW w:w="925" w:type="dxa"/>
            <w:tcBorders>
              <w:top w:val="nil"/>
              <w:left w:val="nil"/>
              <w:bottom w:val="single" w:color="auto" w:sz="4" w:space="0"/>
              <w:right w:val="single" w:color="auto" w:sz="4" w:space="0"/>
            </w:tcBorders>
            <w:vAlign w:val="center"/>
          </w:tcPr>
          <w:p w14:paraId="0F56F7B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Y＜1000</w:t>
            </w:r>
          </w:p>
        </w:tc>
      </w:tr>
      <w:tr w14:paraId="534E1C23">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2AB1D338">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零售业</w:t>
            </w:r>
          </w:p>
        </w:tc>
        <w:tc>
          <w:tcPr>
            <w:tcW w:w="1384" w:type="dxa"/>
            <w:tcBorders>
              <w:top w:val="nil"/>
              <w:left w:val="nil"/>
              <w:bottom w:val="single" w:color="auto" w:sz="4" w:space="0"/>
              <w:right w:val="single" w:color="auto" w:sz="4" w:space="0"/>
            </w:tcBorders>
            <w:vAlign w:val="center"/>
          </w:tcPr>
          <w:p w14:paraId="2AE69E2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781F92E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283110B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50≤X＜300</w:t>
            </w:r>
          </w:p>
        </w:tc>
        <w:tc>
          <w:tcPr>
            <w:tcW w:w="1440" w:type="dxa"/>
            <w:tcBorders>
              <w:top w:val="nil"/>
              <w:left w:val="nil"/>
              <w:bottom w:val="single" w:color="auto" w:sz="4" w:space="0"/>
              <w:right w:val="single" w:color="auto" w:sz="4" w:space="0"/>
            </w:tcBorders>
            <w:vAlign w:val="center"/>
          </w:tcPr>
          <w:p w14:paraId="57873E6D">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10≤X＜50</w:t>
            </w:r>
          </w:p>
        </w:tc>
        <w:tc>
          <w:tcPr>
            <w:tcW w:w="925" w:type="dxa"/>
            <w:tcBorders>
              <w:top w:val="nil"/>
              <w:left w:val="nil"/>
              <w:bottom w:val="single" w:color="auto" w:sz="4" w:space="0"/>
              <w:right w:val="single" w:color="auto" w:sz="4" w:space="0"/>
            </w:tcBorders>
            <w:vAlign w:val="center"/>
          </w:tcPr>
          <w:p w14:paraId="5085311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6F288C16">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3F2CABF0">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1A74CAF2">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19145CF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72ED062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500≤Y＜20000</w:t>
            </w:r>
          </w:p>
        </w:tc>
        <w:tc>
          <w:tcPr>
            <w:tcW w:w="1440" w:type="dxa"/>
            <w:tcBorders>
              <w:top w:val="nil"/>
              <w:left w:val="nil"/>
              <w:bottom w:val="single" w:color="auto" w:sz="4" w:space="0"/>
              <w:right w:val="single" w:color="auto" w:sz="4" w:space="0"/>
            </w:tcBorders>
            <w:vAlign w:val="center"/>
          </w:tcPr>
          <w:p w14:paraId="2D66374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100≤Y＜500</w:t>
            </w:r>
          </w:p>
        </w:tc>
        <w:tc>
          <w:tcPr>
            <w:tcW w:w="925" w:type="dxa"/>
            <w:tcBorders>
              <w:top w:val="nil"/>
              <w:left w:val="nil"/>
              <w:bottom w:val="single" w:color="auto" w:sz="4" w:space="0"/>
              <w:right w:val="single" w:color="auto" w:sz="4" w:space="0"/>
            </w:tcBorders>
            <w:vAlign w:val="center"/>
          </w:tcPr>
          <w:p w14:paraId="5AF1CD82">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677BFA4F">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C0160DE">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交通运输业</w:t>
            </w:r>
          </w:p>
        </w:tc>
        <w:tc>
          <w:tcPr>
            <w:tcW w:w="1384" w:type="dxa"/>
            <w:tcBorders>
              <w:top w:val="nil"/>
              <w:left w:val="nil"/>
              <w:bottom w:val="single" w:color="auto" w:sz="4" w:space="0"/>
              <w:right w:val="single" w:color="auto" w:sz="4" w:space="0"/>
            </w:tcBorders>
            <w:vAlign w:val="center"/>
          </w:tcPr>
          <w:p w14:paraId="5ED4E50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72E77FC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0FB5729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300≤X＜1000</w:t>
            </w:r>
          </w:p>
        </w:tc>
        <w:tc>
          <w:tcPr>
            <w:tcW w:w="1440" w:type="dxa"/>
            <w:tcBorders>
              <w:top w:val="nil"/>
              <w:left w:val="nil"/>
              <w:bottom w:val="single" w:color="auto" w:sz="4" w:space="0"/>
              <w:right w:val="single" w:color="auto" w:sz="4" w:space="0"/>
            </w:tcBorders>
            <w:vAlign w:val="center"/>
          </w:tcPr>
          <w:p w14:paraId="57FCEF2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20≤X＜300</w:t>
            </w:r>
          </w:p>
        </w:tc>
        <w:tc>
          <w:tcPr>
            <w:tcW w:w="925" w:type="dxa"/>
            <w:tcBorders>
              <w:top w:val="nil"/>
              <w:left w:val="nil"/>
              <w:bottom w:val="single" w:color="auto" w:sz="4" w:space="0"/>
              <w:right w:val="single" w:color="auto" w:sz="4" w:space="0"/>
            </w:tcBorders>
            <w:vAlign w:val="center"/>
          </w:tcPr>
          <w:p w14:paraId="0D53D3D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X＜20</w:t>
            </w:r>
          </w:p>
        </w:tc>
      </w:tr>
      <w:tr w14:paraId="5637B77B">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390F2915">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3751CDA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5B5B295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3A4B500D">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3000≤Y＜30000</w:t>
            </w:r>
          </w:p>
        </w:tc>
        <w:tc>
          <w:tcPr>
            <w:tcW w:w="1440" w:type="dxa"/>
            <w:tcBorders>
              <w:top w:val="nil"/>
              <w:left w:val="nil"/>
              <w:bottom w:val="single" w:color="auto" w:sz="4" w:space="0"/>
              <w:right w:val="single" w:color="auto" w:sz="4" w:space="0"/>
            </w:tcBorders>
            <w:vAlign w:val="center"/>
          </w:tcPr>
          <w:p w14:paraId="193FB46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200≤Y＜3000</w:t>
            </w:r>
          </w:p>
        </w:tc>
        <w:tc>
          <w:tcPr>
            <w:tcW w:w="925" w:type="dxa"/>
            <w:tcBorders>
              <w:top w:val="nil"/>
              <w:left w:val="nil"/>
              <w:bottom w:val="single" w:color="auto" w:sz="4" w:space="0"/>
              <w:right w:val="single" w:color="auto" w:sz="4" w:space="0"/>
            </w:tcBorders>
            <w:vAlign w:val="center"/>
          </w:tcPr>
          <w:p w14:paraId="6465D5C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Y＜200</w:t>
            </w:r>
          </w:p>
        </w:tc>
      </w:tr>
      <w:tr w14:paraId="546EDA24">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C12EBB6">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仓储业</w:t>
            </w:r>
          </w:p>
        </w:tc>
        <w:tc>
          <w:tcPr>
            <w:tcW w:w="1384" w:type="dxa"/>
            <w:tcBorders>
              <w:top w:val="nil"/>
              <w:left w:val="nil"/>
              <w:bottom w:val="single" w:color="auto" w:sz="4" w:space="0"/>
              <w:right w:val="single" w:color="auto" w:sz="4" w:space="0"/>
            </w:tcBorders>
            <w:vAlign w:val="center"/>
          </w:tcPr>
          <w:p w14:paraId="0DC01D3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450C48D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0159D90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100≤X＜200</w:t>
            </w:r>
          </w:p>
        </w:tc>
        <w:tc>
          <w:tcPr>
            <w:tcW w:w="1440" w:type="dxa"/>
            <w:tcBorders>
              <w:top w:val="nil"/>
              <w:left w:val="nil"/>
              <w:bottom w:val="single" w:color="auto" w:sz="4" w:space="0"/>
              <w:right w:val="single" w:color="auto" w:sz="4" w:space="0"/>
            </w:tcBorders>
            <w:vAlign w:val="center"/>
          </w:tcPr>
          <w:p w14:paraId="38C9B12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20≤X＜100</w:t>
            </w:r>
          </w:p>
        </w:tc>
        <w:tc>
          <w:tcPr>
            <w:tcW w:w="925" w:type="dxa"/>
            <w:tcBorders>
              <w:top w:val="nil"/>
              <w:left w:val="nil"/>
              <w:bottom w:val="single" w:color="auto" w:sz="4" w:space="0"/>
              <w:right w:val="single" w:color="auto" w:sz="4" w:space="0"/>
            </w:tcBorders>
            <w:vAlign w:val="center"/>
          </w:tcPr>
          <w:p w14:paraId="2E5EE65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X＜20</w:t>
            </w:r>
          </w:p>
        </w:tc>
      </w:tr>
      <w:tr w14:paraId="17197B40">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22D80295">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75DB44C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560136E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219A42F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1000≤Y＜30000</w:t>
            </w:r>
          </w:p>
        </w:tc>
        <w:tc>
          <w:tcPr>
            <w:tcW w:w="1440" w:type="dxa"/>
            <w:tcBorders>
              <w:top w:val="nil"/>
              <w:left w:val="nil"/>
              <w:bottom w:val="single" w:color="auto" w:sz="4" w:space="0"/>
              <w:right w:val="single" w:color="auto" w:sz="4" w:space="0"/>
            </w:tcBorders>
            <w:vAlign w:val="center"/>
          </w:tcPr>
          <w:p w14:paraId="3EB20B2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100≤Y＜1000</w:t>
            </w:r>
          </w:p>
        </w:tc>
        <w:tc>
          <w:tcPr>
            <w:tcW w:w="925" w:type="dxa"/>
            <w:tcBorders>
              <w:top w:val="nil"/>
              <w:left w:val="nil"/>
              <w:bottom w:val="single" w:color="auto" w:sz="4" w:space="0"/>
              <w:right w:val="single" w:color="auto" w:sz="4" w:space="0"/>
            </w:tcBorders>
            <w:vAlign w:val="center"/>
          </w:tcPr>
          <w:p w14:paraId="0867EB6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383D6062">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051711BA">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邮政业</w:t>
            </w:r>
          </w:p>
        </w:tc>
        <w:tc>
          <w:tcPr>
            <w:tcW w:w="1384" w:type="dxa"/>
            <w:tcBorders>
              <w:top w:val="nil"/>
              <w:left w:val="nil"/>
              <w:bottom w:val="single" w:color="auto" w:sz="4" w:space="0"/>
              <w:right w:val="single" w:color="auto" w:sz="4" w:space="0"/>
            </w:tcBorders>
            <w:vAlign w:val="center"/>
          </w:tcPr>
          <w:p w14:paraId="3E590C5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53DCC60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0BEA3B2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300≤X＜1000</w:t>
            </w:r>
          </w:p>
        </w:tc>
        <w:tc>
          <w:tcPr>
            <w:tcW w:w="1440" w:type="dxa"/>
            <w:tcBorders>
              <w:top w:val="nil"/>
              <w:left w:val="nil"/>
              <w:bottom w:val="single" w:color="auto" w:sz="4" w:space="0"/>
              <w:right w:val="single" w:color="auto" w:sz="4" w:space="0"/>
            </w:tcBorders>
            <w:vAlign w:val="center"/>
          </w:tcPr>
          <w:p w14:paraId="294A355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20≤X＜300</w:t>
            </w:r>
          </w:p>
        </w:tc>
        <w:tc>
          <w:tcPr>
            <w:tcW w:w="925" w:type="dxa"/>
            <w:tcBorders>
              <w:top w:val="nil"/>
              <w:left w:val="nil"/>
              <w:bottom w:val="single" w:color="auto" w:sz="4" w:space="0"/>
              <w:right w:val="single" w:color="auto" w:sz="4" w:space="0"/>
            </w:tcBorders>
            <w:vAlign w:val="center"/>
          </w:tcPr>
          <w:p w14:paraId="186A095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X＜20</w:t>
            </w:r>
          </w:p>
        </w:tc>
      </w:tr>
      <w:tr w14:paraId="58741AF3">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78C8C58F">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2AF8F9B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1013682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45A92AB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2000≤Y＜30000</w:t>
            </w:r>
          </w:p>
        </w:tc>
        <w:tc>
          <w:tcPr>
            <w:tcW w:w="1440" w:type="dxa"/>
            <w:tcBorders>
              <w:top w:val="nil"/>
              <w:left w:val="nil"/>
              <w:bottom w:val="single" w:color="auto" w:sz="4" w:space="0"/>
              <w:right w:val="single" w:color="auto" w:sz="4" w:space="0"/>
            </w:tcBorders>
            <w:vAlign w:val="center"/>
          </w:tcPr>
          <w:p w14:paraId="0B5F48D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100≤Y＜2000</w:t>
            </w:r>
          </w:p>
        </w:tc>
        <w:tc>
          <w:tcPr>
            <w:tcW w:w="925" w:type="dxa"/>
            <w:tcBorders>
              <w:top w:val="nil"/>
              <w:left w:val="nil"/>
              <w:bottom w:val="single" w:color="auto" w:sz="4" w:space="0"/>
              <w:right w:val="single" w:color="auto" w:sz="4" w:space="0"/>
            </w:tcBorders>
            <w:vAlign w:val="center"/>
          </w:tcPr>
          <w:p w14:paraId="5423503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59087B72">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A35A853">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住宿业</w:t>
            </w:r>
          </w:p>
        </w:tc>
        <w:tc>
          <w:tcPr>
            <w:tcW w:w="1384" w:type="dxa"/>
            <w:tcBorders>
              <w:top w:val="nil"/>
              <w:left w:val="nil"/>
              <w:bottom w:val="single" w:color="auto" w:sz="4" w:space="0"/>
              <w:right w:val="single" w:color="auto" w:sz="4" w:space="0"/>
            </w:tcBorders>
            <w:vAlign w:val="center"/>
          </w:tcPr>
          <w:p w14:paraId="14B4C5B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6B49A7D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11C0B03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1440" w:type="dxa"/>
            <w:tcBorders>
              <w:top w:val="nil"/>
              <w:left w:val="nil"/>
              <w:bottom w:val="single" w:color="auto" w:sz="4" w:space="0"/>
              <w:right w:val="single" w:color="auto" w:sz="4" w:space="0"/>
            </w:tcBorders>
            <w:vAlign w:val="center"/>
          </w:tcPr>
          <w:p w14:paraId="1136344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290FC28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7CACA6B5">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7E1CDDD">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7C9DBAF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0855CB5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66A0151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2000≤Y＜10000</w:t>
            </w:r>
          </w:p>
        </w:tc>
        <w:tc>
          <w:tcPr>
            <w:tcW w:w="1440" w:type="dxa"/>
            <w:tcBorders>
              <w:top w:val="nil"/>
              <w:left w:val="nil"/>
              <w:bottom w:val="single" w:color="auto" w:sz="4" w:space="0"/>
              <w:right w:val="single" w:color="auto" w:sz="4" w:space="0"/>
            </w:tcBorders>
            <w:vAlign w:val="center"/>
          </w:tcPr>
          <w:p w14:paraId="44D5DCB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100≤Y＜2000</w:t>
            </w:r>
          </w:p>
        </w:tc>
        <w:tc>
          <w:tcPr>
            <w:tcW w:w="925" w:type="dxa"/>
            <w:tcBorders>
              <w:top w:val="nil"/>
              <w:left w:val="nil"/>
              <w:bottom w:val="single" w:color="auto" w:sz="4" w:space="0"/>
              <w:right w:val="single" w:color="auto" w:sz="4" w:space="0"/>
            </w:tcBorders>
            <w:vAlign w:val="center"/>
          </w:tcPr>
          <w:p w14:paraId="26A0B8A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6FDA81E4">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5CB6E130">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餐饮业</w:t>
            </w:r>
          </w:p>
        </w:tc>
        <w:tc>
          <w:tcPr>
            <w:tcW w:w="1384" w:type="dxa"/>
            <w:tcBorders>
              <w:top w:val="nil"/>
              <w:left w:val="nil"/>
              <w:bottom w:val="single" w:color="auto" w:sz="4" w:space="0"/>
              <w:right w:val="single" w:color="auto" w:sz="4" w:space="0"/>
            </w:tcBorders>
            <w:vAlign w:val="center"/>
          </w:tcPr>
          <w:p w14:paraId="2E409B6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6411D0E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6DF8727D">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1440" w:type="dxa"/>
            <w:tcBorders>
              <w:top w:val="nil"/>
              <w:left w:val="nil"/>
              <w:bottom w:val="single" w:color="auto" w:sz="4" w:space="0"/>
              <w:right w:val="single" w:color="auto" w:sz="4" w:space="0"/>
            </w:tcBorders>
            <w:vAlign w:val="center"/>
          </w:tcPr>
          <w:p w14:paraId="40637D9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703C3DC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5E29D478">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25CF1A73">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791B5F3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7692E8B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3C9B738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2000≤Y＜10000</w:t>
            </w:r>
          </w:p>
        </w:tc>
        <w:tc>
          <w:tcPr>
            <w:tcW w:w="1440" w:type="dxa"/>
            <w:tcBorders>
              <w:top w:val="nil"/>
              <w:left w:val="nil"/>
              <w:bottom w:val="single" w:color="auto" w:sz="4" w:space="0"/>
              <w:right w:val="single" w:color="auto" w:sz="4" w:space="0"/>
            </w:tcBorders>
            <w:vAlign w:val="center"/>
          </w:tcPr>
          <w:p w14:paraId="0D7BC0F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100≤Y＜2000</w:t>
            </w:r>
          </w:p>
        </w:tc>
        <w:tc>
          <w:tcPr>
            <w:tcW w:w="925" w:type="dxa"/>
            <w:tcBorders>
              <w:top w:val="nil"/>
              <w:left w:val="nil"/>
              <w:bottom w:val="single" w:color="auto" w:sz="4" w:space="0"/>
              <w:right w:val="single" w:color="auto" w:sz="4" w:space="0"/>
            </w:tcBorders>
            <w:vAlign w:val="center"/>
          </w:tcPr>
          <w:p w14:paraId="077C168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1CBD56C9">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08B957C">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信息传输业</w:t>
            </w:r>
          </w:p>
        </w:tc>
        <w:tc>
          <w:tcPr>
            <w:tcW w:w="1384" w:type="dxa"/>
            <w:tcBorders>
              <w:top w:val="nil"/>
              <w:left w:val="nil"/>
              <w:bottom w:val="single" w:color="auto" w:sz="4" w:space="0"/>
              <w:right w:val="single" w:color="auto" w:sz="4" w:space="0"/>
            </w:tcBorders>
            <w:vAlign w:val="center"/>
          </w:tcPr>
          <w:p w14:paraId="6827B54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6D45B61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661CD75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100≤X＜2000</w:t>
            </w:r>
          </w:p>
        </w:tc>
        <w:tc>
          <w:tcPr>
            <w:tcW w:w="1440" w:type="dxa"/>
            <w:tcBorders>
              <w:top w:val="nil"/>
              <w:left w:val="nil"/>
              <w:bottom w:val="single" w:color="auto" w:sz="4" w:space="0"/>
              <w:right w:val="single" w:color="auto" w:sz="4" w:space="0"/>
            </w:tcBorders>
            <w:vAlign w:val="center"/>
          </w:tcPr>
          <w:p w14:paraId="72AF85D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54FE340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240226B3">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47D59A4">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674FAEE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18665EE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7F846B5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1000≤Y＜100000</w:t>
            </w:r>
          </w:p>
        </w:tc>
        <w:tc>
          <w:tcPr>
            <w:tcW w:w="1440" w:type="dxa"/>
            <w:tcBorders>
              <w:top w:val="nil"/>
              <w:left w:val="nil"/>
              <w:bottom w:val="single" w:color="auto" w:sz="4" w:space="0"/>
              <w:right w:val="single" w:color="auto" w:sz="4" w:space="0"/>
            </w:tcBorders>
            <w:vAlign w:val="center"/>
          </w:tcPr>
          <w:p w14:paraId="2AE7B96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100≤Y＜1000</w:t>
            </w:r>
          </w:p>
        </w:tc>
        <w:tc>
          <w:tcPr>
            <w:tcW w:w="925" w:type="dxa"/>
            <w:tcBorders>
              <w:top w:val="nil"/>
              <w:left w:val="nil"/>
              <w:bottom w:val="single" w:color="auto" w:sz="4" w:space="0"/>
              <w:right w:val="single" w:color="auto" w:sz="4" w:space="0"/>
            </w:tcBorders>
            <w:vAlign w:val="center"/>
          </w:tcPr>
          <w:p w14:paraId="1926CCE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4307A9B3">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80AB251">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软件和信息技术服务业</w:t>
            </w:r>
          </w:p>
        </w:tc>
        <w:tc>
          <w:tcPr>
            <w:tcW w:w="1384" w:type="dxa"/>
            <w:tcBorders>
              <w:top w:val="nil"/>
              <w:left w:val="nil"/>
              <w:bottom w:val="single" w:color="auto" w:sz="4" w:space="0"/>
              <w:right w:val="single" w:color="auto" w:sz="4" w:space="0"/>
            </w:tcBorders>
            <w:vAlign w:val="center"/>
          </w:tcPr>
          <w:p w14:paraId="1997574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0CB6767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1A4A753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1440" w:type="dxa"/>
            <w:tcBorders>
              <w:top w:val="nil"/>
              <w:left w:val="nil"/>
              <w:bottom w:val="single" w:color="auto" w:sz="4" w:space="0"/>
              <w:right w:val="single" w:color="auto" w:sz="4" w:space="0"/>
            </w:tcBorders>
            <w:vAlign w:val="center"/>
          </w:tcPr>
          <w:p w14:paraId="4C14F8D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241DFC9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17DCDAC6">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3CD77FC8">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23E6F71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22361A6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7A999EC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1000≤Y＜10000</w:t>
            </w:r>
          </w:p>
        </w:tc>
        <w:tc>
          <w:tcPr>
            <w:tcW w:w="1440" w:type="dxa"/>
            <w:tcBorders>
              <w:top w:val="nil"/>
              <w:left w:val="nil"/>
              <w:bottom w:val="single" w:color="auto" w:sz="4" w:space="0"/>
              <w:right w:val="single" w:color="auto" w:sz="4" w:space="0"/>
            </w:tcBorders>
            <w:vAlign w:val="center"/>
          </w:tcPr>
          <w:p w14:paraId="5ADDD55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50≤Y＜1000</w:t>
            </w:r>
          </w:p>
        </w:tc>
        <w:tc>
          <w:tcPr>
            <w:tcW w:w="925" w:type="dxa"/>
            <w:tcBorders>
              <w:top w:val="nil"/>
              <w:left w:val="nil"/>
              <w:bottom w:val="single" w:color="auto" w:sz="4" w:space="0"/>
              <w:right w:val="single" w:color="auto" w:sz="4" w:space="0"/>
            </w:tcBorders>
            <w:vAlign w:val="center"/>
          </w:tcPr>
          <w:p w14:paraId="53ED790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Y＜50</w:t>
            </w:r>
          </w:p>
        </w:tc>
      </w:tr>
      <w:tr w14:paraId="7F051EC5">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591F89A">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房地产开发经营</w:t>
            </w:r>
          </w:p>
        </w:tc>
        <w:tc>
          <w:tcPr>
            <w:tcW w:w="1384" w:type="dxa"/>
            <w:tcBorders>
              <w:top w:val="nil"/>
              <w:left w:val="nil"/>
              <w:bottom w:val="single" w:color="auto" w:sz="4" w:space="0"/>
              <w:right w:val="single" w:color="auto" w:sz="4" w:space="0"/>
            </w:tcBorders>
            <w:vAlign w:val="center"/>
          </w:tcPr>
          <w:p w14:paraId="0C667FD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205C529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6093A5F1">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1000≤Y＜200000</w:t>
            </w:r>
          </w:p>
        </w:tc>
        <w:tc>
          <w:tcPr>
            <w:tcW w:w="1440" w:type="dxa"/>
            <w:tcBorders>
              <w:top w:val="nil"/>
              <w:left w:val="nil"/>
              <w:bottom w:val="single" w:color="auto" w:sz="4" w:space="0"/>
              <w:right w:val="single" w:color="auto" w:sz="4" w:space="0"/>
            </w:tcBorders>
            <w:vAlign w:val="center"/>
          </w:tcPr>
          <w:p w14:paraId="55BEE0C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100≤X＜1000</w:t>
            </w:r>
          </w:p>
        </w:tc>
        <w:tc>
          <w:tcPr>
            <w:tcW w:w="925" w:type="dxa"/>
            <w:tcBorders>
              <w:top w:val="nil"/>
              <w:left w:val="nil"/>
              <w:bottom w:val="single" w:color="auto" w:sz="4" w:space="0"/>
              <w:right w:val="single" w:color="auto" w:sz="4" w:space="0"/>
            </w:tcBorders>
            <w:vAlign w:val="center"/>
          </w:tcPr>
          <w:p w14:paraId="33503AC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X＜100</w:t>
            </w:r>
          </w:p>
        </w:tc>
      </w:tr>
      <w:tr w14:paraId="4C004C21">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37F3FBCE">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0F16BB6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vAlign w:val="center"/>
          </w:tcPr>
          <w:p w14:paraId="78F1032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2865501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5000≤Z＜10000</w:t>
            </w:r>
          </w:p>
        </w:tc>
        <w:tc>
          <w:tcPr>
            <w:tcW w:w="1440" w:type="dxa"/>
            <w:tcBorders>
              <w:top w:val="nil"/>
              <w:left w:val="nil"/>
              <w:bottom w:val="single" w:color="auto" w:sz="4" w:space="0"/>
              <w:right w:val="single" w:color="auto" w:sz="4" w:space="0"/>
            </w:tcBorders>
            <w:vAlign w:val="center"/>
          </w:tcPr>
          <w:p w14:paraId="12DF26E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2000≤Y＜5000</w:t>
            </w:r>
          </w:p>
        </w:tc>
        <w:tc>
          <w:tcPr>
            <w:tcW w:w="925" w:type="dxa"/>
            <w:tcBorders>
              <w:top w:val="nil"/>
              <w:left w:val="nil"/>
              <w:bottom w:val="single" w:color="auto" w:sz="4" w:space="0"/>
              <w:right w:val="single" w:color="auto" w:sz="4" w:space="0"/>
            </w:tcBorders>
            <w:vAlign w:val="center"/>
          </w:tcPr>
          <w:p w14:paraId="2CDA865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Y＜2000</w:t>
            </w:r>
          </w:p>
        </w:tc>
      </w:tr>
      <w:tr w14:paraId="449DAC14">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62A7C18">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物业管理</w:t>
            </w:r>
          </w:p>
        </w:tc>
        <w:tc>
          <w:tcPr>
            <w:tcW w:w="1384" w:type="dxa"/>
            <w:tcBorders>
              <w:top w:val="nil"/>
              <w:left w:val="nil"/>
              <w:bottom w:val="single" w:color="auto" w:sz="4" w:space="0"/>
              <w:right w:val="single" w:color="auto" w:sz="4" w:space="0"/>
            </w:tcBorders>
            <w:vAlign w:val="center"/>
          </w:tcPr>
          <w:p w14:paraId="4AC59EF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4C2E527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22A5E3F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300≤X＜1000</w:t>
            </w:r>
          </w:p>
        </w:tc>
        <w:tc>
          <w:tcPr>
            <w:tcW w:w="1440" w:type="dxa"/>
            <w:tcBorders>
              <w:top w:val="nil"/>
              <w:left w:val="nil"/>
              <w:bottom w:val="single" w:color="auto" w:sz="4" w:space="0"/>
              <w:right w:val="single" w:color="auto" w:sz="4" w:space="0"/>
            </w:tcBorders>
            <w:vAlign w:val="center"/>
          </w:tcPr>
          <w:p w14:paraId="2BA70BA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925" w:type="dxa"/>
            <w:tcBorders>
              <w:top w:val="nil"/>
              <w:left w:val="nil"/>
              <w:bottom w:val="single" w:color="auto" w:sz="4" w:space="0"/>
              <w:right w:val="single" w:color="auto" w:sz="4" w:space="0"/>
            </w:tcBorders>
            <w:vAlign w:val="center"/>
          </w:tcPr>
          <w:p w14:paraId="3B5E217E">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X＜100</w:t>
            </w:r>
          </w:p>
        </w:tc>
      </w:tr>
      <w:tr w14:paraId="5CD82622">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AB5C16D">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60333C0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vAlign w:val="center"/>
          </w:tcPr>
          <w:p w14:paraId="54824B6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44398F65">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1000≤Y＜5000</w:t>
            </w:r>
          </w:p>
        </w:tc>
        <w:tc>
          <w:tcPr>
            <w:tcW w:w="1440" w:type="dxa"/>
            <w:tcBorders>
              <w:top w:val="nil"/>
              <w:left w:val="nil"/>
              <w:bottom w:val="single" w:color="auto" w:sz="4" w:space="0"/>
              <w:right w:val="single" w:color="auto" w:sz="4" w:space="0"/>
            </w:tcBorders>
            <w:vAlign w:val="center"/>
          </w:tcPr>
          <w:p w14:paraId="0D89BD13">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500≤Y＜1000</w:t>
            </w:r>
          </w:p>
        </w:tc>
        <w:tc>
          <w:tcPr>
            <w:tcW w:w="925" w:type="dxa"/>
            <w:tcBorders>
              <w:top w:val="nil"/>
              <w:left w:val="nil"/>
              <w:bottom w:val="single" w:color="auto" w:sz="4" w:space="0"/>
              <w:right w:val="single" w:color="auto" w:sz="4" w:space="0"/>
            </w:tcBorders>
            <w:vAlign w:val="center"/>
          </w:tcPr>
          <w:p w14:paraId="527E7EB4">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Y＜500</w:t>
            </w:r>
          </w:p>
        </w:tc>
      </w:tr>
      <w:tr w14:paraId="3D833DD5">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0146AC92">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租赁和商务服务业</w:t>
            </w:r>
          </w:p>
        </w:tc>
        <w:tc>
          <w:tcPr>
            <w:tcW w:w="1384" w:type="dxa"/>
            <w:tcBorders>
              <w:top w:val="nil"/>
              <w:left w:val="nil"/>
              <w:bottom w:val="single" w:color="auto" w:sz="4" w:space="0"/>
              <w:right w:val="single" w:color="auto" w:sz="4" w:space="0"/>
            </w:tcBorders>
            <w:vAlign w:val="center"/>
          </w:tcPr>
          <w:p w14:paraId="537FB977">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2D4EE3A2">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79A8788F">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1440" w:type="dxa"/>
            <w:tcBorders>
              <w:top w:val="nil"/>
              <w:left w:val="nil"/>
              <w:bottom w:val="single" w:color="auto" w:sz="4" w:space="0"/>
              <w:right w:val="single" w:color="auto" w:sz="4" w:space="0"/>
            </w:tcBorders>
            <w:vAlign w:val="center"/>
          </w:tcPr>
          <w:p w14:paraId="4064398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1006A10B">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r w14:paraId="04D3380E">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3C4595C">
            <w:pPr>
              <w:widowControl/>
              <w:jc w:val="left"/>
              <w:rPr>
                <w:rFonts w:ascii="仿宋_GB2312" w:hAnsi="仿宋" w:eastAsia="仿宋_GB2312" w:cs="宋体"/>
                <w:b/>
                <w:bCs/>
                <w:color w:val="auto"/>
                <w:kern w:val="0"/>
                <w:sz w:val="18"/>
                <w:szCs w:val="18"/>
                <w:highlight w:val="none"/>
              </w:rPr>
            </w:pPr>
          </w:p>
        </w:tc>
        <w:tc>
          <w:tcPr>
            <w:tcW w:w="1384" w:type="dxa"/>
            <w:tcBorders>
              <w:top w:val="nil"/>
              <w:left w:val="nil"/>
              <w:bottom w:val="single" w:color="auto" w:sz="4" w:space="0"/>
              <w:right w:val="single" w:color="auto" w:sz="4" w:space="0"/>
            </w:tcBorders>
            <w:vAlign w:val="center"/>
          </w:tcPr>
          <w:p w14:paraId="6C00F16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vAlign w:val="center"/>
          </w:tcPr>
          <w:p w14:paraId="7F459DB2">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万元</w:t>
            </w:r>
          </w:p>
        </w:tc>
        <w:tc>
          <w:tcPr>
            <w:tcW w:w="1620" w:type="dxa"/>
            <w:tcBorders>
              <w:top w:val="nil"/>
              <w:left w:val="nil"/>
              <w:bottom w:val="single" w:color="auto" w:sz="4" w:space="0"/>
              <w:right w:val="single" w:color="auto" w:sz="4" w:space="0"/>
            </w:tcBorders>
            <w:vAlign w:val="center"/>
          </w:tcPr>
          <w:p w14:paraId="519AA5E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8000≤Z＜120000</w:t>
            </w:r>
          </w:p>
        </w:tc>
        <w:tc>
          <w:tcPr>
            <w:tcW w:w="1440" w:type="dxa"/>
            <w:tcBorders>
              <w:top w:val="nil"/>
              <w:left w:val="nil"/>
              <w:bottom w:val="single" w:color="auto" w:sz="4" w:space="0"/>
              <w:right w:val="single" w:color="auto" w:sz="4" w:space="0"/>
            </w:tcBorders>
            <w:vAlign w:val="center"/>
          </w:tcPr>
          <w:p w14:paraId="43002CF6">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100≤Z＜8000</w:t>
            </w:r>
          </w:p>
        </w:tc>
        <w:tc>
          <w:tcPr>
            <w:tcW w:w="925" w:type="dxa"/>
            <w:tcBorders>
              <w:top w:val="nil"/>
              <w:left w:val="nil"/>
              <w:bottom w:val="single" w:color="auto" w:sz="4" w:space="0"/>
              <w:right w:val="single" w:color="auto" w:sz="4" w:space="0"/>
            </w:tcBorders>
            <w:vAlign w:val="center"/>
          </w:tcPr>
          <w:p w14:paraId="13B752B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Y＜100</w:t>
            </w:r>
          </w:p>
        </w:tc>
      </w:tr>
      <w:tr w14:paraId="73C23AAB">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vAlign w:val="bottom"/>
          </w:tcPr>
          <w:p w14:paraId="48EC49BC">
            <w:pPr>
              <w:widowControl/>
              <w:jc w:val="center"/>
              <w:rPr>
                <w:rFonts w:ascii="仿宋_GB2312" w:hAnsi="仿宋" w:eastAsia="仿宋_GB2312" w:cs="宋体"/>
                <w:b/>
                <w:bCs/>
                <w:color w:val="auto"/>
                <w:kern w:val="0"/>
                <w:sz w:val="18"/>
                <w:szCs w:val="18"/>
                <w:highlight w:val="none"/>
              </w:rPr>
            </w:pPr>
            <w:r>
              <w:rPr>
                <w:rFonts w:hint="eastAsia" w:ascii="仿宋_GB2312" w:hAnsi="仿宋" w:eastAsia="仿宋_GB2312" w:cs="宋体"/>
                <w:b/>
                <w:bCs/>
                <w:color w:val="auto"/>
                <w:kern w:val="0"/>
                <w:sz w:val="18"/>
                <w:szCs w:val="18"/>
                <w:highlight w:val="none"/>
              </w:rPr>
              <w:t>其他未列明行业</w:t>
            </w:r>
          </w:p>
        </w:tc>
        <w:tc>
          <w:tcPr>
            <w:tcW w:w="1384" w:type="dxa"/>
            <w:tcBorders>
              <w:top w:val="nil"/>
              <w:left w:val="nil"/>
              <w:bottom w:val="single" w:color="auto" w:sz="4" w:space="0"/>
              <w:right w:val="single" w:color="auto" w:sz="4" w:space="0"/>
            </w:tcBorders>
            <w:vAlign w:val="center"/>
          </w:tcPr>
          <w:p w14:paraId="16292F38">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vAlign w:val="center"/>
          </w:tcPr>
          <w:p w14:paraId="104D3B8A">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人</w:t>
            </w:r>
          </w:p>
        </w:tc>
        <w:tc>
          <w:tcPr>
            <w:tcW w:w="1620" w:type="dxa"/>
            <w:tcBorders>
              <w:top w:val="nil"/>
              <w:left w:val="nil"/>
              <w:bottom w:val="single" w:color="auto" w:sz="4" w:space="0"/>
              <w:right w:val="single" w:color="auto" w:sz="4" w:space="0"/>
            </w:tcBorders>
            <w:vAlign w:val="center"/>
          </w:tcPr>
          <w:p w14:paraId="74D28209">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100≤X＜300</w:t>
            </w:r>
          </w:p>
        </w:tc>
        <w:tc>
          <w:tcPr>
            <w:tcW w:w="1440" w:type="dxa"/>
            <w:tcBorders>
              <w:top w:val="nil"/>
              <w:left w:val="nil"/>
              <w:bottom w:val="single" w:color="auto" w:sz="4" w:space="0"/>
              <w:right w:val="single" w:color="auto" w:sz="4" w:space="0"/>
            </w:tcBorders>
            <w:vAlign w:val="center"/>
          </w:tcPr>
          <w:p w14:paraId="4AEA5B70">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10≤X＜100</w:t>
            </w:r>
          </w:p>
        </w:tc>
        <w:tc>
          <w:tcPr>
            <w:tcW w:w="925" w:type="dxa"/>
            <w:tcBorders>
              <w:top w:val="nil"/>
              <w:left w:val="nil"/>
              <w:bottom w:val="single" w:color="auto" w:sz="4" w:space="0"/>
              <w:right w:val="single" w:color="auto" w:sz="4" w:space="0"/>
            </w:tcBorders>
            <w:vAlign w:val="center"/>
          </w:tcPr>
          <w:p w14:paraId="7D54638C">
            <w:pPr>
              <w:widowControl/>
              <w:jc w:val="left"/>
              <w:rPr>
                <w:rFonts w:ascii="仿宋_GB2312" w:hAnsi="仿宋" w:eastAsia="仿宋_GB2312" w:cs="宋体"/>
                <w:color w:val="auto"/>
                <w:kern w:val="0"/>
                <w:sz w:val="18"/>
                <w:szCs w:val="18"/>
                <w:highlight w:val="none"/>
              </w:rPr>
            </w:pPr>
            <w:r>
              <w:rPr>
                <w:rFonts w:hint="eastAsia" w:ascii="仿宋_GB2312" w:hAnsi="仿宋" w:eastAsia="仿宋_GB2312" w:cs="宋体"/>
                <w:color w:val="auto"/>
                <w:kern w:val="0"/>
                <w:sz w:val="18"/>
                <w:szCs w:val="18"/>
                <w:highlight w:val="none"/>
              </w:rPr>
              <w:t>X＜10</w:t>
            </w:r>
          </w:p>
        </w:tc>
      </w:tr>
    </w:tbl>
    <w:p w14:paraId="38BF8583">
      <w:pPr>
        <w:spacing w:line="360" w:lineRule="auto"/>
        <w:ind w:firstLine="525" w:firstLineChars="250"/>
        <w:rPr>
          <w:rFonts w:ascii="仿宋_GB2312" w:hAnsi="仿宋" w:eastAsia="仿宋_GB2312"/>
          <w:color w:val="auto"/>
          <w:highlight w:val="none"/>
        </w:rPr>
      </w:pPr>
    </w:p>
    <w:p w14:paraId="6E17E205">
      <w:pPr>
        <w:spacing w:line="360" w:lineRule="auto"/>
        <w:ind w:firstLine="525" w:firstLineChars="250"/>
        <w:rPr>
          <w:rFonts w:ascii="宋体" w:hAnsi="宋体"/>
          <w:b/>
          <w:color w:val="auto"/>
          <w:sz w:val="32"/>
          <w:szCs w:val="32"/>
          <w:highlight w:val="none"/>
        </w:rPr>
      </w:pPr>
      <w:r>
        <w:rPr>
          <w:rFonts w:hint="eastAsia" w:ascii="仿宋_GB2312" w:hAnsi="仿宋" w:eastAsia="仿宋_GB2312"/>
          <w:color w:val="auto"/>
          <w:highlight w:val="none"/>
        </w:rPr>
        <w:t>说明：上述标准参照《关于印发中小企业划型标准规定的通知》（工信部联企业[2011]300号），大型、中型和小型企业须同时满足所列指标的下限，否则下划一档；微型企业只须满足所列指标中的一项即可。</w:t>
      </w:r>
      <w:r>
        <w:rPr>
          <w:rFonts w:ascii="宋体" w:hAnsi="宋体"/>
          <w:color w:val="auto"/>
          <w:sz w:val="24"/>
          <w:highlight w:val="none"/>
        </w:rPr>
        <w:br w:type="page"/>
      </w:r>
      <w:r>
        <w:rPr>
          <w:rFonts w:hint="eastAsia" w:ascii="宋体" w:hAnsi="宋体"/>
          <w:b/>
          <w:color w:val="auto"/>
          <w:sz w:val="32"/>
          <w:szCs w:val="32"/>
          <w:highlight w:val="none"/>
        </w:rPr>
        <w:t>残疾人福利性单位声明函</w:t>
      </w:r>
    </w:p>
    <w:p w14:paraId="0A4DC733">
      <w:pPr>
        <w:spacing w:line="360" w:lineRule="auto"/>
        <w:contextualSpacing/>
        <w:rPr>
          <w:rFonts w:ascii="仿宋_GB2312" w:hAnsi="仿宋_GB2312" w:eastAsia="仿宋_GB2312" w:cs="仿宋_GB2312"/>
          <w:color w:val="auto"/>
          <w:sz w:val="32"/>
          <w:szCs w:val="32"/>
          <w:highlight w:val="none"/>
        </w:rPr>
      </w:pPr>
    </w:p>
    <w:p w14:paraId="22B8F656">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0128E7CD">
      <w:pPr>
        <w:spacing w:line="360" w:lineRule="auto"/>
        <w:ind w:firstLine="480" w:firstLineChars="200"/>
        <w:contextualSpacing/>
        <w:rPr>
          <w:rFonts w:ascii="宋体" w:hAnsi="宋体" w:cs="仿宋_GB2312"/>
          <w:color w:val="auto"/>
          <w:sz w:val="24"/>
          <w:highlight w:val="none"/>
        </w:rPr>
      </w:pPr>
      <w:r>
        <w:rPr>
          <w:rFonts w:hint="eastAsia" w:ascii="宋体" w:hAnsi="宋体" w:cs="仿宋_GB2312"/>
          <w:color w:val="auto"/>
          <w:sz w:val="24"/>
          <w:highlight w:val="none"/>
        </w:rPr>
        <w:t>本单位对上述声明的真实性负责。如有虚假，将依法承担相应责任。</w:t>
      </w:r>
    </w:p>
    <w:p w14:paraId="4ECF7F4F">
      <w:pPr>
        <w:spacing w:line="360" w:lineRule="auto"/>
        <w:contextualSpacing/>
        <w:rPr>
          <w:rFonts w:ascii="宋体" w:hAnsi="宋体" w:cs="仿宋_GB2312"/>
          <w:color w:val="auto"/>
          <w:sz w:val="24"/>
          <w:highlight w:val="none"/>
        </w:rPr>
      </w:pPr>
    </w:p>
    <w:p w14:paraId="2F112C1E">
      <w:pPr>
        <w:spacing w:line="360" w:lineRule="auto"/>
        <w:contextualSpacing/>
        <w:rPr>
          <w:rFonts w:ascii="宋体" w:hAnsi="宋体" w:cs="仿宋_GB2312"/>
          <w:color w:val="auto"/>
          <w:sz w:val="24"/>
          <w:highlight w:val="none"/>
        </w:rPr>
      </w:pPr>
    </w:p>
    <w:p w14:paraId="663B0F7C">
      <w:pPr>
        <w:spacing w:line="360" w:lineRule="auto"/>
        <w:contextualSpacing/>
        <w:rPr>
          <w:rFonts w:ascii="宋体" w:hAnsi="宋体" w:cs="仿宋_GB2312"/>
          <w:color w:val="auto"/>
          <w:sz w:val="24"/>
          <w:highlight w:val="none"/>
        </w:rPr>
      </w:pPr>
    </w:p>
    <w:p w14:paraId="53D356CC">
      <w:pPr>
        <w:spacing w:line="360" w:lineRule="auto"/>
        <w:ind w:firstLine="2400" w:firstLineChars="1000"/>
        <w:contextualSpacing/>
        <w:rPr>
          <w:rFonts w:ascii="宋体" w:hAnsi="宋体" w:cs="仿宋_GB2312"/>
          <w:color w:val="auto"/>
          <w:sz w:val="24"/>
          <w:highlight w:val="none"/>
        </w:rPr>
      </w:pPr>
      <w:r>
        <w:rPr>
          <w:rFonts w:hint="eastAsia" w:ascii="宋体" w:hAnsi="宋体" w:cs="仿宋_GB2312"/>
          <w:color w:val="auto"/>
          <w:sz w:val="24"/>
          <w:highlight w:val="none"/>
        </w:rPr>
        <w:t>单位名称（盖章）：</w:t>
      </w:r>
    </w:p>
    <w:p w14:paraId="3A2253E7">
      <w:pPr>
        <w:spacing w:line="360" w:lineRule="auto"/>
        <w:ind w:firstLine="3600" w:firstLineChars="1500"/>
        <w:contextualSpacing/>
        <w:rPr>
          <w:rFonts w:ascii="宋体" w:hAnsi="宋体" w:cs="仿宋_GB2312"/>
          <w:color w:val="auto"/>
          <w:sz w:val="24"/>
          <w:highlight w:val="none"/>
        </w:rPr>
      </w:pPr>
      <w:r>
        <w:rPr>
          <w:rFonts w:hint="eastAsia" w:ascii="宋体" w:hAnsi="宋体" w:cs="仿宋_GB2312"/>
          <w:color w:val="auto"/>
          <w:sz w:val="24"/>
          <w:highlight w:val="none"/>
        </w:rPr>
        <w:t>日  期：</w:t>
      </w:r>
    </w:p>
    <w:p w14:paraId="73C2E4F0">
      <w:pPr>
        <w:spacing w:line="360" w:lineRule="auto"/>
        <w:contextualSpacing/>
        <w:rPr>
          <w:rFonts w:ascii="宋体" w:hAnsi="宋体" w:cs="仿宋_GB2312"/>
          <w:color w:val="auto"/>
          <w:sz w:val="24"/>
          <w:highlight w:val="none"/>
        </w:rPr>
      </w:pPr>
    </w:p>
    <w:p w14:paraId="071DF983">
      <w:pPr>
        <w:spacing w:line="360" w:lineRule="auto"/>
        <w:contextualSpacing/>
        <w:rPr>
          <w:rFonts w:ascii="宋体" w:hAnsi="宋体" w:cs="仿宋_GB2312"/>
          <w:color w:val="auto"/>
          <w:sz w:val="24"/>
          <w:highlight w:val="none"/>
        </w:rPr>
      </w:pPr>
    </w:p>
    <w:p w14:paraId="107EB7D0">
      <w:pPr>
        <w:spacing w:line="360" w:lineRule="auto"/>
        <w:contextualSpacing/>
        <w:rPr>
          <w:rFonts w:ascii="宋体" w:hAnsi="宋体" w:cs="仿宋_GB2312"/>
          <w:color w:val="auto"/>
          <w:sz w:val="24"/>
          <w:highlight w:val="none"/>
        </w:rPr>
      </w:pPr>
    </w:p>
    <w:p w14:paraId="06CFA453">
      <w:pPr>
        <w:spacing w:line="360" w:lineRule="auto"/>
        <w:contextualSpacing/>
        <w:rPr>
          <w:rFonts w:ascii="宋体" w:hAnsi="宋体" w:cs="仿宋_GB2312"/>
          <w:color w:val="auto"/>
          <w:sz w:val="24"/>
          <w:highlight w:val="none"/>
        </w:rPr>
      </w:pPr>
      <w:r>
        <w:rPr>
          <w:rFonts w:hint="eastAsia" w:ascii="宋体" w:hAnsi="宋体" w:cs="仿宋_GB2312"/>
          <w:color w:val="auto"/>
          <w:sz w:val="24"/>
          <w:highlight w:val="none"/>
        </w:rPr>
        <w:t>注：请根据自己的真实情况出具《残疾人福利性单位声明函》。依法享受中小企业优惠政策的，采购人或者采购代理机构在公告中标结果时，同时公告其《残疾人福利性单位声明函》，接受社会监督。</w:t>
      </w:r>
    </w:p>
    <w:p w14:paraId="42BA5F8B">
      <w:pPr>
        <w:spacing w:line="360" w:lineRule="auto"/>
        <w:jc w:val="center"/>
        <w:rPr>
          <w:rFonts w:ascii="宋体" w:hAnsi="宋体" w:cs="仿宋_GB2312"/>
          <w:color w:val="auto"/>
          <w:sz w:val="24"/>
          <w:highlight w:val="none"/>
        </w:rPr>
      </w:pPr>
      <w:r>
        <w:rPr>
          <w:rFonts w:ascii="宋体" w:hAnsi="宋体" w:cs="仿宋_GB2312"/>
          <w:color w:val="auto"/>
          <w:sz w:val="24"/>
          <w:highlight w:val="none"/>
        </w:rPr>
        <w:br w:type="page"/>
      </w:r>
    </w:p>
    <w:p w14:paraId="296533C0">
      <w:pPr>
        <w:spacing w:line="520" w:lineRule="exact"/>
        <w:jc w:val="center"/>
        <w:rPr>
          <w:rFonts w:ascii="宋体" w:hAnsi="宋体"/>
          <w:b/>
          <w:color w:val="auto"/>
          <w:sz w:val="32"/>
          <w:szCs w:val="32"/>
          <w:highlight w:val="none"/>
        </w:rPr>
      </w:pPr>
      <w:r>
        <w:rPr>
          <w:rFonts w:hint="eastAsia" w:ascii="宋体" w:hAnsi="宋体"/>
          <w:b/>
          <w:color w:val="auto"/>
          <w:sz w:val="32"/>
          <w:szCs w:val="32"/>
          <w:highlight w:val="none"/>
        </w:rPr>
        <w:t>质疑函（格式）</w:t>
      </w:r>
    </w:p>
    <w:p w14:paraId="3EAC4069">
      <w:pPr>
        <w:pStyle w:val="25"/>
        <w:spacing w:line="360" w:lineRule="auto"/>
        <w:ind w:firstLine="482" w:firstLineChars="200"/>
        <w:contextualSpacing/>
        <w:rPr>
          <w:rFonts w:hAnsi="宋体"/>
          <w:b/>
          <w:bCs/>
          <w:color w:val="auto"/>
          <w:sz w:val="24"/>
          <w:szCs w:val="24"/>
          <w:highlight w:val="none"/>
        </w:rPr>
      </w:pPr>
      <w:r>
        <w:rPr>
          <w:rFonts w:hint="eastAsia" w:hAnsi="宋体"/>
          <w:b/>
          <w:bCs/>
          <w:color w:val="auto"/>
          <w:sz w:val="24"/>
          <w:szCs w:val="24"/>
          <w:highlight w:val="none"/>
        </w:rPr>
        <w:t>一、质疑供应商基本信息：</w:t>
      </w:r>
    </w:p>
    <w:p w14:paraId="2F1E658B">
      <w:pPr>
        <w:pStyle w:val="25"/>
        <w:spacing w:line="360" w:lineRule="auto"/>
        <w:ind w:firstLine="480" w:firstLineChars="200"/>
        <w:contextualSpacing/>
        <w:rPr>
          <w:rFonts w:hAnsi="宋体"/>
          <w:bCs/>
          <w:color w:val="auto"/>
          <w:sz w:val="24"/>
          <w:szCs w:val="24"/>
          <w:highlight w:val="none"/>
          <w:u w:val="single"/>
        </w:rPr>
      </w:pPr>
      <w:r>
        <w:rPr>
          <w:rFonts w:hint="eastAsia" w:hAnsi="宋体"/>
          <w:bCs/>
          <w:color w:val="auto"/>
          <w:sz w:val="24"/>
          <w:szCs w:val="24"/>
          <w:highlight w:val="none"/>
        </w:rPr>
        <w:t>质疑供应商：</w:t>
      </w:r>
    </w:p>
    <w:p w14:paraId="19EF1D74">
      <w:pPr>
        <w:pStyle w:val="25"/>
        <w:spacing w:line="360" w:lineRule="auto"/>
        <w:ind w:firstLine="480" w:firstLineChars="200"/>
        <w:contextualSpacing/>
        <w:rPr>
          <w:rFonts w:hAnsi="宋体"/>
          <w:bCs/>
          <w:color w:val="auto"/>
          <w:sz w:val="24"/>
          <w:szCs w:val="24"/>
          <w:highlight w:val="none"/>
        </w:rPr>
      </w:pPr>
      <w:r>
        <w:rPr>
          <w:rFonts w:hAnsi="宋体"/>
          <w:bCs/>
          <w:color w:val="auto"/>
          <w:sz w:val="24"/>
          <w:szCs w:val="24"/>
          <w:highlight w:val="none"/>
        </w:rPr>
        <w:t>地址</w:t>
      </w:r>
      <w:r>
        <w:rPr>
          <w:rFonts w:hint="eastAsia" w:hAnsi="宋体"/>
          <w:bCs/>
          <w:color w:val="auto"/>
          <w:sz w:val="24"/>
          <w:szCs w:val="24"/>
          <w:highlight w:val="none"/>
        </w:rPr>
        <w:t>：</w:t>
      </w:r>
      <w:r>
        <w:rPr>
          <w:rFonts w:hAnsi="宋体"/>
          <w:bCs/>
          <w:color w:val="auto"/>
          <w:sz w:val="24"/>
          <w:szCs w:val="24"/>
          <w:highlight w:val="none"/>
        </w:rPr>
        <w:t>邮编</w:t>
      </w:r>
      <w:r>
        <w:rPr>
          <w:rFonts w:hint="eastAsia" w:hAnsi="宋体"/>
          <w:bCs/>
          <w:color w:val="auto"/>
          <w:sz w:val="24"/>
          <w:szCs w:val="24"/>
          <w:highlight w:val="none"/>
        </w:rPr>
        <w:t>：</w:t>
      </w:r>
    </w:p>
    <w:p w14:paraId="7FB29829">
      <w:pPr>
        <w:pStyle w:val="25"/>
        <w:spacing w:line="360" w:lineRule="auto"/>
        <w:ind w:firstLine="480" w:firstLineChars="200"/>
        <w:contextualSpacing/>
        <w:rPr>
          <w:rFonts w:hAnsi="宋体"/>
          <w:bCs/>
          <w:color w:val="auto"/>
          <w:sz w:val="24"/>
          <w:szCs w:val="24"/>
          <w:highlight w:val="none"/>
        </w:rPr>
      </w:pPr>
      <w:r>
        <w:rPr>
          <w:rFonts w:hAnsi="宋体"/>
          <w:bCs/>
          <w:color w:val="auto"/>
          <w:sz w:val="24"/>
          <w:szCs w:val="24"/>
          <w:highlight w:val="none"/>
        </w:rPr>
        <w:t>联系人</w:t>
      </w:r>
      <w:r>
        <w:rPr>
          <w:rFonts w:hint="eastAsia" w:hAnsi="宋体"/>
          <w:bCs/>
          <w:color w:val="auto"/>
          <w:sz w:val="24"/>
          <w:szCs w:val="24"/>
          <w:highlight w:val="none"/>
        </w:rPr>
        <w:t>：</w:t>
      </w:r>
      <w:r>
        <w:rPr>
          <w:rFonts w:hAnsi="宋体"/>
          <w:bCs/>
          <w:color w:val="auto"/>
          <w:sz w:val="24"/>
          <w:szCs w:val="24"/>
          <w:highlight w:val="none"/>
        </w:rPr>
        <w:t>联系电话</w:t>
      </w:r>
      <w:r>
        <w:rPr>
          <w:rFonts w:hint="eastAsia" w:hAnsi="宋体"/>
          <w:bCs/>
          <w:color w:val="auto"/>
          <w:sz w:val="24"/>
          <w:szCs w:val="24"/>
          <w:highlight w:val="none"/>
        </w:rPr>
        <w:t>：</w:t>
      </w:r>
    </w:p>
    <w:p w14:paraId="09576F75">
      <w:pPr>
        <w:pStyle w:val="25"/>
        <w:spacing w:line="360" w:lineRule="auto"/>
        <w:ind w:firstLine="480" w:firstLineChars="200"/>
        <w:contextualSpacing/>
        <w:rPr>
          <w:rFonts w:hAnsi="宋体"/>
          <w:bCs/>
          <w:color w:val="auto"/>
          <w:sz w:val="24"/>
          <w:szCs w:val="24"/>
          <w:highlight w:val="none"/>
        </w:rPr>
      </w:pPr>
      <w:r>
        <w:rPr>
          <w:rFonts w:hint="eastAsia" w:hAnsi="宋体"/>
          <w:bCs/>
          <w:color w:val="auto"/>
          <w:sz w:val="24"/>
          <w:szCs w:val="24"/>
          <w:highlight w:val="none"/>
        </w:rPr>
        <w:t>授权代表：</w:t>
      </w:r>
    </w:p>
    <w:p w14:paraId="04C5B230">
      <w:pPr>
        <w:pStyle w:val="25"/>
        <w:spacing w:line="360" w:lineRule="auto"/>
        <w:ind w:firstLine="480" w:firstLineChars="200"/>
        <w:contextualSpacing/>
        <w:rPr>
          <w:rFonts w:hAnsi="宋体"/>
          <w:bCs/>
          <w:color w:val="auto"/>
          <w:sz w:val="24"/>
          <w:szCs w:val="24"/>
          <w:highlight w:val="none"/>
          <w:u w:val="single"/>
        </w:rPr>
      </w:pPr>
      <w:r>
        <w:rPr>
          <w:rFonts w:hAnsi="宋体"/>
          <w:bCs/>
          <w:color w:val="auto"/>
          <w:sz w:val="24"/>
          <w:szCs w:val="24"/>
          <w:highlight w:val="none"/>
        </w:rPr>
        <w:t>联系</w:t>
      </w:r>
      <w:r>
        <w:rPr>
          <w:rFonts w:hint="eastAsia" w:hAnsi="宋体"/>
          <w:bCs/>
          <w:color w:val="auto"/>
          <w:sz w:val="24"/>
          <w:szCs w:val="24"/>
          <w:highlight w:val="none"/>
        </w:rPr>
        <w:t>电话：</w:t>
      </w:r>
    </w:p>
    <w:p w14:paraId="38596608">
      <w:pPr>
        <w:pStyle w:val="25"/>
        <w:spacing w:line="360" w:lineRule="auto"/>
        <w:ind w:firstLine="480" w:firstLineChars="200"/>
        <w:contextualSpacing/>
        <w:rPr>
          <w:rFonts w:hAnsi="宋体"/>
          <w:bCs/>
          <w:color w:val="auto"/>
          <w:sz w:val="24"/>
          <w:szCs w:val="24"/>
          <w:highlight w:val="none"/>
        </w:rPr>
      </w:pPr>
      <w:r>
        <w:rPr>
          <w:rFonts w:hAnsi="宋体"/>
          <w:bCs/>
          <w:color w:val="auto"/>
          <w:sz w:val="24"/>
          <w:szCs w:val="24"/>
          <w:highlight w:val="none"/>
        </w:rPr>
        <w:t>地址</w:t>
      </w:r>
      <w:r>
        <w:rPr>
          <w:rFonts w:hint="eastAsia" w:hAnsi="宋体"/>
          <w:bCs/>
          <w:color w:val="auto"/>
          <w:sz w:val="24"/>
          <w:szCs w:val="24"/>
          <w:highlight w:val="none"/>
        </w:rPr>
        <w:t>：</w:t>
      </w:r>
      <w:r>
        <w:rPr>
          <w:rFonts w:hAnsi="宋体"/>
          <w:bCs/>
          <w:color w:val="auto"/>
          <w:sz w:val="24"/>
          <w:szCs w:val="24"/>
          <w:highlight w:val="none"/>
        </w:rPr>
        <w:t>邮编</w:t>
      </w:r>
      <w:r>
        <w:rPr>
          <w:rFonts w:hint="eastAsia" w:hAnsi="宋体"/>
          <w:bCs/>
          <w:color w:val="auto"/>
          <w:sz w:val="24"/>
          <w:szCs w:val="24"/>
          <w:highlight w:val="none"/>
        </w:rPr>
        <w:t>：</w:t>
      </w:r>
    </w:p>
    <w:p w14:paraId="70BFD3CC">
      <w:pPr>
        <w:pStyle w:val="25"/>
        <w:spacing w:line="360" w:lineRule="auto"/>
        <w:ind w:firstLine="482" w:firstLineChars="200"/>
        <w:contextualSpacing/>
        <w:rPr>
          <w:rFonts w:hAnsi="宋体"/>
          <w:b/>
          <w:bCs/>
          <w:color w:val="auto"/>
          <w:sz w:val="24"/>
          <w:szCs w:val="24"/>
          <w:highlight w:val="none"/>
        </w:rPr>
      </w:pPr>
      <w:r>
        <w:rPr>
          <w:rFonts w:hint="eastAsia" w:hAnsi="宋体"/>
          <w:b/>
          <w:bCs/>
          <w:color w:val="auto"/>
          <w:sz w:val="24"/>
          <w:szCs w:val="24"/>
          <w:highlight w:val="none"/>
        </w:rPr>
        <w:t>二、质疑项目基本情况：</w:t>
      </w:r>
    </w:p>
    <w:p w14:paraId="6FBA0C91">
      <w:pPr>
        <w:pStyle w:val="25"/>
        <w:spacing w:line="360" w:lineRule="auto"/>
        <w:ind w:left="25" w:leftChars="12" w:firstLine="472" w:firstLineChars="197"/>
        <w:contextualSpacing/>
        <w:rPr>
          <w:rFonts w:hAnsi="宋体"/>
          <w:color w:val="auto"/>
          <w:sz w:val="24"/>
          <w:szCs w:val="24"/>
          <w:highlight w:val="none"/>
        </w:rPr>
      </w:pPr>
      <w:r>
        <w:rPr>
          <w:rFonts w:hint="eastAsia" w:hAnsi="宋体"/>
          <w:bCs/>
          <w:color w:val="auto"/>
          <w:sz w:val="24"/>
          <w:szCs w:val="24"/>
          <w:highlight w:val="none"/>
        </w:rPr>
        <w:t>质疑</w:t>
      </w:r>
      <w:r>
        <w:rPr>
          <w:rFonts w:hint="eastAsia" w:hAnsi="宋体"/>
          <w:color w:val="auto"/>
          <w:sz w:val="24"/>
          <w:szCs w:val="24"/>
          <w:highlight w:val="none"/>
        </w:rPr>
        <w:t>项目的名称：</w:t>
      </w:r>
    </w:p>
    <w:p w14:paraId="4A0440E2">
      <w:pPr>
        <w:pStyle w:val="25"/>
        <w:spacing w:line="360" w:lineRule="auto"/>
        <w:ind w:left="25" w:leftChars="12" w:firstLine="472" w:firstLineChars="197"/>
        <w:contextualSpacing/>
        <w:rPr>
          <w:rFonts w:hAnsi="宋体"/>
          <w:color w:val="auto"/>
          <w:sz w:val="24"/>
          <w:szCs w:val="24"/>
          <w:highlight w:val="none"/>
        </w:rPr>
      </w:pPr>
      <w:r>
        <w:rPr>
          <w:rFonts w:hint="eastAsia" w:hAnsi="宋体"/>
          <w:bCs/>
          <w:color w:val="auto"/>
          <w:sz w:val="24"/>
          <w:szCs w:val="24"/>
          <w:highlight w:val="none"/>
        </w:rPr>
        <w:t>质疑</w:t>
      </w:r>
      <w:r>
        <w:rPr>
          <w:rFonts w:hint="eastAsia" w:hAnsi="宋体"/>
          <w:color w:val="auto"/>
          <w:sz w:val="24"/>
          <w:szCs w:val="24"/>
          <w:highlight w:val="none"/>
        </w:rPr>
        <w:t>项目的编号：</w:t>
      </w:r>
    </w:p>
    <w:p w14:paraId="750D06BB">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采购人名称：</w:t>
      </w:r>
    </w:p>
    <w:p w14:paraId="42C8151A">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质疑事项：</w:t>
      </w:r>
    </w:p>
    <w:p w14:paraId="25D645C4">
      <w:pPr>
        <w:pStyle w:val="25"/>
        <w:spacing w:line="360" w:lineRule="auto"/>
        <w:ind w:left="25" w:leftChars="12" w:firstLine="352" w:firstLineChars="147"/>
        <w:contextualSpacing/>
        <w:rPr>
          <w:rFonts w:hAnsi="宋体"/>
          <w:color w:val="auto"/>
          <w:sz w:val="24"/>
          <w:szCs w:val="24"/>
          <w:highlight w:val="none"/>
        </w:rPr>
      </w:pPr>
      <w:r>
        <w:rPr>
          <w:rFonts w:hint="eastAsia" w:hAnsi="宋体"/>
          <w:color w:val="auto"/>
          <w:sz w:val="24"/>
          <w:szCs w:val="24"/>
          <w:highlight w:val="none"/>
        </w:rPr>
        <w:t>□采购文件   采购文件获取日期：</w:t>
      </w:r>
    </w:p>
    <w:p w14:paraId="7702E020">
      <w:pPr>
        <w:pStyle w:val="25"/>
        <w:spacing w:line="360" w:lineRule="auto"/>
        <w:ind w:left="25" w:leftChars="12" w:firstLine="352" w:firstLineChars="147"/>
        <w:contextualSpacing/>
        <w:rPr>
          <w:rFonts w:hAnsi="宋体"/>
          <w:color w:val="auto"/>
          <w:sz w:val="24"/>
          <w:szCs w:val="24"/>
          <w:highlight w:val="none"/>
        </w:rPr>
      </w:pPr>
      <w:r>
        <w:rPr>
          <w:rFonts w:hint="eastAsia" w:hAnsi="宋体"/>
          <w:color w:val="auto"/>
          <w:sz w:val="24"/>
          <w:szCs w:val="24"/>
          <w:highlight w:val="none"/>
        </w:rPr>
        <w:t xml:space="preserve">□采购过程   </w:t>
      </w:r>
    </w:p>
    <w:p w14:paraId="64B397A1">
      <w:pPr>
        <w:pStyle w:val="25"/>
        <w:spacing w:line="360" w:lineRule="auto"/>
        <w:ind w:left="25" w:leftChars="12" w:firstLine="352" w:firstLineChars="147"/>
        <w:contextualSpacing/>
        <w:rPr>
          <w:rFonts w:hAnsi="宋体"/>
          <w:bCs/>
          <w:color w:val="auto"/>
          <w:sz w:val="24"/>
          <w:szCs w:val="24"/>
          <w:highlight w:val="none"/>
          <w:u w:val="single"/>
        </w:rPr>
      </w:pPr>
      <w:r>
        <w:rPr>
          <w:rFonts w:hint="eastAsia" w:hAnsi="宋体"/>
          <w:color w:val="auto"/>
          <w:sz w:val="24"/>
          <w:szCs w:val="24"/>
          <w:highlight w:val="none"/>
        </w:rPr>
        <w:t xml:space="preserve">□成交结果   </w:t>
      </w:r>
    </w:p>
    <w:p w14:paraId="69813AF5">
      <w:pPr>
        <w:pStyle w:val="25"/>
        <w:spacing w:line="360" w:lineRule="auto"/>
        <w:ind w:left="25" w:leftChars="12" w:firstLine="472" w:firstLineChars="196"/>
        <w:contextualSpacing/>
        <w:rPr>
          <w:rFonts w:hAnsi="宋体"/>
          <w:b/>
          <w:color w:val="auto"/>
          <w:sz w:val="24"/>
          <w:szCs w:val="24"/>
          <w:highlight w:val="none"/>
        </w:rPr>
      </w:pPr>
      <w:r>
        <w:rPr>
          <w:rFonts w:hint="eastAsia" w:hAnsi="宋体"/>
          <w:b/>
          <w:color w:val="auto"/>
          <w:sz w:val="24"/>
          <w:szCs w:val="24"/>
          <w:highlight w:val="none"/>
        </w:rPr>
        <w:t>三、质疑事项具体内容</w:t>
      </w:r>
    </w:p>
    <w:p w14:paraId="3795EA93">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质疑事项1：</w:t>
      </w:r>
    </w:p>
    <w:p w14:paraId="1AF15C4B">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事实依据：</w:t>
      </w:r>
    </w:p>
    <w:p w14:paraId="56EFF0BD">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法律依据：</w:t>
      </w:r>
    </w:p>
    <w:p w14:paraId="72669EFF">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质疑事项2</w:t>
      </w:r>
    </w:p>
    <w:p w14:paraId="2F3A70DD">
      <w:pPr>
        <w:pStyle w:val="25"/>
        <w:spacing w:line="360" w:lineRule="auto"/>
        <w:ind w:left="25" w:leftChars="12" w:firstLine="472" w:firstLineChars="197"/>
        <w:contextualSpacing/>
        <w:rPr>
          <w:rFonts w:hAnsi="宋体"/>
          <w:color w:val="auto"/>
          <w:sz w:val="24"/>
          <w:szCs w:val="24"/>
          <w:highlight w:val="none"/>
        </w:rPr>
      </w:pPr>
      <w:r>
        <w:rPr>
          <w:rFonts w:hAnsi="宋体"/>
          <w:color w:val="auto"/>
          <w:sz w:val="24"/>
          <w:szCs w:val="24"/>
          <w:highlight w:val="none"/>
        </w:rPr>
        <w:t>……</w:t>
      </w:r>
    </w:p>
    <w:p w14:paraId="0692461D">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四、与质疑事项相关的质疑请求：</w:t>
      </w:r>
    </w:p>
    <w:p w14:paraId="10ED7727">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请求：</w:t>
      </w:r>
    </w:p>
    <w:p w14:paraId="25737715">
      <w:pPr>
        <w:pStyle w:val="25"/>
        <w:spacing w:line="360" w:lineRule="auto"/>
        <w:ind w:left="25" w:leftChars="12" w:firstLine="352" w:firstLineChars="147"/>
        <w:contextualSpacing/>
        <w:rPr>
          <w:rFonts w:hAnsi="宋体"/>
          <w:color w:val="auto"/>
          <w:sz w:val="24"/>
          <w:szCs w:val="24"/>
          <w:highlight w:val="none"/>
        </w:rPr>
      </w:pPr>
    </w:p>
    <w:p w14:paraId="7DF2C388">
      <w:pPr>
        <w:pStyle w:val="25"/>
        <w:spacing w:line="360" w:lineRule="auto"/>
        <w:ind w:left="25" w:leftChars="12" w:firstLine="472" w:firstLineChars="197"/>
        <w:contextualSpacing/>
        <w:rPr>
          <w:rFonts w:hAnsi="宋体"/>
          <w:color w:val="auto"/>
          <w:sz w:val="24"/>
          <w:szCs w:val="24"/>
          <w:highlight w:val="none"/>
        </w:rPr>
      </w:pPr>
      <w:r>
        <w:rPr>
          <w:rFonts w:hint="eastAsia" w:hAnsi="宋体"/>
          <w:color w:val="auto"/>
          <w:sz w:val="24"/>
          <w:szCs w:val="24"/>
          <w:highlight w:val="none"/>
        </w:rPr>
        <w:t>签字（签章）：                                       公章：</w:t>
      </w:r>
    </w:p>
    <w:p w14:paraId="297375B7">
      <w:pPr>
        <w:pStyle w:val="25"/>
        <w:spacing w:line="360" w:lineRule="auto"/>
        <w:ind w:firstLine="480" w:firstLineChars="200"/>
        <w:contextualSpacing/>
        <w:rPr>
          <w:rFonts w:hAnsi="宋体"/>
          <w:b/>
          <w:color w:val="auto"/>
          <w:sz w:val="24"/>
          <w:szCs w:val="24"/>
          <w:highlight w:val="none"/>
        </w:rPr>
      </w:pPr>
      <w:r>
        <w:rPr>
          <w:rFonts w:hint="eastAsia" w:hAnsi="宋体"/>
          <w:color w:val="auto"/>
          <w:sz w:val="24"/>
          <w:szCs w:val="24"/>
          <w:highlight w:val="none"/>
        </w:rPr>
        <w:t>日期：</w:t>
      </w:r>
    </w:p>
    <w:p w14:paraId="7C60EF2A">
      <w:pPr>
        <w:pStyle w:val="25"/>
        <w:spacing w:line="360" w:lineRule="auto"/>
        <w:contextualSpacing/>
        <w:rPr>
          <w:rFonts w:hAnsi="宋体"/>
          <w:b/>
          <w:color w:val="auto"/>
          <w:sz w:val="24"/>
          <w:szCs w:val="24"/>
          <w:highlight w:val="none"/>
        </w:rPr>
      </w:pPr>
      <w:r>
        <w:rPr>
          <w:rFonts w:hint="eastAsia" w:hAnsi="宋体"/>
          <w:b/>
          <w:color w:val="auto"/>
          <w:sz w:val="24"/>
          <w:szCs w:val="24"/>
          <w:highlight w:val="none"/>
        </w:rPr>
        <w:t>说明：</w:t>
      </w:r>
    </w:p>
    <w:p w14:paraId="5C0F7E44">
      <w:pPr>
        <w:pStyle w:val="25"/>
        <w:spacing w:line="360" w:lineRule="auto"/>
        <w:ind w:left="25" w:leftChars="12" w:firstLine="354" w:firstLineChars="147"/>
        <w:contextualSpacing/>
        <w:rPr>
          <w:rFonts w:hAnsi="宋体"/>
          <w:b/>
          <w:bCs/>
          <w:color w:val="auto"/>
          <w:sz w:val="24"/>
          <w:szCs w:val="24"/>
          <w:highlight w:val="none"/>
        </w:rPr>
      </w:pPr>
      <w:r>
        <w:rPr>
          <w:rFonts w:hint="eastAsia" w:hAnsi="宋体"/>
          <w:b/>
          <w:color w:val="auto"/>
          <w:sz w:val="24"/>
          <w:szCs w:val="24"/>
          <w:highlight w:val="none"/>
        </w:rPr>
        <w:t>1.供应商提出质疑时，应提交质疑函和必要的证明材料</w:t>
      </w:r>
      <w:r>
        <w:rPr>
          <w:rFonts w:hint="eastAsia" w:hAnsi="宋体"/>
          <w:b/>
          <w:bCs/>
          <w:color w:val="auto"/>
          <w:sz w:val="24"/>
          <w:szCs w:val="24"/>
          <w:highlight w:val="none"/>
        </w:rPr>
        <w:t>。</w:t>
      </w:r>
    </w:p>
    <w:p w14:paraId="26E50BA5">
      <w:pPr>
        <w:pStyle w:val="25"/>
        <w:spacing w:line="360" w:lineRule="auto"/>
        <w:ind w:left="25" w:leftChars="12" w:firstLine="354" w:firstLineChars="147"/>
        <w:contextualSpacing/>
        <w:rPr>
          <w:rFonts w:hAnsi="宋体"/>
          <w:b/>
          <w:color w:val="auto"/>
          <w:sz w:val="24"/>
          <w:szCs w:val="24"/>
          <w:highlight w:val="none"/>
        </w:rPr>
      </w:pPr>
      <w:r>
        <w:rPr>
          <w:rFonts w:hint="eastAsia" w:hAnsi="宋体"/>
          <w:b/>
          <w:color w:val="auto"/>
          <w:sz w:val="24"/>
          <w:szCs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FE9DE4F">
      <w:pPr>
        <w:pStyle w:val="25"/>
        <w:spacing w:line="360" w:lineRule="auto"/>
        <w:ind w:left="25" w:leftChars="12" w:firstLine="354" w:firstLineChars="147"/>
        <w:contextualSpacing/>
        <w:rPr>
          <w:rFonts w:hAnsi="宋体"/>
          <w:b/>
          <w:color w:val="auto"/>
          <w:sz w:val="24"/>
          <w:szCs w:val="24"/>
          <w:highlight w:val="none"/>
        </w:rPr>
      </w:pPr>
      <w:r>
        <w:rPr>
          <w:rFonts w:hint="eastAsia" w:hAnsi="宋体"/>
          <w:b/>
          <w:color w:val="auto"/>
          <w:sz w:val="24"/>
          <w:szCs w:val="24"/>
          <w:highlight w:val="none"/>
        </w:rPr>
        <w:t>3.质疑函的质疑事项应具体、明确，并有必要的事实依据和法律依据。</w:t>
      </w:r>
    </w:p>
    <w:p w14:paraId="672B1240">
      <w:pPr>
        <w:pStyle w:val="25"/>
        <w:spacing w:line="360" w:lineRule="auto"/>
        <w:ind w:left="25" w:leftChars="12" w:firstLine="354" w:firstLineChars="147"/>
        <w:contextualSpacing/>
        <w:rPr>
          <w:rFonts w:hAnsi="宋体"/>
          <w:b/>
          <w:color w:val="auto"/>
          <w:sz w:val="24"/>
          <w:szCs w:val="24"/>
          <w:highlight w:val="none"/>
        </w:rPr>
      </w:pPr>
      <w:r>
        <w:rPr>
          <w:rFonts w:hint="eastAsia" w:hAnsi="宋体"/>
          <w:b/>
          <w:color w:val="auto"/>
          <w:sz w:val="24"/>
          <w:szCs w:val="24"/>
          <w:highlight w:val="none"/>
        </w:rPr>
        <w:t>4.质疑函的质疑请求应与质疑事项相关。</w:t>
      </w:r>
    </w:p>
    <w:p w14:paraId="3CEC3405">
      <w:pPr>
        <w:pStyle w:val="25"/>
        <w:spacing w:line="360" w:lineRule="auto"/>
        <w:ind w:left="25" w:leftChars="12" w:firstLine="354" w:firstLineChars="147"/>
        <w:contextualSpacing/>
        <w:rPr>
          <w:rFonts w:hAnsi="宋体"/>
          <w:b/>
          <w:color w:val="auto"/>
          <w:highlight w:val="none"/>
        </w:rPr>
      </w:pPr>
      <w:r>
        <w:rPr>
          <w:rFonts w:hint="eastAsia" w:hAnsi="宋体"/>
          <w:b/>
          <w:color w:val="auto"/>
          <w:sz w:val="24"/>
          <w:szCs w:val="24"/>
          <w:highlight w:val="none"/>
        </w:rPr>
        <w:t>5.质疑供应商为法人或者其他组织的，质疑函应由法定代表人、主要负责人，或者其授权代表签字或者盖章，并加盖公章。</w:t>
      </w:r>
    </w:p>
    <w:p w14:paraId="5BDFD1EE">
      <w:pPr>
        <w:pStyle w:val="25"/>
        <w:snapToGrid w:val="0"/>
        <w:rPr>
          <w:b/>
          <w:color w:val="auto"/>
          <w:sz w:val="24"/>
          <w:szCs w:val="24"/>
          <w:highlight w:val="none"/>
        </w:rPr>
      </w:pPr>
    </w:p>
    <w:p w14:paraId="2AA94343">
      <w:pPr>
        <w:rPr>
          <w:color w:val="auto"/>
          <w:sz w:val="32"/>
          <w:szCs w:val="40"/>
          <w:highlight w:val="none"/>
        </w:rPr>
      </w:pPr>
    </w:p>
    <w:p w14:paraId="4DE54FB4">
      <w:pPr>
        <w:rPr>
          <w:color w:val="auto"/>
          <w:sz w:val="32"/>
          <w:szCs w:val="40"/>
          <w:highlight w:val="none"/>
        </w:rPr>
      </w:pPr>
    </w:p>
    <w:p w14:paraId="02139C0D">
      <w:pPr>
        <w:rPr>
          <w:color w:val="auto"/>
          <w:sz w:val="32"/>
          <w:szCs w:val="40"/>
          <w:highlight w:val="none"/>
        </w:rPr>
      </w:pPr>
    </w:p>
    <w:p w14:paraId="5153FA0C">
      <w:pPr>
        <w:rPr>
          <w:color w:val="auto"/>
          <w:sz w:val="32"/>
          <w:szCs w:val="40"/>
          <w:highlight w:val="none"/>
        </w:rPr>
      </w:pPr>
    </w:p>
    <w:p w14:paraId="2BCBD984">
      <w:pPr>
        <w:rPr>
          <w:color w:val="auto"/>
          <w:sz w:val="32"/>
          <w:szCs w:val="40"/>
          <w:highlight w:val="none"/>
        </w:rPr>
      </w:pPr>
    </w:p>
    <w:p w14:paraId="01E89607">
      <w:pPr>
        <w:rPr>
          <w:color w:val="auto"/>
          <w:sz w:val="32"/>
          <w:szCs w:val="40"/>
          <w:highlight w:val="none"/>
        </w:rPr>
      </w:pPr>
    </w:p>
    <w:p w14:paraId="20DC1148">
      <w:pPr>
        <w:rPr>
          <w:color w:val="auto"/>
          <w:sz w:val="32"/>
          <w:szCs w:val="40"/>
          <w:highlight w:val="none"/>
        </w:rPr>
      </w:pPr>
    </w:p>
    <w:p w14:paraId="35F3FFDE">
      <w:pPr>
        <w:rPr>
          <w:color w:val="auto"/>
          <w:sz w:val="32"/>
          <w:szCs w:val="40"/>
          <w:highlight w:val="none"/>
        </w:rPr>
      </w:pPr>
    </w:p>
    <w:p w14:paraId="25105814">
      <w:pPr>
        <w:rPr>
          <w:color w:val="auto"/>
          <w:sz w:val="32"/>
          <w:szCs w:val="40"/>
          <w:highlight w:val="none"/>
        </w:rPr>
      </w:pPr>
    </w:p>
    <w:p w14:paraId="6CBC78D1">
      <w:pPr>
        <w:rPr>
          <w:color w:val="auto"/>
          <w:sz w:val="32"/>
          <w:szCs w:val="40"/>
          <w:highlight w:val="none"/>
        </w:rPr>
      </w:pPr>
    </w:p>
    <w:p w14:paraId="36E487E4">
      <w:pPr>
        <w:rPr>
          <w:color w:val="auto"/>
          <w:sz w:val="32"/>
          <w:szCs w:val="40"/>
          <w:highlight w:val="none"/>
        </w:rPr>
      </w:pPr>
    </w:p>
    <w:p w14:paraId="5C0701FE">
      <w:pPr>
        <w:rPr>
          <w:color w:val="auto"/>
          <w:sz w:val="32"/>
          <w:szCs w:val="40"/>
          <w:highlight w:val="none"/>
        </w:rPr>
      </w:pPr>
    </w:p>
    <w:p w14:paraId="24A1978F">
      <w:pPr>
        <w:rPr>
          <w:color w:val="auto"/>
          <w:sz w:val="32"/>
          <w:szCs w:val="40"/>
          <w:highlight w:val="none"/>
        </w:rPr>
      </w:pPr>
    </w:p>
    <w:p w14:paraId="74AE9BBD">
      <w:pPr>
        <w:rPr>
          <w:color w:val="auto"/>
          <w:sz w:val="32"/>
          <w:szCs w:val="40"/>
          <w:highlight w:val="none"/>
        </w:rPr>
      </w:pPr>
    </w:p>
    <w:p w14:paraId="326A4C40">
      <w:pPr>
        <w:spacing w:line="360" w:lineRule="auto"/>
        <w:jc w:val="center"/>
        <w:rPr>
          <w:rFonts w:ascii="宋体" w:hAnsi="宋体"/>
          <w:b/>
          <w:color w:val="auto"/>
          <w:sz w:val="32"/>
          <w:szCs w:val="32"/>
          <w:highlight w:val="none"/>
        </w:rPr>
      </w:pPr>
      <w:r>
        <w:rPr>
          <w:rFonts w:ascii="方正小标宋简体" w:hAnsi="方正小标宋简体" w:eastAsia="方正小标宋简体" w:cs="方正小标宋简体"/>
          <w:color w:val="auto"/>
          <w:sz w:val="44"/>
          <w:szCs w:val="44"/>
          <w:highlight w:val="none"/>
        </w:rPr>
        <w:br w:type="page"/>
      </w:r>
      <w:r>
        <w:rPr>
          <w:rFonts w:hint="eastAsia" w:ascii="宋体" w:hAnsi="宋体"/>
          <w:b/>
          <w:color w:val="auto"/>
          <w:sz w:val="32"/>
          <w:szCs w:val="32"/>
          <w:highlight w:val="none"/>
        </w:rPr>
        <w:t>投诉书（格式）</w:t>
      </w:r>
    </w:p>
    <w:p w14:paraId="1A1688CE">
      <w:pPr>
        <w:pStyle w:val="25"/>
        <w:snapToGrid w:val="0"/>
        <w:spacing w:line="360" w:lineRule="auto"/>
        <w:ind w:firstLine="482" w:firstLineChars="200"/>
        <w:rPr>
          <w:rFonts w:hAnsi="宋体"/>
          <w:b/>
          <w:bCs/>
          <w:color w:val="auto"/>
          <w:sz w:val="24"/>
          <w:szCs w:val="24"/>
          <w:highlight w:val="none"/>
        </w:rPr>
      </w:pPr>
      <w:r>
        <w:rPr>
          <w:rFonts w:hint="eastAsia" w:hAnsi="宋体"/>
          <w:b/>
          <w:bCs/>
          <w:color w:val="auto"/>
          <w:sz w:val="24"/>
          <w:szCs w:val="24"/>
          <w:highlight w:val="none"/>
        </w:rPr>
        <w:t>一、投诉相关主体基本情况：</w:t>
      </w:r>
    </w:p>
    <w:p w14:paraId="380E6948">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供应商：</w:t>
      </w:r>
    </w:p>
    <w:p w14:paraId="13D102DF">
      <w:pPr>
        <w:pStyle w:val="25"/>
        <w:snapToGrid w:val="0"/>
        <w:spacing w:line="360" w:lineRule="auto"/>
        <w:ind w:firstLine="480" w:firstLineChars="200"/>
        <w:rPr>
          <w:rFonts w:hAnsi="宋体"/>
          <w:bCs/>
          <w:color w:val="auto"/>
          <w:sz w:val="24"/>
          <w:szCs w:val="24"/>
          <w:highlight w:val="none"/>
        </w:rPr>
      </w:pPr>
      <w:r>
        <w:rPr>
          <w:rFonts w:hAnsi="宋体"/>
          <w:bCs/>
          <w:color w:val="auto"/>
          <w:sz w:val="24"/>
          <w:szCs w:val="24"/>
          <w:highlight w:val="none"/>
        </w:rPr>
        <w:t>地址</w:t>
      </w:r>
      <w:r>
        <w:rPr>
          <w:rFonts w:hint="eastAsia" w:hAnsi="宋体"/>
          <w:bCs/>
          <w:color w:val="auto"/>
          <w:sz w:val="24"/>
          <w:szCs w:val="24"/>
          <w:highlight w:val="none"/>
        </w:rPr>
        <w:t>：</w:t>
      </w:r>
      <w:r>
        <w:rPr>
          <w:rFonts w:hAnsi="宋体"/>
          <w:bCs/>
          <w:color w:val="auto"/>
          <w:sz w:val="24"/>
          <w:szCs w:val="24"/>
          <w:highlight w:val="none"/>
        </w:rPr>
        <w:t>邮编</w:t>
      </w:r>
      <w:r>
        <w:rPr>
          <w:rFonts w:hint="eastAsia" w:hAnsi="宋体"/>
          <w:bCs/>
          <w:color w:val="auto"/>
          <w:sz w:val="24"/>
          <w:szCs w:val="24"/>
          <w:highlight w:val="none"/>
        </w:rPr>
        <w:t>：</w:t>
      </w:r>
    </w:p>
    <w:p w14:paraId="6857AEA4">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法定代表人/主要负责人：</w:t>
      </w:r>
    </w:p>
    <w:p w14:paraId="1E01DD06">
      <w:pPr>
        <w:pStyle w:val="25"/>
        <w:snapToGrid w:val="0"/>
        <w:spacing w:line="360" w:lineRule="auto"/>
        <w:ind w:firstLine="480" w:firstLineChars="200"/>
        <w:rPr>
          <w:rFonts w:hAnsi="宋体"/>
          <w:bCs/>
          <w:color w:val="auto"/>
          <w:sz w:val="24"/>
          <w:szCs w:val="24"/>
          <w:highlight w:val="none"/>
        </w:rPr>
      </w:pPr>
      <w:r>
        <w:rPr>
          <w:rFonts w:hAnsi="宋体"/>
          <w:bCs/>
          <w:color w:val="auto"/>
          <w:sz w:val="24"/>
          <w:szCs w:val="24"/>
          <w:highlight w:val="none"/>
        </w:rPr>
        <w:t>联系电话</w:t>
      </w:r>
      <w:r>
        <w:rPr>
          <w:rFonts w:hint="eastAsia" w:hAnsi="宋体"/>
          <w:bCs/>
          <w:color w:val="auto"/>
          <w:sz w:val="24"/>
          <w:szCs w:val="24"/>
          <w:highlight w:val="none"/>
        </w:rPr>
        <w:t>：</w:t>
      </w:r>
    </w:p>
    <w:p w14:paraId="09D97EC7">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授权代表：</w:t>
      </w:r>
      <w:r>
        <w:rPr>
          <w:rFonts w:hAnsi="宋体"/>
          <w:bCs/>
          <w:color w:val="auto"/>
          <w:sz w:val="24"/>
          <w:szCs w:val="24"/>
          <w:highlight w:val="none"/>
        </w:rPr>
        <w:t>联系</w:t>
      </w:r>
      <w:r>
        <w:rPr>
          <w:rFonts w:hint="eastAsia" w:hAnsi="宋体"/>
          <w:bCs/>
          <w:color w:val="auto"/>
          <w:sz w:val="24"/>
          <w:szCs w:val="24"/>
          <w:highlight w:val="none"/>
        </w:rPr>
        <w:t>电话：</w:t>
      </w:r>
    </w:p>
    <w:p w14:paraId="0B36DA7E">
      <w:pPr>
        <w:pStyle w:val="25"/>
        <w:snapToGrid w:val="0"/>
        <w:spacing w:line="360" w:lineRule="auto"/>
        <w:ind w:firstLine="480" w:firstLineChars="200"/>
        <w:rPr>
          <w:rFonts w:hAnsi="宋体"/>
          <w:bCs/>
          <w:color w:val="auto"/>
          <w:sz w:val="24"/>
          <w:szCs w:val="24"/>
          <w:highlight w:val="none"/>
          <w:u w:val="single"/>
        </w:rPr>
      </w:pPr>
      <w:r>
        <w:rPr>
          <w:rFonts w:hAnsi="宋体"/>
          <w:bCs/>
          <w:color w:val="auto"/>
          <w:sz w:val="24"/>
          <w:szCs w:val="24"/>
          <w:highlight w:val="none"/>
        </w:rPr>
        <w:t>地址</w:t>
      </w:r>
      <w:r>
        <w:rPr>
          <w:rFonts w:hint="eastAsia" w:hAnsi="宋体"/>
          <w:bCs/>
          <w:color w:val="auto"/>
          <w:sz w:val="24"/>
          <w:szCs w:val="24"/>
          <w:highlight w:val="none"/>
        </w:rPr>
        <w:t>：</w:t>
      </w:r>
    </w:p>
    <w:p w14:paraId="0DCA7914">
      <w:pPr>
        <w:pStyle w:val="25"/>
        <w:snapToGrid w:val="0"/>
        <w:spacing w:line="360" w:lineRule="auto"/>
        <w:ind w:firstLine="480" w:firstLineChars="200"/>
        <w:rPr>
          <w:rFonts w:hAnsi="宋体"/>
          <w:bCs/>
          <w:color w:val="auto"/>
          <w:sz w:val="24"/>
          <w:szCs w:val="24"/>
          <w:highlight w:val="none"/>
        </w:rPr>
      </w:pPr>
      <w:r>
        <w:rPr>
          <w:rFonts w:hAnsi="宋体"/>
          <w:bCs/>
          <w:color w:val="auto"/>
          <w:sz w:val="24"/>
          <w:szCs w:val="24"/>
          <w:highlight w:val="none"/>
        </w:rPr>
        <w:t>邮编</w:t>
      </w:r>
      <w:r>
        <w:rPr>
          <w:rFonts w:hint="eastAsia" w:hAnsi="宋体"/>
          <w:bCs/>
          <w:color w:val="auto"/>
          <w:sz w:val="24"/>
          <w:szCs w:val="24"/>
          <w:highlight w:val="none"/>
        </w:rPr>
        <w:t>：</w:t>
      </w:r>
    </w:p>
    <w:p w14:paraId="5B05E1C7">
      <w:pPr>
        <w:pStyle w:val="25"/>
        <w:snapToGrid w:val="0"/>
        <w:spacing w:line="360" w:lineRule="auto"/>
        <w:ind w:firstLine="480" w:firstLineChars="200"/>
        <w:rPr>
          <w:rFonts w:hAnsi="宋体"/>
          <w:bCs/>
          <w:color w:val="auto"/>
          <w:sz w:val="24"/>
          <w:szCs w:val="24"/>
          <w:highlight w:val="none"/>
        </w:rPr>
      </w:pPr>
      <w:r>
        <w:rPr>
          <w:rFonts w:hint="eastAsia" w:hAnsi="宋体"/>
          <w:bCs/>
          <w:color w:val="auto"/>
          <w:sz w:val="24"/>
          <w:szCs w:val="24"/>
          <w:highlight w:val="none"/>
        </w:rPr>
        <w:t>被投诉人1：</w:t>
      </w:r>
    </w:p>
    <w:p w14:paraId="2DAE4C68">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地址：</w:t>
      </w:r>
    </w:p>
    <w:p w14:paraId="19507DF4">
      <w:pPr>
        <w:pStyle w:val="25"/>
        <w:snapToGrid w:val="0"/>
        <w:spacing w:line="360" w:lineRule="auto"/>
        <w:ind w:firstLine="480" w:firstLineChars="200"/>
        <w:rPr>
          <w:rFonts w:hAnsi="宋体"/>
          <w:bCs/>
          <w:color w:val="auto"/>
          <w:sz w:val="24"/>
          <w:szCs w:val="24"/>
          <w:highlight w:val="none"/>
        </w:rPr>
      </w:pPr>
      <w:r>
        <w:rPr>
          <w:rFonts w:hAnsi="宋体"/>
          <w:bCs/>
          <w:color w:val="auto"/>
          <w:sz w:val="24"/>
          <w:szCs w:val="24"/>
          <w:highlight w:val="none"/>
        </w:rPr>
        <w:t>邮编</w:t>
      </w:r>
      <w:r>
        <w:rPr>
          <w:rFonts w:hint="eastAsia" w:hAnsi="宋体"/>
          <w:bCs/>
          <w:color w:val="auto"/>
          <w:sz w:val="24"/>
          <w:szCs w:val="24"/>
          <w:highlight w:val="none"/>
        </w:rPr>
        <w:t>：</w:t>
      </w:r>
    </w:p>
    <w:p w14:paraId="6C3B26A6">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联系人：</w:t>
      </w:r>
      <w:r>
        <w:rPr>
          <w:rFonts w:hAnsi="宋体"/>
          <w:bCs/>
          <w:color w:val="auto"/>
          <w:sz w:val="24"/>
          <w:szCs w:val="24"/>
          <w:highlight w:val="none"/>
        </w:rPr>
        <w:t>联系</w:t>
      </w:r>
      <w:r>
        <w:rPr>
          <w:rFonts w:hint="eastAsia" w:hAnsi="宋体"/>
          <w:bCs/>
          <w:color w:val="auto"/>
          <w:sz w:val="24"/>
          <w:szCs w:val="24"/>
          <w:highlight w:val="none"/>
        </w:rPr>
        <w:t>电话：</w:t>
      </w:r>
    </w:p>
    <w:p w14:paraId="6BB2E4CA">
      <w:pPr>
        <w:pStyle w:val="25"/>
        <w:snapToGrid w:val="0"/>
        <w:spacing w:line="360" w:lineRule="auto"/>
        <w:ind w:firstLine="480" w:firstLineChars="200"/>
        <w:rPr>
          <w:rFonts w:hAnsi="宋体"/>
          <w:bCs/>
          <w:color w:val="auto"/>
          <w:sz w:val="24"/>
          <w:szCs w:val="24"/>
          <w:highlight w:val="none"/>
        </w:rPr>
      </w:pPr>
      <w:r>
        <w:rPr>
          <w:rFonts w:hint="eastAsia" w:hAnsi="宋体"/>
          <w:bCs/>
          <w:color w:val="auto"/>
          <w:sz w:val="24"/>
          <w:szCs w:val="24"/>
          <w:highlight w:val="none"/>
        </w:rPr>
        <w:t>被投诉人2：</w:t>
      </w:r>
    </w:p>
    <w:p w14:paraId="5BE3CE40">
      <w:pPr>
        <w:pStyle w:val="25"/>
        <w:snapToGrid w:val="0"/>
        <w:spacing w:line="360" w:lineRule="auto"/>
        <w:ind w:firstLine="480" w:firstLineChars="200"/>
        <w:rPr>
          <w:rFonts w:hAnsi="宋体"/>
          <w:bCs/>
          <w:color w:val="auto"/>
          <w:sz w:val="24"/>
          <w:szCs w:val="24"/>
          <w:highlight w:val="none"/>
        </w:rPr>
      </w:pPr>
      <w:r>
        <w:rPr>
          <w:rFonts w:hAnsi="宋体"/>
          <w:bCs/>
          <w:color w:val="auto"/>
          <w:sz w:val="24"/>
          <w:szCs w:val="24"/>
          <w:highlight w:val="none"/>
        </w:rPr>
        <w:t>……</w:t>
      </w:r>
    </w:p>
    <w:p w14:paraId="76453413">
      <w:pPr>
        <w:pStyle w:val="25"/>
        <w:snapToGrid w:val="0"/>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相关供应商：</w:t>
      </w:r>
    </w:p>
    <w:p w14:paraId="0E07C683">
      <w:pPr>
        <w:pStyle w:val="25"/>
        <w:snapToGrid w:val="0"/>
        <w:spacing w:line="360" w:lineRule="auto"/>
        <w:ind w:firstLine="480" w:firstLineChars="200"/>
        <w:rPr>
          <w:rFonts w:hAnsi="宋体"/>
          <w:bCs/>
          <w:color w:val="auto"/>
          <w:sz w:val="24"/>
          <w:szCs w:val="24"/>
          <w:highlight w:val="none"/>
          <w:u w:val="single"/>
        </w:rPr>
      </w:pPr>
      <w:r>
        <w:rPr>
          <w:rFonts w:hAnsi="宋体"/>
          <w:bCs/>
          <w:color w:val="auto"/>
          <w:sz w:val="24"/>
          <w:szCs w:val="24"/>
          <w:highlight w:val="none"/>
        </w:rPr>
        <w:t>地址</w:t>
      </w:r>
      <w:r>
        <w:rPr>
          <w:rFonts w:hint="eastAsia" w:hAnsi="宋体"/>
          <w:bCs/>
          <w:color w:val="auto"/>
          <w:sz w:val="24"/>
          <w:szCs w:val="24"/>
          <w:highlight w:val="none"/>
        </w:rPr>
        <w:t>：</w:t>
      </w:r>
      <w:r>
        <w:rPr>
          <w:rFonts w:hAnsi="宋体"/>
          <w:bCs/>
          <w:color w:val="auto"/>
          <w:sz w:val="24"/>
          <w:szCs w:val="24"/>
          <w:highlight w:val="none"/>
        </w:rPr>
        <w:t>邮编</w:t>
      </w:r>
      <w:r>
        <w:rPr>
          <w:rFonts w:hint="eastAsia" w:hAnsi="宋体"/>
          <w:bCs/>
          <w:color w:val="auto"/>
          <w:sz w:val="24"/>
          <w:szCs w:val="24"/>
          <w:highlight w:val="none"/>
        </w:rPr>
        <w:t>：</w:t>
      </w:r>
    </w:p>
    <w:p w14:paraId="52BDF093">
      <w:pPr>
        <w:pStyle w:val="25"/>
        <w:snapToGrid w:val="0"/>
        <w:spacing w:line="360" w:lineRule="auto"/>
        <w:ind w:firstLine="480" w:firstLineChars="200"/>
        <w:rPr>
          <w:rFonts w:hAnsi="宋体"/>
          <w:bCs/>
          <w:color w:val="auto"/>
          <w:sz w:val="24"/>
          <w:szCs w:val="24"/>
          <w:highlight w:val="none"/>
        </w:rPr>
      </w:pPr>
      <w:r>
        <w:rPr>
          <w:rFonts w:hint="eastAsia" w:hAnsi="宋体"/>
          <w:bCs/>
          <w:color w:val="auto"/>
          <w:sz w:val="24"/>
          <w:szCs w:val="24"/>
          <w:highlight w:val="none"/>
        </w:rPr>
        <w:t>联系人：</w:t>
      </w:r>
      <w:r>
        <w:rPr>
          <w:rFonts w:hAnsi="宋体"/>
          <w:bCs/>
          <w:color w:val="auto"/>
          <w:sz w:val="24"/>
          <w:szCs w:val="24"/>
          <w:highlight w:val="none"/>
        </w:rPr>
        <w:t>联系</w:t>
      </w:r>
      <w:r>
        <w:rPr>
          <w:rFonts w:hint="eastAsia" w:hAnsi="宋体"/>
          <w:bCs/>
          <w:color w:val="auto"/>
          <w:sz w:val="24"/>
          <w:szCs w:val="24"/>
          <w:highlight w:val="none"/>
        </w:rPr>
        <w:t>电话：</w:t>
      </w:r>
    </w:p>
    <w:p w14:paraId="3777C851">
      <w:pPr>
        <w:pStyle w:val="25"/>
        <w:snapToGrid w:val="0"/>
        <w:spacing w:line="360" w:lineRule="auto"/>
        <w:ind w:firstLine="482" w:firstLineChars="200"/>
        <w:rPr>
          <w:rFonts w:hAnsi="宋体"/>
          <w:b/>
          <w:bCs/>
          <w:color w:val="auto"/>
          <w:sz w:val="24"/>
          <w:szCs w:val="24"/>
          <w:highlight w:val="none"/>
        </w:rPr>
      </w:pPr>
      <w:r>
        <w:rPr>
          <w:rFonts w:hint="eastAsia" w:hAnsi="宋体"/>
          <w:b/>
          <w:bCs/>
          <w:color w:val="auto"/>
          <w:sz w:val="24"/>
          <w:szCs w:val="24"/>
          <w:highlight w:val="none"/>
        </w:rPr>
        <w:t>二、投诉项目基本情况：</w:t>
      </w:r>
    </w:p>
    <w:p w14:paraId="546201C6">
      <w:pPr>
        <w:pStyle w:val="25"/>
        <w:spacing w:line="360" w:lineRule="auto"/>
        <w:ind w:left="25" w:leftChars="12" w:firstLine="472" w:firstLineChars="197"/>
        <w:rPr>
          <w:rFonts w:hAnsi="宋体"/>
          <w:color w:val="auto"/>
          <w:sz w:val="24"/>
          <w:szCs w:val="24"/>
          <w:highlight w:val="none"/>
        </w:rPr>
      </w:pPr>
      <w:r>
        <w:rPr>
          <w:rFonts w:hint="eastAsia" w:hAnsi="宋体"/>
          <w:bCs/>
          <w:color w:val="auto"/>
          <w:sz w:val="24"/>
          <w:szCs w:val="24"/>
          <w:highlight w:val="none"/>
        </w:rPr>
        <w:t>采购</w:t>
      </w:r>
      <w:r>
        <w:rPr>
          <w:rFonts w:hint="eastAsia" w:hAnsi="宋体"/>
          <w:color w:val="auto"/>
          <w:sz w:val="24"/>
          <w:szCs w:val="24"/>
          <w:highlight w:val="none"/>
        </w:rPr>
        <w:t>项目的名称：</w:t>
      </w:r>
    </w:p>
    <w:p w14:paraId="644D1CFB">
      <w:pPr>
        <w:pStyle w:val="25"/>
        <w:spacing w:line="360" w:lineRule="auto"/>
        <w:ind w:left="25" w:leftChars="12" w:firstLine="472" w:firstLineChars="197"/>
        <w:rPr>
          <w:rFonts w:hAnsi="宋体"/>
          <w:color w:val="auto"/>
          <w:sz w:val="24"/>
          <w:szCs w:val="24"/>
          <w:highlight w:val="none"/>
        </w:rPr>
      </w:pPr>
      <w:r>
        <w:rPr>
          <w:rFonts w:hint="eastAsia" w:hAnsi="宋体"/>
          <w:bCs/>
          <w:color w:val="auto"/>
          <w:sz w:val="24"/>
          <w:szCs w:val="24"/>
          <w:highlight w:val="none"/>
        </w:rPr>
        <w:t>采购</w:t>
      </w:r>
      <w:r>
        <w:rPr>
          <w:rFonts w:hint="eastAsia" w:hAnsi="宋体"/>
          <w:color w:val="auto"/>
          <w:sz w:val="24"/>
          <w:szCs w:val="24"/>
          <w:highlight w:val="none"/>
        </w:rPr>
        <w:t>项目的编号：</w:t>
      </w:r>
    </w:p>
    <w:p w14:paraId="4955C2B4">
      <w:pPr>
        <w:pStyle w:val="25"/>
        <w:spacing w:line="360" w:lineRule="auto"/>
        <w:ind w:left="25" w:leftChars="12" w:firstLine="472" w:firstLineChars="197"/>
        <w:rPr>
          <w:rFonts w:hAnsi="宋体"/>
          <w:bCs/>
          <w:color w:val="auto"/>
          <w:sz w:val="24"/>
          <w:szCs w:val="24"/>
          <w:highlight w:val="none"/>
          <w:u w:val="single"/>
        </w:rPr>
      </w:pPr>
      <w:r>
        <w:rPr>
          <w:rFonts w:hint="eastAsia" w:hAnsi="宋体"/>
          <w:color w:val="auto"/>
          <w:sz w:val="24"/>
          <w:szCs w:val="24"/>
          <w:highlight w:val="none"/>
        </w:rPr>
        <w:t>采购人名称：</w:t>
      </w:r>
    </w:p>
    <w:p w14:paraId="1C8495A3">
      <w:pPr>
        <w:pStyle w:val="25"/>
        <w:spacing w:line="360" w:lineRule="auto"/>
        <w:ind w:left="25" w:leftChars="12" w:firstLine="472" w:firstLineChars="197"/>
        <w:rPr>
          <w:rFonts w:hAnsi="宋体"/>
          <w:bCs/>
          <w:color w:val="auto"/>
          <w:sz w:val="24"/>
          <w:szCs w:val="24"/>
          <w:highlight w:val="none"/>
          <w:u w:val="single"/>
        </w:rPr>
      </w:pPr>
      <w:r>
        <w:rPr>
          <w:rFonts w:hint="eastAsia" w:hAnsi="宋体"/>
          <w:color w:val="auto"/>
          <w:sz w:val="24"/>
          <w:szCs w:val="24"/>
          <w:highlight w:val="none"/>
        </w:rPr>
        <w:t>代理机构名称：</w:t>
      </w:r>
    </w:p>
    <w:p w14:paraId="50466FC7">
      <w:pPr>
        <w:pStyle w:val="25"/>
        <w:spacing w:line="360" w:lineRule="auto"/>
        <w:ind w:left="25" w:leftChars="12" w:firstLine="472" w:firstLineChars="197"/>
        <w:rPr>
          <w:rFonts w:hAnsi="宋体"/>
          <w:bCs/>
          <w:color w:val="auto"/>
          <w:sz w:val="24"/>
          <w:szCs w:val="24"/>
          <w:highlight w:val="none"/>
          <w:u w:val="single"/>
        </w:rPr>
      </w:pPr>
      <w:r>
        <w:rPr>
          <w:rFonts w:hint="eastAsia" w:hAnsi="宋体"/>
          <w:bCs/>
          <w:color w:val="auto"/>
          <w:sz w:val="24"/>
          <w:szCs w:val="24"/>
          <w:highlight w:val="none"/>
        </w:rPr>
        <w:t>竞争性磋商文件公告：</w:t>
      </w:r>
      <w:r>
        <w:rPr>
          <w:rFonts w:hint="eastAsia" w:hAnsi="宋体"/>
          <w:bCs/>
          <w:color w:val="auto"/>
          <w:sz w:val="24"/>
          <w:szCs w:val="24"/>
          <w:highlight w:val="none"/>
          <w:u w:val="single"/>
        </w:rPr>
        <w:t>是/否</w:t>
      </w:r>
      <w:r>
        <w:rPr>
          <w:rFonts w:hint="eastAsia" w:hAnsi="宋体"/>
          <w:bCs/>
          <w:color w:val="auto"/>
          <w:sz w:val="24"/>
          <w:szCs w:val="24"/>
          <w:highlight w:val="none"/>
        </w:rPr>
        <w:t>公告期限：</w:t>
      </w:r>
    </w:p>
    <w:p w14:paraId="1C9E6D8D">
      <w:pPr>
        <w:pStyle w:val="25"/>
        <w:spacing w:line="360" w:lineRule="auto"/>
        <w:ind w:left="25" w:leftChars="12" w:firstLine="472" w:firstLineChars="197"/>
        <w:rPr>
          <w:rFonts w:hAnsi="宋体"/>
          <w:b/>
          <w:color w:val="auto"/>
          <w:sz w:val="24"/>
          <w:szCs w:val="24"/>
          <w:highlight w:val="none"/>
        </w:rPr>
      </w:pPr>
      <w:r>
        <w:rPr>
          <w:rFonts w:hint="eastAsia" w:hAnsi="宋体"/>
          <w:bCs/>
          <w:color w:val="auto"/>
          <w:sz w:val="24"/>
          <w:szCs w:val="24"/>
          <w:highlight w:val="none"/>
        </w:rPr>
        <w:t>采购结果公告：</w:t>
      </w:r>
      <w:r>
        <w:rPr>
          <w:rFonts w:hint="eastAsia" w:hAnsi="宋体"/>
          <w:bCs/>
          <w:color w:val="auto"/>
          <w:sz w:val="24"/>
          <w:szCs w:val="24"/>
          <w:highlight w:val="none"/>
          <w:u w:val="single"/>
        </w:rPr>
        <w:t>是/否</w:t>
      </w:r>
      <w:r>
        <w:rPr>
          <w:rFonts w:hint="eastAsia" w:hAnsi="宋体"/>
          <w:bCs/>
          <w:color w:val="auto"/>
          <w:sz w:val="24"/>
          <w:szCs w:val="24"/>
          <w:highlight w:val="none"/>
        </w:rPr>
        <w:t>公告期限：</w:t>
      </w:r>
    </w:p>
    <w:p w14:paraId="1DE96427">
      <w:pPr>
        <w:pStyle w:val="25"/>
        <w:spacing w:line="360" w:lineRule="auto"/>
        <w:ind w:left="25" w:leftChars="12" w:firstLine="472" w:firstLineChars="196"/>
        <w:rPr>
          <w:rFonts w:hAnsi="宋体"/>
          <w:b/>
          <w:color w:val="auto"/>
          <w:sz w:val="24"/>
          <w:szCs w:val="24"/>
          <w:highlight w:val="none"/>
        </w:rPr>
      </w:pPr>
      <w:r>
        <w:rPr>
          <w:rFonts w:hint="eastAsia" w:hAnsi="宋体"/>
          <w:b/>
          <w:color w:val="auto"/>
          <w:sz w:val="24"/>
          <w:szCs w:val="24"/>
          <w:highlight w:val="none"/>
        </w:rPr>
        <w:t>三、质疑基本情况</w:t>
      </w:r>
    </w:p>
    <w:p w14:paraId="76AE1BBC">
      <w:pPr>
        <w:pStyle w:val="25"/>
        <w:spacing w:line="360" w:lineRule="auto"/>
        <w:ind w:firstLine="480" w:firstLineChars="200"/>
        <w:rPr>
          <w:rFonts w:hAnsi="宋体"/>
          <w:color w:val="auto"/>
          <w:sz w:val="24"/>
          <w:szCs w:val="24"/>
          <w:highlight w:val="none"/>
        </w:rPr>
      </w:pPr>
      <w:r>
        <w:rPr>
          <w:rFonts w:hint="eastAsia" w:hAnsi="宋体"/>
          <w:color w:val="auto"/>
          <w:sz w:val="24"/>
          <w:szCs w:val="24"/>
          <w:highlight w:val="none"/>
        </w:rPr>
        <w:t>投诉人于年月日，向提出质疑，质疑事项为：</w:t>
      </w:r>
    </w:p>
    <w:p w14:paraId="7609B095">
      <w:pPr>
        <w:pStyle w:val="25"/>
        <w:spacing w:line="360" w:lineRule="auto"/>
        <w:ind w:firstLine="241"/>
        <w:rPr>
          <w:rFonts w:hAnsi="宋体"/>
          <w:bCs/>
          <w:color w:val="auto"/>
          <w:sz w:val="24"/>
          <w:szCs w:val="24"/>
          <w:highlight w:val="none"/>
          <w:u w:val="single"/>
        </w:rPr>
      </w:pPr>
    </w:p>
    <w:p w14:paraId="02C6FA63">
      <w:pPr>
        <w:pStyle w:val="25"/>
        <w:spacing w:line="360" w:lineRule="auto"/>
        <w:ind w:firstLine="241"/>
        <w:rPr>
          <w:rFonts w:hAnsi="宋体"/>
          <w:bCs/>
          <w:color w:val="auto"/>
          <w:sz w:val="24"/>
          <w:szCs w:val="24"/>
          <w:highlight w:val="none"/>
          <w:u w:val="single"/>
        </w:rPr>
      </w:pPr>
    </w:p>
    <w:p w14:paraId="1037D615">
      <w:pPr>
        <w:pStyle w:val="25"/>
        <w:spacing w:line="360" w:lineRule="auto"/>
        <w:ind w:firstLine="480" w:firstLineChars="200"/>
        <w:rPr>
          <w:rFonts w:hAnsi="宋体"/>
          <w:color w:val="auto"/>
          <w:sz w:val="24"/>
          <w:szCs w:val="24"/>
          <w:highlight w:val="none"/>
        </w:rPr>
      </w:pPr>
      <w:r>
        <w:rPr>
          <w:rFonts w:hint="eastAsia" w:hAnsi="宋体"/>
          <w:bCs/>
          <w:color w:val="auto"/>
          <w:sz w:val="24"/>
          <w:szCs w:val="24"/>
          <w:highlight w:val="none"/>
          <w:u w:val="single"/>
        </w:rPr>
        <w:t>采购人/代理机构</w:t>
      </w:r>
      <w:r>
        <w:rPr>
          <w:rFonts w:hint="eastAsia" w:hAnsi="宋体"/>
          <w:bCs/>
          <w:color w:val="auto"/>
          <w:sz w:val="24"/>
          <w:szCs w:val="24"/>
          <w:highlight w:val="none"/>
        </w:rPr>
        <w:t>于</w:t>
      </w:r>
      <w:r>
        <w:rPr>
          <w:rFonts w:hint="eastAsia" w:hAnsi="宋体"/>
          <w:color w:val="auto"/>
          <w:sz w:val="24"/>
          <w:szCs w:val="24"/>
          <w:highlight w:val="none"/>
        </w:rPr>
        <w:t>年月日，</w:t>
      </w:r>
      <w:r>
        <w:rPr>
          <w:rFonts w:hint="eastAsia" w:hAnsi="宋体"/>
          <w:bCs/>
          <w:color w:val="auto"/>
          <w:sz w:val="24"/>
          <w:szCs w:val="24"/>
          <w:highlight w:val="none"/>
        </w:rPr>
        <w:t xml:space="preserve">就质疑事项作出了答复/没有在法定期限内作出答复。                                                                                             </w:t>
      </w:r>
    </w:p>
    <w:p w14:paraId="12A6E852">
      <w:pPr>
        <w:pStyle w:val="25"/>
        <w:spacing w:line="360" w:lineRule="auto"/>
        <w:ind w:left="25" w:leftChars="12" w:firstLine="472" w:firstLineChars="196"/>
        <w:rPr>
          <w:rFonts w:hAnsi="宋体"/>
          <w:b/>
          <w:color w:val="auto"/>
          <w:sz w:val="24"/>
          <w:szCs w:val="24"/>
          <w:highlight w:val="none"/>
        </w:rPr>
      </w:pPr>
      <w:r>
        <w:rPr>
          <w:rFonts w:hint="eastAsia" w:hAnsi="宋体"/>
          <w:b/>
          <w:color w:val="auto"/>
          <w:sz w:val="24"/>
          <w:szCs w:val="24"/>
          <w:highlight w:val="none"/>
        </w:rPr>
        <w:t>四、投诉事项具体内容</w:t>
      </w:r>
    </w:p>
    <w:p w14:paraId="03802830">
      <w:pPr>
        <w:pStyle w:val="25"/>
        <w:spacing w:line="360" w:lineRule="auto"/>
        <w:ind w:left="25" w:leftChars="12" w:firstLine="472" w:firstLineChars="197"/>
        <w:rPr>
          <w:rFonts w:hAnsi="宋体"/>
          <w:bCs/>
          <w:color w:val="auto"/>
          <w:sz w:val="24"/>
          <w:szCs w:val="24"/>
          <w:highlight w:val="none"/>
          <w:u w:val="single"/>
        </w:rPr>
      </w:pPr>
      <w:r>
        <w:rPr>
          <w:rFonts w:hint="eastAsia" w:hAnsi="宋体"/>
          <w:color w:val="auto"/>
          <w:sz w:val="24"/>
          <w:szCs w:val="24"/>
          <w:highlight w:val="none"/>
        </w:rPr>
        <w:t>投诉事项1：</w:t>
      </w:r>
    </w:p>
    <w:p w14:paraId="266D16FB">
      <w:pPr>
        <w:pStyle w:val="25"/>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事实依据：</w:t>
      </w:r>
    </w:p>
    <w:p w14:paraId="2BC8AF55">
      <w:pPr>
        <w:pStyle w:val="25"/>
        <w:spacing w:line="360" w:lineRule="auto"/>
        <w:ind w:left="25" w:leftChars="12" w:firstLine="472" w:firstLineChars="197"/>
        <w:rPr>
          <w:rFonts w:hAnsi="宋体"/>
          <w:color w:val="auto"/>
          <w:sz w:val="24"/>
          <w:szCs w:val="24"/>
          <w:highlight w:val="none"/>
        </w:rPr>
      </w:pPr>
    </w:p>
    <w:p w14:paraId="394CF8CB">
      <w:pPr>
        <w:pStyle w:val="25"/>
        <w:spacing w:line="360" w:lineRule="auto"/>
        <w:ind w:firstLine="480" w:firstLineChars="200"/>
        <w:rPr>
          <w:rFonts w:hAnsi="宋体"/>
          <w:bCs/>
          <w:color w:val="auto"/>
          <w:sz w:val="24"/>
          <w:szCs w:val="24"/>
          <w:highlight w:val="none"/>
          <w:u w:val="single"/>
        </w:rPr>
      </w:pPr>
      <w:r>
        <w:rPr>
          <w:rFonts w:hint="eastAsia" w:hAnsi="宋体"/>
          <w:bCs/>
          <w:color w:val="auto"/>
          <w:sz w:val="24"/>
          <w:szCs w:val="24"/>
          <w:highlight w:val="none"/>
        </w:rPr>
        <w:t>法律依据：</w:t>
      </w:r>
    </w:p>
    <w:p w14:paraId="36BBA065">
      <w:pPr>
        <w:pStyle w:val="25"/>
        <w:spacing w:line="360" w:lineRule="auto"/>
        <w:ind w:left="25" w:leftChars="12" w:firstLine="352" w:firstLineChars="147"/>
        <w:rPr>
          <w:rFonts w:hAnsi="宋体"/>
          <w:bCs/>
          <w:color w:val="auto"/>
          <w:sz w:val="24"/>
          <w:szCs w:val="24"/>
          <w:highlight w:val="none"/>
          <w:u w:val="single"/>
        </w:rPr>
      </w:pPr>
    </w:p>
    <w:p w14:paraId="7F7E0DC4">
      <w:pPr>
        <w:pStyle w:val="25"/>
        <w:spacing w:line="360" w:lineRule="auto"/>
        <w:ind w:left="25" w:leftChars="12" w:firstLine="472" w:firstLineChars="197"/>
        <w:rPr>
          <w:rFonts w:hAnsi="宋体"/>
          <w:bCs/>
          <w:color w:val="auto"/>
          <w:sz w:val="24"/>
          <w:szCs w:val="24"/>
          <w:highlight w:val="none"/>
        </w:rPr>
      </w:pPr>
      <w:r>
        <w:rPr>
          <w:rFonts w:hint="eastAsia" w:hAnsi="宋体"/>
          <w:color w:val="auto"/>
          <w:sz w:val="24"/>
          <w:szCs w:val="24"/>
          <w:highlight w:val="none"/>
        </w:rPr>
        <w:t xml:space="preserve">投诉事项2  </w:t>
      </w:r>
    </w:p>
    <w:p w14:paraId="69E3B769">
      <w:pPr>
        <w:pStyle w:val="25"/>
        <w:spacing w:line="360" w:lineRule="auto"/>
        <w:ind w:left="25" w:leftChars="12" w:firstLine="472" w:firstLineChars="197"/>
        <w:rPr>
          <w:rFonts w:hAnsi="宋体"/>
          <w:bCs/>
          <w:color w:val="auto"/>
          <w:sz w:val="24"/>
          <w:szCs w:val="24"/>
          <w:highlight w:val="none"/>
        </w:rPr>
      </w:pPr>
      <w:r>
        <w:rPr>
          <w:rFonts w:hAnsi="宋体"/>
          <w:bCs/>
          <w:color w:val="auto"/>
          <w:sz w:val="24"/>
          <w:szCs w:val="24"/>
          <w:highlight w:val="none"/>
        </w:rPr>
        <w:t>……</w:t>
      </w:r>
    </w:p>
    <w:p w14:paraId="55B06435">
      <w:pPr>
        <w:pStyle w:val="25"/>
        <w:spacing w:line="360" w:lineRule="auto"/>
        <w:ind w:left="25" w:leftChars="12" w:firstLine="472" w:firstLineChars="196"/>
        <w:rPr>
          <w:rFonts w:hAnsi="宋体"/>
          <w:b/>
          <w:color w:val="auto"/>
          <w:sz w:val="24"/>
          <w:szCs w:val="24"/>
          <w:highlight w:val="none"/>
        </w:rPr>
      </w:pPr>
      <w:r>
        <w:rPr>
          <w:rFonts w:hint="eastAsia" w:hAnsi="宋体"/>
          <w:b/>
          <w:color w:val="auto"/>
          <w:sz w:val="24"/>
          <w:szCs w:val="24"/>
          <w:highlight w:val="none"/>
        </w:rPr>
        <w:t>五、与投诉事项相关的投诉请求：</w:t>
      </w:r>
    </w:p>
    <w:p w14:paraId="68ABF48A">
      <w:pPr>
        <w:pStyle w:val="25"/>
        <w:spacing w:line="360" w:lineRule="auto"/>
        <w:ind w:left="25" w:leftChars="12" w:firstLine="472" w:firstLineChars="197"/>
        <w:rPr>
          <w:rFonts w:hAnsi="宋体"/>
          <w:color w:val="auto"/>
          <w:sz w:val="24"/>
          <w:szCs w:val="24"/>
          <w:highlight w:val="none"/>
        </w:rPr>
      </w:pPr>
      <w:r>
        <w:rPr>
          <w:rFonts w:hint="eastAsia" w:hAnsi="宋体"/>
          <w:color w:val="auto"/>
          <w:sz w:val="24"/>
          <w:szCs w:val="24"/>
          <w:highlight w:val="none"/>
        </w:rPr>
        <w:t>请求：</w:t>
      </w:r>
    </w:p>
    <w:p w14:paraId="36C5B320">
      <w:pPr>
        <w:pStyle w:val="25"/>
        <w:spacing w:line="360" w:lineRule="auto"/>
        <w:ind w:left="25" w:leftChars="12" w:firstLine="352" w:firstLineChars="147"/>
        <w:rPr>
          <w:rFonts w:hAnsi="宋体"/>
          <w:color w:val="auto"/>
          <w:sz w:val="24"/>
          <w:szCs w:val="24"/>
          <w:highlight w:val="none"/>
        </w:rPr>
      </w:pPr>
    </w:p>
    <w:p w14:paraId="43E6A96A">
      <w:pPr>
        <w:pStyle w:val="25"/>
        <w:spacing w:line="360" w:lineRule="auto"/>
        <w:ind w:left="25" w:leftChars="12" w:firstLine="472" w:firstLineChars="197"/>
        <w:rPr>
          <w:rFonts w:hAnsi="宋体"/>
          <w:color w:val="auto"/>
          <w:sz w:val="24"/>
          <w:szCs w:val="24"/>
          <w:highlight w:val="none"/>
        </w:rPr>
      </w:pPr>
      <w:r>
        <w:rPr>
          <w:rFonts w:hint="eastAsia" w:hAnsi="宋体"/>
          <w:color w:val="auto"/>
          <w:sz w:val="24"/>
          <w:szCs w:val="24"/>
          <w:highlight w:val="none"/>
        </w:rPr>
        <w:t>签字（签章）：                                       公章：</w:t>
      </w:r>
    </w:p>
    <w:p w14:paraId="19F8E7EE">
      <w:pPr>
        <w:pStyle w:val="25"/>
        <w:spacing w:line="360" w:lineRule="auto"/>
        <w:ind w:left="25" w:leftChars="12" w:firstLine="352" w:firstLineChars="147"/>
        <w:rPr>
          <w:rFonts w:hAnsi="宋体"/>
          <w:color w:val="auto"/>
          <w:sz w:val="24"/>
          <w:szCs w:val="24"/>
          <w:highlight w:val="none"/>
        </w:rPr>
      </w:pPr>
    </w:p>
    <w:p w14:paraId="0324C6CE">
      <w:pPr>
        <w:pStyle w:val="25"/>
        <w:spacing w:line="360" w:lineRule="auto"/>
        <w:ind w:left="25" w:leftChars="12" w:firstLine="472" w:firstLineChars="197"/>
        <w:rPr>
          <w:rFonts w:hAnsi="宋体"/>
          <w:color w:val="auto"/>
          <w:sz w:val="24"/>
          <w:szCs w:val="24"/>
          <w:highlight w:val="none"/>
        </w:rPr>
      </w:pPr>
      <w:r>
        <w:rPr>
          <w:rFonts w:hint="eastAsia" w:hAnsi="宋体"/>
          <w:color w:val="auto"/>
          <w:sz w:val="24"/>
          <w:szCs w:val="24"/>
          <w:highlight w:val="none"/>
        </w:rPr>
        <w:t>日期：</w:t>
      </w:r>
    </w:p>
    <w:p w14:paraId="20B88EFD">
      <w:pPr>
        <w:pStyle w:val="25"/>
        <w:spacing w:line="360" w:lineRule="auto"/>
        <w:ind w:left="25" w:leftChars="12" w:firstLine="475" w:firstLineChars="197"/>
        <w:rPr>
          <w:rFonts w:hAnsi="宋体"/>
          <w:b/>
          <w:color w:val="auto"/>
          <w:sz w:val="24"/>
          <w:szCs w:val="24"/>
          <w:highlight w:val="none"/>
        </w:rPr>
      </w:pPr>
    </w:p>
    <w:p w14:paraId="2F40D768">
      <w:pPr>
        <w:pStyle w:val="25"/>
        <w:snapToGrid w:val="0"/>
        <w:spacing w:line="360" w:lineRule="auto"/>
        <w:rPr>
          <w:rFonts w:hAnsi="宋体"/>
          <w:b/>
          <w:color w:val="auto"/>
          <w:sz w:val="24"/>
          <w:szCs w:val="24"/>
          <w:highlight w:val="none"/>
        </w:rPr>
      </w:pPr>
      <w:r>
        <w:rPr>
          <w:rFonts w:hint="eastAsia" w:hAnsi="宋体"/>
          <w:b/>
          <w:color w:val="auto"/>
          <w:sz w:val="24"/>
          <w:szCs w:val="24"/>
          <w:highlight w:val="none"/>
        </w:rPr>
        <w:t>说明：</w:t>
      </w:r>
    </w:p>
    <w:p w14:paraId="7380924C">
      <w:pPr>
        <w:pStyle w:val="25"/>
        <w:spacing w:line="360" w:lineRule="auto"/>
        <w:ind w:left="25" w:leftChars="12" w:firstLine="354" w:firstLineChars="147"/>
        <w:rPr>
          <w:rFonts w:hAnsi="宋体"/>
          <w:b/>
          <w:bCs/>
          <w:color w:val="auto"/>
          <w:sz w:val="24"/>
          <w:szCs w:val="24"/>
          <w:highlight w:val="none"/>
        </w:rPr>
      </w:pPr>
      <w:r>
        <w:rPr>
          <w:rFonts w:hint="eastAsia" w:hAnsi="宋体"/>
          <w:b/>
          <w:color w:val="auto"/>
          <w:sz w:val="24"/>
          <w:szCs w:val="24"/>
          <w:highlight w:val="none"/>
        </w:rPr>
        <w:t>1.投诉人提起投诉时，应当提交投诉书和必要的证明材料，并按照被投诉人和与投诉事项有关的供应商数量提供投诉书副本</w:t>
      </w:r>
      <w:r>
        <w:rPr>
          <w:rFonts w:hint="eastAsia" w:hAnsi="宋体"/>
          <w:b/>
          <w:bCs/>
          <w:color w:val="auto"/>
          <w:sz w:val="24"/>
          <w:szCs w:val="24"/>
          <w:highlight w:val="none"/>
        </w:rPr>
        <w:t>。</w:t>
      </w:r>
    </w:p>
    <w:p w14:paraId="1D7085B7">
      <w:pPr>
        <w:pStyle w:val="25"/>
        <w:spacing w:line="360" w:lineRule="auto"/>
        <w:ind w:left="25" w:leftChars="12" w:firstLine="354" w:firstLineChars="147"/>
        <w:rPr>
          <w:rFonts w:hAnsi="宋体"/>
          <w:b/>
          <w:color w:val="auto"/>
          <w:sz w:val="24"/>
          <w:szCs w:val="24"/>
          <w:highlight w:val="none"/>
        </w:rPr>
      </w:pPr>
      <w:r>
        <w:rPr>
          <w:rFonts w:hint="eastAsia" w:hAnsi="宋体"/>
          <w:b/>
          <w:color w:val="auto"/>
          <w:sz w:val="24"/>
          <w:szCs w:val="24"/>
          <w:highlight w:val="none"/>
        </w:rPr>
        <w:t>2.投诉人若委托代理人进行投诉的，投诉书应按要求列明“授权代表”的有关内容，并在附件中提交由投诉人签署的授权委托书。授权委托书应当载明代理人的姓名或者名称、代理事项、具体权限、期限和相关事项。</w:t>
      </w:r>
    </w:p>
    <w:p w14:paraId="3186B5A5">
      <w:pPr>
        <w:pStyle w:val="25"/>
        <w:spacing w:line="360" w:lineRule="auto"/>
        <w:ind w:left="25" w:leftChars="12" w:firstLine="354" w:firstLineChars="147"/>
        <w:rPr>
          <w:rFonts w:hAnsi="宋体"/>
          <w:b/>
          <w:color w:val="auto"/>
          <w:sz w:val="24"/>
          <w:szCs w:val="24"/>
          <w:highlight w:val="none"/>
        </w:rPr>
      </w:pPr>
      <w:r>
        <w:rPr>
          <w:rFonts w:hint="eastAsia" w:hAnsi="宋体"/>
          <w:b/>
          <w:color w:val="auto"/>
          <w:sz w:val="24"/>
          <w:szCs w:val="24"/>
          <w:highlight w:val="none"/>
        </w:rPr>
        <w:t>3.投诉书应简要列明质疑事项，质疑函、质疑答复等作为附件材料提供。</w:t>
      </w:r>
    </w:p>
    <w:p w14:paraId="1E3C7EEF">
      <w:pPr>
        <w:pStyle w:val="25"/>
        <w:spacing w:line="360" w:lineRule="auto"/>
        <w:ind w:left="25" w:leftChars="12" w:firstLine="354" w:firstLineChars="147"/>
        <w:rPr>
          <w:rFonts w:hAnsi="宋体"/>
          <w:b/>
          <w:color w:val="auto"/>
          <w:sz w:val="24"/>
          <w:szCs w:val="24"/>
          <w:highlight w:val="none"/>
        </w:rPr>
      </w:pPr>
      <w:r>
        <w:rPr>
          <w:rFonts w:hint="eastAsia" w:hAnsi="宋体"/>
          <w:b/>
          <w:color w:val="auto"/>
          <w:sz w:val="24"/>
          <w:szCs w:val="24"/>
          <w:highlight w:val="none"/>
        </w:rPr>
        <w:t>4.投诉书的投诉事项应具体、明确，并有必要的事实依据和法律依据。</w:t>
      </w:r>
    </w:p>
    <w:p w14:paraId="52DC1570">
      <w:pPr>
        <w:pStyle w:val="25"/>
        <w:spacing w:line="360" w:lineRule="auto"/>
        <w:ind w:left="25" w:leftChars="12" w:firstLine="354" w:firstLineChars="147"/>
        <w:rPr>
          <w:rFonts w:hAnsi="宋体"/>
          <w:b/>
          <w:color w:val="auto"/>
          <w:sz w:val="24"/>
          <w:szCs w:val="24"/>
          <w:highlight w:val="none"/>
        </w:rPr>
      </w:pPr>
      <w:r>
        <w:rPr>
          <w:rFonts w:hint="eastAsia" w:hAnsi="宋体"/>
          <w:b/>
          <w:color w:val="auto"/>
          <w:sz w:val="24"/>
          <w:szCs w:val="24"/>
          <w:highlight w:val="none"/>
        </w:rPr>
        <w:t>5.投诉书的投诉请求应与投诉事项相关。</w:t>
      </w:r>
    </w:p>
    <w:p w14:paraId="73E4C019">
      <w:pPr>
        <w:pStyle w:val="25"/>
        <w:spacing w:line="360" w:lineRule="auto"/>
        <w:ind w:left="25" w:leftChars="12" w:firstLine="354" w:firstLineChars="147"/>
        <w:rPr>
          <w:color w:val="auto"/>
          <w:highlight w:val="none"/>
        </w:rPr>
      </w:pPr>
      <w:r>
        <w:rPr>
          <w:rFonts w:hint="eastAsia" w:hAnsi="宋体"/>
          <w:b/>
          <w:color w:val="auto"/>
          <w:sz w:val="24"/>
          <w:szCs w:val="24"/>
          <w:highlight w:val="none"/>
        </w:rPr>
        <w:t>6.投诉人为法人或者其他组织的，投诉书应由法定代表人、主要负责人，或者其授权代表签字或者盖章，并加盖公章。</w:t>
      </w:r>
      <w:bookmarkStart w:id="78" w:name="_Toc74323461"/>
    </w:p>
    <w:p w14:paraId="75E0179F">
      <w:pPr>
        <w:pStyle w:val="2"/>
        <w:numPr>
          <w:ilvl w:val="0"/>
          <w:numId w:val="0"/>
        </w:numPr>
        <w:jc w:val="center"/>
        <w:rPr>
          <w:rFonts w:eastAsia="宋体"/>
          <w:bCs/>
          <w:color w:val="auto"/>
          <w:highlight w:val="none"/>
        </w:rPr>
      </w:pPr>
    </w:p>
    <w:p w14:paraId="09396715">
      <w:pPr>
        <w:pStyle w:val="2"/>
        <w:numPr>
          <w:ilvl w:val="0"/>
          <w:numId w:val="0"/>
        </w:numPr>
        <w:jc w:val="center"/>
        <w:rPr>
          <w:rFonts w:eastAsia="宋体"/>
          <w:bCs/>
          <w:color w:val="auto"/>
          <w:highlight w:val="none"/>
        </w:rPr>
      </w:pPr>
      <w:bookmarkStart w:id="79" w:name="_Toc29222"/>
      <w:bookmarkStart w:id="80" w:name="_Toc7547"/>
      <w:r>
        <w:rPr>
          <w:rFonts w:hint="eastAsia" w:eastAsia="宋体"/>
          <w:bCs/>
          <w:color w:val="auto"/>
          <w:highlight w:val="none"/>
        </w:rPr>
        <w:t xml:space="preserve">第七章 </w:t>
      </w:r>
      <w:bookmarkEnd w:id="78"/>
      <w:r>
        <w:rPr>
          <w:rFonts w:hint="eastAsia" w:eastAsia="宋体"/>
          <w:bCs/>
          <w:color w:val="auto"/>
          <w:highlight w:val="none"/>
        </w:rPr>
        <w:t>合同文本</w:t>
      </w:r>
      <w:bookmarkEnd w:id="79"/>
      <w:bookmarkEnd w:id="80"/>
    </w:p>
    <w:bookmarkEnd w:id="64"/>
    <w:bookmarkEnd w:id="67"/>
    <w:bookmarkEnd w:id="68"/>
    <w:p w14:paraId="5B602662">
      <w:pPr>
        <w:pStyle w:val="25"/>
        <w:spacing w:line="360" w:lineRule="auto"/>
        <w:jc w:val="center"/>
        <w:rPr>
          <w:rFonts w:hAnsi="宋体"/>
          <w:b/>
          <w:bCs/>
          <w:color w:val="auto"/>
          <w:sz w:val="30"/>
          <w:szCs w:val="30"/>
          <w:highlight w:val="none"/>
        </w:rPr>
      </w:pPr>
      <w:r>
        <w:rPr>
          <w:rFonts w:hint="eastAsia" w:hAnsi="宋体" w:cs="黑体"/>
          <w:b/>
          <w:bCs/>
          <w:color w:val="auto"/>
          <w:kern w:val="44"/>
          <w:sz w:val="30"/>
          <w:szCs w:val="30"/>
          <w:highlight w:val="none"/>
          <w:lang w:val="zh-CN"/>
        </w:rPr>
        <w:t>第一部分合同协议书</w:t>
      </w:r>
    </w:p>
    <w:p w14:paraId="4AFC6020">
      <w:pPr>
        <w:rPr>
          <w:rFonts w:ascii="宋体" w:hAnsi="宋体"/>
          <w:color w:val="auto"/>
          <w:szCs w:val="22"/>
          <w:highlight w:val="none"/>
        </w:rPr>
      </w:pPr>
      <w:bookmarkStart w:id="81" w:name="EBf5d8882b67eb450294403d6d9eac2034"/>
    </w:p>
    <w:p w14:paraId="61608EA5">
      <w:pPr>
        <w:spacing w:line="360" w:lineRule="auto"/>
        <w:rPr>
          <w:rFonts w:ascii="宋体" w:hAnsi="宋体"/>
          <w:color w:val="auto"/>
          <w:highlight w:val="none"/>
          <w:u w:val="single"/>
        </w:rPr>
      </w:pPr>
      <w:r>
        <w:rPr>
          <w:rFonts w:hint="eastAsia" w:ascii="宋体" w:hAnsi="宋体" w:cs="宋体"/>
          <w:color w:val="auto"/>
          <w:highlight w:val="none"/>
        </w:rPr>
        <w:t>发包人（全称）：</w:t>
      </w:r>
    </w:p>
    <w:p w14:paraId="38182CA5">
      <w:pPr>
        <w:spacing w:line="360" w:lineRule="auto"/>
        <w:rPr>
          <w:rFonts w:ascii="宋体" w:hAnsi="宋体"/>
          <w:color w:val="auto"/>
          <w:highlight w:val="none"/>
          <w:u w:val="single"/>
        </w:rPr>
      </w:pPr>
      <w:r>
        <w:rPr>
          <w:rFonts w:hint="eastAsia" w:ascii="宋体" w:hAnsi="宋体" w:cs="宋体"/>
          <w:color w:val="auto"/>
          <w:highlight w:val="none"/>
        </w:rPr>
        <w:t>承包人（全称）：</w:t>
      </w:r>
    </w:p>
    <w:p w14:paraId="60CB26BA">
      <w:pPr>
        <w:spacing w:line="360" w:lineRule="auto"/>
        <w:ind w:firstLine="420" w:firstLineChars="200"/>
        <w:rPr>
          <w:rFonts w:ascii="宋体" w:hAnsi="宋体"/>
          <w:color w:val="auto"/>
          <w:highlight w:val="none"/>
        </w:rPr>
      </w:pPr>
      <w:r>
        <w:rPr>
          <w:rFonts w:hint="eastAsia" w:ascii="宋体" w:hAnsi="宋体" w:cs="宋体"/>
          <w:color w:val="auto"/>
          <w:highlight w:val="none"/>
        </w:rPr>
        <w:t>根据《中华人民共和国民法典》、《中华人民共和国建筑法》及有关法律规定，遵循平等、自愿、公平和诚实信用的原则，双方就</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及有关事项协商一致，共同达成如下协议：</w:t>
      </w:r>
      <w:bookmarkStart w:id="82" w:name="_Toc351203481"/>
    </w:p>
    <w:p w14:paraId="7F7F3DB9">
      <w:pPr>
        <w:spacing w:line="360" w:lineRule="auto"/>
        <w:ind w:firstLine="422" w:firstLineChars="200"/>
        <w:outlineLvl w:val="0"/>
        <w:rPr>
          <w:rFonts w:ascii="宋体" w:hAnsi="宋体"/>
          <w:b/>
          <w:bCs/>
          <w:color w:val="auto"/>
          <w:highlight w:val="none"/>
        </w:rPr>
      </w:pPr>
      <w:bookmarkStart w:id="83" w:name="_Toc6465"/>
      <w:bookmarkStart w:id="84" w:name="_Toc26369"/>
      <w:bookmarkStart w:id="85" w:name="_Toc25874"/>
      <w:bookmarkStart w:id="86" w:name="_Toc11959"/>
      <w:bookmarkStart w:id="87" w:name="_Toc2078"/>
      <w:bookmarkStart w:id="88" w:name="_Toc2977"/>
      <w:r>
        <w:rPr>
          <w:rFonts w:hint="eastAsia" w:ascii="宋体" w:hAnsi="宋体" w:cs="宋体"/>
          <w:b/>
          <w:bCs/>
          <w:color w:val="auto"/>
          <w:highlight w:val="none"/>
        </w:rPr>
        <w:t>一、工程概况</w:t>
      </w:r>
      <w:bookmarkEnd w:id="82"/>
      <w:bookmarkEnd w:id="83"/>
      <w:bookmarkEnd w:id="84"/>
      <w:bookmarkEnd w:id="85"/>
      <w:bookmarkEnd w:id="86"/>
      <w:bookmarkEnd w:id="87"/>
      <w:bookmarkEnd w:id="88"/>
    </w:p>
    <w:p w14:paraId="4096ADE1">
      <w:pPr>
        <w:spacing w:line="360" w:lineRule="auto"/>
        <w:ind w:firstLine="411" w:firstLineChars="196"/>
        <w:rPr>
          <w:rFonts w:ascii="宋体" w:hAnsi="宋体"/>
          <w:color w:val="auto"/>
          <w:highlight w:val="none"/>
          <w:u w:val="single"/>
        </w:rPr>
      </w:pPr>
      <w:r>
        <w:rPr>
          <w:rFonts w:ascii="宋体" w:hAnsi="宋体"/>
          <w:color w:val="auto"/>
          <w:highlight w:val="none"/>
        </w:rPr>
        <w:t xml:space="preserve">1. </w:t>
      </w:r>
      <w:r>
        <w:rPr>
          <w:rFonts w:hint="eastAsia" w:ascii="宋体" w:hAnsi="宋体" w:cs="宋体"/>
          <w:color w:val="auto"/>
          <w:highlight w:val="none"/>
        </w:rPr>
        <w:t>工程名称：</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5A725BF3">
      <w:pPr>
        <w:spacing w:line="360" w:lineRule="auto"/>
        <w:ind w:firstLine="411" w:firstLineChars="196"/>
        <w:rPr>
          <w:rFonts w:ascii="宋体" w:hAnsi="宋体"/>
          <w:color w:val="auto"/>
          <w:highlight w:val="none"/>
        </w:rPr>
      </w:pPr>
      <w:r>
        <w:rPr>
          <w:rFonts w:ascii="宋体" w:hAnsi="宋体"/>
          <w:color w:val="auto"/>
          <w:highlight w:val="none"/>
        </w:rPr>
        <w:t xml:space="preserve">2. </w:t>
      </w:r>
      <w:r>
        <w:rPr>
          <w:rFonts w:hint="eastAsia" w:ascii="宋体" w:hAnsi="宋体" w:cs="宋体"/>
          <w:color w:val="auto"/>
          <w:highlight w:val="none"/>
        </w:rPr>
        <w:t>工程地点:</w:t>
      </w:r>
      <w:r>
        <w:rPr>
          <w:rFonts w:hint="eastAsia" w:asciiTheme="minorEastAsia" w:hAnsiTheme="minorEastAsia" w:eastAsiaTheme="minorEastAsia"/>
          <w:color w:val="auto"/>
          <w:highlight w:val="none"/>
          <w:u w:val="single"/>
        </w:rPr>
        <w:t xml:space="preserve">              。</w:t>
      </w:r>
    </w:p>
    <w:p w14:paraId="0E9EC9E3">
      <w:pPr>
        <w:spacing w:line="360" w:lineRule="auto"/>
        <w:ind w:firstLine="411" w:firstLineChars="196"/>
        <w:rPr>
          <w:rFonts w:cs="Arial" w:asciiTheme="minorEastAsia" w:hAnsiTheme="minorEastAsia" w:eastAsiaTheme="minorEastAsia"/>
          <w:color w:val="auto"/>
          <w:kern w:val="0"/>
          <w:highlight w:val="none"/>
          <w:u w:val="single"/>
        </w:rPr>
      </w:pPr>
      <w:r>
        <w:rPr>
          <w:rFonts w:ascii="宋体" w:hAnsi="宋体"/>
          <w:color w:val="auto"/>
          <w:highlight w:val="none"/>
        </w:rPr>
        <w:t xml:space="preserve">3. </w:t>
      </w:r>
      <w:r>
        <w:rPr>
          <w:rFonts w:hint="eastAsia" w:ascii="宋体" w:hAnsi="宋体" w:cs="宋体"/>
          <w:color w:val="auto"/>
          <w:highlight w:val="none"/>
        </w:rPr>
        <w:t>工程立项批准文号：</w:t>
      </w:r>
      <w:r>
        <w:rPr>
          <w:rFonts w:hint="eastAsia" w:ascii="宋体" w:hAnsi="宋体" w:cs="宋体"/>
          <w:color w:val="auto"/>
          <w:highlight w:val="none"/>
          <w:u w:val="single"/>
        </w:rPr>
        <w:t xml:space="preserve">     </w:t>
      </w:r>
      <w:r>
        <w:rPr>
          <w:rFonts w:hint="eastAsia" w:ascii="宋体" w:hAnsi="宋体"/>
          <w:color w:val="auto"/>
          <w:kern w:val="0"/>
          <w:highlight w:val="none"/>
        </w:rPr>
        <w:t>。</w:t>
      </w:r>
    </w:p>
    <w:p w14:paraId="47E9BC71">
      <w:pPr>
        <w:spacing w:line="360" w:lineRule="auto"/>
        <w:ind w:firstLine="411" w:firstLineChars="196"/>
        <w:rPr>
          <w:rFonts w:ascii="宋体" w:hAnsi="宋体"/>
          <w:color w:val="auto"/>
          <w:highlight w:val="none"/>
        </w:rPr>
      </w:pPr>
      <w:r>
        <w:rPr>
          <w:rFonts w:ascii="宋体" w:hAnsi="宋体"/>
          <w:color w:val="auto"/>
          <w:highlight w:val="none"/>
        </w:rPr>
        <w:t xml:space="preserve">4. </w:t>
      </w:r>
      <w:r>
        <w:rPr>
          <w:rFonts w:hint="eastAsia" w:ascii="宋体" w:hAnsi="宋体" w:cs="宋体"/>
          <w:color w:val="auto"/>
          <w:highlight w:val="none"/>
        </w:rPr>
        <w:t>资金来源：</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68DD375F">
      <w:pPr>
        <w:spacing w:line="360" w:lineRule="auto"/>
        <w:ind w:firstLine="411" w:firstLineChars="196"/>
        <w:rPr>
          <w:rFonts w:ascii="宋体" w:hAnsi="宋体"/>
          <w:color w:val="auto"/>
          <w:highlight w:val="none"/>
        </w:rPr>
      </w:pPr>
      <w:r>
        <w:rPr>
          <w:rFonts w:ascii="宋体" w:hAnsi="宋体"/>
          <w:color w:val="auto"/>
          <w:highlight w:val="none"/>
        </w:rPr>
        <w:t xml:space="preserve">5. </w:t>
      </w:r>
      <w:r>
        <w:rPr>
          <w:rFonts w:hint="eastAsia" w:ascii="宋体" w:hAnsi="宋体" w:cs="宋体"/>
          <w:color w:val="auto"/>
          <w:highlight w:val="none"/>
        </w:rPr>
        <w:t>工程内容：</w:t>
      </w:r>
      <w:r>
        <w:rPr>
          <w:rFonts w:hint="eastAsia" w:ascii="宋体" w:hAnsi="宋体" w:cs="宋体"/>
          <w:color w:val="auto"/>
          <w:highlight w:val="none"/>
          <w:u w:val="single"/>
        </w:rPr>
        <w:t xml:space="preserve">              </w:t>
      </w:r>
      <w:r>
        <w:rPr>
          <w:rFonts w:hint="eastAsia" w:ascii="宋体" w:hAnsi="宋体"/>
          <w:color w:val="auto"/>
          <w:kern w:val="0"/>
          <w:highlight w:val="none"/>
        </w:rPr>
        <w:t>。</w:t>
      </w:r>
    </w:p>
    <w:p w14:paraId="4B02D98B">
      <w:pPr>
        <w:spacing w:line="360" w:lineRule="auto"/>
        <w:ind w:firstLine="411" w:firstLineChars="196"/>
        <w:rPr>
          <w:rFonts w:ascii="宋体" w:hAnsi="宋体"/>
          <w:color w:val="auto"/>
          <w:highlight w:val="none"/>
        </w:rPr>
      </w:pPr>
      <w:r>
        <w:rPr>
          <w:rFonts w:hint="eastAsia" w:ascii="宋体" w:hAnsi="宋体" w:cs="宋体"/>
          <w:color w:val="auto"/>
          <w:highlight w:val="none"/>
        </w:rPr>
        <w:t>群体工程应附《承包人承揽工程项目一览表》（附件</w:t>
      </w:r>
      <w:r>
        <w:rPr>
          <w:rFonts w:ascii="宋体" w:hAnsi="宋体"/>
          <w:color w:val="auto"/>
          <w:highlight w:val="none"/>
        </w:rPr>
        <w:t>1</w:t>
      </w:r>
      <w:r>
        <w:rPr>
          <w:rFonts w:hint="eastAsia" w:ascii="宋体" w:hAnsi="宋体" w:cs="宋体"/>
          <w:color w:val="auto"/>
          <w:highlight w:val="none"/>
        </w:rPr>
        <w:t>）。</w:t>
      </w:r>
    </w:p>
    <w:p w14:paraId="516AABD4">
      <w:pPr>
        <w:spacing w:line="360" w:lineRule="auto"/>
        <w:ind w:firstLine="411" w:firstLineChars="196"/>
        <w:rPr>
          <w:rFonts w:ascii="宋体" w:hAnsi="宋体"/>
          <w:color w:val="auto"/>
          <w:highlight w:val="none"/>
        </w:rPr>
      </w:pPr>
      <w:r>
        <w:rPr>
          <w:rFonts w:ascii="宋体" w:hAnsi="宋体"/>
          <w:color w:val="auto"/>
          <w:highlight w:val="none"/>
        </w:rPr>
        <w:t xml:space="preserve">6. </w:t>
      </w:r>
      <w:r>
        <w:rPr>
          <w:rFonts w:hint="eastAsia" w:ascii="宋体" w:hAnsi="宋体" w:cs="宋体"/>
          <w:color w:val="auto"/>
          <w:highlight w:val="none"/>
        </w:rPr>
        <w:t>工程承包范围：</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2E6DC761">
      <w:pPr>
        <w:spacing w:line="360" w:lineRule="auto"/>
        <w:ind w:firstLine="407" w:firstLineChars="193"/>
        <w:outlineLvl w:val="0"/>
        <w:rPr>
          <w:rFonts w:ascii="宋体" w:hAnsi="宋体"/>
          <w:b/>
          <w:bCs/>
          <w:color w:val="auto"/>
          <w:highlight w:val="none"/>
        </w:rPr>
      </w:pPr>
      <w:bookmarkStart w:id="89" w:name="_Toc6390"/>
      <w:bookmarkStart w:id="90" w:name="_Toc32316"/>
      <w:bookmarkStart w:id="91" w:name="_Toc28180"/>
      <w:bookmarkStart w:id="92" w:name="_Toc29421"/>
      <w:bookmarkStart w:id="93" w:name="_Toc351203482"/>
      <w:bookmarkStart w:id="94" w:name="_Toc27712"/>
      <w:bookmarkStart w:id="95" w:name="_Toc5593"/>
      <w:r>
        <w:rPr>
          <w:rFonts w:hint="eastAsia" w:ascii="宋体" w:hAnsi="宋体" w:cs="宋体"/>
          <w:b/>
          <w:bCs/>
          <w:color w:val="auto"/>
          <w:highlight w:val="none"/>
        </w:rPr>
        <w:t>二、合同工期</w:t>
      </w:r>
      <w:bookmarkEnd w:id="89"/>
      <w:bookmarkEnd w:id="90"/>
      <w:bookmarkEnd w:id="91"/>
      <w:bookmarkEnd w:id="92"/>
      <w:bookmarkEnd w:id="93"/>
      <w:bookmarkEnd w:id="94"/>
      <w:bookmarkEnd w:id="95"/>
    </w:p>
    <w:p w14:paraId="3D153873">
      <w:pPr>
        <w:spacing w:line="360" w:lineRule="auto"/>
        <w:ind w:firstLine="459"/>
        <w:rPr>
          <w:rFonts w:ascii="宋体" w:hAnsi="宋体"/>
          <w:color w:val="auto"/>
          <w:highlight w:val="none"/>
        </w:rPr>
      </w:pPr>
      <w:r>
        <w:rPr>
          <w:rFonts w:hint="eastAsia" w:ascii="宋体" w:hAnsi="宋体" w:cs="宋体"/>
          <w:color w:val="auto"/>
          <w:highlight w:val="none"/>
        </w:rPr>
        <w:t>计划开工日期：</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年</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月</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日。</w:t>
      </w:r>
      <w:r>
        <w:rPr>
          <w:rFonts w:hint="eastAsia" w:ascii="宋体" w:hAnsi="宋体" w:cs="宋体"/>
          <w:color w:val="auto"/>
          <w:highlight w:val="none"/>
        </w:rPr>
        <w:t>（具体以发包人书面通知为准）</w:t>
      </w:r>
    </w:p>
    <w:p w14:paraId="0EC2B653">
      <w:pPr>
        <w:spacing w:line="360" w:lineRule="auto"/>
        <w:ind w:firstLine="459"/>
        <w:rPr>
          <w:rFonts w:ascii="宋体" w:hAnsi="宋体"/>
          <w:color w:val="auto"/>
          <w:highlight w:val="none"/>
        </w:rPr>
      </w:pPr>
      <w:r>
        <w:rPr>
          <w:rFonts w:hint="eastAsia" w:ascii="宋体" w:hAnsi="宋体" w:cs="宋体"/>
          <w:color w:val="auto"/>
          <w:highlight w:val="none"/>
        </w:rPr>
        <w:t>计划竣工日期：</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年</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月</w:t>
      </w:r>
      <w:r>
        <w:rPr>
          <w:rFonts w:hint="eastAsia" w:asciiTheme="minorEastAsia" w:hAnsiTheme="minorEastAsia" w:eastAsiaTheme="minorEastAsia"/>
          <w:color w:val="auto"/>
          <w:highlight w:val="none"/>
          <w:u w:val="single"/>
        </w:rPr>
        <w:t xml:space="preserve">    </w:t>
      </w:r>
      <w:r>
        <w:rPr>
          <w:rFonts w:hint="eastAsia" w:ascii="宋体" w:hAnsi="宋体"/>
          <w:color w:val="auto"/>
          <w:highlight w:val="none"/>
        </w:rPr>
        <w:t>日</w:t>
      </w:r>
      <w:r>
        <w:rPr>
          <w:rFonts w:hint="eastAsia" w:ascii="宋体" w:hAnsi="宋体" w:cs="宋体"/>
          <w:color w:val="auto"/>
          <w:highlight w:val="none"/>
        </w:rPr>
        <w:t>。（竣工日期具体以开工令计算为准）</w:t>
      </w:r>
    </w:p>
    <w:p w14:paraId="4D76AC67">
      <w:pPr>
        <w:spacing w:line="360" w:lineRule="auto"/>
        <w:ind w:firstLine="459"/>
        <w:rPr>
          <w:rFonts w:ascii="宋体" w:hAnsi="宋体"/>
          <w:color w:val="auto"/>
          <w:highlight w:val="none"/>
        </w:rPr>
      </w:pPr>
      <w:r>
        <w:rPr>
          <w:rFonts w:hint="eastAsia" w:ascii="宋体" w:hAnsi="宋体" w:cs="宋体"/>
          <w:color w:val="auto"/>
          <w:highlight w:val="none"/>
        </w:rPr>
        <w:t>工期总日历天数：   天。工期总日历天数与根据前述计划开竣工日期计算的工期天数不一致的，以工期总日历天数为准。</w:t>
      </w:r>
    </w:p>
    <w:p w14:paraId="720A4469">
      <w:pPr>
        <w:spacing w:line="360" w:lineRule="auto"/>
        <w:ind w:firstLine="459"/>
        <w:outlineLvl w:val="0"/>
        <w:rPr>
          <w:rFonts w:ascii="宋体" w:hAnsi="宋体"/>
          <w:b/>
          <w:bCs/>
          <w:color w:val="auto"/>
          <w:highlight w:val="none"/>
        </w:rPr>
      </w:pPr>
      <w:bookmarkStart w:id="96" w:name="_Toc6127"/>
      <w:bookmarkStart w:id="97" w:name="_Toc13571"/>
      <w:bookmarkStart w:id="98" w:name="_Toc351203483"/>
      <w:bookmarkStart w:id="99" w:name="_Toc681"/>
      <w:bookmarkStart w:id="100" w:name="_Toc2340"/>
      <w:bookmarkStart w:id="101" w:name="_Toc7592"/>
      <w:bookmarkStart w:id="102" w:name="_Toc21637"/>
      <w:r>
        <w:rPr>
          <w:rFonts w:hint="eastAsia" w:ascii="宋体" w:hAnsi="宋体" w:cs="宋体"/>
          <w:b/>
          <w:bCs/>
          <w:color w:val="auto"/>
          <w:highlight w:val="none"/>
        </w:rPr>
        <w:t>三、质量标准</w:t>
      </w:r>
      <w:bookmarkEnd w:id="96"/>
      <w:bookmarkEnd w:id="97"/>
      <w:bookmarkEnd w:id="98"/>
      <w:bookmarkEnd w:id="99"/>
      <w:bookmarkEnd w:id="100"/>
      <w:bookmarkEnd w:id="101"/>
      <w:bookmarkEnd w:id="102"/>
    </w:p>
    <w:p w14:paraId="4277D085">
      <w:pPr>
        <w:spacing w:line="360" w:lineRule="auto"/>
        <w:ind w:firstLine="459"/>
        <w:rPr>
          <w:rFonts w:ascii="宋体" w:hAnsi="宋体"/>
          <w:color w:val="auto"/>
          <w:highlight w:val="none"/>
        </w:rPr>
      </w:pPr>
      <w:r>
        <w:rPr>
          <w:rFonts w:hint="eastAsia" w:ascii="宋体" w:hAnsi="宋体" w:cs="宋体"/>
          <w:color w:val="auto"/>
          <w:highlight w:val="none"/>
        </w:rPr>
        <w:t>工程质量符合</w:t>
      </w:r>
      <w:r>
        <w:rPr>
          <w:rFonts w:hint="eastAsia" w:ascii="宋体" w:hAnsi="宋体" w:cs="Malgun Gothic Semilight"/>
          <w:color w:val="auto"/>
          <w:highlight w:val="none"/>
          <w:u w:val="single"/>
        </w:rPr>
        <w:t>国家施工验收规范合格标准</w:t>
      </w:r>
      <w:r>
        <w:rPr>
          <w:rFonts w:hint="eastAsia" w:ascii="宋体" w:hAnsi="宋体" w:cs="宋体"/>
          <w:color w:val="auto"/>
          <w:highlight w:val="none"/>
        </w:rPr>
        <w:t>。</w:t>
      </w:r>
    </w:p>
    <w:p w14:paraId="34A0170C">
      <w:pPr>
        <w:spacing w:line="360" w:lineRule="auto"/>
        <w:ind w:firstLine="459"/>
        <w:outlineLvl w:val="0"/>
        <w:rPr>
          <w:rFonts w:ascii="宋体" w:hAnsi="宋体"/>
          <w:b/>
          <w:bCs/>
          <w:color w:val="auto"/>
          <w:highlight w:val="none"/>
        </w:rPr>
      </w:pPr>
      <w:bookmarkStart w:id="103" w:name="_Toc14826"/>
      <w:bookmarkStart w:id="104" w:name="_Toc2378"/>
      <w:bookmarkStart w:id="105" w:name="_Toc21378"/>
      <w:bookmarkStart w:id="106" w:name="_Toc10391"/>
      <w:bookmarkStart w:id="107" w:name="_Toc12697"/>
      <w:bookmarkStart w:id="108" w:name="_Toc14920"/>
      <w:bookmarkStart w:id="109" w:name="_Toc351203484"/>
      <w:r>
        <w:rPr>
          <w:rFonts w:hint="eastAsia" w:ascii="宋体" w:hAnsi="宋体" w:cs="宋体"/>
          <w:b/>
          <w:bCs/>
          <w:color w:val="auto"/>
          <w:highlight w:val="none"/>
        </w:rPr>
        <w:t>四、签约合同价与合同价格形式</w:t>
      </w:r>
      <w:bookmarkEnd w:id="103"/>
      <w:bookmarkEnd w:id="104"/>
      <w:bookmarkEnd w:id="105"/>
      <w:bookmarkEnd w:id="106"/>
      <w:bookmarkEnd w:id="107"/>
      <w:bookmarkEnd w:id="108"/>
      <w:bookmarkEnd w:id="109"/>
    </w:p>
    <w:p w14:paraId="54CB6AA2">
      <w:pPr>
        <w:spacing w:line="360" w:lineRule="auto"/>
        <w:ind w:firstLine="459"/>
        <w:rPr>
          <w:rFonts w:ascii="宋体" w:hAnsi="宋体"/>
          <w:color w:val="auto"/>
          <w:highlight w:val="none"/>
        </w:rPr>
      </w:pPr>
      <w:r>
        <w:rPr>
          <w:rFonts w:ascii="宋体" w:hAnsi="宋体"/>
          <w:color w:val="auto"/>
          <w:highlight w:val="none"/>
        </w:rPr>
        <w:t xml:space="preserve">1. </w:t>
      </w:r>
      <w:r>
        <w:rPr>
          <w:rFonts w:hint="eastAsia" w:ascii="宋体" w:hAnsi="宋体" w:cs="宋体"/>
          <w:color w:val="auto"/>
          <w:highlight w:val="none"/>
        </w:rPr>
        <w:t>签约合同价为：</w:t>
      </w:r>
    </w:p>
    <w:p w14:paraId="7C189883">
      <w:pPr>
        <w:spacing w:line="360" w:lineRule="auto"/>
        <w:ind w:firstLine="525" w:firstLineChars="250"/>
        <w:rPr>
          <w:rFonts w:ascii="宋体" w:hAnsi="宋体"/>
          <w:color w:val="auto"/>
          <w:highlight w:val="none"/>
        </w:rPr>
      </w:pPr>
      <w:r>
        <w:rPr>
          <w:rFonts w:hint="eastAsia" w:ascii="宋体" w:hAnsi="宋体" w:cs="宋体"/>
          <w:color w:val="auto"/>
          <w:highlight w:val="none"/>
        </w:rPr>
        <w:t>其中：</w:t>
      </w:r>
    </w:p>
    <w:p w14:paraId="01D417EC">
      <w:pPr>
        <w:spacing w:line="360" w:lineRule="auto"/>
        <w:ind w:firstLine="420" w:firstLineChars="200"/>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1</w:t>
      </w:r>
      <w:r>
        <w:rPr>
          <w:rFonts w:hint="eastAsia" w:ascii="宋体" w:hAnsi="宋体" w:cs="宋体"/>
          <w:color w:val="auto"/>
          <w:highlight w:val="none"/>
        </w:rPr>
        <w:t>）安全文明施工费：【注：安全文明施工费以</w:t>
      </w:r>
      <w:r>
        <w:rPr>
          <w:rFonts w:hint="eastAsia" w:ascii="宋体" w:hAnsi="宋体"/>
          <w:color w:val="auto"/>
          <w:highlight w:val="none"/>
        </w:rPr>
        <w:t>招标人发布的安全文明施工费金额为准签订合同。】</w:t>
      </w:r>
    </w:p>
    <w:p w14:paraId="570FDF28">
      <w:pPr>
        <w:spacing w:line="360" w:lineRule="auto"/>
        <w:ind w:left="420" w:leftChars="200" w:firstLine="525" w:firstLineChars="250"/>
        <w:rPr>
          <w:rFonts w:ascii="宋体" w:hAnsi="宋体"/>
          <w:color w:val="auto"/>
          <w:highlight w:val="none"/>
        </w:rPr>
      </w:pPr>
      <w:r>
        <w:rPr>
          <w:rFonts w:hint="eastAsia" w:ascii="宋体" w:hAnsi="宋体" w:cs="宋体"/>
          <w:color w:val="auto"/>
          <w:highlight w:val="none"/>
        </w:rPr>
        <w:t>人民币（大写）</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w:t>
      </w:r>
      <w:r>
        <w:rPr>
          <w:rFonts w:ascii="宋体" w:hAnsi="宋体"/>
          <w:color w:val="auto"/>
          <w:highlight w:val="none"/>
        </w:rPr>
        <w:t>¥</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元）；</w:t>
      </w:r>
    </w:p>
    <w:p w14:paraId="433A8458">
      <w:pPr>
        <w:spacing w:line="360" w:lineRule="auto"/>
        <w:ind w:firstLine="420" w:firstLineChars="200"/>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2</w:t>
      </w:r>
      <w:r>
        <w:rPr>
          <w:rFonts w:hint="eastAsia" w:ascii="宋体" w:hAnsi="宋体" w:cs="宋体"/>
          <w:color w:val="auto"/>
          <w:highlight w:val="none"/>
        </w:rPr>
        <w:t>）材料和工程设备暂估价金额：</w:t>
      </w:r>
      <w:r>
        <w:rPr>
          <w:rFonts w:hint="eastAsia" w:asciiTheme="minorEastAsia" w:hAnsiTheme="minorEastAsia" w:eastAsiaTheme="minorEastAsia"/>
          <w:color w:val="auto"/>
          <w:highlight w:val="none"/>
          <w:u w:val="single"/>
        </w:rPr>
        <w:t xml:space="preserve">   /     </w:t>
      </w:r>
      <w:r>
        <w:rPr>
          <w:rFonts w:hint="eastAsia" w:ascii="宋体" w:hAnsi="宋体"/>
          <w:color w:val="auto"/>
          <w:kern w:val="0"/>
          <w:highlight w:val="none"/>
        </w:rPr>
        <w:t>。</w:t>
      </w:r>
    </w:p>
    <w:p w14:paraId="3A029E39">
      <w:pPr>
        <w:spacing w:line="360" w:lineRule="auto"/>
        <w:ind w:firstLine="945" w:firstLineChars="450"/>
        <w:rPr>
          <w:rFonts w:ascii="宋体" w:hAnsi="宋体"/>
          <w:color w:val="auto"/>
          <w:highlight w:val="none"/>
        </w:rPr>
      </w:pPr>
      <w:r>
        <w:rPr>
          <w:rFonts w:hint="eastAsia" w:ascii="宋体" w:hAnsi="宋体" w:cs="宋体"/>
          <w:color w:val="auto"/>
          <w:highlight w:val="none"/>
        </w:rPr>
        <w:t>人民币（大写）</w:t>
      </w:r>
      <w:r>
        <w:rPr>
          <w:rFonts w:hint="eastAsia" w:asciiTheme="minorEastAsia" w:hAnsiTheme="minorEastAsia" w:eastAsiaTheme="minorEastAsia"/>
          <w:color w:val="auto"/>
          <w:highlight w:val="none"/>
          <w:u w:val="single"/>
        </w:rPr>
        <w:t xml:space="preserve">   /     </w:t>
      </w:r>
      <w:r>
        <w:rPr>
          <w:rFonts w:hint="eastAsia" w:ascii="宋体" w:hAnsi="宋体" w:cs="宋体"/>
          <w:color w:val="auto"/>
          <w:highlight w:val="none"/>
        </w:rPr>
        <w:t>（</w:t>
      </w:r>
      <w:r>
        <w:rPr>
          <w:rFonts w:ascii="宋体" w:hAnsi="宋体"/>
          <w:color w:val="auto"/>
          <w:highlight w:val="none"/>
        </w:rPr>
        <w:t>¥</w:t>
      </w:r>
      <w:r>
        <w:rPr>
          <w:rFonts w:hint="eastAsia" w:ascii="宋体" w:hAnsi="宋体"/>
          <w:color w:val="auto"/>
          <w:highlight w:val="none"/>
          <w:u w:val="single"/>
        </w:rPr>
        <w:t xml:space="preserve">    /     </w:t>
      </w:r>
      <w:r>
        <w:rPr>
          <w:rFonts w:hint="eastAsia" w:ascii="宋体" w:hAnsi="宋体" w:cs="宋体"/>
          <w:color w:val="auto"/>
          <w:highlight w:val="none"/>
        </w:rPr>
        <w:t>元）；</w:t>
      </w:r>
    </w:p>
    <w:p w14:paraId="6C749D71">
      <w:pPr>
        <w:spacing w:line="360" w:lineRule="auto"/>
        <w:ind w:firstLine="420" w:firstLineChars="200"/>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3</w:t>
      </w:r>
      <w:r>
        <w:rPr>
          <w:rFonts w:hint="eastAsia" w:ascii="宋体" w:hAnsi="宋体" w:cs="宋体"/>
          <w:color w:val="auto"/>
          <w:highlight w:val="none"/>
        </w:rPr>
        <w:t>）专业工程暂估价金额：</w:t>
      </w:r>
      <w:r>
        <w:rPr>
          <w:rFonts w:hint="eastAsia" w:asciiTheme="minorEastAsia" w:hAnsiTheme="minorEastAsia" w:eastAsiaTheme="minorEastAsia"/>
          <w:color w:val="auto"/>
          <w:highlight w:val="none"/>
          <w:u w:val="single"/>
        </w:rPr>
        <w:t xml:space="preserve">   /     </w:t>
      </w:r>
      <w:r>
        <w:rPr>
          <w:rFonts w:hint="eastAsia" w:ascii="宋体" w:hAnsi="宋体"/>
          <w:color w:val="auto"/>
          <w:kern w:val="0"/>
          <w:highlight w:val="none"/>
        </w:rPr>
        <w:t>。</w:t>
      </w:r>
    </w:p>
    <w:p w14:paraId="3F785DBE">
      <w:pPr>
        <w:spacing w:line="360" w:lineRule="auto"/>
        <w:ind w:firstLine="945" w:firstLineChars="450"/>
        <w:rPr>
          <w:rFonts w:ascii="宋体" w:hAnsi="宋体"/>
          <w:color w:val="auto"/>
          <w:highlight w:val="none"/>
        </w:rPr>
      </w:pPr>
      <w:r>
        <w:rPr>
          <w:rFonts w:hint="eastAsia" w:ascii="宋体" w:hAnsi="宋体" w:cs="宋体"/>
          <w:color w:val="auto"/>
          <w:highlight w:val="none"/>
        </w:rPr>
        <w:t>人民币（大写）</w:t>
      </w:r>
      <w:r>
        <w:rPr>
          <w:rFonts w:hint="eastAsia" w:asciiTheme="minorEastAsia" w:hAnsiTheme="minorEastAsia" w:eastAsiaTheme="minorEastAsia"/>
          <w:color w:val="auto"/>
          <w:highlight w:val="none"/>
          <w:u w:val="single"/>
        </w:rPr>
        <w:t xml:space="preserve">   /     </w:t>
      </w:r>
      <w:r>
        <w:rPr>
          <w:rFonts w:hint="eastAsia" w:ascii="宋体" w:hAnsi="宋体" w:cs="宋体"/>
          <w:color w:val="auto"/>
          <w:highlight w:val="none"/>
        </w:rPr>
        <w:t>（</w:t>
      </w:r>
      <w:r>
        <w:rPr>
          <w:rFonts w:ascii="宋体" w:hAnsi="宋体"/>
          <w:color w:val="auto"/>
          <w:highlight w:val="none"/>
        </w:rPr>
        <w:t>¥</w:t>
      </w:r>
      <w:r>
        <w:rPr>
          <w:rFonts w:hint="eastAsia" w:asciiTheme="minorEastAsia" w:hAnsiTheme="minorEastAsia" w:eastAsiaTheme="minorEastAsia"/>
          <w:color w:val="auto"/>
          <w:highlight w:val="none"/>
          <w:u w:val="single"/>
        </w:rPr>
        <w:t xml:space="preserve">   /     </w:t>
      </w:r>
      <w:r>
        <w:rPr>
          <w:rFonts w:hint="eastAsia" w:ascii="宋体" w:hAnsi="宋体" w:cs="宋体"/>
          <w:color w:val="auto"/>
          <w:highlight w:val="none"/>
        </w:rPr>
        <w:t>元）；</w:t>
      </w:r>
    </w:p>
    <w:p w14:paraId="2AE9C322">
      <w:pPr>
        <w:spacing w:line="360" w:lineRule="auto"/>
        <w:ind w:firstLine="420" w:firstLineChars="200"/>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4</w:t>
      </w:r>
      <w:r>
        <w:rPr>
          <w:rFonts w:hint="eastAsia" w:ascii="宋体" w:hAnsi="宋体" w:cs="宋体"/>
          <w:color w:val="auto"/>
          <w:highlight w:val="none"/>
        </w:rPr>
        <w:t>）暂列金额：</w:t>
      </w:r>
      <w:r>
        <w:rPr>
          <w:rFonts w:hint="eastAsia" w:asciiTheme="minorEastAsia" w:hAnsiTheme="minorEastAsia" w:eastAsiaTheme="minorEastAsia"/>
          <w:color w:val="auto"/>
          <w:highlight w:val="none"/>
          <w:u w:val="single"/>
        </w:rPr>
        <w:t xml:space="preserve">   /     </w:t>
      </w:r>
      <w:r>
        <w:rPr>
          <w:rFonts w:hint="eastAsia" w:ascii="宋体" w:hAnsi="宋体"/>
          <w:color w:val="auto"/>
          <w:kern w:val="0"/>
          <w:highlight w:val="none"/>
        </w:rPr>
        <w:t>。</w:t>
      </w:r>
    </w:p>
    <w:p w14:paraId="3F001E57">
      <w:pPr>
        <w:spacing w:line="360" w:lineRule="auto"/>
        <w:ind w:firstLine="945" w:firstLineChars="450"/>
        <w:rPr>
          <w:rFonts w:ascii="宋体" w:hAnsi="宋体" w:cs="宋体"/>
          <w:color w:val="auto"/>
          <w:highlight w:val="none"/>
        </w:rPr>
      </w:pPr>
      <w:r>
        <w:rPr>
          <w:rFonts w:hint="eastAsia" w:ascii="宋体" w:hAnsi="宋体" w:cs="宋体"/>
          <w:color w:val="auto"/>
          <w:highlight w:val="none"/>
        </w:rPr>
        <w:t>人民币（大写）</w:t>
      </w:r>
      <w:r>
        <w:rPr>
          <w:rFonts w:hint="eastAsia" w:asciiTheme="minorEastAsia" w:hAnsiTheme="minorEastAsia" w:eastAsiaTheme="minorEastAsia"/>
          <w:color w:val="auto"/>
          <w:highlight w:val="none"/>
          <w:u w:val="single"/>
        </w:rPr>
        <w:t xml:space="preserve">   /     </w:t>
      </w:r>
      <w:r>
        <w:rPr>
          <w:rFonts w:hint="eastAsia" w:ascii="宋体" w:hAnsi="宋体" w:cs="宋体"/>
          <w:color w:val="auto"/>
          <w:highlight w:val="none"/>
        </w:rPr>
        <w:t>（</w:t>
      </w:r>
      <w:r>
        <w:rPr>
          <w:rFonts w:ascii="宋体" w:hAnsi="宋体"/>
          <w:color w:val="auto"/>
          <w:highlight w:val="none"/>
        </w:rPr>
        <w:t>¥</w:t>
      </w:r>
      <w:r>
        <w:rPr>
          <w:rFonts w:hint="eastAsia" w:asciiTheme="minorEastAsia" w:hAnsiTheme="minorEastAsia" w:eastAsiaTheme="minorEastAsia"/>
          <w:color w:val="auto"/>
          <w:highlight w:val="none"/>
          <w:u w:val="single"/>
        </w:rPr>
        <w:t xml:space="preserve">   /     </w:t>
      </w:r>
      <w:r>
        <w:rPr>
          <w:rFonts w:hint="eastAsia" w:ascii="宋体" w:hAnsi="宋体" w:cs="宋体"/>
          <w:color w:val="auto"/>
          <w:highlight w:val="none"/>
        </w:rPr>
        <w:t>元）。</w:t>
      </w:r>
    </w:p>
    <w:p w14:paraId="6A763C9F">
      <w:pPr>
        <w:numPr>
          <w:ilvl w:val="0"/>
          <w:numId w:val="10"/>
        </w:num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合同价格形式：</w:t>
      </w:r>
      <w:r>
        <w:rPr>
          <w:rFonts w:hint="eastAsia" w:ascii="宋体" w:hAnsi="宋体" w:cs="宋体"/>
          <w:color w:val="auto"/>
          <w:highlight w:val="none"/>
          <w:u w:val="single"/>
        </w:rPr>
        <w:t>单价合同</w:t>
      </w:r>
      <w:r>
        <w:rPr>
          <w:rFonts w:hint="eastAsia" w:ascii="宋体" w:hAnsi="宋体"/>
          <w:color w:val="auto"/>
          <w:kern w:val="0"/>
          <w:highlight w:val="none"/>
        </w:rPr>
        <w:t>。</w:t>
      </w:r>
    </w:p>
    <w:p w14:paraId="1993A4F6">
      <w:pPr>
        <w:spacing w:line="360" w:lineRule="auto"/>
        <w:ind w:firstLine="420" w:firstLineChars="200"/>
        <w:rPr>
          <w:rFonts w:ascii="宋体" w:hAnsi="宋体" w:cs="宋体"/>
          <w:color w:val="auto"/>
          <w:highlight w:val="none"/>
          <w:u w:val="single"/>
        </w:rPr>
      </w:pPr>
      <w:r>
        <w:rPr>
          <w:rFonts w:ascii="宋体" w:hAnsi="宋体" w:cs="宋体"/>
          <w:color w:val="auto"/>
          <w:highlight w:val="none"/>
        </w:rPr>
        <w:t>3.</w:t>
      </w: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）其它工程款支付账户：</w:t>
      </w:r>
      <w:r>
        <w:rPr>
          <w:rFonts w:hint="eastAsia" w:asciiTheme="minorEastAsia" w:hAnsiTheme="minorEastAsia" w:eastAsiaTheme="minorEastAsia"/>
          <w:color w:val="auto"/>
          <w:highlight w:val="none"/>
          <w:u w:val="single"/>
        </w:rPr>
        <w:t xml:space="preserve">   /     </w:t>
      </w:r>
      <w:r>
        <w:rPr>
          <w:rFonts w:hint="eastAsia" w:ascii="宋体" w:hAnsi="宋体"/>
          <w:color w:val="auto"/>
          <w:kern w:val="0"/>
          <w:highlight w:val="none"/>
        </w:rPr>
        <w:t>。</w:t>
      </w:r>
    </w:p>
    <w:p w14:paraId="0B5947E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账号：</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4BCFADE5">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开户银行：</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3F75869E">
      <w:pPr>
        <w:numPr>
          <w:ilvl w:val="0"/>
          <w:numId w:val="11"/>
        </w:numPr>
        <w:spacing w:line="360" w:lineRule="auto"/>
        <w:rPr>
          <w:rFonts w:ascii="宋体" w:hAnsi="宋体" w:cs="宋体"/>
          <w:color w:val="auto"/>
          <w:highlight w:val="none"/>
        </w:rPr>
      </w:pPr>
      <w:r>
        <w:rPr>
          <w:rFonts w:hint="eastAsia" w:ascii="宋体" w:hAnsi="宋体" w:cs="宋体"/>
          <w:color w:val="auto"/>
          <w:highlight w:val="none"/>
        </w:rPr>
        <w:t>安全生产费用支付专用账户：</w:t>
      </w:r>
      <w:r>
        <w:rPr>
          <w:rFonts w:hint="eastAsia" w:ascii="宋体" w:hAnsi="宋体" w:cs="宋体"/>
          <w:color w:val="auto"/>
          <w:highlight w:val="none"/>
          <w:u w:val="single"/>
        </w:rPr>
        <w:t>××××公司安全生产费用专户</w:t>
      </w:r>
      <w:r>
        <w:rPr>
          <w:rFonts w:hint="eastAsia" w:ascii="宋体" w:hAnsi="宋体" w:cs="宋体"/>
          <w:color w:val="auto"/>
          <w:highlight w:val="none"/>
        </w:rPr>
        <w:t>。</w:t>
      </w:r>
    </w:p>
    <w:p w14:paraId="51A7C6E0">
      <w:pPr>
        <w:spacing w:line="360" w:lineRule="auto"/>
        <w:ind w:left="525" w:firstLine="420" w:firstLineChars="200"/>
        <w:rPr>
          <w:rFonts w:ascii="宋体" w:hAnsi="宋体" w:cs="宋体"/>
          <w:color w:val="auto"/>
          <w:highlight w:val="none"/>
        </w:rPr>
      </w:pPr>
      <w:r>
        <w:rPr>
          <w:rFonts w:hint="eastAsia" w:ascii="宋体" w:hAnsi="宋体" w:cs="宋体"/>
          <w:color w:val="auto"/>
          <w:highlight w:val="none"/>
        </w:rPr>
        <w:t>账号：</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221FFFE4">
      <w:pPr>
        <w:spacing w:line="360" w:lineRule="auto"/>
        <w:ind w:firstLine="1050" w:firstLineChars="500"/>
        <w:rPr>
          <w:rFonts w:ascii="宋体" w:hAnsi="宋体" w:cs="宋体"/>
          <w:color w:val="auto"/>
          <w:highlight w:val="none"/>
        </w:rPr>
      </w:pPr>
      <w:r>
        <w:rPr>
          <w:rFonts w:hint="eastAsia" w:ascii="宋体" w:hAnsi="宋体" w:cs="宋体"/>
          <w:color w:val="auto"/>
          <w:highlight w:val="none"/>
        </w:rPr>
        <w:t>开户银行：</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10B84041">
      <w:pPr>
        <w:numPr>
          <w:ilvl w:val="0"/>
          <w:numId w:val="11"/>
        </w:numPr>
        <w:spacing w:line="360" w:lineRule="auto"/>
        <w:rPr>
          <w:rFonts w:ascii="宋体" w:hAnsi="宋体" w:cs="宋体"/>
          <w:color w:val="auto"/>
          <w:highlight w:val="none"/>
        </w:rPr>
      </w:pPr>
      <w:r>
        <w:rPr>
          <w:rFonts w:hint="eastAsia" w:ascii="宋体" w:hAnsi="宋体" w:cs="宋体"/>
          <w:color w:val="auto"/>
          <w:highlight w:val="none"/>
        </w:rPr>
        <w:t>农民工工资支付专用账户：</w:t>
      </w:r>
      <w:r>
        <w:rPr>
          <w:rFonts w:hint="eastAsia" w:ascii="宋体" w:hAnsi="宋体" w:cs="宋体"/>
          <w:color w:val="auto"/>
          <w:highlight w:val="none"/>
          <w:u w:val="single"/>
        </w:rPr>
        <w:t>××××公司农民工工资支付专用账户</w:t>
      </w:r>
      <w:r>
        <w:rPr>
          <w:rFonts w:hint="eastAsia" w:ascii="宋体" w:hAnsi="宋体" w:cs="宋体"/>
          <w:color w:val="auto"/>
          <w:highlight w:val="none"/>
        </w:rPr>
        <w:t>。</w:t>
      </w:r>
    </w:p>
    <w:p w14:paraId="01078D18">
      <w:pPr>
        <w:spacing w:line="360" w:lineRule="auto"/>
        <w:ind w:left="525" w:firstLine="420" w:firstLineChars="200"/>
        <w:rPr>
          <w:rFonts w:ascii="宋体" w:hAnsi="宋体" w:cs="宋体"/>
          <w:color w:val="auto"/>
          <w:highlight w:val="none"/>
        </w:rPr>
      </w:pPr>
      <w:r>
        <w:rPr>
          <w:rFonts w:hint="eastAsia" w:ascii="宋体" w:hAnsi="宋体" w:cs="宋体"/>
          <w:color w:val="auto"/>
          <w:highlight w:val="none"/>
        </w:rPr>
        <w:t>账号：</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1E74133B">
      <w:pPr>
        <w:spacing w:line="360" w:lineRule="auto"/>
        <w:ind w:left="525" w:firstLine="420" w:firstLineChars="200"/>
        <w:rPr>
          <w:rFonts w:ascii="宋体" w:hAnsi="宋体" w:cs="宋体"/>
          <w:color w:val="auto"/>
          <w:highlight w:val="none"/>
        </w:rPr>
      </w:pPr>
      <w:r>
        <w:rPr>
          <w:rFonts w:hint="eastAsia" w:ascii="宋体" w:hAnsi="宋体" w:cs="宋体"/>
          <w:color w:val="auto"/>
          <w:highlight w:val="none"/>
        </w:rPr>
        <w:t>开户银行：</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0D7D33B5">
      <w:pPr>
        <w:spacing w:line="360" w:lineRule="auto"/>
        <w:ind w:firstLine="422" w:firstLineChars="200"/>
        <w:outlineLvl w:val="0"/>
        <w:rPr>
          <w:rFonts w:ascii="宋体" w:hAnsi="宋体"/>
          <w:b/>
          <w:bCs/>
          <w:color w:val="auto"/>
          <w:highlight w:val="none"/>
        </w:rPr>
      </w:pPr>
      <w:bookmarkStart w:id="110" w:name="_Toc351203485"/>
      <w:bookmarkStart w:id="111" w:name="_Toc12779"/>
      <w:bookmarkStart w:id="112" w:name="_Toc26812"/>
      <w:bookmarkStart w:id="113" w:name="_Toc7927"/>
      <w:bookmarkStart w:id="114" w:name="_Toc9149"/>
      <w:bookmarkStart w:id="115" w:name="_Toc28345"/>
      <w:bookmarkStart w:id="116" w:name="_Toc18447"/>
      <w:r>
        <w:rPr>
          <w:rFonts w:hint="eastAsia" w:ascii="宋体" w:hAnsi="宋体" w:cs="宋体"/>
          <w:b/>
          <w:bCs/>
          <w:color w:val="auto"/>
          <w:highlight w:val="none"/>
        </w:rPr>
        <w:t>五、</w:t>
      </w:r>
      <w:bookmarkEnd w:id="110"/>
      <w:r>
        <w:rPr>
          <w:rFonts w:hint="eastAsia" w:ascii="宋体" w:hAnsi="宋体" w:cs="宋体"/>
          <w:b/>
          <w:bCs/>
          <w:color w:val="auto"/>
          <w:highlight w:val="none"/>
        </w:rPr>
        <w:t>项目经理</w:t>
      </w:r>
      <w:bookmarkEnd w:id="111"/>
      <w:bookmarkEnd w:id="112"/>
      <w:bookmarkEnd w:id="113"/>
      <w:bookmarkEnd w:id="114"/>
      <w:bookmarkEnd w:id="115"/>
      <w:bookmarkEnd w:id="116"/>
    </w:p>
    <w:p w14:paraId="1D24491B">
      <w:pPr>
        <w:spacing w:line="360" w:lineRule="auto"/>
        <w:ind w:firstLine="840" w:firstLineChars="400"/>
        <w:rPr>
          <w:rFonts w:ascii="宋体" w:hAnsi="宋体"/>
          <w:color w:val="auto"/>
          <w:highlight w:val="none"/>
        </w:rPr>
      </w:pPr>
      <w:r>
        <w:rPr>
          <w:rFonts w:hint="eastAsia" w:ascii="宋体" w:hAnsi="宋体" w:cs="宋体"/>
          <w:color w:val="auto"/>
          <w:highlight w:val="none"/>
        </w:rPr>
        <w:t>项目经理：</w:t>
      </w:r>
      <w:r>
        <w:rPr>
          <w:rFonts w:hint="eastAsia" w:asciiTheme="minorEastAsia" w:hAnsiTheme="minorEastAsia" w:eastAsiaTheme="minorEastAsia"/>
          <w:color w:val="auto"/>
          <w:highlight w:val="none"/>
          <w:u w:val="single"/>
        </w:rPr>
        <w:t xml:space="preserve">        </w:t>
      </w:r>
      <w:r>
        <w:rPr>
          <w:rFonts w:hint="eastAsia" w:ascii="宋体" w:hAnsi="宋体"/>
          <w:color w:val="auto"/>
          <w:kern w:val="0"/>
          <w:highlight w:val="none"/>
        </w:rPr>
        <w:t>。</w:t>
      </w:r>
    </w:p>
    <w:p w14:paraId="12CFBC5C">
      <w:pPr>
        <w:spacing w:line="360" w:lineRule="auto"/>
        <w:ind w:firstLine="422" w:firstLineChars="200"/>
        <w:outlineLvl w:val="0"/>
        <w:rPr>
          <w:rFonts w:ascii="宋体" w:hAnsi="宋体"/>
          <w:b/>
          <w:bCs/>
          <w:color w:val="auto"/>
          <w:highlight w:val="none"/>
        </w:rPr>
      </w:pPr>
      <w:bookmarkStart w:id="117" w:name="_Toc19411"/>
      <w:bookmarkStart w:id="118" w:name="_Toc12699"/>
      <w:bookmarkStart w:id="119" w:name="_Toc9821"/>
      <w:bookmarkStart w:id="120" w:name="_Toc28230"/>
      <w:bookmarkStart w:id="121" w:name="_Toc351203486"/>
      <w:bookmarkStart w:id="122" w:name="_Toc27263"/>
      <w:bookmarkStart w:id="123" w:name="_Toc16162"/>
      <w:r>
        <w:rPr>
          <w:rFonts w:hint="eastAsia" w:ascii="宋体" w:hAnsi="宋体" w:cs="宋体"/>
          <w:b/>
          <w:bCs/>
          <w:color w:val="auto"/>
          <w:highlight w:val="none"/>
        </w:rPr>
        <w:t>六、合同文件构成</w:t>
      </w:r>
      <w:bookmarkEnd w:id="117"/>
      <w:bookmarkEnd w:id="118"/>
      <w:bookmarkEnd w:id="119"/>
      <w:bookmarkEnd w:id="120"/>
      <w:bookmarkEnd w:id="121"/>
      <w:bookmarkEnd w:id="122"/>
      <w:bookmarkEnd w:id="123"/>
    </w:p>
    <w:p w14:paraId="107D9B82">
      <w:pPr>
        <w:spacing w:line="360" w:lineRule="auto"/>
        <w:ind w:firstLine="420" w:firstLineChars="200"/>
        <w:rPr>
          <w:rFonts w:ascii="宋体" w:hAnsi="宋体"/>
          <w:color w:val="auto"/>
          <w:highlight w:val="none"/>
        </w:rPr>
      </w:pPr>
      <w:r>
        <w:rPr>
          <w:rFonts w:hint="eastAsia" w:ascii="宋体" w:hAnsi="宋体" w:cs="宋体"/>
          <w:color w:val="auto"/>
          <w:highlight w:val="none"/>
        </w:rPr>
        <w:t>本协议书与下列文件一起构成合同文件：</w:t>
      </w:r>
    </w:p>
    <w:p w14:paraId="6A0CAEBC">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1</w:t>
      </w:r>
      <w:r>
        <w:rPr>
          <w:rFonts w:hint="eastAsia" w:ascii="宋体" w:hAnsi="宋体" w:cs="宋体"/>
          <w:color w:val="auto"/>
          <w:highlight w:val="none"/>
        </w:rPr>
        <w:t>）成交通知书（如有）；</w:t>
      </w:r>
    </w:p>
    <w:p w14:paraId="16FF7E1B">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2</w:t>
      </w:r>
      <w:r>
        <w:rPr>
          <w:rFonts w:hint="eastAsia" w:ascii="宋体" w:hAnsi="宋体" w:cs="宋体"/>
          <w:color w:val="auto"/>
          <w:highlight w:val="none"/>
        </w:rPr>
        <w:t>）投标函及其附录（如有）；</w:t>
      </w:r>
    </w:p>
    <w:p w14:paraId="73CC797A">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3</w:t>
      </w:r>
      <w:r>
        <w:rPr>
          <w:rFonts w:hint="eastAsia" w:ascii="宋体" w:hAnsi="宋体" w:cs="宋体"/>
          <w:color w:val="auto"/>
          <w:highlight w:val="none"/>
        </w:rPr>
        <w:t>）专用合同条款及其附件；</w:t>
      </w:r>
    </w:p>
    <w:p w14:paraId="1225E67F">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4</w:t>
      </w:r>
      <w:r>
        <w:rPr>
          <w:rFonts w:hint="eastAsia" w:ascii="宋体" w:hAnsi="宋体" w:cs="宋体"/>
          <w:color w:val="auto"/>
          <w:highlight w:val="none"/>
        </w:rPr>
        <w:t>）通用合同条款；</w:t>
      </w:r>
    </w:p>
    <w:p w14:paraId="4B3670EA">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w:t>
      </w:r>
      <w:r>
        <w:rPr>
          <w:rFonts w:ascii="宋体" w:hAnsi="宋体"/>
          <w:color w:val="auto"/>
          <w:highlight w:val="none"/>
        </w:rPr>
        <w:t>5</w:t>
      </w:r>
      <w:r>
        <w:rPr>
          <w:rFonts w:hint="eastAsia" w:ascii="宋体" w:hAnsi="宋体" w:cs="宋体"/>
          <w:color w:val="auto"/>
          <w:highlight w:val="none"/>
        </w:rPr>
        <w:t>）其他合同文件：</w:t>
      </w:r>
    </w:p>
    <w:p w14:paraId="1C6E2C14">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s="宋体"/>
          <w:color w:val="auto"/>
          <w:highlight w:val="none"/>
        </w:rPr>
        <w:t>上述各项合同文件包括合同当事人就该项合同文件所作出的补充和修改，属于同一类内容的文件，应以最新签署的为准（违反招标文件实质性内容的约定除外）。专用合同条款及其附件须经合同当事人签字或盖章。</w:t>
      </w:r>
    </w:p>
    <w:p w14:paraId="5DC4D8FD">
      <w:pPr>
        <w:autoSpaceDE w:val="0"/>
        <w:autoSpaceDN w:val="0"/>
        <w:adjustRightInd w:val="0"/>
        <w:spacing w:line="360" w:lineRule="auto"/>
        <w:ind w:firstLine="422" w:firstLineChars="200"/>
        <w:jc w:val="left"/>
        <w:outlineLvl w:val="0"/>
        <w:rPr>
          <w:rFonts w:ascii="宋体" w:hAnsi="宋体"/>
          <w:b/>
          <w:bCs/>
          <w:color w:val="auto"/>
          <w:highlight w:val="none"/>
        </w:rPr>
      </w:pPr>
      <w:bookmarkStart w:id="124" w:name="_Toc18222"/>
      <w:bookmarkStart w:id="125" w:name="_Toc2661"/>
      <w:bookmarkStart w:id="126" w:name="_Toc17846"/>
      <w:bookmarkStart w:id="127" w:name="_Toc23932"/>
      <w:bookmarkStart w:id="128" w:name="_Toc362"/>
      <w:bookmarkStart w:id="129" w:name="_Toc351203487"/>
      <w:bookmarkStart w:id="130" w:name="_Toc10413"/>
      <w:r>
        <w:rPr>
          <w:rFonts w:hint="eastAsia" w:ascii="宋体" w:hAnsi="宋体" w:cs="宋体"/>
          <w:b/>
          <w:bCs/>
          <w:color w:val="auto"/>
          <w:highlight w:val="none"/>
        </w:rPr>
        <w:t>七、承诺</w:t>
      </w:r>
      <w:bookmarkEnd w:id="124"/>
      <w:bookmarkEnd w:id="125"/>
      <w:bookmarkEnd w:id="126"/>
      <w:bookmarkEnd w:id="127"/>
      <w:bookmarkEnd w:id="128"/>
      <w:bookmarkEnd w:id="129"/>
      <w:bookmarkEnd w:id="130"/>
    </w:p>
    <w:p w14:paraId="75F0D5F5">
      <w:pPr>
        <w:spacing w:line="360" w:lineRule="auto"/>
        <w:ind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s="宋体"/>
          <w:color w:val="auto"/>
          <w:highlight w:val="none"/>
        </w:rPr>
        <w:t>发包人承诺按照法律规定履行项目审批手续、筹集工程建设资金并按照合同约定的期限和方式支付合同价款。</w:t>
      </w:r>
    </w:p>
    <w:p w14:paraId="6D7631A6">
      <w:pPr>
        <w:spacing w:line="360" w:lineRule="auto"/>
        <w:ind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s="宋体"/>
          <w:color w:val="auto"/>
          <w:highlight w:val="none"/>
        </w:rPr>
        <w:t>承包人承诺按照法律规定及合同约定组织完成工程施工，确保工程质量和安全，不进行转包及违法分包，并在缺陷责任期及保修期内承担相应的工程维修责任。</w:t>
      </w:r>
    </w:p>
    <w:p w14:paraId="67F6D5EA">
      <w:pPr>
        <w:spacing w:line="360" w:lineRule="auto"/>
        <w:ind w:firstLine="420" w:firstLineChars="200"/>
        <w:rPr>
          <w:rFonts w:ascii="宋体" w:hAnsi="宋体"/>
          <w:color w:val="auto"/>
          <w:highlight w:val="none"/>
        </w:rPr>
      </w:pPr>
      <w:r>
        <w:rPr>
          <w:rFonts w:ascii="宋体" w:hAnsi="宋体"/>
          <w:color w:val="auto"/>
          <w:highlight w:val="none"/>
        </w:rPr>
        <w:t xml:space="preserve">3. </w:t>
      </w:r>
      <w:r>
        <w:rPr>
          <w:rFonts w:hint="eastAsia" w:ascii="宋体" w:hAnsi="宋体" w:cs="宋体"/>
          <w:color w:val="auto"/>
          <w:highlight w:val="none"/>
        </w:rPr>
        <w:t>发包人和承包人通过招投标形式签订合同的，双方理解并承诺不再就同一工程另行签订与合同实质性内容相背离的协议。</w:t>
      </w:r>
      <w:bookmarkStart w:id="131" w:name="_Toc351203488"/>
    </w:p>
    <w:p w14:paraId="7FF71970">
      <w:pPr>
        <w:spacing w:line="360" w:lineRule="auto"/>
        <w:ind w:firstLine="422" w:firstLineChars="200"/>
        <w:outlineLvl w:val="0"/>
        <w:rPr>
          <w:rFonts w:ascii="宋体" w:hAnsi="宋体"/>
          <w:b/>
          <w:bCs/>
          <w:color w:val="auto"/>
          <w:highlight w:val="none"/>
        </w:rPr>
      </w:pPr>
      <w:bookmarkStart w:id="132" w:name="_Toc7359"/>
      <w:bookmarkStart w:id="133" w:name="_Toc9568"/>
      <w:bookmarkStart w:id="134" w:name="_Toc14528"/>
      <w:bookmarkStart w:id="135" w:name="_Toc25082"/>
      <w:bookmarkStart w:id="136" w:name="_Toc15771"/>
      <w:bookmarkStart w:id="137" w:name="_Toc18952"/>
      <w:r>
        <w:rPr>
          <w:rFonts w:hint="eastAsia" w:ascii="宋体" w:hAnsi="宋体" w:cs="宋体"/>
          <w:b/>
          <w:bCs/>
          <w:color w:val="auto"/>
          <w:highlight w:val="none"/>
        </w:rPr>
        <w:t>八、词语含义</w:t>
      </w:r>
      <w:bookmarkEnd w:id="131"/>
      <w:bookmarkEnd w:id="132"/>
      <w:bookmarkEnd w:id="133"/>
      <w:bookmarkEnd w:id="134"/>
      <w:bookmarkEnd w:id="135"/>
      <w:bookmarkEnd w:id="136"/>
      <w:bookmarkEnd w:id="137"/>
    </w:p>
    <w:p w14:paraId="5DB454E0">
      <w:pPr>
        <w:spacing w:line="360" w:lineRule="auto"/>
        <w:ind w:firstLine="420" w:firstLineChars="200"/>
        <w:rPr>
          <w:rFonts w:ascii="宋体" w:hAnsi="宋体"/>
          <w:color w:val="auto"/>
          <w:highlight w:val="none"/>
        </w:rPr>
      </w:pPr>
      <w:r>
        <w:rPr>
          <w:rFonts w:hint="eastAsia" w:ascii="宋体" w:hAnsi="宋体" w:cs="宋体"/>
          <w:color w:val="auto"/>
          <w:highlight w:val="none"/>
        </w:rPr>
        <w:t>本协议书中词语含义与第二部分通用合同条款中赋予的含义相同。</w:t>
      </w:r>
    </w:p>
    <w:p w14:paraId="46646CF7">
      <w:pPr>
        <w:spacing w:line="360" w:lineRule="auto"/>
        <w:ind w:firstLine="422" w:firstLineChars="200"/>
        <w:outlineLvl w:val="0"/>
        <w:rPr>
          <w:rFonts w:ascii="宋体" w:hAnsi="宋体"/>
          <w:b/>
          <w:bCs/>
          <w:color w:val="auto"/>
          <w:highlight w:val="none"/>
        </w:rPr>
      </w:pPr>
      <w:bookmarkStart w:id="138" w:name="_Toc6673"/>
      <w:bookmarkStart w:id="139" w:name="_Toc22714"/>
      <w:bookmarkStart w:id="140" w:name="_Toc14094"/>
      <w:bookmarkStart w:id="141" w:name="_Toc25059"/>
      <w:bookmarkStart w:id="142" w:name="_Toc351203489"/>
      <w:bookmarkStart w:id="143" w:name="_Toc8391"/>
      <w:bookmarkStart w:id="144" w:name="_Toc9192"/>
      <w:r>
        <w:rPr>
          <w:rFonts w:hint="eastAsia" w:ascii="宋体" w:hAnsi="宋体" w:cs="宋体"/>
          <w:b/>
          <w:bCs/>
          <w:color w:val="auto"/>
          <w:highlight w:val="none"/>
        </w:rPr>
        <w:t>九、签订时间</w:t>
      </w:r>
      <w:bookmarkEnd w:id="138"/>
      <w:bookmarkEnd w:id="139"/>
      <w:bookmarkEnd w:id="140"/>
      <w:bookmarkEnd w:id="141"/>
      <w:bookmarkEnd w:id="142"/>
      <w:bookmarkEnd w:id="143"/>
      <w:bookmarkEnd w:id="144"/>
    </w:p>
    <w:p w14:paraId="4131D12D">
      <w:pPr>
        <w:spacing w:line="360" w:lineRule="auto"/>
        <w:ind w:firstLine="420" w:firstLineChars="200"/>
        <w:rPr>
          <w:rFonts w:ascii="宋体" w:hAnsi="宋体"/>
          <w:color w:val="auto"/>
          <w:highlight w:val="none"/>
        </w:rPr>
      </w:pPr>
      <w:r>
        <w:rPr>
          <w:rFonts w:hint="eastAsia" w:ascii="宋体" w:hAnsi="宋体" w:cs="宋体"/>
          <w:color w:val="auto"/>
          <w:highlight w:val="none"/>
        </w:rPr>
        <w:t>本合同于</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年</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月</w:t>
      </w:r>
      <w:r>
        <w:rPr>
          <w:rFonts w:hint="eastAsia" w:asciiTheme="minorEastAsia" w:hAnsiTheme="minorEastAsia" w:eastAsiaTheme="minorEastAsia"/>
          <w:color w:val="auto"/>
          <w:highlight w:val="none"/>
          <w:u w:val="single"/>
        </w:rPr>
        <w:t xml:space="preserve">    </w:t>
      </w:r>
      <w:r>
        <w:rPr>
          <w:rFonts w:hint="eastAsia" w:ascii="宋体" w:hAnsi="宋体" w:cs="宋体"/>
          <w:color w:val="auto"/>
          <w:highlight w:val="none"/>
        </w:rPr>
        <w:t>日  签订。</w:t>
      </w:r>
    </w:p>
    <w:p w14:paraId="2F9A5DCE">
      <w:pPr>
        <w:spacing w:line="360" w:lineRule="auto"/>
        <w:ind w:firstLine="422" w:firstLineChars="200"/>
        <w:outlineLvl w:val="0"/>
        <w:rPr>
          <w:rFonts w:ascii="宋体" w:hAnsi="宋体"/>
          <w:b/>
          <w:bCs/>
          <w:color w:val="auto"/>
          <w:highlight w:val="none"/>
        </w:rPr>
      </w:pPr>
      <w:bookmarkStart w:id="145" w:name="_Toc28379"/>
      <w:bookmarkStart w:id="146" w:name="_Toc351203490"/>
      <w:bookmarkStart w:id="147" w:name="_Toc19238"/>
      <w:bookmarkStart w:id="148" w:name="_Toc5327"/>
      <w:bookmarkStart w:id="149" w:name="_Toc17759"/>
      <w:bookmarkStart w:id="150" w:name="_Toc23792"/>
      <w:bookmarkStart w:id="151" w:name="_Toc18105"/>
      <w:r>
        <w:rPr>
          <w:rFonts w:hint="eastAsia" w:ascii="宋体" w:hAnsi="宋体" w:cs="宋体"/>
          <w:b/>
          <w:bCs/>
          <w:color w:val="auto"/>
          <w:highlight w:val="none"/>
        </w:rPr>
        <w:t>十、签订地点</w:t>
      </w:r>
      <w:bookmarkEnd w:id="145"/>
      <w:bookmarkEnd w:id="146"/>
      <w:bookmarkEnd w:id="147"/>
      <w:bookmarkEnd w:id="148"/>
      <w:bookmarkEnd w:id="149"/>
      <w:bookmarkEnd w:id="150"/>
      <w:bookmarkEnd w:id="151"/>
    </w:p>
    <w:p w14:paraId="403F21C9">
      <w:pPr>
        <w:spacing w:line="360" w:lineRule="auto"/>
        <w:ind w:firstLine="420" w:firstLineChars="200"/>
        <w:rPr>
          <w:rFonts w:ascii="宋体" w:hAnsi="宋体"/>
          <w:color w:val="auto"/>
          <w:highlight w:val="none"/>
        </w:rPr>
      </w:pPr>
      <w:r>
        <w:rPr>
          <w:rFonts w:hint="eastAsia" w:ascii="宋体" w:hAnsi="宋体" w:cs="宋体"/>
          <w:color w:val="auto"/>
          <w:highlight w:val="none"/>
        </w:rPr>
        <w:t>本合同在</w:t>
      </w:r>
      <w:r>
        <w:rPr>
          <w:rFonts w:hint="eastAsia" w:ascii="宋体" w:hAnsi="宋体"/>
          <w:color w:val="auto"/>
          <w:highlight w:val="none"/>
          <w:u w:val="single"/>
        </w:rPr>
        <w:t>贵港市</w:t>
      </w:r>
      <w:r>
        <w:rPr>
          <w:rFonts w:hint="eastAsia" w:ascii="宋体" w:hAnsi="宋体" w:cs="宋体"/>
          <w:color w:val="auto"/>
          <w:highlight w:val="none"/>
        </w:rPr>
        <w:t>签订。</w:t>
      </w:r>
    </w:p>
    <w:p w14:paraId="1B758335">
      <w:pPr>
        <w:spacing w:line="360" w:lineRule="auto"/>
        <w:ind w:firstLine="422" w:firstLineChars="200"/>
        <w:outlineLvl w:val="0"/>
        <w:rPr>
          <w:rFonts w:ascii="宋体" w:hAnsi="宋体"/>
          <w:b/>
          <w:bCs/>
          <w:color w:val="auto"/>
          <w:highlight w:val="none"/>
        </w:rPr>
      </w:pPr>
      <w:bookmarkStart w:id="152" w:name="_Toc4658"/>
      <w:bookmarkStart w:id="153" w:name="_Toc31018"/>
      <w:bookmarkStart w:id="154" w:name="_Toc23333"/>
      <w:bookmarkStart w:id="155" w:name="_Toc24152"/>
      <w:bookmarkStart w:id="156" w:name="_Toc351203491"/>
      <w:bookmarkStart w:id="157" w:name="_Toc12671"/>
      <w:bookmarkStart w:id="158" w:name="_Toc25763"/>
      <w:r>
        <w:rPr>
          <w:rFonts w:hint="eastAsia" w:ascii="宋体" w:hAnsi="宋体" w:cs="宋体"/>
          <w:b/>
          <w:bCs/>
          <w:color w:val="auto"/>
          <w:highlight w:val="none"/>
        </w:rPr>
        <w:t>十一、补充协议</w:t>
      </w:r>
      <w:bookmarkEnd w:id="152"/>
      <w:bookmarkEnd w:id="153"/>
      <w:bookmarkEnd w:id="154"/>
      <w:bookmarkEnd w:id="155"/>
      <w:bookmarkEnd w:id="156"/>
      <w:bookmarkEnd w:id="157"/>
      <w:bookmarkEnd w:id="158"/>
    </w:p>
    <w:p w14:paraId="70006D99">
      <w:pPr>
        <w:spacing w:line="360" w:lineRule="auto"/>
        <w:ind w:firstLine="420" w:firstLineChars="200"/>
        <w:rPr>
          <w:rFonts w:ascii="宋体" w:hAnsi="宋体"/>
          <w:color w:val="auto"/>
          <w:highlight w:val="none"/>
        </w:rPr>
      </w:pPr>
      <w:r>
        <w:rPr>
          <w:rFonts w:hint="eastAsia" w:ascii="宋体" w:hAnsi="宋体" w:cs="宋体"/>
          <w:color w:val="auto"/>
          <w:highlight w:val="none"/>
        </w:rPr>
        <w:t>合同未尽事宜，合同当事人另行签订补充协议，补充协议是合同的组成部分。</w:t>
      </w:r>
    </w:p>
    <w:p w14:paraId="60AF1B7E">
      <w:pPr>
        <w:spacing w:line="360" w:lineRule="auto"/>
        <w:ind w:firstLine="422" w:firstLineChars="200"/>
        <w:outlineLvl w:val="0"/>
        <w:rPr>
          <w:rFonts w:ascii="宋体" w:hAnsi="宋体"/>
          <w:b/>
          <w:bCs/>
          <w:color w:val="auto"/>
          <w:highlight w:val="none"/>
        </w:rPr>
      </w:pPr>
      <w:bookmarkStart w:id="159" w:name="_Toc6703"/>
      <w:bookmarkStart w:id="160" w:name="_Toc18385"/>
      <w:bookmarkStart w:id="161" w:name="_Toc15527"/>
      <w:bookmarkStart w:id="162" w:name="_Toc351203492"/>
      <w:bookmarkStart w:id="163" w:name="_Toc8977"/>
      <w:bookmarkStart w:id="164" w:name="_Toc25818"/>
      <w:bookmarkStart w:id="165" w:name="_Toc11610"/>
      <w:r>
        <w:rPr>
          <w:rFonts w:hint="eastAsia" w:ascii="宋体" w:hAnsi="宋体" w:cs="宋体"/>
          <w:b/>
          <w:bCs/>
          <w:color w:val="auto"/>
          <w:highlight w:val="none"/>
        </w:rPr>
        <w:t>十二、合同生效</w:t>
      </w:r>
      <w:bookmarkEnd w:id="159"/>
      <w:bookmarkEnd w:id="160"/>
      <w:bookmarkEnd w:id="161"/>
      <w:bookmarkEnd w:id="162"/>
      <w:bookmarkEnd w:id="163"/>
      <w:bookmarkEnd w:id="164"/>
      <w:bookmarkEnd w:id="165"/>
    </w:p>
    <w:p w14:paraId="1146DC9C">
      <w:pPr>
        <w:spacing w:line="360" w:lineRule="auto"/>
        <w:ind w:firstLine="420" w:firstLineChars="200"/>
        <w:rPr>
          <w:rFonts w:ascii="宋体" w:hAnsi="宋体"/>
          <w:color w:val="auto"/>
          <w:highlight w:val="none"/>
        </w:rPr>
      </w:pPr>
      <w:r>
        <w:rPr>
          <w:rFonts w:hint="eastAsia" w:ascii="宋体" w:hAnsi="宋体" w:cs="宋体"/>
          <w:color w:val="auto"/>
          <w:highlight w:val="none"/>
        </w:rPr>
        <w:t>本合同自</w:t>
      </w:r>
      <w:r>
        <w:rPr>
          <w:rFonts w:hint="eastAsia" w:ascii="宋体" w:hAnsi="宋体"/>
          <w:color w:val="auto"/>
          <w:highlight w:val="none"/>
          <w:u w:val="single"/>
        </w:rPr>
        <w:t xml:space="preserve"> 双方</w:t>
      </w:r>
      <w:r>
        <w:rPr>
          <w:rFonts w:hint="eastAsia" w:ascii="宋体" w:hAnsi="宋体" w:cs="宋体"/>
          <w:color w:val="auto"/>
          <w:highlight w:val="none"/>
          <w:u w:val="single"/>
        </w:rPr>
        <w:t>法定代表人签字并加盖单位公章</w:t>
      </w:r>
      <w:r>
        <w:rPr>
          <w:rFonts w:hint="eastAsia" w:ascii="宋体" w:hAnsi="宋体" w:cs="宋体"/>
          <w:color w:val="auto"/>
          <w:highlight w:val="none"/>
        </w:rPr>
        <w:t>生效。</w:t>
      </w:r>
    </w:p>
    <w:p w14:paraId="5B8CBE11">
      <w:pPr>
        <w:spacing w:line="360" w:lineRule="auto"/>
        <w:ind w:firstLine="422" w:firstLineChars="200"/>
        <w:outlineLvl w:val="0"/>
        <w:rPr>
          <w:rFonts w:ascii="宋体" w:hAnsi="宋体"/>
          <w:b/>
          <w:bCs/>
          <w:color w:val="auto"/>
          <w:highlight w:val="none"/>
        </w:rPr>
      </w:pPr>
      <w:bookmarkStart w:id="166" w:name="_Toc15064"/>
      <w:bookmarkStart w:id="167" w:name="_Toc12794"/>
      <w:bookmarkStart w:id="168" w:name="_Toc6593"/>
      <w:bookmarkStart w:id="169" w:name="_Toc28962"/>
      <w:bookmarkStart w:id="170" w:name="_Toc351203493"/>
      <w:bookmarkStart w:id="171" w:name="_Toc11868"/>
      <w:bookmarkStart w:id="172" w:name="_Toc20494"/>
      <w:r>
        <w:rPr>
          <w:rFonts w:hint="eastAsia" w:ascii="宋体" w:hAnsi="宋体" w:cs="宋体"/>
          <w:b/>
          <w:bCs/>
          <w:color w:val="auto"/>
          <w:highlight w:val="none"/>
        </w:rPr>
        <w:t>十三、合同份数</w:t>
      </w:r>
      <w:bookmarkEnd w:id="166"/>
      <w:bookmarkEnd w:id="167"/>
      <w:bookmarkEnd w:id="168"/>
      <w:bookmarkEnd w:id="169"/>
      <w:bookmarkEnd w:id="170"/>
      <w:bookmarkEnd w:id="171"/>
      <w:bookmarkEnd w:id="172"/>
    </w:p>
    <w:p w14:paraId="127F2406">
      <w:pPr>
        <w:spacing w:line="360" w:lineRule="auto"/>
        <w:ind w:firstLine="420" w:firstLineChars="200"/>
        <w:rPr>
          <w:rFonts w:ascii="宋体" w:hAnsi="宋体"/>
          <w:color w:val="auto"/>
          <w:highlight w:val="none"/>
        </w:rPr>
      </w:pPr>
      <w:r>
        <w:rPr>
          <w:rFonts w:hint="eastAsia" w:ascii="宋体" w:hAnsi="宋体" w:cs="宋体"/>
          <w:color w:val="auto"/>
          <w:highlight w:val="none"/>
        </w:rPr>
        <w:t>本合同一陆份，均具有同等法律效力，发包人执叁份，承包人执叁份。</w:t>
      </w:r>
    </w:p>
    <w:p w14:paraId="3CFBC646">
      <w:pPr>
        <w:spacing w:line="360" w:lineRule="auto"/>
        <w:rPr>
          <w:rFonts w:ascii="宋体" w:hAnsi="宋体" w:cs="宋体"/>
          <w:color w:val="auto"/>
          <w:highlight w:val="none"/>
        </w:rPr>
      </w:pPr>
    </w:p>
    <w:p w14:paraId="0ED90088">
      <w:pPr>
        <w:spacing w:line="360" w:lineRule="auto"/>
        <w:rPr>
          <w:rFonts w:ascii="宋体" w:hAnsi="宋体" w:cs="宋体"/>
          <w:color w:val="auto"/>
          <w:highlight w:val="none"/>
        </w:rPr>
      </w:pPr>
    </w:p>
    <w:p w14:paraId="16EE7AB5">
      <w:pPr>
        <w:spacing w:line="360" w:lineRule="auto"/>
        <w:rPr>
          <w:rFonts w:ascii="宋体" w:hAnsi="宋体" w:cs="宋体"/>
          <w:color w:val="auto"/>
          <w:highlight w:val="none"/>
        </w:rPr>
      </w:pPr>
    </w:p>
    <w:p w14:paraId="2A889AD3">
      <w:pPr>
        <w:spacing w:line="360" w:lineRule="auto"/>
        <w:rPr>
          <w:rFonts w:ascii="宋体" w:hAnsi="宋体"/>
          <w:color w:val="auto"/>
          <w:highlight w:val="none"/>
        </w:rPr>
      </w:pPr>
      <w:r>
        <w:rPr>
          <w:rFonts w:hint="eastAsia" w:ascii="宋体" w:hAnsi="宋体" w:cs="宋体"/>
          <w:color w:val="auto"/>
          <w:highlight w:val="none"/>
        </w:rPr>
        <w:t>发包人：（公章）                                 承包人：（公章）</w:t>
      </w:r>
    </w:p>
    <w:p w14:paraId="6190EEB6">
      <w:pPr>
        <w:spacing w:line="360" w:lineRule="auto"/>
        <w:rPr>
          <w:rFonts w:ascii="宋体" w:hAnsi="宋体"/>
          <w:color w:val="auto"/>
          <w:highlight w:val="none"/>
          <w:u w:val="single"/>
        </w:rPr>
      </w:pPr>
    </w:p>
    <w:p w14:paraId="2016A45A">
      <w:pPr>
        <w:spacing w:line="360" w:lineRule="auto"/>
        <w:rPr>
          <w:rFonts w:ascii="宋体" w:hAnsi="宋体"/>
          <w:color w:val="auto"/>
          <w:highlight w:val="none"/>
        </w:rPr>
      </w:pPr>
      <w:r>
        <w:rPr>
          <w:rFonts w:hint="eastAsia" w:ascii="宋体" w:hAnsi="宋体" w:cs="宋体"/>
          <w:color w:val="auto"/>
          <w:highlight w:val="none"/>
        </w:rPr>
        <w:t>法定代表人或其委托代理人（签字）：               法定代表人或其委托代理人（签字）：</w:t>
      </w:r>
    </w:p>
    <w:p w14:paraId="50EAFE6A">
      <w:pPr>
        <w:spacing w:line="360" w:lineRule="auto"/>
        <w:rPr>
          <w:rFonts w:ascii="宋体" w:hAnsi="宋体"/>
          <w:color w:val="auto"/>
          <w:highlight w:val="none"/>
        </w:rPr>
      </w:pPr>
    </w:p>
    <w:p w14:paraId="3B73025F">
      <w:pPr>
        <w:spacing w:line="360" w:lineRule="auto"/>
        <w:rPr>
          <w:rFonts w:ascii="宋体" w:hAnsi="宋体" w:cs="宋体"/>
          <w:color w:val="auto"/>
          <w:highlight w:val="none"/>
        </w:rPr>
      </w:pPr>
      <w:r>
        <w:rPr>
          <w:rFonts w:hint="eastAsia" w:ascii="宋体" w:hAnsi="宋体" w:cs="宋体"/>
          <w:color w:val="auto"/>
          <w:highlight w:val="none"/>
        </w:rPr>
        <w:t>统一社会信用代码：                               统一社会信用代码：</w:t>
      </w:r>
    </w:p>
    <w:p w14:paraId="21D43D97">
      <w:pPr>
        <w:spacing w:line="360" w:lineRule="auto"/>
        <w:rPr>
          <w:rFonts w:ascii="宋体" w:hAnsi="宋体"/>
          <w:color w:val="auto"/>
          <w:highlight w:val="none"/>
        </w:rPr>
      </w:pPr>
      <w:r>
        <w:rPr>
          <w:rFonts w:hint="eastAsia" w:ascii="宋体" w:hAnsi="宋体" w:cs="宋体"/>
          <w:color w:val="auto"/>
          <w:highlight w:val="none"/>
        </w:rPr>
        <w:t>地址：                                           地址：</w:t>
      </w:r>
    </w:p>
    <w:p w14:paraId="4C4A96AB">
      <w:pPr>
        <w:spacing w:line="360" w:lineRule="auto"/>
        <w:rPr>
          <w:rFonts w:ascii="宋体" w:hAnsi="宋体"/>
          <w:color w:val="auto"/>
          <w:highlight w:val="none"/>
        </w:rPr>
      </w:pPr>
      <w:r>
        <w:rPr>
          <w:rFonts w:hint="eastAsia" w:ascii="宋体" w:hAnsi="宋体" w:cs="宋体"/>
          <w:color w:val="auto"/>
          <w:highlight w:val="none"/>
        </w:rPr>
        <w:t>邮政编码：                                       邮政编码：</w:t>
      </w:r>
    </w:p>
    <w:p w14:paraId="14D2156B">
      <w:pPr>
        <w:spacing w:line="360" w:lineRule="auto"/>
        <w:rPr>
          <w:rFonts w:ascii="宋体" w:hAnsi="宋体"/>
          <w:color w:val="auto"/>
          <w:highlight w:val="none"/>
        </w:rPr>
      </w:pPr>
      <w:r>
        <w:rPr>
          <w:rFonts w:hint="eastAsia" w:ascii="宋体" w:hAnsi="宋体" w:cs="宋体"/>
          <w:color w:val="auto"/>
          <w:highlight w:val="none"/>
        </w:rPr>
        <w:t>法定代表人：                                     法定代表人：</w:t>
      </w:r>
    </w:p>
    <w:p w14:paraId="2E8AE9E0">
      <w:pPr>
        <w:spacing w:line="360" w:lineRule="auto"/>
        <w:rPr>
          <w:rFonts w:ascii="宋体" w:hAnsi="宋体"/>
          <w:color w:val="auto"/>
          <w:highlight w:val="none"/>
        </w:rPr>
      </w:pPr>
      <w:r>
        <w:rPr>
          <w:rFonts w:hint="eastAsia" w:ascii="宋体" w:hAnsi="宋体" w:cs="宋体"/>
          <w:color w:val="auto"/>
          <w:highlight w:val="none"/>
        </w:rPr>
        <w:t>委托代理人：                                     委托代理人：</w:t>
      </w:r>
    </w:p>
    <w:p w14:paraId="26FBA919">
      <w:pPr>
        <w:spacing w:line="360" w:lineRule="auto"/>
        <w:rPr>
          <w:rFonts w:ascii="宋体" w:hAnsi="宋体"/>
          <w:color w:val="auto"/>
          <w:highlight w:val="none"/>
        </w:rPr>
      </w:pPr>
      <w:r>
        <w:rPr>
          <w:rFonts w:hint="eastAsia" w:ascii="宋体" w:hAnsi="宋体" w:cs="宋体"/>
          <w:color w:val="auto"/>
          <w:highlight w:val="none"/>
        </w:rPr>
        <w:t>电话：                                           电话：</w:t>
      </w:r>
    </w:p>
    <w:p w14:paraId="3BF04066">
      <w:pPr>
        <w:spacing w:line="360" w:lineRule="auto"/>
        <w:rPr>
          <w:rFonts w:ascii="宋体" w:hAnsi="宋体"/>
          <w:color w:val="auto"/>
          <w:highlight w:val="none"/>
        </w:rPr>
      </w:pPr>
      <w:r>
        <w:rPr>
          <w:rFonts w:hint="eastAsia" w:ascii="宋体" w:hAnsi="宋体" w:cs="宋体"/>
          <w:color w:val="auto"/>
          <w:highlight w:val="none"/>
        </w:rPr>
        <w:t>传真：                                           传真：</w:t>
      </w:r>
    </w:p>
    <w:p w14:paraId="0E8CD2FB">
      <w:pPr>
        <w:spacing w:line="360" w:lineRule="auto"/>
        <w:rPr>
          <w:rFonts w:ascii="宋体" w:hAnsi="宋体"/>
          <w:color w:val="auto"/>
          <w:highlight w:val="none"/>
        </w:rPr>
      </w:pPr>
      <w:r>
        <w:rPr>
          <w:rFonts w:hint="eastAsia" w:ascii="宋体" w:hAnsi="宋体" w:cs="宋体"/>
          <w:color w:val="auto"/>
          <w:highlight w:val="none"/>
        </w:rPr>
        <w:t>电子信箱：                                       电子信箱：</w:t>
      </w:r>
    </w:p>
    <w:p w14:paraId="5E67E1CF">
      <w:pPr>
        <w:spacing w:line="360" w:lineRule="auto"/>
        <w:rPr>
          <w:rFonts w:ascii="宋体" w:hAnsi="宋体"/>
          <w:color w:val="auto"/>
          <w:highlight w:val="none"/>
        </w:rPr>
      </w:pPr>
      <w:r>
        <w:rPr>
          <w:rFonts w:hint="eastAsia" w:ascii="宋体" w:hAnsi="宋体" w:cs="宋体"/>
          <w:color w:val="auto"/>
          <w:highlight w:val="none"/>
        </w:rPr>
        <w:t>开户银行：                                       开户银行：</w:t>
      </w:r>
    </w:p>
    <w:p w14:paraId="6C448B39">
      <w:pPr>
        <w:rPr>
          <w:rFonts w:ascii="宋体" w:hAnsi="宋体"/>
          <w:color w:val="auto"/>
          <w:highlight w:val="none"/>
          <w:u w:val="single"/>
        </w:rPr>
      </w:pPr>
      <w:r>
        <w:rPr>
          <w:rFonts w:hint="eastAsia" w:ascii="宋体" w:hAnsi="宋体" w:cs="宋体"/>
          <w:color w:val="auto"/>
          <w:highlight w:val="none"/>
        </w:rPr>
        <w:t>账号：                                           账号：</w:t>
      </w:r>
    </w:p>
    <w:bookmarkEnd w:id="81"/>
    <w:p w14:paraId="2B3CAF2B">
      <w:pPr>
        <w:rPr>
          <w:rFonts w:ascii="宋体" w:hAnsi="宋体"/>
          <w:color w:val="auto"/>
          <w:sz w:val="20"/>
          <w:szCs w:val="22"/>
          <w:highlight w:val="none"/>
        </w:rPr>
      </w:pPr>
    </w:p>
    <w:p w14:paraId="42238E78">
      <w:pPr>
        <w:rPr>
          <w:rFonts w:ascii="宋体" w:hAnsi="宋体"/>
          <w:color w:val="auto"/>
          <w:sz w:val="20"/>
          <w:szCs w:val="22"/>
          <w:highlight w:val="none"/>
        </w:rPr>
      </w:pPr>
    </w:p>
    <w:p w14:paraId="6E84773A">
      <w:pPr>
        <w:widowControl/>
        <w:jc w:val="left"/>
        <w:rPr>
          <w:rFonts w:ascii="宋体" w:hAnsi="宋体"/>
          <w:color w:val="auto"/>
          <w:szCs w:val="22"/>
          <w:highlight w:val="none"/>
          <w:u w:val="single"/>
        </w:rPr>
      </w:pPr>
      <w:r>
        <w:rPr>
          <w:rFonts w:ascii="宋体" w:hAnsi="宋体"/>
          <w:color w:val="auto"/>
          <w:szCs w:val="22"/>
          <w:highlight w:val="none"/>
        </w:rPr>
        <w:br w:type="page"/>
      </w:r>
    </w:p>
    <w:p w14:paraId="4197B575">
      <w:pPr>
        <w:keepNext/>
        <w:keepLines/>
        <w:spacing w:line="360" w:lineRule="auto"/>
        <w:ind w:left="779" w:leftChars="371" w:firstLine="2080" w:firstLineChars="740"/>
        <w:outlineLvl w:val="0"/>
        <w:rPr>
          <w:rFonts w:ascii="宋体" w:hAnsi="宋体"/>
          <w:b/>
          <w:bCs/>
          <w:color w:val="auto"/>
          <w:kern w:val="44"/>
          <w:sz w:val="28"/>
          <w:szCs w:val="28"/>
          <w:highlight w:val="none"/>
          <w:lang w:val="zh-CN"/>
        </w:rPr>
      </w:pPr>
      <w:bookmarkStart w:id="173" w:name="_Toc9974"/>
      <w:bookmarkStart w:id="174" w:name="_Toc13721"/>
      <w:bookmarkStart w:id="175" w:name="_Toc11923"/>
      <w:bookmarkStart w:id="176" w:name="_Toc20658"/>
      <w:bookmarkStart w:id="177" w:name="_Toc3676"/>
      <w:bookmarkStart w:id="178" w:name="_Toc25065"/>
      <w:r>
        <w:rPr>
          <w:rFonts w:hint="eastAsia" w:ascii="宋体" w:hAnsi="宋体" w:cs="黑体"/>
          <w:b/>
          <w:bCs/>
          <w:color w:val="auto"/>
          <w:kern w:val="44"/>
          <w:sz w:val="28"/>
          <w:szCs w:val="28"/>
          <w:highlight w:val="none"/>
          <w:lang w:val="zh-CN"/>
        </w:rPr>
        <w:t>第二部分通用合同条款</w:t>
      </w:r>
      <w:bookmarkEnd w:id="173"/>
      <w:bookmarkEnd w:id="174"/>
      <w:bookmarkEnd w:id="175"/>
      <w:bookmarkEnd w:id="176"/>
      <w:bookmarkEnd w:id="177"/>
      <w:bookmarkEnd w:id="178"/>
    </w:p>
    <w:p w14:paraId="45E8D716">
      <w:pPr>
        <w:spacing w:line="360" w:lineRule="auto"/>
        <w:ind w:firstLine="560" w:firstLineChars="200"/>
        <w:rPr>
          <w:rFonts w:ascii="宋体" w:hAnsi="宋体"/>
          <w:color w:val="auto"/>
          <w:kern w:val="0"/>
          <w:sz w:val="28"/>
          <w:szCs w:val="28"/>
          <w:highlight w:val="none"/>
        </w:rPr>
      </w:pPr>
    </w:p>
    <w:p w14:paraId="4880FD12">
      <w:pPr>
        <w:spacing w:line="360" w:lineRule="auto"/>
        <w:ind w:firstLine="562" w:firstLineChars="200"/>
        <w:rPr>
          <w:rFonts w:ascii="宋体" w:hAnsi="宋体"/>
          <w:b/>
          <w:bCs/>
          <w:color w:val="auto"/>
          <w:kern w:val="0"/>
          <w:sz w:val="28"/>
          <w:szCs w:val="28"/>
          <w:highlight w:val="none"/>
        </w:rPr>
      </w:pPr>
      <w:r>
        <w:rPr>
          <w:rFonts w:hint="eastAsia" w:ascii="宋体" w:hAnsi="宋体" w:cs="宋体"/>
          <w:b/>
          <w:bCs/>
          <w:color w:val="auto"/>
          <w:kern w:val="0"/>
          <w:sz w:val="28"/>
          <w:szCs w:val="28"/>
          <w:highlight w:val="none"/>
        </w:rPr>
        <w:t>采用《建设工程施工合同（示范文本）》（</w:t>
      </w:r>
      <w:r>
        <w:rPr>
          <w:rFonts w:ascii="宋体" w:hAnsi="宋体"/>
          <w:b/>
          <w:bCs/>
          <w:color w:val="auto"/>
          <w:kern w:val="0"/>
          <w:sz w:val="28"/>
          <w:szCs w:val="28"/>
          <w:highlight w:val="none"/>
        </w:rPr>
        <w:t>GF</w:t>
      </w:r>
      <w:r>
        <w:rPr>
          <w:rFonts w:ascii="宋体" w:hAnsi="宋体" w:cs="宋体"/>
          <w:b/>
          <w:bCs/>
          <w:color w:val="auto"/>
          <w:kern w:val="0"/>
          <w:sz w:val="28"/>
          <w:szCs w:val="28"/>
          <w:highlight w:val="none"/>
        </w:rPr>
        <w:t>—</w:t>
      </w:r>
      <w:r>
        <w:rPr>
          <w:rFonts w:ascii="宋体" w:hAnsi="宋体"/>
          <w:b/>
          <w:bCs/>
          <w:color w:val="auto"/>
          <w:kern w:val="0"/>
          <w:sz w:val="28"/>
          <w:szCs w:val="28"/>
          <w:highlight w:val="none"/>
        </w:rPr>
        <w:t>2017</w:t>
      </w:r>
      <w:r>
        <w:rPr>
          <w:rFonts w:ascii="宋体" w:hAnsi="宋体" w:cs="宋体"/>
          <w:b/>
          <w:bCs/>
          <w:color w:val="auto"/>
          <w:kern w:val="0"/>
          <w:sz w:val="28"/>
          <w:szCs w:val="28"/>
          <w:highlight w:val="none"/>
        </w:rPr>
        <w:t>—</w:t>
      </w:r>
      <w:r>
        <w:rPr>
          <w:rFonts w:ascii="宋体" w:hAnsi="宋体"/>
          <w:b/>
          <w:bCs/>
          <w:color w:val="auto"/>
          <w:kern w:val="0"/>
          <w:sz w:val="28"/>
          <w:szCs w:val="28"/>
          <w:highlight w:val="none"/>
        </w:rPr>
        <w:t>0201</w:t>
      </w:r>
      <w:r>
        <w:rPr>
          <w:rFonts w:hint="eastAsia" w:ascii="宋体" w:hAnsi="宋体" w:cs="宋体"/>
          <w:b/>
          <w:bCs/>
          <w:color w:val="auto"/>
          <w:kern w:val="0"/>
          <w:sz w:val="28"/>
          <w:szCs w:val="28"/>
          <w:highlight w:val="none"/>
        </w:rPr>
        <w:t>）。</w:t>
      </w:r>
    </w:p>
    <w:p w14:paraId="71C05E27">
      <w:pPr>
        <w:spacing w:line="360" w:lineRule="auto"/>
        <w:ind w:left="779" w:leftChars="371" w:firstLine="1940" w:firstLineChars="690"/>
        <w:outlineLvl w:val="0"/>
        <w:rPr>
          <w:rFonts w:ascii="宋体" w:hAnsi="宋体"/>
          <w:b/>
          <w:bCs/>
          <w:color w:val="auto"/>
          <w:kern w:val="44"/>
          <w:sz w:val="28"/>
          <w:szCs w:val="28"/>
          <w:highlight w:val="none"/>
          <w:lang w:val="zh-CN"/>
        </w:rPr>
      </w:pPr>
      <w:bookmarkStart w:id="179" w:name="_Toc12586"/>
      <w:bookmarkStart w:id="180" w:name="_Toc18970"/>
      <w:bookmarkStart w:id="181" w:name="_Toc407135193"/>
      <w:bookmarkStart w:id="182" w:name="_Toc389065257"/>
      <w:bookmarkStart w:id="183" w:name="_Toc3955"/>
      <w:bookmarkStart w:id="184" w:name="_Toc32370"/>
      <w:bookmarkStart w:id="185" w:name="_Toc9850521"/>
      <w:bookmarkStart w:id="186" w:name="_Toc7475"/>
      <w:bookmarkStart w:id="187" w:name="_Toc17210"/>
      <w:bookmarkStart w:id="188" w:name="_Toc256000112"/>
      <w:r>
        <w:rPr>
          <w:rFonts w:hint="eastAsia" w:ascii="宋体" w:hAnsi="宋体" w:cs="黑体"/>
          <w:b/>
          <w:bCs/>
          <w:color w:val="auto"/>
          <w:kern w:val="44"/>
          <w:sz w:val="28"/>
          <w:szCs w:val="28"/>
          <w:highlight w:val="none"/>
          <w:lang w:val="zh-CN"/>
        </w:rPr>
        <w:t>第三部分专用合同条款</w:t>
      </w:r>
      <w:bookmarkEnd w:id="179"/>
      <w:bookmarkEnd w:id="180"/>
      <w:bookmarkEnd w:id="181"/>
      <w:bookmarkEnd w:id="182"/>
      <w:bookmarkEnd w:id="183"/>
      <w:bookmarkEnd w:id="184"/>
      <w:bookmarkEnd w:id="185"/>
      <w:bookmarkEnd w:id="186"/>
      <w:bookmarkEnd w:id="187"/>
      <w:bookmarkEnd w:id="188"/>
    </w:p>
    <w:p w14:paraId="528B0C3E">
      <w:pPr>
        <w:rPr>
          <w:rFonts w:ascii="宋体" w:hAnsi="宋体"/>
          <w:color w:val="auto"/>
          <w:sz w:val="20"/>
          <w:szCs w:val="22"/>
          <w:highlight w:val="none"/>
        </w:rPr>
      </w:pPr>
    </w:p>
    <w:p w14:paraId="1F338B85">
      <w:pPr>
        <w:keepNext/>
        <w:keepLines/>
        <w:spacing w:before="60" w:after="60" w:line="413" w:lineRule="auto"/>
        <w:outlineLvl w:val="1"/>
        <w:rPr>
          <w:rFonts w:ascii="宋体" w:hAnsi="宋体"/>
          <w:b/>
          <w:bCs/>
          <w:color w:val="auto"/>
          <w:highlight w:val="none"/>
          <w:lang w:val="zh-CN"/>
        </w:rPr>
      </w:pPr>
      <w:bookmarkStart w:id="189" w:name="_Toc389065258"/>
      <w:r>
        <w:rPr>
          <w:rFonts w:ascii="宋体" w:hAnsi="宋体"/>
          <w:b/>
          <w:bCs/>
          <w:color w:val="auto"/>
          <w:highlight w:val="none"/>
          <w:lang w:val="zh-CN"/>
        </w:rPr>
        <w:t>1</w:t>
      </w:r>
      <w:bookmarkEnd w:id="189"/>
      <w:bookmarkStart w:id="190" w:name="_Toc296503156"/>
      <w:bookmarkEnd w:id="190"/>
      <w:bookmarkStart w:id="191" w:name="_Toc297120456"/>
      <w:bookmarkEnd w:id="191"/>
      <w:bookmarkStart w:id="192" w:name="_Toc296347155"/>
      <w:bookmarkEnd w:id="192"/>
      <w:bookmarkStart w:id="193" w:name="_Toc296346657"/>
      <w:bookmarkEnd w:id="193"/>
      <w:bookmarkStart w:id="194" w:name="_Toc292559361"/>
      <w:bookmarkEnd w:id="194"/>
      <w:bookmarkStart w:id="195" w:name="_Toc296944495"/>
      <w:bookmarkEnd w:id="195"/>
      <w:bookmarkStart w:id="196" w:name="_Toc292559866"/>
      <w:bookmarkEnd w:id="196"/>
      <w:bookmarkStart w:id="197" w:name="_Toc297048342"/>
      <w:bookmarkEnd w:id="197"/>
      <w:bookmarkStart w:id="198" w:name="_Toc296890984"/>
      <w:bookmarkEnd w:id="198"/>
      <w:bookmarkStart w:id="199" w:name="_Toc296891196"/>
      <w:r>
        <w:rPr>
          <w:rFonts w:ascii="宋体" w:hAnsi="宋体"/>
          <w:b/>
          <w:bCs/>
          <w:color w:val="auto"/>
          <w:highlight w:val="none"/>
          <w:lang w:val="zh-CN"/>
        </w:rPr>
        <w:t xml:space="preserve">. </w:t>
      </w:r>
      <w:bookmarkEnd w:id="199"/>
      <w:r>
        <w:rPr>
          <w:rFonts w:hint="eastAsia" w:ascii="宋体" w:hAnsi="宋体"/>
          <w:b/>
          <w:bCs/>
          <w:color w:val="auto"/>
          <w:highlight w:val="none"/>
          <w:lang w:val="zh-CN"/>
        </w:rPr>
        <w:t>一般约定</w:t>
      </w:r>
    </w:p>
    <w:p w14:paraId="6B178E04">
      <w:pPr>
        <w:keepNext/>
        <w:keepLines/>
        <w:spacing w:line="360" w:lineRule="auto"/>
        <w:outlineLvl w:val="2"/>
        <w:rPr>
          <w:rFonts w:ascii="宋体" w:hAnsi="宋体"/>
          <w:b/>
          <w:bCs/>
          <w:color w:val="auto"/>
          <w:highlight w:val="none"/>
          <w:lang w:val="zh-CN"/>
        </w:rPr>
      </w:pPr>
      <w:bookmarkStart w:id="200" w:name="_Toc389065259"/>
      <w:bookmarkEnd w:id="200"/>
      <w:bookmarkStart w:id="201" w:name="_Toc373478340"/>
      <w:bookmarkEnd w:id="201"/>
      <w:bookmarkStart w:id="202" w:name="_Toc407135195"/>
      <w:bookmarkEnd w:id="202"/>
      <w:bookmarkStart w:id="203" w:name="_Toc20141"/>
      <w:bookmarkEnd w:id="203"/>
      <w:bookmarkStart w:id="204" w:name="_Toc373227693"/>
      <w:bookmarkEnd w:id="204"/>
      <w:r>
        <w:rPr>
          <w:rFonts w:ascii="宋体" w:hAnsi="宋体"/>
          <w:b/>
          <w:bCs/>
          <w:color w:val="auto"/>
          <w:highlight w:val="none"/>
          <w:lang w:val="zh-CN"/>
        </w:rPr>
        <w:t xml:space="preserve">1.1 </w:t>
      </w:r>
      <w:r>
        <w:rPr>
          <w:rFonts w:hint="eastAsia" w:ascii="宋体" w:hAnsi="宋体"/>
          <w:b/>
          <w:bCs/>
          <w:color w:val="auto"/>
          <w:highlight w:val="none"/>
          <w:lang w:val="zh-CN"/>
        </w:rPr>
        <w:t>词语定义</w:t>
      </w:r>
    </w:p>
    <w:p w14:paraId="2FEA27CE">
      <w:pPr>
        <w:spacing w:line="360" w:lineRule="auto"/>
        <w:ind w:firstLine="420" w:firstLineChars="200"/>
        <w:rPr>
          <w:rFonts w:ascii="宋体" w:hAnsi="宋体"/>
          <w:color w:val="auto"/>
          <w:kern w:val="0"/>
          <w:highlight w:val="none"/>
        </w:rPr>
      </w:pPr>
      <w:r>
        <w:rPr>
          <w:rFonts w:ascii="宋体" w:hAnsi="宋体"/>
          <w:color w:val="auto"/>
          <w:kern w:val="0"/>
          <w:highlight w:val="none"/>
        </w:rPr>
        <w:t xml:space="preserve">1.1.1 </w:t>
      </w:r>
      <w:r>
        <w:rPr>
          <w:rFonts w:hint="eastAsia" w:ascii="宋体" w:hAnsi="宋体"/>
          <w:color w:val="auto"/>
          <w:kern w:val="0"/>
          <w:highlight w:val="none"/>
        </w:rPr>
        <w:t>合同</w:t>
      </w:r>
    </w:p>
    <w:p w14:paraId="12FB0A34">
      <w:pPr>
        <w:spacing w:line="360" w:lineRule="auto"/>
        <w:ind w:firstLine="420" w:firstLineChars="200"/>
        <w:rPr>
          <w:rFonts w:ascii="宋体" w:hAnsi="宋体"/>
          <w:color w:val="auto"/>
          <w:kern w:val="0"/>
          <w:highlight w:val="none"/>
        </w:rPr>
      </w:pPr>
      <w:r>
        <w:rPr>
          <w:rFonts w:ascii="宋体" w:hAnsi="宋体"/>
          <w:color w:val="auto"/>
          <w:kern w:val="0"/>
          <w:highlight w:val="none"/>
        </w:rPr>
        <w:t xml:space="preserve">1.1.1.10 </w:t>
      </w:r>
      <w:r>
        <w:rPr>
          <w:rFonts w:hint="eastAsia" w:ascii="宋体" w:hAnsi="宋体"/>
          <w:color w:val="auto"/>
          <w:kern w:val="0"/>
          <w:highlight w:val="none"/>
        </w:rPr>
        <w:t>其他合同文件包括：</w:t>
      </w:r>
      <w:r>
        <w:rPr>
          <w:rFonts w:hint="eastAsia" w:ascii="宋体" w:hAnsi="宋体"/>
          <w:color w:val="auto"/>
          <w:highlight w:val="none"/>
          <w:u w:val="single"/>
        </w:rPr>
        <w:t>在合同订立及履行过程中形成的与合同有关的文件均构成合同文件组成部分，包括履行合同过程中对合同内容有实质性影响的施工组织设计、进度计划、会议纪要、工程变更、签证等资料，以及构成合同文件组成部分的已标明价格、经算术性错误修正及其他错误修正（如有）且承包人已确认的最终的工程量清单，包括工程量清单说明、投标报价说明、计日工说明、其他说明及工程量清单各项表格等</w:t>
      </w:r>
      <w:r>
        <w:rPr>
          <w:rFonts w:hint="eastAsia" w:ascii="宋体" w:hAnsi="宋体"/>
          <w:color w:val="auto"/>
          <w:highlight w:val="none"/>
        </w:rPr>
        <w:t>。</w:t>
      </w:r>
    </w:p>
    <w:p w14:paraId="53094EEA">
      <w:pPr>
        <w:spacing w:line="360" w:lineRule="auto"/>
        <w:ind w:firstLine="420" w:firstLineChars="200"/>
        <w:rPr>
          <w:rFonts w:ascii="宋体" w:hAnsi="宋体"/>
          <w:color w:val="auto"/>
          <w:highlight w:val="none"/>
        </w:rPr>
      </w:pPr>
      <w:r>
        <w:rPr>
          <w:rFonts w:ascii="宋体" w:hAnsi="宋体"/>
          <w:color w:val="auto"/>
          <w:highlight w:val="none"/>
        </w:rPr>
        <w:t xml:space="preserve">1.1.2 </w:t>
      </w:r>
      <w:r>
        <w:rPr>
          <w:rFonts w:hint="eastAsia" w:ascii="宋体" w:hAnsi="宋体"/>
          <w:color w:val="auto"/>
          <w:highlight w:val="none"/>
        </w:rPr>
        <w:t>合同当事人及其他相关方</w:t>
      </w:r>
    </w:p>
    <w:p w14:paraId="2B237D19">
      <w:pPr>
        <w:spacing w:line="360" w:lineRule="auto"/>
        <w:ind w:firstLine="420" w:firstLineChars="200"/>
        <w:outlineLvl w:val="0"/>
        <w:rPr>
          <w:rFonts w:ascii="宋体" w:hAnsi="宋体"/>
          <w:color w:val="auto"/>
          <w:highlight w:val="none"/>
        </w:rPr>
      </w:pPr>
      <w:bookmarkStart w:id="205" w:name="_Toc10337"/>
      <w:bookmarkStart w:id="206" w:name="_Toc29308"/>
      <w:bookmarkStart w:id="207" w:name="_Toc26362"/>
      <w:bookmarkStart w:id="208" w:name="_Toc11321"/>
      <w:bookmarkStart w:id="209" w:name="_Toc13314"/>
      <w:bookmarkStart w:id="210" w:name="_Toc17063"/>
      <w:r>
        <w:rPr>
          <w:rFonts w:ascii="宋体" w:hAnsi="宋体"/>
          <w:color w:val="auto"/>
          <w:highlight w:val="none"/>
        </w:rPr>
        <w:t xml:space="preserve">1.1.2.4 </w:t>
      </w:r>
      <w:r>
        <w:rPr>
          <w:rFonts w:hint="eastAsia" w:ascii="宋体" w:hAnsi="宋体"/>
          <w:color w:val="auto"/>
          <w:highlight w:val="none"/>
        </w:rPr>
        <w:t>监理人：</w:t>
      </w:r>
      <w:r>
        <w:rPr>
          <w:rFonts w:hint="eastAsia" w:ascii="宋体" w:hAnsi="宋体"/>
          <w:color w:val="auto"/>
          <w:kern w:val="0"/>
          <w:highlight w:val="none"/>
        </w:rPr>
        <w:t>。</w:t>
      </w:r>
      <w:bookmarkEnd w:id="205"/>
      <w:bookmarkEnd w:id="206"/>
      <w:bookmarkEnd w:id="207"/>
      <w:bookmarkEnd w:id="208"/>
      <w:bookmarkEnd w:id="209"/>
      <w:bookmarkEnd w:id="210"/>
    </w:p>
    <w:p w14:paraId="11B79823">
      <w:pPr>
        <w:spacing w:line="360" w:lineRule="auto"/>
        <w:ind w:firstLine="420" w:firstLineChars="200"/>
        <w:rPr>
          <w:rFonts w:ascii="宋体" w:hAnsi="宋体"/>
          <w:color w:val="auto"/>
          <w:highlight w:val="none"/>
        </w:rPr>
      </w:pPr>
      <w:r>
        <w:rPr>
          <w:rFonts w:hint="eastAsia" w:ascii="宋体" w:hAnsi="宋体"/>
          <w:color w:val="auto"/>
          <w:highlight w:val="none"/>
        </w:rPr>
        <w:t>名称：；</w:t>
      </w:r>
    </w:p>
    <w:p w14:paraId="4F130A34">
      <w:pPr>
        <w:spacing w:line="360" w:lineRule="auto"/>
        <w:ind w:firstLine="420" w:firstLineChars="200"/>
        <w:rPr>
          <w:rFonts w:ascii="宋体" w:hAnsi="宋体"/>
          <w:color w:val="auto"/>
          <w:highlight w:val="none"/>
        </w:rPr>
      </w:pPr>
      <w:r>
        <w:rPr>
          <w:rFonts w:hint="eastAsia" w:ascii="宋体" w:hAnsi="宋体"/>
          <w:color w:val="auto"/>
          <w:highlight w:val="none"/>
        </w:rPr>
        <w:t>资质类别和等级：；</w:t>
      </w:r>
    </w:p>
    <w:p w14:paraId="4B716BCF">
      <w:pPr>
        <w:spacing w:line="360" w:lineRule="auto"/>
        <w:ind w:firstLine="420" w:firstLineChars="200"/>
        <w:rPr>
          <w:rFonts w:ascii="宋体" w:hAnsi="宋体"/>
          <w:color w:val="auto"/>
          <w:highlight w:val="none"/>
        </w:rPr>
      </w:pPr>
      <w:r>
        <w:rPr>
          <w:rFonts w:hint="eastAsia" w:ascii="宋体" w:hAnsi="宋体"/>
          <w:color w:val="auto"/>
          <w:highlight w:val="none"/>
        </w:rPr>
        <w:t>联系电话：；</w:t>
      </w:r>
    </w:p>
    <w:p w14:paraId="167592A5">
      <w:pPr>
        <w:spacing w:line="360" w:lineRule="auto"/>
        <w:ind w:firstLine="420" w:firstLineChars="200"/>
        <w:rPr>
          <w:rFonts w:ascii="宋体" w:hAnsi="宋体"/>
          <w:color w:val="auto"/>
          <w:highlight w:val="none"/>
        </w:rPr>
      </w:pPr>
      <w:r>
        <w:rPr>
          <w:rFonts w:hint="eastAsia" w:ascii="宋体" w:hAnsi="宋体"/>
          <w:color w:val="auto"/>
          <w:highlight w:val="none"/>
        </w:rPr>
        <w:t>电子信箱：；</w:t>
      </w:r>
    </w:p>
    <w:p w14:paraId="192F4155">
      <w:pPr>
        <w:spacing w:line="360" w:lineRule="auto"/>
        <w:ind w:firstLine="420" w:firstLineChars="200"/>
        <w:rPr>
          <w:rFonts w:ascii="宋体" w:hAnsi="宋体"/>
          <w:color w:val="auto"/>
          <w:highlight w:val="none"/>
        </w:rPr>
      </w:pPr>
      <w:r>
        <w:rPr>
          <w:rFonts w:hint="eastAsia" w:ascii="宋体" w:hAnsi="宋体"/>
          <w:color w:val="auto"/>
          <w:highlight w:val="none"/>
        </w:rPr>
        <w:t>通信地址：。</w:t>
      </w:r>
    </w:p>
    <w:p w14:paraId="7949E8E9">
      <w:pPr>
        <w:spacing w:line="360" w:lineRule="auto"/>
        <w:ind w:firstLine="420" w:firstLineChars="200"/>
        <w:outlineLvl w:val="0"/>
        <w:rPr>
          <w:rFonts w:ascii="宋体" w:hAnsi="宋体"/>
          <w:color w:val="auto"/>
          <w:highlight w:val="none"/>
        </w:rPr>
      </w:pPr>
      <w:bookmarkStart w:id="211" w:name="_Toc31305"/>
      <w:bookmarkStart w:id="212" w:name="_Toc12149"/>
      <w:bookmarkStart w:id="213" w:name="_Toc15264"/>
      <w:bookmarkStart w:id="214" w:name="_Toc1591"/>
      <w:bookmarkStart w:id="215" w:name="_Toc28661"/>
      <w:bookmarkStart w:id="216" w:name="_Toc19707"/>
      <w:r>
        <w:rPr>
          <w:rFonts w:ascii="宋体" w:hAnsi="宋体"/>
          <w:color w:val="auto"/>
          <w:highlight w:val="none"/>
        </w:rPr>
        <w:t xml:space="preserve">1.1.2.5 </w:t>
      </w:r>
      <w:r>
        <w:rPr>
          <w:rFonts w:hint="eastAsia" w:ascii="宋体" w:hAnsi="宋体"/>
          <w:color w:val="auto"/>
          <w:highlight w:val="none"/>
        </w:rPr>
        <w:t>设计人：</w:t>
      </w:r>
      <w:r>
        <w:rPr>
          <w:rFonts w:hint="eastAsia" w:ascii="宋体" w:hAnsi="宋体"/>
          <w:color w:val="auto"/>
          <w:kern w:val="0"/>
          <w:highlight w:val="none"/>
        </w:rPr>
        <w:t>。</w:t>
      </w:r>
      <w:bookmarkEnd w:id="211"/>
      <w:bookmarkEnd w:id="212"/>
      <w:bookmarkEnd w:id="213"/>
      <w:bookmarkEnd w:id="214"/>
      <w:bookmarkEnd w:id="215"/>
      <w:bookmarkEnd w:id="216"/>
    </w:p>
    <w:p w14:paraId="1BDE6ACC">
      <w:pPr>
        <w:spacing w:line="360" w:lineRule="auto"/>
        <w:ind w:firstLine="420" w:firstLineChars="200"/>
        <w:rPr>
          <w:rFonts w:ascii="宋体" w:hAnsi="宋体"/>
          <w:color w:val="auto"/>
          <w:highlight w:val="none"/>
        </w:rPr>
      </w:pPr>
      <w:r>
        <w:rPr>
          <w:rFonts w:hint="eastAsia" w:ascii="宋体" w:hAnsi="宋体"/>
          <w:color w:val="auto"/>
          <w:highlight w:val="none"/>
        </w:rPr>
        <w:t>名称：；</w:t>
      </w:r>
    </w:p>
    <w:p w14:paraId="2A9887C4">
      <w:pPr>
        <w:spacing w:line="360" w:lineRule="auto"/>
        <w:ind w:firstLine="420" w:firstLineChars="200"/>
        <w:rPr>
          <w:rFonts w:ascii="宋体" w:hAnsi="宋体"/>
          <w:color w:val="auto"/>
          <w:highlight w:val="none"/>
        </w:rPr>
      </w:pPr>
      <w:r>
        <w:rPr>
          <w:rFonts w:hint="eastAsia" w:ascii="宋体" w:hAnsi="宋体"/>
          <w:color w:val="auto"/>
          <w:highlight w:val="none"/>
        </w:rPr>
        <w:t>资质类别和等级：；</w:t>
      </w:r>
    </w:p>
    <w:p w14:paraId="77D8FDBF">
      <w:pPr>
        <w:spacing w:line="360" w:lineRule="auto"/>
        <w:ind w:firstLine="420" w:firstLineChars="200"/>
        <w:rPr>
          <w:rFonts w:ascii="宋体" w:hAnsi="宋体"/>
          <w:color w:val="auto"/>
          <w:highlight w:val="none"/>
        </w:rPr>
      </w:pPr>
      <w:r>
        <w:rPr>
          <w:rFonts w:hint="eastAsia" w:ascii="宋体" w:hAnsi="宋体"/>
          <w:color w:val="auto"/>
          <w:highlight w:val="none"/>
        </w:rPr>
        <w:t>联系电话：；</w:t>
      </w:r>
    </w:p>
    <w:p w14:paraId="4C88AE52">
      <w:pPr>
        <w:spacing w:line="360" w:lineRule="auto"/>
        <w:ind w:firstLine="420" w:firstLineChars="200"/>
        <w:rPr>
          <w:rFonts w:ascii="宋体" w:hAnsi="宋体"/>
          <w:color w:val="auto"/>
          <w:highlight w:val="none"/>
        </w:rPr>
      </w:pPr>
      <w:r>
        <w:rPr>
          <w:rFonts w:hint="eastAsia" w:ascii="宋体" w:hAnsi="宋体"/>
          <w:color w:val="auto"/>
          <w:highlight w:val="none"/>
        </w:rPr>
        <w:t>电子信箱：；</w:t>
      </w:r>
    </w:p>
    <w:p w14:paraId="23208F7B">
      <w:pPr>
        <w:spacing w:line="360" w:lineRule="auto"/>
        <w:ind w:firstLine="420" w:firstLineChars="200"/>
        <w:rPr>
          <w:rFonts w:ascii="宋体" w:hAnsi="宋体"/>
          <w:color w:val="auto"/>
          <w:highlight w:val="none"/>
        </w:rPr>
      </w:pPr>
      <w:r>
        <w:rPr>
          <w:rFonts w:hint="eastAsia" w:ascii="宋体" w:hAnsi="宋体"/>
          <w:color w:val="auto"/>
          <w:highlight w:val="none"/>
        </w:rPr>
        <w:t>通信地址：。</w:t>
      </w:r>
    </w:p>
    <w:p w14:paraId="30ADA13E">
      <w:pPr>
        <w:spacing w:line="360" w:lineRule="auto"/>
        <w:ind w:firstLine="420" w:firstLineChars="200"/>
        <w:rPr>
          <w:rFonts w:ascii="宋体" w:hAnsi="宋体"/>
          <w:color w:val="auto"/>
          <w:highlight w:val="none"/>
        </w:rPr>
      </w:pPr>
      <w:r>
        <w:rPr>
          <w:rFonts w:ascii="宋体" w:hAnsi="宋体"/>
          <w:color w:val="auto"/>
          <w:highlight w:val="none"/>
        </w:rPr>
        <w:t xml:space="preserve">1.1.3 </w:t>
      </w:r>
      <w:r>
        <w:rPr>
          <w:rFonts w:hint="eastAsia" w:ascii="宋体" w:hAnsi="宋体"/>
          <w:color w:val="auto"/>
          <w:highlight w:val="none"/>
        </w:rPr>
        <w:t>工程和设备</w:t>
      </w:r>
    </w:p>
    <w:p w14:paraId="0772E055">
      <w:pPr>
        <w:spacing w:line="360" w:lineRule="auto"/>
        <w:ind w:firstLine="420" w:firstLineChars="200"/>
        <w:outlineLvl w:val="0"/>
        <w:rPr>
          <w:rFonts w:ascii="宋体" w:hAnsi="宋体"/>
          <w:color w:val="auto"/>
          <w:highlight w:val="none"/>
        </w:rPr>
      </w:pPr>
      <w:bookmarkStart w:id="217" w:name="_Toc10697"/>
      <w:bookmarkStart w:id="218" w:name="_Toc1456"/>
      <w:bookmarkStart w:id="219" w:name="_Toc101"/>
      <w:bookmarkStart w:id="220" w:name="_Toc2691"/>
      <w:bookmarkStart w:id="221" w:name="_Toc22550"/>
      <w:bookmarkStart w:id="222" w:name="_Toc28235"/>
      <w:r>
        <w:rPr>
          <w:rFonts w:ascii="宋体" w:hAnsi="宋体"/>
          <w:color w:val="auto"/>
          <w:highlight w:val="none"/>
        </w:rPr>
        <w:t xml:space="preserve">1.1.3.7 </w:t>
      </w:r>
      <w:r>
        <w:rPr>
          <w:rFonts w:hint="eastAsia" w:ascii="宋体" w:hAnsi="宋体"/>
          <w:color w:val="auto"/>
          <w:highlight w:val="none"/>
        </w:rPr>
        <w:t>作为施工现场组成部分的其他场所包括：</w:t>
      </w:r>
      <w:r>
        <w:rPr>
          <w:rFonts w:hint="eastAsia" w:ascii="宋体" w:hAnsi="宋体"/>
          <w:color w:val="auto"/>
          <w:highlight w:val="none"/>
          <w:u w:val="single"/>
        </w:rPr>
        <w:t>材料堆放场、材料加工场及施工便道等</w:t>
      </w:r>
      <w:r>
        <w:rPr>
          <w:rFonts w:hint="eastAsia" w:ascii="宋体" w:hAnsi="宋体"/>
          <w:color w:val="auto"/>
          <w:highlight w:val="none"/>
        </w:rPr>
        <w:t>。</w:t>
      </w:r>
      <w:bookmarkEnd w:id="217"/>
      <w:bookmarkEnd w:id="218"/>
      <w:bookmarkEnd w:id="219"/>
      <w:bookmarkEnd w:id="220"/>
      <w:bookmarkEnd w:id="221"/>
      <w:bookmarkEnd w:id="222"/>
    </w:p>
    <w:p w14:paraId="01B14575">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1.1.3.9 </w:t>
      </w:r>
      <w:r>
        <w:rPr>
          <w:rFonts w:hint="eastAsia" w:ascii="宋体" w:hAnsi="宋体"/>
          <w:color w:val="auto"/>
          <w:kern w:val="0"/>
          <w:highlight w:val="none"/>
        </w:rPr>
        <w:t>永久占地包括：</w:t>
      </w:r>
      <w:r>
        <w:rPr>
          <w:rFonts w:hint="eastAsia" w:ascii="宋体" w:hAnsi="宋体"/>
          <w:color w:val="auto"/>
          <w:highlight w:val="none"/>
          <w:u w:val="single"/>
        </w:rPr>
        <w:t xml:space="preserve">         /         </w:t>
      </w:r>
      <w:r>
        <w:rPr>
          <w:rFonts w:hint="eastAsia" w:ascii="宋体" w:hAnsi="宋体"/>
          <w:color w:val="auto"/>
          <w:kern w:val="0"/>
          <w:highlight w:val="none"/>
        </w:rPr>
        <w:t>。</w:t>
      </w:r>
    </w:p>
    <w:p w14:paraId="441722C4">
      <w:pPr>
        <w:spacing w:line="360" w:lineRule="auto"/>
        <w:ind w:firstLine="420" w:firstLineChars="200"/>
        <w:jc w:val="left"/>
        <w:rPr>
          <w:rFonts w:ascii="宋体" w:hAnsi="宋体"/>
          <w:color w:val="auto"/>
          <w:highlight w:val="none"/>
        </w:rPr>
      </w:pPr>
      <w:r>
        <w:rPr>
          <w:rFonts w:ascii="宋体" w:hAnsi="宋体"/>
          <w:color w:val="auto"/>
          <w:kern w:val="0"/>
          <w:highlight w:val="none"/>
        </w:rPr>
        <w:t xml:space="preserve">1.1.3.10 </w:t>
      </w:r>
      <w:r>
        <w:rPr>
          <w:rFonts w:hint="eastAsia" w:ascii="宋体" w:hAnsi="宋体"/>
          <w:color w:val="auto"/>
          <w:kern w:val="0"/>
          <w:highlight w:val="none"/>
        </w:rPr>
        <w:t>临时占地包括：</w:t>
      </w:r>
      <w:r>
        <w:rPr>
          <w:rFonts w:hint="eastAsia" w:ascii="宋体" w:hAnsi="宋体"/>
          <w:color w:val="auto"/>
          <w:highlight w:val="none"/>
          <w:u w:val="single"/>
        </w:rPr>
        <w:t>指为实施本合同工程而需要的一切临时占用的土地，包括施工所用的临时支线、便道、便桥和现场的临时出入通道，以及生产等临时设施等</w:t>
      </w:r>
      <w:r>
        <w:rPr>
          <w:rFonts w:hint="eastAsia" w:ascii="宋体" w:hAnsi="宋体"/>
          <w:color w:val="auto"/>
          <w:kern w:val="0"/>
          <w:highlight w:val="none"/>
        </w:rPr>
        <w:t>。</w:t>
      </w:r>
    </w:p>
    <w:p w14:paraId="20C79AF7">
      <w:pPr>
        <w:keepNext/>
        <w:keepLines/>
        <w:spacing w:line="360" w:lineRule="auto"/>
        <w:outlineLvl w:val="2"/>
        <w:rPr>
          <w:rFonts w:ascii="宋体" w:hAnsi="宋体"/>
          <w:b/>
          <w:bCs/>
          <w:color w:val="auto"/>
          <w:highlight w:val="none"/>
          <w:lang w:val="zh-CN"/>
        </w:rPr>
      </w:pPr>
      <w:bookmarkStart w:id="223" w:name="_Toc389065260"/>
      <w:bookmarkEnd w:id="223"/>
      <w:bookmarkStart w:id="224" w:name="_Toc28875"/>
      <w:bookmarkEnd w:id="224"/>
      <w:bookmarkStart w:id="225" w:name="_Toc373227694"/>
      <w:bookmarkEnd w:id="225"/>
      <w:bookmarkStart w:id="226" w:name="_Toc373478341"/>
      <w:bookmarkEnd w:id="226"/>
      <w:bookmarkStart w:id="227" w:name="_Toc407135196"/>
      <w:r>
        <w:rPr>
          <w:rFonts w:ascii="宋体" w:hAnsi="宋体"/>
          <w:b/>
          <w:bCs/>
          <w:color w:val="auto"/>
          <w:highlight w:val="none"/>
          <w:lang w:val="zh-CN"/>
        </w:rPr>
        <w:t xml:space="preserve">1.3 </w:t>
      </w:r>
      <w:bookmarkEnd w:id="227"/>
      <w:r>
        <w:rPr>
          <w:rFonts w:hint="eastAsia" w:ascii="宋体" w:hAnsi="宋体"/>
          <w:b/>
          <w:bCs/>
          <w:color w:val="auto"/>
          <w:highlight w:val="none"/>
          <w:lang w:val="zh-CN"/>
        </w:rPr>
        <w:t>法律</w:t>
      </w:r>
    </w:p>
    <w:p w14:paraId="478F72DE">
      <w:pPr>
        <w:pStyle w:val="188"/>
        <w:ind w:firstLine="315" w:firstLineChars="150"/>
        <w:rPr>
          <w:rFonts w:ascii="宋体" w:hAnsi="宋体"/>
          <w:color w:val="auto"/>
          <w:kern w:val="0"/>
          <w:highlight w:val="none"/>
        </w:rPr>
      </w:pPr>
      <w:r>
        <w:rPr>
          <w:rFonts w:hint="eastAsia"/>
          <w:color w:val="auto"/>
          <w:highlight w:val="none"/>
        </w:rPr>
        <w:t>适用于合同的其他规范性文件：国家现行的《中华人民共和国建筑法》《中华人民共和国民法典》《中华人民共和国招标投标法》《最高人民法院关于审理建设工程施工合同纠纷案件适用法律问题的解释》《建设工程质量管理条例》《建设工程安全生产管理条例》《</w:t>
      </w:r>
      <w:r>
        <w:rPr>
          <w:rFonts w:hint="eastAsia"/>
          <w:color w:val="auto"/>
          <w:kern w:val="0"/>
          <w:highlight w:val="none"/>
        </w:rPr>
        <w:t xml:space="preserve">建设工程价款结算暂行办法 </w:t>
      </w:r>
      <w:r>
        <w:rPr>
          <w:rFonts w:hint="eastAsia"/>
          <w:color w:val="auto"/>
          <w:highlight w:val="none"/>
        </w:rPr>
        <w:t>》《</w:t>
      </w:r>
      <w:r>
        <w:rPr>
          <w:rFonts w:hint="eastAsia"/>
          <w:color w:val="auto"/>
          <w:kern w:val="0"/>
          <w:highlight w:val="none"/>
        </w:rPr>
        <w:t>建筑工程施工发包与承包计价管理办法</w:t>
      </w:r>
      <w:r>
        <w:rPr>
          <w:rFonts w:hint="eastAsia" w:ascii="宋体" w:hAnsi="宋体"/>
          <w:color w:val="auto"/>
          <w:highlight w:val="none"/>
        </w:rPr>
        <w:t>》</w:t>
      </w:r>
      <w:r>
        <w:rPr>
          <w:rFonts w:hint="eastAsia" w:asciiTheme="minorEastAsia" w:hAnsiTheme="minorEastAsia" w:eastAsiaTheme="minorEastAsia"/>
          <w:color w:val="auto"/>
          <w:highlight w:val="none"/>
        </w:rPr>
        <w:t>及国家、自治区建筑装饰装修工程的相关法律法规文件等和</w:t>
      </w:r>
      <w:r>
        <w:rPr>
          <w:rFonts w:hint="eastAsia" w:ascii="宋体" w:hAnsi="宋体"/>
          <w:color w:val="auto"/>
          <w:highlight w:val="none"/>
        </w:rPr>
        <w:t>工程所在地现行的地方性法规和地方政府、行政主管部门制定的有关规范性文件</w:t>
      </w:r>
      <w:r>
        <w:rPr>
          <w:rFonts w:hint="eastAsia" w:ascii="宋体" w:hAnsi="宋体" w:cs="宋体"/>
          <w:color w:val="auto"/>
          <w:highlight w:val="none"/>
        </w:rPr>
        <w:t>。</w:t>
      </w:r>
    </w:p>
    <w:p w14:paraId="4739A0B7">
      <w:pPr>
        <w:keepNext/>
        <w:keepLines/>
        <w:spacing w:line="360" w:lineRule="auto"/>
        <w:outlineLvl w:val="2"/>
        <w:rPr>
          <w:rFonts w:ascii="宋体" w:hAnsi="宋体"/>
          <w:b/>
          <w:bCs/>
          <w:color w:val="auto"/>
          <w:highlight w:val="none"/>
          <w:lang w:val="zh-CN"/>
        </w:rPr>
      </w:pPr>
      <w:bookmarkStart w:id="228" w:name="_Toc10801"/>
      <w:bookmarkEnd w:id="228"/>
      <w:bookmarkStart w:id="229" w:name="_Toc373227695"/>
      <w:bookmarkEnd w:id="229"/>
      <w:bookmarkStart w:id="230" w:name="_Toc389065261"/>
      <w:bookmarkEnd w:id="230"/>
      <w:bookmarkStart w:id="231" w:name="_Toc407135197"/>
      <w:bookmarkEnd w:id="231"/>
      <w:bookmarkStart w:id="232" w:name="_Toc373478342"/>
      <w:r>
        <w:rPr>
          <w:rFonts w:ascii="宋体" w:hAnsi="宋体"/>
          <w:b/>
          <w:bCs/>
          <w:color w:val="auto"/>
          <w:highlight w:val="none"/>
          <w:lang w:val="zh-CN"/>
        </w:rPr>
        <w:t xml:space="preserve">1.4 </w:t>
      </w:r>
      <w:bookmarkEnd w:id="232"/>
      <w:r>
        <w:rPr>
          <w:rFonts w:hint="eastAsia" w:ascii="宋体" w:hAnsi="宋体"/>
          <w:b/>
          <w:bCs/>
          <w:color w:val="auto"/>
          <w:highlight w:val="none"/>
          <w:lang w:val="zh-CN"/>
        </w:rPr>
        <w:t>标准和规范</w:t>
      </w:r>
    </w:p>
    <w:p w14:paraId="56DB9A78">
      <w:pPr>
        <w:spacing w:line="360" w:lineRule="auto"/>
        <w:ind w:firstLine="420" w:firstLineChars="200"/>
        <w:rPr>
          <w:rFonts w:ascii="宋体" w:hAnsi="宋体"/>
          <w:color w:val="auto"/>
          <w:highlight w:val="none"/>
        </w:rPr>
      </w:pPr>
      <w:r>
        <w:rPr>
          <w:rFonts w:ascii="宋体" w:hAnsi="宋体"/>
          <w:color w:val="auto"/>
          <w:highlight w:val="none"/>
        </w:rPr>
        <w:t xml:space="preserve">1.4.1 </w:t>
      </w:r>
      <w:r>
        <w:rPr>
          <w:rFonts w:hint="eastAsia" w:ascii="宋体" w:hAnsi="宋体"/>
          <w:color w:val="auto"/>
          <w:highlight w:val="none"/>
        </w:rPr>
        <w:t>适用于工程的标准规范包括：</w:t>
      </w:r>
      <w:r>
        <w:rPr>
          <w:rFonts w:hint="eastAsia" w:ascii="宋体" w:hAnsi="宋体"/>
          <w:color w:val="auto"/>
          <w:highlight w:val="none"/>
          <w:u w:val="single"/>
        </w:rPr>
        <w:t>国家现行有关的国家标准及规划、行业标准，工程所在地现行的地方性标准、规范、规程等</w:t>
      </w:r>
      <w:r>
        <w:rPr>
          <w:rFonts w:hint="eastAsia" w:ascii="宋体" w:hAnsi="宋体"/>
          <w:color w:val="auto"/>
          <w:highlight w:val="none"/>
        </w:rPr>
        <w:t>。</w:t>
      </w:r>
    </w:p>
    <w:p w14:paraId="1515D599">
      <w:pPr>
        <w:spacing w:line="360" w:lineRule="auto"/>
        <w:ind w:firstLine="420" w:firstLineChars="200"/>
        <w:rPr>
          <w:rFonts w:ascii="宋体" w:hAnsi="宋体"/>
          <w:color w:val="auto"/>
          <w:kern w:val="0"/>
          <w:highlight w:val="none"/>
        </w:rPr>
      </w:pPr>
      <w:r>
        <w:rPr>
          <w:rFonts w:ascii="宋体" w:hAnsi="宋体"/>
          <w:color w:val="auto"/>
          <w:kern w:val="0"/>
          <w:highlight w:val="none"/>
        </w:rPr>
        <w:t xml:space="preserve">1.4.2 </w:t>
      </w:r>
      <w:r>
        <w:rPr>
          <w:rFonts w:hint="eastAsia" w:ascii="宋体" w:hAnsi="宋体"/>
          <w:color w:val="auto"/>
          <w:kern w:val="0"/>
          <w:highlight w:val="none"/>
        </w:rPr>
        <w:t>发包人提供国外标准、规范的名称：</w:t>
      </w:r>
      <w:r>
        <w:rPr>
          <w:rFonts w:hint="eastAsia" w:ascii="宋体" w:hAnsi="宋体"/>
          <w:color w:val="auto"/>
          <w:kern w:val="0"/>
          <w:highlight w:val="none"/>
          <w:u w:val="single"/>
        </w:rPr>
        <w:t>无</w:t>
      </w:r>
      <w:r>
        <w:rPr>
          <w:rFonts w:hint="eastAsia" w:ascii="宋体" w:hAnsi="宋体"/>
          <w:color w:val="auto"/>
          <w:highlight w:val="none"/>
        </w:rPr>
        <w:t>；</w:t>
      </w:r>
    </w:p>
    <w:p w14:paraId="595223FB">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发包人提供国外标准、规范的份数：</w:t>
      </w:r>
      <w:r>
        <w:rPr>
          <w:rFonts w:hint="eastAsia" w:ascii="宋体" w:hAnsi="宋体"/>
          <w:color w:val="auto"/>
          <w:kern w:val="0"/>
          <w:highlight w:val="none"/>
          <w:u w:val="single"/>
        </w:rPr>
        <w:t>无</w:t>
      </w:r>
      <w:r>
        <w:rPr>
          <w:rFonts w:hint="eastAsia" w:ascii="宋体" w:hAnsi="宋体"/>
          <w:color w:val="auto"/>
          <w:kern w:val="0"/>
          <w:highlight w:val="none"/>
        </w:rPr>
        <w:t>；</w:t>
      </w:r>
    </w:p>
    <w:p w14:paraId="4EF3D990">
      <w:pPr>
        <w:spacing w:line="360" w:lineRule="auto"/>
        <w:ind w:firstLine="420" w:firstLineChars="200"/>
        <w:rPr>
          <w:rFonts w:ascii="宋体" w:hAnsi="宋体"/>
          <w:color w:val="auto"/>
          <w:highlight w:val="none"/>
        </w:rPr>
      </w:pPr>
      <w:r>
        <w:rPr>
          <w:rFonts w:hint="eastAsia" w:ascii="宋体" w:hAnsi="宋体"/>
          <w:color w:val="auto"/>
          <w:kern w:val="0"/>
          <w:highlight w:val="none"/>
        </w:rPr>
        <w:t>发包人提供国外标准、规范的名称：</w:t>
      </w:r>
      <w:r>
        <w:rPr>
          <w:rFonts w:hint="eastAsia" w:ascii="宋体" w:hAnsi="宋体"/>
          <w:color w:val="auto"/>
          <w:kern w:val="0"/>
          <w:highlight w:val="none"/>
          <w:u w:val="single"/>
        </w:rPr>
        <w:t>无</w:t>
      </w:r>
      <w:r>
        <w:rPr>
          <w:rFonts w:hint="eastAsia" w:ascii="宋体" w:hAnsi="宋体"/>
          <w:color w:val="auto"/>
          <w:kern w:val="0"/>
          <w:highlight w:val="none"/>
        </w:rPr>
        <w:t>。</w:t>
      </w:r>
    </w:p>
    <w:p w14:paraId="63DAA82A">
      <w:pPr>
        <w:spacing w:line="360" w:lineRule="auto"/>
        <w:ind w:firstLine="420" w:firstLineChars="200"/>
        <w:rPr>
          <w:rFonts w:ascii="宋体" w:hAnsi="宋体"/>
          <w:color w:val="auto"/>
          <w:highlight w:val="none"/>
        </w:rPr>
      </w:pPr>
      <w:r>
        <w:rPr>
          <w:rFonts w:ascii="宋体" w:hAnsi="宋体"/>
          <w:color w:val="auto"/>
          <w:highlight w:val="none"/>
        </w:rPr>
        <w:t xml:space="preserve">1.4.3 </w:t>
      </w:r>
      <w:r>
        <w:rPr>
          <w:rFonts w:hint="eastAsia" w:ascii="宋体" w:hAnsi="宋体"/>
          <w:color w:val="auto"/>
          <w:highlight w:val="none"/>
        </w:rPr>
        <w:t>发包人对工程的技术标准和功能要求的特殊要求：</w:t>
      </w:r>
      <w:r>
        <w:rPr>
          <w:rFonts w:hint="eastAsia" w:ascii="宋体" w:hAnsi="宋体"/>
          <w:color w:val="auto"/>
          <w:highlight w:val="none"/>
          <w:u w:val="single"/>
        </w:rPr>
        <w:t>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由承包人投标时综合考虑，包括在合同价格内</w:t>
      </w:r>
      <w:r>
        <w:rPr>
          <w:rFonts w:hint="eastAsia" w:ascii="宋体" w:hAnsi="宋体"/>
          <w:color w:val="auto"/>
          <w:highlight w:val="none"/>
        </w:rPr>
        <w:t>。</w:t>
      </w:r>
    </w:p>
    <w:p w14:paraId="2938829B">
      <w:pPr>
        <w:keepNext/>
        <w:keepLines/>
        <w:spacing w:line="360" w:lineRule="auto"/>
        <w:outlineLvl w:val="2"/>
        <w:rPr>
          <w:rFonts w:ascii="宋体" w:hAnsi="宋体"/>
          <w:b/>
          <w:bCs/>
          <w:color w:val="auto"/>
          <w:highlight w:val="none"/>
          <w:lang w:val="zh-CN"/>
        </w:rPr>
      </w:pPr>
      <w:bookmarkStart w:id="233" w:name="_Toc373478343"/>
      <w:bookmarkEnd w:id="233"/>
      <w:bookmarkStart w:id="234" w:name="_Toc407135198"/>
      <w:bookmarkEnd w:id="234"/>
      <w:bookmarkStart w:id="235" w:name="_Toc14574"/>
      <w:bookmarkEnd w:id="235"/>
      <w:bookmarkStart w:id="236" w:name="_Toc389065262"/>
      <w:bookmarkEnd w:id="236"/>
      <w:bookmarkStart w:id="237" w:name="_Toc373227696"/>
      <w:r>
        <w:rPr>
          <w:rFonts w:ascii="宋体" w:hAnsi="宋体"/>
          <w:b/>
          <w:bCs/>
          <w:color w:val="auto"/>
          <w:highlight w:val="none"/>
          <w:lang w:val="zh-CN"/>
        </w:rPr>
        <w:t xml:space="preserve">1.5 </w:t>
      </w:r>
      <w:bookmarkEnd w:id="237"/>
      <w:r>
        <w:rPr>
          <w:rFonts w:hint="eastAsia" w:ascii="宋体" w:hAnsi="宋体"/>
          <w:b/>
          <w:bCs/>
          <w:color w:val="auto"/>
          <w:highlight w:val="none"/>
          <w:lang w:val="zh-CN"/>
        </w:rPr>
        <w:t>合同文件的优先顺序</w:t>
      </w:r>
    </w:p>
    <w:p w14:paraId="05FF6A39">
      <w:pPr>
        <w:spacing w:line="360" w:lineRule="auto"/>
        <w:ind w:firstLine="420" w:firstLineChars="200"/>
        <w:rPr>
          <w:rFonts w:ascii="宋体" w:hAnsi="宋体"/>
          <w:color w:val="auto"/>
          <w:highlight w:val="none"/>
        </w:rPr>
      </w:pPr>
      <w:r>
        <w:rPr>
          <w:rFonts w:hint="eastAsia" w:ascii="宋体" w:hAnsi="宋体"/>
          <w:color w:val="auto"/>
          <w:highlight w:val="none"/>
        </w:rPr>
        <w:t>合同文件组成及优先顺序为：</w:t>
      </w:r>
    </w:p>
    <w:p w14:paraId="0D2EB9A4">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）合同协议书；</w:t>
      </w:r>
    </w:p>
    <w:p w14:paraId="19644012">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）成交通知书（如有）；</w:t>
      </w:r>
    </w:p>
    <w:p w14:paraId="7FFED6C9">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）投标函及其附录（如有）；</w:t>
      </w:r>
    </w:p>
    <w:p w14:paraId="37A69DC2">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4</w:t>
      </w:r>
      <w:r>
        <w:rPr>
          <w:rFonts w:hint="eastAsia" w:ascii="宋体" w:hAnsi="宋体"/>
          <w:color w:val="auto"/>
          <w:kern w:val="0"/>
          <w:highlight w:val="none"/>
        </w:rPr>
        <w:t>）专用合同条款及其附件；</w:t>
      </w:r>
    </w:p>
    <w:p w14:paraId="7413437F">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5</w:t>
      </w:r>
      <w:r>
        <w:rPr>
          <w:rFonts w:hint="eastAsia" w:ascii="宋体" w:hAnsi="宋体"/>
          <w:color w:val="auto"/>
          <w:kern w:val="0"/>
          <w:highlight w:val="none"/>
        </w:rPr>
        <w:t>）通用合同条款；</w:t>
      </w:r>
    </w:p>
    <w:p w14:paraId="3FF1209A">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6</w:t>
      </w:r>
      <w:r>
        <w:rPr>
          <w:rFonts w:hint="eastAsia" w:ascii="宋体" w:hAnsi="宋体"/>
          <w:color w:val="auto"/>
          <w:kern w:val="0"/>
          <w:highlight w:val="none"/>
        </w:rPr>
        <w:t>）技术标准和要求；</w:t>
      </w:r>
    </w:p>
    <w:p w14:paraId="67D1C256">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7</w:t>
      </w:r>
      <w:r>
        <w:rPr>
          <w:rFonts w:hint="eastAsia" w:ascii="宋体" w:hAnsi="宋体"/>
          <w:color w:val="auto"/>
          <w:kern w:val="0"/>
          <w:highlight w:val="none"/>
        </w:rPr>
        <w:t>）已标价工程量清单或预算书；</w:t>
      </w:r>
    </w:p>
    <w:p w14:paraId="0DAE8353">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8</w:t>
      </w:r>
      <w:r>
        <w:rPr>
          <w:rFonts w:hint="eastAsia" w:ascii="宋体" w:hAnsi="宋体"/>
          <w:color w:val="auto"/>
          <w:kern w:val="0"/>
          <w:highlight w:val="none"/>
        </w:rPr>
        <w:t>）图纸；</w:t>
      </w:r>
    </w:p>
    <w:p w14:paraId="2FFBB7E1">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9</w:t>
      </w:r>
      <w:r>
        <w:rPr>
          <w:rFonts w:hint="eastAsia" w:ascii="宋体" w:hAnsi="宋体"/>
          <w:color w:val="auto"/>
          <w:kern w:val="0"/>
          <w:highlight w:val="none"/>
        </w:rPr>
        <w:t>）其他合同文件。</w:t>
      </w:r>
    </w:p>
    <w:p w14:paraId="57DDF2BE">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（10）其他合同文件；</w:t>
      </w:r>
    </w:p>
    <w:p w14:paraId="664AAB7A">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11）《建设工程工程量清单计价规范（GB5050-2013）》及其广西实施细则及《关于建筑业实施营业税改征增值税后广西壮族自治区建设工程计价依据调整的通知》（桂建标〔2016〕17号）、《自治区住房城乡建设厅关于调整建设工程计价增值税税率的通知》（桂建标〔2018〕14号）、《建设工程工程量清单计算规范（GB5854~50862-2013）》及其广西实施细则（修订本）。</w:t>
      </w:r>
    </w:p>
    <w:p w14:paraId="499C2AB1">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说明：上述各项合同文件包括合同当事人就该项合同文件所作出的补充和修改，属于同一类内容的文件，应以最新签署的为准（</w:t>
      </w:r>
      <w:r>
        <w:rPr>
          <w:rFonts w:hint="eastAsia" w:ascii="宋体" w:hAnsi="宋体"/>
          <w:b/>
          <w:color w:val="auto"/>
          <w:kern w:val="0"/>
          <w:highlight w:val="none"/>
        </w:rPr>
        <w:t>违反招标文件实质性内容的约定除外</w:t>
      </w:r>
      <w:r>
        <w:rPr>
          <w:rFonts w:hint="eastAsia" w:ascii="宋体" w:hAnsi="宋体"/>
          <w:color w:val="auto"/>
          <w:kern w:val="0"/>
          <w:highlight w:val="none"/>
        </w:rPr>
        <w:t>）。专用合同条款及其附件须经合同当事人签字或盖章。</w:t>
      </w:r>
    </w:p>
    <w:p w14:paraId="1A01FDBD">
      <w:pPr>
        <w:keepNext/>
        <w:keepLines/>
        <w:spacing w:line="360" w:lineRule="auto"/>
        <w:outlineLvl w:val="2"/>
        <w:rPr>
          <w:rFonts w:ascii="宋体" w:hAnsi="宋体"/>
          <w:b/>
          <w:bCs/>
          <w:color w:val="auto"/>
          <w:highlight w:val="none"/>
          <w:lang w:val="zh-CN"/>
        </w:rPr>
      </w:pPr>
      <w:bookmarkStart w:id="238" w:name="_Toc373478344"/>
      <w:bookmarkEnd w:id="238"/>
      <w:bookmarkStart w:id="239" w:name="_Toc19804"/>
      <w:bookmarkEnd w:id="239"/>
      <w:bookmarkStart w:id="240" w:name="_Toc373227697"/>
      <w:bookmarkEnd w:id="240"/>
      <w:bookmarkStart w:id="241" w:name="_Toc389065263"/>
      <w:bookmarkEnd w:id="241"/>
      <w:bookmarkStart w:id="242" w:name="_Toc407135199"/>
      <w:r>
        <w:rPr>
          <w:rFonts w:ascii="宋体" w:hAnsi="宋体"/>
          <w:b/>
          <w:bCs/>
          <w:color w:val="auto"/>
          <w:highlight w:val="none"/>
          <w:lang w:val="zh-CN"/>
        </w:rPr>
        <w:t xml:space="preserve">1.6 </w:t>
      </w:r>
      <w:bookmarkEnd w:id="242"/>
      <w:r>
        <w:rPr>
          <w:rFonts w:hint="eastAsia" w:ascii="宋体" w:hAnsi="宋体"/>
          <w:b/>
          <w:bCs/>
          <w:color w:val="auto"/>
          <w:highlight w:val="none"/>
          <w:lang w:val="zh-CN"/>
        </w:rPr>
        <w:t>图纸和承包人文件</w:t>
      </w:r>
      <w:r>
        <w:rPr>
          <w:rFonts w:ascii="宋体" w:hAnsi="宋体"/>
          <w:b/>
          <w:bCs/>
          <w:color w:val="auto"/>
          <w:highlight w:val="none"/>
          <w:lang w:val="zh-CN"/>
        </w:rPr>
        <w:tab/>
      </w:r>
    </w:p>
    <w:p w14:paraId="2FF704E5">
      <w:pPr>
        <w:spacing w:line="360" w:lineRule="auto"/>
        <w:ind w:firstLine="420"/>
        <w:rPr>
          <w:rFonts w:ascii="宋体" w:hAnsi="宋体"/>
          <w:color w:val="auto"/>
          <w:highlight w:val="none"/>
        </w:rPr>
      </w:pPr>
      <w:r>
        <w:rPr>
          <w:rFonts w:ascii="宋体" w:hAnsi="宋体"/>
          <w:color w:val="auto"/>
          <w:highlight w:val="none"/>
        </w:rPr>
        <w:t xml:space="preserve">1.6.1 </w:t>
      </w:r>
      <w:r>
        <w:rPr>
          <w:rFonts w:hint="eastAsia" w:ascii="宋体" w:hAnsi="宋体"/>
          <w:color w:val="auto"/>
          <w:highlight w:val="none"/>
        </w:rPr>
        <w:t>图纸的提供</w:t>
      </w:r>
    </w:p>
    <w:p w14:paraId="0EAA0690">
      <w:pPr>
        <w:spacing w:line="360" w:lineRule="auto"/>
        <w:ind w:firstLine="420"/>
        <w:rPr>
          <w:rFonts w:ascii="宋体" w:hAnsi="宋体"/>
          <w:color w:val="auto"/>
          <w:highlight w:val="none"/>
        </w:rPr>
      </w:pPr>
      <w:r>
        <w:rPr>
          <w:rFonts w:hint="eastAsia" w:ascii="宋体" w:hAnsi="宋体"/>
          <w:color w:val="auto"/>
          <w:highlight w:val="none"/>
        </w:rPr>
        <w:t>发包人向承包人提供图纸的期限：</w:t>
      </w:r>
      <w:r>
        <w:rPr>
          <w:rFonts w:hint="eastAsia" w:ascii="宋体" w:hAnsi="宋体"/>
          <w:bCs/>
          <w:color w:val="auto"/>
          <w:highlight w:val="none"/>
          <w:u w:val="single"/>
        </w:rPr>
        <w:t>发包人与承包人签订本合同之日起 15 日内；</w:t>
      </w:r>
    </w:p>
    <w:p w14:paraId="65876FA1">
      <w:pPr>
        <w:spacing w:line="360" w:lineRule="auto"/>
        <w:ind w:firstLine="420"/>
        <w:rPr>
          <w:rFonts w:ascii="宋体" w:hAnsi="宋体"/>
          <w:color w:val="auto"/>
          <w:highlight w:val="none"/>
        </w:rPr>
      </w:pPr>
      <w:r>
        <w:rPr>
          <w:rFonts w:hint="eastAsia" w:ascii="宋体" w:hAnsi="宋体"/>
          <w:color w:val="auto"/>
          <w:highlight w:val="none"/>
        </w:rPr>
        <w:t>发包人向承包人提供图纸的数量：</w:t>
      </w:r>
      <w:r>
        <w:rPr>
          <w:rFonts w:hint="eastAsia" w:ascii="宋体" w:hAnsi="宋体" w:cs="宋体"/>
          <w:color w:val="auto"/>
          <w:highlight w:val="none"/>
          <w:u w:val="single"/>
        </w:rPr>
        <w:t></w:t>
      </w:r>
      <w:r>
        <w:rPr>
          <w:rFonts w:hint="eastAsia" w:asciiTheme="minorEastAsia" w:hAnsiTheme="minorEastAsia" w:eastAsiaTheme="minorEastAsia"/>
          <w:color w:val="auto"/>
          <w:highlight w:val="none"/>
          <w:u w:val="single"/>
        </w:rPr>
        <w:t>一式</w:t>
      </w:r>
      <w:r>
        <w:rPr>
          <w:rFonts w:hint="eastAsia" w:cs="宋体" w:asciiTheme="minorEastAsia" w:hAnsiTheme="minorEastAsia" w:eastAsiaTheme="minorEastAsia"/>
          <w:bCs/>
          <w:color w:val="auto"/>
          <w:highlight w:val="none"/>
          <w:u w:val="single"/>
        </w:rPr>
        <w:t>贰</w:t>
      </w:r>
      <w:r>
        <w:rPr>
          <w:rFonts w:hint="eastAsia" w:asciiTheme="minorEastAsia" w:hAnsiTheme="minorEastAsia" w:eastAsiaTheme="minorEastAsia"/>
          <w:color w:val="auto"/>
          <w:highlight w:val="none"/>
          <w:u w:val="single"/>
        </w:rPr>
        <w:t>套图纸</w:t>
      </w:r>
      <w:r>
        <w:rPr>
          <w:rFonts w:hint="eastAsia" w:ascii="宋体" w:hAnsi="宋体" w:cs="宋体"/>
          <w:bCs/>
          <w:color w:val="auto"/>
          <w:highlight w:val="none"/>
          <w:u w:val="single"/>
        </w:rPr>
        <w:t>（承包人需要增加图纸套数的，发包人应代为复制，复制费用由承包人承担）</w:t>
      </w:r>
      <w:r>
        <w:rPr>
          <w:rFonts w:hint="eastAsia" w:ascii="宋体" w:hAnsi="宋体"/>
          <w:b/>
          <w:bCs/>
          <w:color w:val="auto"/>
          <w:highlight w:val="none"/>
        </w:rPr>
        <w:t>；</w:t>
      </w:r>
    </w:p>
    <w:p w14:paraId="4097CA4F">
      <w:pPr>
        <w:spacing w:line="400" w:lineRule="exact"/>
        <w:ind w:firstLine="420"/>
        <w:rPr>
          <w:rFonts w:ascii="宋体" w:hAnsi="宋体"/>
          <w:color w:val="auto"/>
          <w:highlight w:val="none"/>
        </w:rPr>
      </w:pPr>
      <w:r>
        <w:rPr>
          <w:rFonts w:hint="eastAsia" w:ascii="宋体" w:hAnsi="宋体"/>
          <w:color w:val="auto"/>
          <w:highlight w:val="none"/>
        </w:rPr>
        <w:t>发包人向承包人提供图纸的内容：</w:t>
      </w:r>
      <w:r>
        <w:rPr>
          <w:rFonts w:hint="eastAsia" w:ascii="宋体" w:hAnsi="宋体" w:cs="宋体"/>
          <w:color w:val="auto"/>
          <w:highlight w:val="none"/>
          <w:u w:val="single"/>
        </w:rPr>
        <w:t></w:t>
      </w:r>
      <w:r>
        <w:rPr>
          <w:rFonts w:hint="eastAsia" w:ascii="宋体" w:hAnsi="宋体"/>
          <w:bCs/>
          <w:color w:val="auto"/>
          <w:highlight w:val="none"/>
          <w:u w:val="single"/>
        </w:rPr>
        <w:t>完整的施工设计图纸文件</w:t>
      </w:r>
      <w:r>
        <w:rPr>
          <w:rFonts w:hint="eastAsia" w:ascii="宋体" w:hAnsi="宋体" w:cs="宋体"/>
          <w:color w:val="auto"/>
          <w:highlight w:val="none"/>
          <w:u w:val="single"/>
        </w:rPr>
        <w:t></w:t>
      </w:r>
      <w:r>
        <w:rPr>
          <w:rFonts w:hint="eastAsia" w:ascii="宋体" w:hAnsi="宋体"/>
          <w:color w:val="auto"/>
          <w:highlight w:val="none"/>
        </w:rPr>
        <w:t>。</w:t>
      </w:r>
    </w:p>
    <w:p w14:paraId="7FB1B181">
      <w:pPr>
        <w:spacing w:line="400" w:lineRule="exact"/>
        <w:ind w:firstLine="420"/>
        <w:rPr>
          <w:rFonts w:ascii="宋体" w:hAnsi="宋体"/>
          <w:color w:val="auto"/>
          <w:highlight w:val="none"/>
        </w:rPr>
      </w:pPr>
      <w:r>
        <w:rPr>
          <w:rFonts w:hint="eastAsia" w:ascii="宋体" w:hAnsi="宋体"/>
          <w:color w:val="auto"/>
          <w:highlight w:val="none"/>
        </w:rPr>
        <w:t>当承包人在查阅合同文件或在本合同工程实施过程中，发现有关的工程设计、技术规范、图纸或其他资料中的任何差错、遗漏或缺陷后，应及时通知监理人。监理人接到该通知后，应及时报发包人作出决定，并通知承包人。</w:t>
      </w:r>
    </w:p>
    <w:p w14:paraId="1F6349DA">
      <w:pPr>
        <w:spacing w:line="400" w:lineRule="exact"/>
        <w:ind w:firstLine="420"/>
        <w:rPr>
          <w:color w:val="auto"/>
          <w:highlight w:val="none"/>
        </w:rPr>
      </w:pPr>
      <w:r>
        <w:rPr>
          <w:rFonts w:hint="eastAsia" w:ascii="宋体" w:hAnsi="宋体"/>
          <w:color w:val="auto"/>
          <w:highlight w:val="none"/>
        </w:rPr>
        <w:t>图纸会审和设计交底时间：开工7天前。</w:t>
      </w:r>
    </w:p>
    <w:p w14:paraId="3B96025C">
      <w:pPr>
        <w:spacing w:line="400" w:lineRule="exact"/>
        <w:ind w:firstLine="420"/>
        <w:rPr>
          <w:rFonts w:ascii="宋体" w:hAnsi="宋体"/>
          <w:color w:val="auto"/>
          <w:highlight w:val="none"/>
        </w:rPr>
      </w:pPr>
      <w:r>
        <w:rPr>
          <w:rFonts w:ascii="宋体" w:hAnsi="宋体"/>
          <w:color w:val="auto"/>
          <w:highlight w:val="none"/>
        </w:rPr>
        <w:t xml:space="preserve">1.6.4 </w:t>
      </w:r>
      <w:r>
        <w:rPr>
          <w:rFonts w:hint="eastAsia" w:ascii="宋体" w:hAnsi="宋体"/>
          <w:color w:val="auto"/>
          <w:highlight w:val="none"/>
        </w:rPr>
        <w:t>承包人文件</w:t>
      </w:r>
    </w:p>
    <w:p w14:paraId="21B04B3C">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需要由承包人提供的文件，包括：</w:t>
      </w:r>
      <w:r>
        <w:rPr>
          <w:rFonts w:ascii="宋体" w:hAnsi="宋体"/>
          <w:color w:val="auto"/>
          <w:highlight w:val="none"/>
          <w:u w:val="single"/>
        </w:rPr>
        <w:t>1.资质证书、营业执照副本、安全生产许可证复印件并加章单位公章；2.施工组织设计及方案、进度计划；3.标价工程量清单或工程预算书（此项文件应在签订合同前提交并经发包人同意，应无需再提供）；4.专项施工方案、安全文明施工措施、质量管控体系；5.施工图以外的大样图、加工图、标准图</w:t>
      </w:r>
      <w:r>
        <w:rPr>
          <w:rFonts w:hint="eastAsia" w:ascii="宋体" w:hAnsi="宋体"/>
          <w:color w:val="auto"/>
          <w:highlight w:val="none"/>
          <w:u w:val="single"/>
        </w:rPr>
        <w:t>、效果</w:t>
      </w:r>
      <w:r>
        <w:rPr>
          <w:rFonts w:ascii="宋体" w:hAnsi="宋体"/>
          <w:color w:val="auto"/>
          <w:highlight w:val="none"/>
          <w:u w:val="single"/>
        </w:rPr>
        <w:t>图等图册；6.管理人员名单、职称、职务、上岗证、劳动合同及社保缴纳证明等；7.其他建设行政主管部门、发包人需要用于本工程的文件（含电子版）。前述文件和材料，应在提交开工报审单前提交。</w:t>
      </w:r>
    </w:p>
    <w:p w14:paraId="68DF1253">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有下列情形之一的，承包人应免费向监理人提交相关部分工程的施工图纸</w:t>
      </w:r>
      <w:r>
        <w:rPr>
          <w:rFonts w:ascii="宋体" w:hAnsi="宋体"/>
          <w:color w:val="auto"/>
          <w:highlight w:val="none"/>
          <w:u w:val="single"/>
        </w:rPr>
        <w:t xml:space="preserve"> 3 </w:t>
      </w:r>
      <w:r>
        <w:rPr>
          <w:rFonts w:hint="eastAsia" w:ascii="宋体" w:hAnsi="宋体"/>
          <w:color w:val="auto"/>
          <w:highlight w:val="none"/>
          <w:u w:val="single"/>
        </w:rPr>
        <w:t>份，并附必要的计算书、技术资料，或施工工艺图、设备安装图及安装设备的使用和维护手册各</w:t>
      </w:r>
      <w:r>
        <w:rPr>
          <w:rFonts w:ascii="宋体" w:hAnsi="宋体"/>
          <w:color w:val="auto"/>
          <w:highlight w:val="none"/>
          <w:u w:val="single"/>
        </w:rPr>
        <w:t xml:space="preserve"> 2 </w:t>
      </w:r>
      <w:r>
        <w:rPr>
          <w:rFonts w:hint="eastAsia" w:ascii="宋体" w:hAnsi="宋体"/>
          <w:color w:val="auto"/>
          <w:highlight w:val="none"/>
          <w:u w:val="single"/>
        </w:rPr>
        <w:t>份供监理人批准。</w:t>
      </w:r>
    </w:p>
    <w:p w14:paraId="2815D131">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 xml:space="preserve">1）为使第 1.6.1 </w:t>
      </w:r>
      <w:r>
        <w:rPr>
          <w:rFonts w:hint="eastAsia" w:ascii="宋体" w:hAnsi="宋体"/>
          <w:color w:val="auto"/>
          <w:highlight w:val="none"/>
          <w:u w:val="single"/>
        </w:rPr>
        <w:t>项所述的施工图纸适合于经施工测量后的纵、横断面；</w:t>
      </w:r>
    </w:p>
    <w:p w14:paraId="6DDBBCAE">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 xml:space="preserve">2）为使第 1.6.1 </w:t>
      </w:r>
      <w:r>
        <w:rPr>
          <w:rFonts w:hint="eastAsia" w:ascii="宋体" w:hAnsi="宋体"/>
          <w:color w:val="auto"/>
          <w:highlight w:val="none"/>
          <w:u w:val="single"/>
        </w:rPr>
        <w:t>项所述的施工图纸适合于现场具体地形；</w:t>
      </w:r>
    </w:p>
    <w:p w14:paraId="1B3EE23F">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 xml:space="preserve">3）为使第 1.6.1 </w:t>
      </w:r>
      <w:r>
        <w:rPr>
          <w:rFonts w:hint="eastAsia" w:ascii="宋体" w:hAnsi="宋体"/>
          <w:color w:val="auto"/>
          <w:highlight w:val="none"/>
          <w:u w:val="single"/>
        </w:rPr>
        <w:t>项所述的施工图纸适合于因尺寸与位置变化而引起局部变更；</w:t>
      </w:r>
    </w:p>
    <w:p w14:paraId="18F32B6A">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4）由于合同要求与施工需要。</w:t>
      </w:r>
    </w:p>
    <w:p w14:paraId="7C1B6E29">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此类图纸应按监理人规定的格式和图幅绘制。监理人在收到由承包人绘制的上述工程、工艺图纸、计算书和有关技术资料后</w:t>
      </w:r>
      <w:r>
        <w:rPr>
          <w:rFonts w:ascii="宋体" w:hAnsi="宋体"/>
          <w:color w:val="auto"/>
          <w:highlight w:val="none"/>
          <w:u w:val="single"/>
        </w:rPr>
        <w:t xml:space="preserve"> 14 </w:t>
      </w:r>
      <w:r>
        <w:rPr>
          <w:rFonts w:hint="eastAsia" w:ascii="宋体" w:hAnsi="宋体"/>
          <w:color w:val="auto"/>
          <w:highlight w:val="none"/>
          <w:u w:val="single"/>
        </w:rPr>
        <w:t>天内应予批准或提出修改要求，承包人应按监理人提出的要求作出修改，重新向监理人提交，监理人应在</w:t>
      </w:r>
      <w:r>
        <w:rPr>
          <w:rFonts w:ascii="宋体" w:hAnsi="宋体"/>
          <w:color w:val="auto"/>
          <w:highlight w:val="none"/>
          <w:u w:val="single"/>
        </w:rPr>
        <w:t xml:space="preserve"> 7 </w:t>
      </w:r>
      <w:r>
        <w:rPr>
          <w:rFonts w:hint="eastAsia" w:ascii="宋体" w:hAnsi="宋体"/>
          <w:color w:val="auto"/>
          <w:highlight w:val="none"/>
          <w:u w:val="single"/>
        </w:rPr>
        <w:t>天内批准或提出进一步的修改意见。</w:t>
      </w:r>
    </w:p>
    <w:p w14:paraId="6C25CC8D">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承包人提供的文件的期限为：开工前</w:t>
      </w:r>
      <w:r>
        <w:rPr>
          <w:rFonts w:ascii="宋体" w:hAnsi="宋体"/>
          <w:color w:val="auto"/>
          <w:highlight w:val="none"/>
          <w:u w:val="single"/>
        </w:rPr>
        <w:t>14天内；</w:t>
      </w:r>
    </w:p>
    <w:p w14:paraId="03DC1A36">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承包人提供的文件的数量为：</w:t>
      </w:r>
      <w:r>
        <w:rPr>
          <w:rFonts w:ascii="宋体" w:hAnsi="宋体"/>
          <w:color w:val="auto"/>
          <w:highlight w:val="none"/>
          <w:u w:val="single"/>
        </w:rPr>
        <w:t>3份；</w:t>
      </w:r>
    </w:p>
    <w:p w14:paraId="60E74789">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承包人提供的文件的形式为：书面形式；</w:t>
      </w:r>
    </w:p>
    <w:p w14:paraId="7052F561">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发包人审批承包人文件的期限：监理人审查完毕且发包人收到文件之日起</w:t>
      </w:r>
      <w:r>
        <w:rPr>
          <w:rFonts w:ascii="宋体" w:hAnsi="宋体"/>
          <w:color w:val="auto"/>
          <w:highlight w:val="none"/>
          <w:u w:val="single"/>
        </w:rPr>
        <w:t>7日内。</w:t>
      </w:r>
    </w:p>
    <w:p w14:paraId="3D1F9110">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1.6.5 </w:t>
      </w:r>
      <w:r>
        <w:rPr>
          <w:rFonts w:hint="eastAsia" w:ascii="宋体" w:hAnsi="宋体"/>
          <w:color w:val="auto"/>
          <w:highlight w:val="none"/>
          <w:u w:val="single"/>
        </w:rPr>
        <w:t>现场图纸准备</w:t>
      </w:r>
    </w:p>
    <w:p w14:paraId="052E8199">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关于现场图纸准备的约定：承包人应在施工现场另外保存一套完整的图纸和承包人文件，供发包人、监理人及有关人员进行工程检查时使用。</w:t>
      </w:r>
    </w:p>
    <w:p w14:paraId="66551990">
      <w:pPr>
        <w:spacing w:line="400" w:lineRule="exact"/>
        <w:ind w:firstLine="422" w:firstLineChars="200"/>
        <w:rPr>
          <w:rFonts w:ascii="宋体" w:hAnsi="宋体"/>
          <w:b/>
          <w:color w:val="auto"/>
          <w:highlight w:val="none"/>
          <w:u w:val="single"/>
        </w:rPr>
      </w:pPr>
      <w:bookmarkStart w:id="243" w:name="_Toc10610"/>
      <w:bookmarkStart w:id="244" w:name="_Toc31229"/>
      <w:bookmarkStart w:id="245" w:name="_Toc52361131"/>
      <w:bookmarkStart w:id="246" w:name="_Toc43212053"/>
      <w:bookmarkStart w:id="247" w:name="_Toc11000"/>
      <w:bookmarkStart w:id="248" w:name="_Toc117"/>
      <w:r>
        <w:rPr>
          <w:rFonts w:ascii="宋体" w:hAnsi="宋体"/>
          <w:b/>
          <w:color w:val="auto"/>
          <w:highlight w:val="none"/>
          <w:u w:val="single"/>
        </w:rPr>
        <w:t xml:space="preserve">1.7 </w:t>
      </w:r>
      <w:r>
        <w:rPr>
          <w:rFonts w:hint="eastAsia" w:ascii="宋体" w:hAnsi="宋体"/>
          <w:b/>
          <w:color w:val="auto"/>
          <w:highlight w:val="none"/>
          <w:u w:val="single"/>
        </w:rPr>
        <w:t>联络</w:t>
      </w:r>
      <w:bookmarkEnd w:id="243"/>
      <w:bookmarkEnd w:id="244"/>
      <w:bookmarkEnd w:id="245"/>
      <w:bookmarkEnd w:id="246"/>
      <w:bookmarkEnd w:id="247"/>
      <w:bookmarkEnd w:id="248"/>
    </w:p>
    <w:p w14:paraId="587D77E4">
      <w:pPr>
        <w:spacing w:line="400" w:lineRule="exact"/>
        <w:ind w:firstLine="420" w:firstLineChars="200"/>
        <w:rPr>
          <w:rFonts w:ascii="宋体" w:hAnsi="宋体"/>
          <w:color w:val="auto"/>
          <w:highlight w:val="none"/>
          <w:u w:val="single"/>
        </w:rPr>
      </w:pPr>
      <w:r>
        <w:rPr>
          <w:rFonts w:ascii="宋体" w:hAnsi="宋体"/>
          <w:color w:val="auto"/>
          <w:highlight w:val="none"/>
          <w:u w:val="single"/>
        </w:rPr>
        <w:t>1.7.1</w:t>
      </w:r>
      <w:r>
        <w:rPr>
          <w:rFonts w:hint="eastAsia" w:ascii="宋体" w:hAnsi="宋体"/>
          <w:color w:val="auto"/>
          <w:highlight w:val="none"/>
          <w:u w:val="single"/>
        </w:rPr>
        <w:t>发包人和承包人应当在</w:t>
      </w:r>
      <w:r>
        <w:rPr>
          <w:rFonts w:ascii="宋体" w:hAnsi="宋体"/>
          <w:color w:val="auto"/>
          <w:highlight w:val="none"/>
          <w:u w:val="single"/>
        </w:rPr>
        <w:t xml:space="preserve">7 </w:t>
      </w:r>
      <w:r>
        <w:rPr>
          <w:rFonts w:hint="eastAsia" w:ascii="宋体" w:hAnsi="宋体"/>
          <w:color w:val="auto"/>
          <w:highlight w:val="none"/>
          <w:u w:val="single"/>
        </w:rPr>
        <w:t>天内将与合同有关的通知、批准、证明、证书、指示、指令、要求、请求、同意、意见、确定和决定等书面函件送达对方当事人。</w:t>
      </w:r>
    </w:p>
    <w:p w14:paraId="1367BB52">
      <w:pPr>
        <w:spacing w:line="400" w:lineRule="exact"/>
        <w:ind w:firstLine="420" w:firstLineChars="200"/>
        <w:rPr>
          <w:rFonts w:ascii="宋体" w:hAnsi="宋体"/>
          <w:color w:val="auto"/>
          <w:highlight w:val="none"/>
        </w:rPr>
      </w:pPr>
      <w:r>
        <w:rPr>
          <w:rFonts w:ascii="宋体" w:hAnsi="宋体"/>
          <w:color w:val="auto"/>
          <w:highlight w:val="none"/>
        </w:rPr>
        <w:t xml:space="preserve">1.7.2 </w:t>
      </w:r>
      <w:r>
        <w:rPr>
          <w:rFonts w:hint="eastAsia" w:ascii="宋体" w:hAnsi="宋体"/>
          <w:color w:val="auto"/>
          <w:highlight w:val="none"/>
        </w:rPr>
        <w:t>发包人接收文件的地点：；</w:t>
      </w:r>
    </w:p>
    <w:p w14:paraId="366522CF">
      <w:pPr>
        <w:spacing w:line="400" w:lineRule="exact"/>
        <w:ind w:firstLine="420" w:firstLineChars="200"/>
        <w:rPr>
          <w:rFonts w:asciiTheme="minorEastAsia" w:hAnsiTheme="minorEastAsia" w:eastAsiaTheme="minorEastAsia"/>
          <w:color w:val="auto"/>
          <w:highlight w:val="none"/>
        </w:rPr>
      </w:pPr>
      <w:r>
        <w:rPr>
          <w:rFonts w:hint="eastAsia" w:ascii="宋体" w:hAnsi="宋体"/>
          <w:color w:val="auto"/>
          <w:highlight w:val="none"/>
        </w:rPr>
        <w:t xml:space="preserve">发包人指定的接收人为：    </w:t>
      </w:r>
      <w:r>
        <w:rPr>
          <w:rFonts w:hint="eastAsia" w:asciiTheme="minorEastAsia" w:hAnsiTheme="minorEastAsia" w:eastAsiaTheme="minorEastAsia"/>
          <w:color w:val="auto"/>
          <w:kern w:val="0"/>
          <w:highlight w:val="none"/>
        </w:rPr>
        <w:t>；</w:t>
      </w:r>
    </w:p>
    <w:p w14:paraId="24C7D2D7">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承包人接收文件的地点：；</w:t>
      </w:r>
    </w:p>
    <w:p w14:paraId="282C7067">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承包人指定的接收人为：</w:t>
      </w:r>
      <w:r>
        <w:rPr>
          <w:rFonts w:hint="eastAsia" w:asciiTheme="minorEastAsia" w:hAnsiTheme="minorEastAsia" w:eastAsiaTheme="minorEastAsia"/>
          <w:color w:val="auto"/>
          <w:kern w:val="0"/>
          <w:highlight w:val="none"/>
        </w:rPr>
        <w:t>；</w:t>
      </w:r>
      <w:r>
        <w:rPr>
          <w:rFonts w:hint="eastAsia" w:asciiTheme="minorEastAsia" w:hAnsiTheme="minorEastAsia" w:eastAsiaTheme="minorEastAsia"/>
          <w:color w:val="auto"/>
          <w:highlight w:val="none"/>
        </w:rPr>
        <w:t>。</w:t>
      </w:r>
    </w:p>
    <w:p w14:paraId="37A5E912">
      <w:pPr>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监理人接收文件的地点：；</w:t>
      </w:r>
    </w:p>
    <w:p w14:paraId="7454F4D2">
      <w:pPr>
        <w:spacing w:line="400" w:lineRule="exact"/>
        <w:ind w:firstLine="420" w:firstLineChars="200"/>
        <w:rPr>
          <w:rFonts w:ascii="宋体" w:hAnsi="宋体"/>
          <w:color w:val="auto"/>
          <w:highlight w:val="none"/>
          <w:u w:val="single"/>
        </w:rPr>
      </w:pPr>
      <w:r>
        <w:rPr>
          <w:rFonts w:hint="eastAsia" w:asciiTheme="minorEastAsia" w:hAnsiTheme="minorEastAsia" w:eastAsiaTheme="minorEastAsia"/>
          <w:color w:val="auto"/>
          <w:highlight w:val="none"/>
        </w:rPr>
        <w:t>监理人指定的接收人为：</w:t>
      </w:r>
      <w:r>
        <w:rPr>
          <w:rFonts w:hint="eastAsia" w:asciiTheme="minorEastAsia" w:hAnsiTheme="minorEastAsia" w:eastAsiaTheme="minorEastAsia"/>
          <w:color w:val="auto"/>
          <w:kern w:val="0"/>
          <w:highlight w:val="none"/>
          <w:u w:val="single"/>
        </w:rPr>
        <w:t>。</w:t>
      </w:r>
    </w:p>
    <w:p w14:paraId="29A792BA">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发包人（包括监理人）和承包人中任何一方指定的接收人或者接收地点发生变动，应当在实际变动前提前至少三个工作日以书面方式通知另一方。发包人（包括监理人）和承包人应当确保其各自指定的接收人在法定和（或）符合合同约定的工作时间内始终工作在指定的接收地点，指定接收人离开工作岗位而无法及时签收来往函件构成拒不签收，拒不签收的来往函件视为已经送达。</w:t>
      </w:r>
    </w:p>
    <w:p w14:paraId="1F85EFD0">
      <w:pPr>
        <w:spacing w:line="400" w:lineRule="exact"/>
        <w:ind w:firstLine="422" w:firstLineChars="200"/>
        <w:rPr>
          <w:rFonts w:ascii="宋体" w:hAnsi="宋体"/>
          <w:b/>
          <w:color w:val="auto"/>
          <w:highlight w:val="none"/>
          <w:u w:val="single"/>
        </w:rPr>
      </w:pPr>
      <w:bookmarkStart w:id="249" w:name="_Toc30451"/>
      <w:bookmarkStart w:id="250" w:name="_Toc30902"/>
      <w:bookmarkStart w:id="251" w:name="_Toc43212054"/>
      <w:bookmarkStart w:id="252" w:name="_Toc52361132"/>
      <w:bookmarkStart w:id="253" w:name="_Toc3808"/>
      <w:bookmarkStart w:id="254" w:name="_Toc21300"/>
      <w:r>
        <w:rPr>
          <w:rFonts w:ascii="宋体" w:hAnsi="宋体"/>
          <w:b/>
          <w:color w:val="auto"/>
          <w:highlight w:val="none"/>
          <w:u w:val="single"/>
        </w:rPr>
        <w:t xml:space="preserve">1.10 </w:t>
      </w:r>
      <w:r>
        <w:rPr>
          <w:rFonts w:hint="eastAsia" w:ascii="宋体" w:hAnsi="宋体"/>
          <w:b/>
          <w:color w:val="auto"/>
          <w:highlight w:val="none"/>
          <w:u w:val="single"/>
        </w:rPr>
        <w:t>交通运输</w:t>
      </w:r>
      <w:bookmarkEnd w:id="249"/>
      <w:bookmarkEnd w:id="250"/>
      <w:bookmarkEnd w:id="251"/>
      <w:bookmarkEnd w:id="252"/>
      <w:bookmarkEnd w:id="253"/>
      <w:bookmarkEnd w:id="254"/>
    </w:p>
    <w:p w14:paraId="281E3165">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1.10.1 </w:t>
      </w:r>
      <w:r>
        <w:rPr>
          <w:rFonts w:hint="eastAsia" w:ascii="宋体" w:hAnsi="宋体"/>
          <w:color w:val="auto"/>
          <w:highlight w:val="none"/>
          <w:u w:val="single"/>
        </w:rPr>
        <w:t>出入现场的权利</w:t>
      </w:r>
    </w:p>
    <w:p w14:paraId="016BE9A3">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出入现场的权利的约定：发包人协助承包人取得出入施工现场所需的批准手续和全部权利，以及取得因施工所需修建道路、桥梁以及其他基础设施的权利，承包人承担相关手续费用，此等费用无论承包人是否在投标报价中单独列支，发包人均认为此项费用包含在投标报价中，由承包人承担此等费用。</w:t>
      </w:r>
    </w:p>
    <w:p w14:paraId="763621D8">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1.10.3 </w:t>
      </w:r>
      <w:r>
        <w:rPr>
          <w:rFonts w:hint="eastAsia" w:ascii="宋体" w:hAnsi="宋体"/>
          <w:color w:val="auto"/>
          <w:highlight w:val="none"/>
          <w:u w:val="single"/>
        </w:rPr>
        <w:t>场内交通</w:t>
      </w:r>
    </w:p>
    <w:p w14:paraId="5D27D215">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关于场外交通和场内交通的边界的约定：以双方确认的场地为边界。</w:t>
      </w:r>
    </w:p>
    <w:p w14:paraId="6602C398">
      <w:pPr>
        <w:spacing w:line="400" w:lineRule="exact"/>
        <w:ind w:firstLine="420" w:firstLineChars="200"/>
        <w:rPr>
          <w:rFonts w:ascii="宋体" w:hAnsi="宋体"/>
          <w:color w:val="auto"/>
          <w:highlight w:val="none"/>
          <w:u w:val="single"/>
        </w:rPr>
      </w:pPr>
      <w:r>
        <w:rPr>
          <w:rFonts w:ascii="宋体" w:hAnsi="宋体"/>
          <w:color w:val="auto"/>
          <w:highlight w:val="none"/>
          <w:u w:val="single"/>
        </w:rPr>
        <w:t>关于发包人向承包人免费提供满足工程施工需要的场内道路和交通设施的约定：</w:t>
      </w:r>
      <w:r>
        <w:rPr>
          <w:rFonts w:hint="eastAsia" w:ascii="宋体" w:hAnsi="宋体"/>
          <w:color w:val="auto"/>
          <w:highlight w:val="none"/>
          <w:u w:val="single"/>
        </w:rPr>
        <w:t>以现场实际施工条件为准，由承包人负责并承担相应费用</w:t>
      </w:r>
      <w:r>
        <w:rPr>
          <w:rFonts w:ascii="宋体" w:hAnsi="宋体"/>
          <w:color w:val="auto"/>
          <w:highlight w:val="none"/>
          <w:u w:val="single"/>
        </w:rPr>
        <w:t xml:space="preserve">  。</w:t>
      </w:r>
    </w:p>
    <w:p w14:paraId="7B94B47C">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1.10.4 </w:t>
      </w:r>
      <w:r>
        <w:rPr>
          <w:rFonts w:hint="eastAsia" w:ascii="宋体" w:hAnsi="宋体"/>
          <w:color w:val="auto"/>
          <w:highlight w:val="none"/>
          <w:u w:val="single"/>
        </w:rPr>
        <w:t>超大件和超重件的运输</w:t>
      </w:r>
    </w:p>
    <w:p w14:paraId="1840F96C">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运输超大件或超重件所需的道路和桥梁临时加固改造费用和其他有关费用由承包人承担。</w:t>
      </w:r>
    </w:p>
    <w:p w14:paraId="1B837D34">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1.10.5 </w:t>
      </w:r>
      <w:r>
        <w:rPr>
          <w:rFonts w:hint="eastAsia" w:ascii="宋体" w:hAnsi="宋体"/>
          <w:color w:val="auto"/>
          <w:highlight w:val="none"/>
          <w:u w:val="single"/>
        </w:rPr>
        <w:t>场外交通</w:t>
      </w:r>
    </w:p>
    <w:p w14:paraId="09934572">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场外交通的约定：如该工程项目属于重点整治范围内的散货运输必须委托经贵港市城市管理监督局核准的企业进行运输，并加强工地管理，对工地出入口道路硬化及保洁，对不按规定落实大气污染防尘治理的工地进行查处。场外交通设施无法满足工程施工需要的，由承包人在投标报价中综合考虑，负责完善并承担相关费用。</w:t>
      </w:r>
    </w:p>
    <w:p w14:paraId="7A153489">
      <w:pPr>
        <w:spacing w:line="400" w:lineRule="exact"/>
        <w:ind w:firstLine="422" w:firstLineChars="200"/>
        <w:rPr>
          <w:rFonts w:ascii="宋体" w:hAnsi="宋体"/>
          <w:b/>
          <w:color w:val="auto"/>
          <w:highlight w:val="none"/>
          <w:u w:val="single"/>
        </w:rPr>
      </w:pPr>
      <w:bookmarkStart w:id="255" w:name="_Toc9685"/>
      <w:bookmarkStart w:id="256" w:name="_Toc52361133"/>
      <w:bookmarkStart w:id="257" w:name="_Toc24453"/>
      <w:bookmarkStart w:id="258" w:name="_Toc43212055"/>
      <w:bookmarkStart w:id="259" w:name="_Toc12386"/>
      <w:bookmarkStart w:id="260" w:name="_Toc2981"/>
      <w:r>
        <w:rPr>
          <w:rFonts w:ascii="宋体" w:hAnsi="宋体"/>
          <w:b/>
          <w:color w:val="auto"/>
          <w:highlight w:val="none"/>
          <w:u w:val="single"/>
        </w:rPr>
        <w:t xml:space="preserve">1.11 </w:t>
      </w:r>
      <w:r>
        <w:rPr>
          <w:rFonts w:hint="eastAsia" w:ascii="宋体" w:hAnsi="宋体"/>
          <w:b/>
          <w:color w:val="auto"/>
          <w:highlight w:val="none"/>
          <w:u w:val="single"/>
        </w:rPr>
        <w:t>知识产权</w:t>
      </w:r>
      <w:bookmarkEnd w:id="255"/>
      <w:bookmarkEnd w:id="256"/>
      <w:bookmarkEnd w:id="257"/>
      <w:bookmarkEnd w:id="258"/>
      <w:bookmarkEnd w:id="259"/>
      <w:bookmarkEnd w:id="260"/>
    </w:p>
    <w:p w14:paraId="7EDE6105">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1.11.1 </w:t>
      </w:r>
      <w:r>
        <w:rPr>
          <w:rFonts w:hint="eastAsia" w:ascii="宋体" w:hAnsi="宋体"/>
          <w:color w:val="auto"/>
          <w:highlight w:val="none"/>
          <w:u w:val="single"/>
        </w:rPr>
        <w:t>关于发包人提供给承包人的图纸、发包人为实施工程自行编制或委托编制的技术规范以及反映发包人关于合同要求或其他类似性质的文件的著作权的归属：按《通用合同条款》</w:t>
      </w:r>
      <w:r>
        <w:rPr>
          <w:rFonts w:ascii="宋体" w:hAnsi="宋体"/>
          <w:color w:val="auto"/>
          <w:highlight w:val="none"/>
          <w:u w:val="single"/>
        </w:rPr>
        <w:t xml:space="preserve">1.11.1条执行   </w:t>
      </w:r>
      <w:r>
        <w:rPr>
          <w:rFonts w:hint="eastAsia" w:ascii="宋体" w:hAnsi="宋体"/>
          <w:color w:val="auto"/>
          <w:highlight w:val="none"/>
          <w:u w:val="single"/>
        </w:rPr>
        <w:t>。</w:t>
      </w:r>
    </w:p>
    <w:p w14:paraId="2BDBF917">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关于发包人提供的上述文件的使用限制的要求：按《通用合同条款》</w:t>
      </w:r>
      <w:r>
        <w:rPr>
          <w:rFonts w:ascii="宋体" w:hAnsi="宋体"/>
          <w:color w:val="auto"/>
          <w:highlight w:val="none"/>
          <w:u w:val="single"/>
        </w:rPr>
        <w:t xml:space="preserve">1.11.1条执行  </w:t>
      </w:r>
      <w:r>
        <w:rPr>
          <w:rFonts w:hint="eastAsia" w:ascii="宋体" w:hAnsi="宋体"/>
          <w:color w:val="auto"/>
          <w:highlight w:val="none"/>
          <w:u w:val="single"/>
        </w:rPr>
        <w:t>。</w:t>
      </w:r>
    </w:p>
    <w:p w14:paraId="1A139281">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1.11.2 </w:t>
      </w:r>
      <w:r>
        <w:rPr>
          <w:rFonts w:hint="eastAsia" w:ascii="宋体" w:hAnsi="宋体"/>
          <w:color w:val="auto"/>
          <w:highlight w:val="none"/>
          <w:u w:val="single"/>
        </w:rPr>
        <w:t>关于承包人为实施工程所编制文件的著作权的归属：按《通用合同条款》</w:t>
      </w:r>
      <w:r>
        <w:rPr>
          <w:rFonts w:ascii="宋体" w:hAnsi="宋体"/>
          <w:color w:val="auto"/>
          <w:highlight w:val="none"/>
          <w:u w:val="single"/>
        </w:rPr>
        <w:t xml:space="preserve">1.11.2条执行  </w:t>
      </w:r>
      <w:r>
        <w:rPr>
          <w:rFonts w:hint="eastAsia" w:ascii="宋体" w:hAnsi="宋体"/>
          <w:color w:val="auto"/>
          <w:highlight w:val="none"/>
          <w:u w:val="single"/>
        </w:rPr>
        <w:t>。</w:t>
      </w:r>
    </w:p>
    <w:p w14:paraId="5F87A412">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关于承包人提供的上述文件的使用限制的要求：按《通用合同条款》</w:t>
      </w:r>
      <w:r>
        <w:rPr>
          <w:rFonts w:ascii="宋体" w:hAnsi="宋体"/>
          <w:color w:val="auto"/>
          <w:highlight w:val="none"/>
          <w:u w:val="single"/>
        </w:rPr>
        <w:t>1.11.2条执行</w:t>
      </w:r>
      <w:r>
        <w:rPr>
          <w:rFonts w:hint="eastAsia" w:ascii="宋体" w:hAnsi="宋体"/>
          <w:color w:val="auto"/>
          <w:highlight w:val="none"/>
          <w:u w:val="single"/>
        </w:rPr>
        <w:t>。</w:t>
      </w:r>
    </w:p>
    <w:p w14:paraId="21D0B0E0">
      <w:pPr>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1.11.4 </w:t>
      </w:r>
      <w:r>
        <w:rPr>
          <w:rFonts w:hint="eastAsia" w:ascii="宋体" w:hAnsi="宋体"/>
          <w:color w:val="auto"/>
          <w:highlight w:val="none"/>
          <w:u w:val="single"/>
        </w:rPr>
        <w:t>承包人在施工过程中所采用的专利、专有技术、技术秘密的使用费的承担方式：承包人在合同签订前和签订时已确定采用的专利、专有技术、技术秘密的使用费已包含在签约合同价中。</w:t>
      </w:r>
    </w:p>
    <w:p w14:paraId="4503A49C">
      <w:pPr>
        <w:spacing w:line="400" w:lineRule="exact"/>
        <w:ind w:firstLine="422" w:firstLineChars="200"/>
        <w:rPr>
          <w:rFonts w:ascii="宋体" w:hAnsi="宋体"/>
          <w:b/>
          <w:color w:val="auto"/>
          <w:highlight w:val="none"/>
          <w:u w:val="single"/>
        </w:rPr>
      </w:pPr>
      <w:bookmarkStart w:id="261" w:name="_Toc17171"/>
      <w:bookmarkStart w:id="262" w:name="_Toc17191"/>
      <w:bookmarkStart w:id="263" w:name="_Toc3286"/>
      <w:bookmarkStart w:id="264" w:name="_Toc43212056"/>
      <w:bookmarkStart w:id="265" w:name="_Toc52361134"/>
      <w:bookmarkStart w:id="266" w:name="_Toc2446"/>
      <w:r>
        <w:rPr>
          <w:rFonts w:ascii="宋体" w:hAnsi="宋体"/>
          <w:b/>
          <w:color w:val="auto"/>
          <w:highlight w:val="none"/>
          <w:u w:val="single"/>
        </w:rPr>
        <w:t>1.13</w:t>
      </w:r>
      <w:r>
        <w:rPr>
          <w:rFonts w:hint="eastAsia" w:ascii="宋体" w:hAnsi="宋体"/>
          <w:b/>
          <w:color w:val="auto"/>
          <w:highlight w:val="none"/>
          <w:u w:val="single"/>
        </w:rPr>
        <w:t>工程量清单错误的修正</w:t>
      </w:r>
      <w:bookmarkEnd w:id="261"/>
      <w:bookmarkEnd w:id="262"/>
      <w:bookmarkEnd w:id="263"/>
      <w:bookmarkEnd w:id="264"/>
      <w:bookmarkEnd w:id="265"/>
      <w:bookmarkEnd w:id="266"/>
    </w:p>
    <w:p w14:paraId="4F02BE98">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出现工程量清单工程量偏差时，是否调整合同价格：☑是 □否。</w:t>
      </w:r>
    </w:p>
    <w:p w14:paraId="6CCD33C7">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允许调整合同价格的工程量偏差范围及其调整办法：</w:t>
      </w:r>
    </w:p>
    <w:p w14:paraId="14D13B67">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□除严重不平衡报价外，无论分部分项工程量清单项目中的工程量变化多少，已标价的工程量清单综合单价均不调整。</w:t>
      </w:r>
    </w:p>
    <w:p w14:paraId="392C77CC">
      <w:pPr>
        <w:spacing w:line="400" w:lineRule="exact"/>
        <w:ind w:firstLine="420" w:firstLineChars="200"/>
        <w:rPr>
          <w:rFonts w:ascii="宋体" w:hAnsi="宋体"/>
          <w:color w:val="auto"/>
          <w:highlight w:val="none"/>
          <w:u w:val="single"/>
        </w:rPr>
      </w:pPr>
      <w:r>
        <w:rPr>
          <w:rFonts w:hint="eastAsia" w:ascii="宋体" w:hAnsi="宋体"/>
          <w:color w:val="auto"/>
          <w:highlight w:val="none"/>
          <w:u w:val="single"/>
        </w:rPr>
        <w:t>☑承包人实际完成的某单项清单项目工程量与招标工程量清单工程量偏差超过或</w:t>
      </w:r>
      <w:r>
        <w:rPr>
          <w:rFonts w:ascii="宋体" w:hAnsi="宋体"/>
          <w:color w:val="auto"/>
          <w:highlight w:val="none"/>
          <w:u w:val="single"/>
        </w:rPr>
        <w:t>减少的，超过后增加部分工程量或减少后剩余部分工程量的综合单价按以下方法调整：超过部分综合单价按投标单价乘以0.9计算，减少部分综合单价按投标单价乘以1.1计算。</w:t>
      </w:r>
    </w:p>
    <w:p w14:paraId="4E1AD294">
      <w:pPr>
        <w:keepNext/>
        <w:keepLines/>
        <w:spacing w:before="60" w:after="60" w:line="413" w:lineRule="auto"/>
        <w:outlineLvl w:val="1"/>
        <w:rPr>
          <w:rFonts w:ascii="宋体" w:hAnsi="宋体"/>
          <w:b/>
          <w:bCs/>
          <w:color w:val="auto"/>
          <w:highlight w:val="none"/>
          <w:lang w:val="zh-CN"/>
        </w:rPr>
      </w:pPr>
      <w:r>
        <w:rPr>
          <w:rFonts w:ascii="宋体" w:hAnsi="宋体"/>
          <w:b/>
          <w:bCs/>
          <w:color w:val="auto"/>
          <w:highlight w:val="none"/>
          <w:lang w:val="zh-CN"/>
        </w:rPr>
        <w:t>2</w:t>
      </w:r>
      <w:bookmarkStart w:id="267" w:name="_Toc296347156"/>
      <w:bookmarkEnd w:id="267"/>
      <w:bookmarkStart w:id="268" w:name="_Toc296346658"/>
      <w:bookmarkEnd w:id="268"/>
      <w:bookmarkStart w:id="269" w:name="_Toc292559867"/>
      <w:bookmarkEnd w:id="269"/>
      <w:bookmarkStart w:id="270" w:name="_Toc296891197"/>
      <w:bookmarkEnd w:id="270"/>
      <w:bookmarkStart w:id="271" w:name="_Toc296944496"/>
      <w:bookmarkEnd w:id="271"/>
      <w:bookmarkStart w:id="272" w:name="_Toc296890985"/>
      <w:bookmarkEnd w:id="272"/>
      <w:bookmarkStart w:id="273" w:name="_Toc292559362"/>
      <w:bookmarkEnd w:id="273"/>
      <w:bookmarkStart w:id="274" w:name="_Toc297048343"/>
      <w:bookmarkEnd w:id="274"/>
      <w:bookmarkStart w:id="275" w:name="_Toc297120457"/>
      <w:bookmarkEnd w:id="275"/>
      <w:bookmarkStart w:id="276" w:name="_Toc296503157"/>
      <w:r>
        <w:rPr>
          <w:rFonts w:ascii="宋体" w:hAnsi="宋体"/>
          <w:b/>
          <w:bCs/>
          <w:color w:val="auto"/>
          <w:highlight w:val="none"/>
          <w:lang w:val="zh-CN"/>
        </w:rPr>
        <w:t xml:space="preserve">. </w:t>
      </w:r>
      <w:bookmarkEnd w:id="276"/>
      <w:r>
        <w:rPr>
          <w:rFonts w:hint="eastAsia" w:ascii="宋体" w:hAnsi="宋体"/>
          <w:b/>
          <w:bCs/>
          <w:color w:val="auto"/>
          <w:highlight w:val="none"/>
          <w:lang w:val="zh-CN"/>
        </w:rPr>
        <w:t>发包人</w:t>
      </w:r>
    </w:p>
    <w:p w14:paraId="77AF18B3">
      <w:pPr>
        <w:keepNext/>
        <w:keepLines/>
        <w:spacing w:line="360" w:lineRule="auto"/>
        <w:outlineLvl w:val="2"/>
        <w:rPr>
          <w:rFonts w:ascii="宋体" w:hAnsi="宋体"/>
          <w:b/>
          <w:bCs/>
          <w:color w:val="auto"/>
          <w:highlight w:val="none"/>
          <w:lang w:val="zh-CN"/>
        </w:rPr>
      </w:pPr>
      <w:bookmarkStart w:id="277" w:name="_Toc7158"/>
      <w:bookmarkEnd w:id="277"/>
      <w:bookmarkStart w:id="278" w:name="_Toc407135205"/>
      <w:bookmarkEnd w:id="278"/>
      <w:bookmarkStart w:id="279" w:name="_Toc373478350"/>
      <w:bookmarkEnd w:id="279"/>
      <w:bookmarkStart w:id="280" w:name="_Toc373227703"/>
      <w:bookmarkEnd w:id="280"/>
      <w:bookmarkStart w:id="281" w:name="_Toc389065269"/>
      <w:bookmarkEnd w:id="281"/>
      <w:r>
        <w:rPr>
          <w:rFonts w:ascii="宋体" w:hAnsi="宋体"/>
          <w:b/>
          <w:bCs/>
          <w:color w:val="auto"/>
          <w:highlight w:val="none"/>
          <w:lang w:val="zh-CN"/>
        </w:rPr>
        <w:t xml:space="preserve">2.2 </w:t>
      </w:r>
      <w:r>
        <w:rPr>
          <w:rFonts w:hint="eastAsia" w:ascii="宋体" w:hAnsi="宋体"/>
          <w:b/>
          <w:bCs/>
          <w:color w:val="auto"/>
          <w:highlight w:val="none"/>
          <w:lang w:val="zh-CN"/>
        </w:rPr>
        <w:t>发包人代表</w:t>
      </w:r>
    </w:p>
    <w:p w14:paraId="77B92C04">
      <w:pPr>
        <w:spacing w:line="360" w:lineRule="auto"/>
        <w:ind w:firstLine="420" w:firstLineChars="200"/>
        <w:rPr>
          <w:rFonts w:ascii="宋体" w:hAnsi="宋体"/>
          <w:color w:val="auto"/>
          <w:highlight w:val="none"/>
        </w:rPr>
      </w:pPr>
      <w:r>
        <w:rPr>
          <w:rFonts w:hint="eastAsia" w:ascii="宋体" w:hAnsi="宋体"/>
          <w:color w:val="auto"/>
          <w:highlight w:val="none"/>
        </w:rPr>
        <w:t>发包人代表：</w:t>
      </w:r>
    </w:p>
    <w:p w14:paraId="53A3C584">
      <w:pPr>
        <w:spacing w:line="360" w:lineRule="auto"/>
        <w:ind w:firstLine="420" w:firstLineChars="200"/>
        <w:rPr>
          <w:rFonts w:ascii="宋体" w:hAnsi="宋体"/>
          <w:color w:val="auto"/>
          <w:highlight w:val="none"/>
        </w:rPr>
      </w:pPr>
      <w:r>
        <w:rPr>
          <w:rFonts w:hint="eastAsia" w:ascii="宋体" w:hAnsi="宋体"/>
          <w:color w:val="auto"/>
          <w:highlight w:val="none"/>
        </w:rPr>
        <w:t>姓名：</w:t>
      </w:r>
      <w:r>
        <w:rPr>
          <w:rFonts w:hint="eastAsia" w:ascii="宋体" w:hAnsi="宋体"/>
          <w:color w:val="auto"/>
          <w:highlight w:val="none"/>
          <w:u w:val="single"/>
        </w:rPr>
        <w:t xml:space="preserve">        </w:t>
      </w:r>
      <w:r>
        <w:rPr>
          <w:rFonts w:hint="eastAsia" w:ascii="宋体" w:hAnsi="宋体"/>
          <w:color w:val="auto"/>
          <w:highlight w:val="none"/>
        </w:rPr>
        <w:t>；</w:t>
      </w:r>
    </w:p>
    <w:p w14:paraId="7A5A7B6B">
      <w:pPr>
        <w:spacing w:line="360" w:lineRule="auto"/>
        <w:ind w:firstLine="420" w:firstLineChars="200"/>
        <w:rPr>
          <w:rFonts w:ascii="宋体" w:hAnsi="宋体"/>
          <w:color w:val="auto"/>
          <w:highlight w:val="none"/>
        </w:rPr>
      </w:pPr>
      <w:r>
        <w:rPr>
          <w:rFonts w:hint="eastAsia" w:ascii="宋体" w:hAnsi="宋体"/>
          <w:color w:val="auto"/>
          <w:highlight w:val="none"/>
        </w:rPr>
        <w:t>身份证号：</w:t>
      </w:r>
      <w:r>
        <w:rPr>
          <w:rFonts w:hint="eastAsia" w:ascii="宋体" w:hAnsi="宋体"/>
          <w:color w:val="auto"/>
          <w:highlight w:val="none"/>
          <w:u w:val="single"/>
        </w:rPr>
        <w:t xml:space="preserve">        </w:t>
      </w:r>
      <w:r>
        <w:rPr>
          <w:rFonts w:hint="eastAsia" w:ascii="宋体" w:hAnsi="宋体"/>
          <w:color w:val="auto"/>
          <w:highlight w:val="none"/>
        </w:rPr>
        <w:t>；</w:t>
      </w:r>
    </w:p>
    <w:p w14:paraId="3309C3D0">
      <w:pPr>
        <w:spacing w:line="360" w:lineRule="auto"/>
        <w:ind w:firstLine="420" w:firstLineChars="200"/>
        <w:rPr>
          <w:rFonts w:ascii="宋体" w:hAnsi="宋体"/>
          <w:color w:val="auto"/>
          <w:highlight w:val="none"/>
        </w:rPr>
      </w:pPr>
      <w:r>
        <w:rPr>
          <w:rFonts w:hint="eastAsia" w:ascii="宋体" w:hAnsi="宋体"/>
          <w:color w:val="auto"/>
          <w:highlight w:val="none"/>
        </w:rPr>
        <w:t>职务：</w:t>
      </w:r>
      <w:r>
        <w:rPr>
          <w:rFonts w:hint="eastAsia" w:ascii="宋体" w:hAnsi="宋体"/>
          <w:color w:val="auto"/>
          <w:highlight w:val="none"/>
          <w:u w:val="single"/>
        </w:rPr>
        <w:t xml:space="preserve">        </w:t>
      </w:r>
      <w:r>
        <w:rPr>
          <w:rFonts w:hint="eastAsia" w:ascii="宋体" w:hAnsi="宋体"/>
          <w:color w:val="auto"/>
          <w:highlight w:val="none"/>
        </w:rPr>
        <w:t>；</w:t>
      </w:r>
    </w:p>
    <w:p w14:paraId="502FB966">
      <w:pPr>
        <w:spacing w:line="360" w:lineRule="auto"/>
        <w:ind w:firstLine="420" w:firstLineChars="200"/>
        <w:rPr>
          <w:rFonts w:ascii="宋体" w:hAnsi="宋体"/>
          <w:color w:val="auto"/>
          <w:highlight w:val="none"/>
        </w:rPr>
      </w:pPr>
      <w:r>
        <w:rPr>
          <w:rFonts w:hint="eastAsia" w:ascii="宋体" w:hAnsi="宋体"/>
          <w:color w:val="auto"/>
          <w:highlight w:val="none"/>
        </w:rPr>
        <w:t>联系电话：</w:t>
      </w:r>
      <w:r>
        <w:rPr>
          <w:rFonts w:hint="eastAsia" w:ascii="宋体" w:hAnsi="宋体"/>
          <w:color w:val="auto"/>
          <w:highlight w:val="none"/>
          <w:u w:val="single"/>
        </w:rPr>
        <w:t xml:space="preserve">        </w:t>
      </w:r>
      <w:r>
        <w:rPr>
          <w:rFonts w:hint="eastAsia" w:ascii="宋体" w:hAnsi="宋体"/>
          <w:color w:val="auto"/>
          <w:highlight w:val="none"/>
        </w:rPr>
        <w:t>；</w:t>
      </w:r>
    </w:p>
    <w:p w14:paraId="360512AB">
      <w:pPr>
        <w:spacing w:line="360" w:lineRule="auto"/>
        <w:ind w:firstLine="420" w:firstLineChars="200"/>
        <w:rPr>
          <w:rFonts w:ascii="宋体" w:hAnsi="宋体"/>
          <w:color w:val="auto"/>
          <w:highlight w:val="none"/>
        </w:rPr>
      </w:pPr>
      <w:r>
        <w:rPr>
          <w:rFonts w:hint="eastAsia" w:ascii="宋体" w:hAnsi="宋体"/>
          <w:color w:val="auto"/>
          <w:highlight w:val="none"/>
        </w:rPr>
        <w:t>电子信箱：</w:t>
      </w:r>
      <w:r>
        <w:rPr>
          <w:rFonts w:hint="eastAsia" w:ascii="宋体" w:hAnsi="宋体"/>
          <w:color w:val="auto"/>
          <w:highlight w:val="none"/>
          <w:u w:val="single"/>
        </w:rPr>
        <w:t xml:space="preserve">        </w:t>
      </w:r>
      <w:r>
        <w:rPr>
          <w:rFonts w:hint="eastAsia" w:ascii="宋体" w:hAnsi="宋体"/>
          <w:color w:val="auto"/>
          <w:highlight w:val="none"/>
        </w:rPr>
        <w:t>；</w:t>
      </w:r>
    </w:p>
    <w:p w14:paraId="66222756">
      <w:pPr>
        <w:spacing w:line="360" w:lineRule="auto"/>
        <w:ind w:firstLine="420" w:firstLineChars="200"/>
        <w:rPr>
          <w:rFonts w:ascii="宋体" w:hAnsi="宋体"/>
          <w:color w:val="auto"/>
          <w:highlight w:val="none"/>
        </w:rPr>
      </w:pPr>
      <w:r>
        <w:rPr>
          <w:rFonts w:hint="eastAsia" w:ascii="宋体" w:hAnsi="宋体"/>
          <w:color w:val="auto"/>
          <w:highlight w:val="none"/>
        </w:rPr>
        <w:t>通信地址：</w:t>
      </w:r>
      <w:r>
        <w:rPr>
          <w:rFonts w:hint="eastAsia" w:ascii="宋体" w:hAnsi="宋体"/>
          <w:color w:val="auto"/>
          <w:highlight w:val="none"/>
          <w:u w:val="single"/>
        </w:rPr>
        <w:t xml:space="preserve">        </w:t>
      </w:r>
      <w:r>
        <w:rPr>
          <w:rFonts w:hint="eastAsia" w:ascii="宋体" w:hAnsi="宋体"/>
          <w:color w:val="auto"/>
          <w:highlight w:val="none"/>
        </w:rPr>
        <w:t>。</w:t>
      </w:r>
    </w:p>
    <w:p w14:paraId="61746E4A">
      <w:pPr>
        <w:spacing w:line="360" w:lineRule="auto"/>
        <w:ind w:firstLine="422" w:firstLineChars="200"/>
        <w:rPr>
          <w:rFonts w:ascii="宋体" w:hAnsi="宋体"/>
          <w:color w:val="auto"/>
          <w:highlight w:val="none"/>
          <w:u w:val="single"/>
        </w:rPr>
      </w:pPr>
      <w:r>
        <w:rPr>
          <w:rFonts w:hint="eastAsia" w:ascii="宋体" w:hAnsi="宋体"/>
          <w:b/>
          <w:color w:val="auto"/>
          <w:highlight w:val="none"/>
          <w:u w:val="single"/>
        </w:rPr>
        <w:t>2.3发包人对发包人代表的授权范围如下</w:t>
      </w:r>
      <w:r>
        <w:rPr>
          <w:rFonts w:hint="eastAsia" w:ascii="宋体" w:hAnsi="宋体"/>
          <w:color w:val="auto"/>
          <w:highlight w:val="none"/>
          <w:u w:val="single"/>
        </w:rPr>
        <w:t>：代表发包人按发包人认可的施工设计图纸、施工组织设计、工程进度计划和本工程相关合同及国家现行有关的国家标准及规范、行业标准，工程所在地现行的地方性标准、规范、规程等法律法规进行现场施工管理。负责处理合同履行过程中与发包人有关的事宜:对本工程质量、工期、进度、安全、文明施工及材料和设备进场进行监督检查，对涉及工期延长、设计变更、工程量计量和签证、已完成工程量报告、竣工结算报告等影响工程造价的相关事项作出确认；办理工程中间验收及竣工验收并确认工程质量；协调施工现场及外部有关事宜。代表发包人行使合同约定的发包人的权利，履行合同约定的发包人的职责，进行工程质量、安全、进度、造价等监督管理，协调与相关部门的关系。</w:t>
      </w:r>
    </w:p>
    <w:p w14:paraId="16EC68A6">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必须经发包人加盖公章确认的事项：(1)凡涉及扩大建设规模、增加工程投资的设计变更；⑵施工方案与开工报告审批及停工令，工期的延长和提前竣工；⑶合同条款的变更；⑷合同价款的增减和工程的签证；⑸工程进度款的审核和支付；⑹组织工程竣工验收；⑺结算价款的确认；（8）签发竣工付款证书；（9）签发工程接收证书；（10）签发缺陷责任终止证书；（11）对承包人违约责任的豁免；（12）对承包人索赔的确认。承包人明确知晓以上事务的处理必须有加盖发包人公司公章的书面文件方为有效，并应自行尽谨慎注意之义务，否则由此产生的不利法律后果由承包人自行承担。</w:t>
      </w:r>
      <w:r>
        <w:rPr>
          <w:rFonts w:hint="eastAsia" w:ascii="宋体" w:hAnsi="宋体"/>
          <w:color w:val="auto"/>
          <w:highlight w:val="none"/>
        </w:rPr>
        <w:t>。</w:t>
      </w:r>
    </w:p>
    <w:p w14:paraId="53B1AEBF">
      <w:pPr>
        <w:keepNext/>
        <w:keepLines/>
        <w:spacing w:line="360" w:lineRule="auto"/>
        <w:outlineLvl w:val="2"/>
        <w:rPr>
          <w:rFonts w:ascii="宋体" w:hAnsi="宋体"/>
          <w:b/>
          <w:bCs/>
          <w:color w:val="auto"/>
          <w:highlight w:val="none"/>
          <w:lang w:val="zh-CN"/>
        </w:rPr>
      </w:pPr>
      <w:bookmarkStart w:id="282" w:name="_Toc11758"/>
      <w:bookmarkEnd w:id="282"/>
      <w:bookmarkStart w:id="283" w:name="_Toc389065270"/>
      <w:bookmarkEnd w:id="283"/>
      <w:bookmarkStart w:id="284" w:name="_Toc373478351"/>
      <w:bookmarkEnd w:id="284"/>
      <w:bookmarkStart w:id="285" w:name="_Toc407135206"/>
      <w:bookmarkEnd w:id="285"/>
      <w:bookmarkStart w:id="286" w:name="_Toc373227704"/>
      <w:r>
        <w:rPr>
          <w:rFonts w:ascii="宋体" w:hAnsi="宋体"/>
          <w:b/>
          <w:bCs/>
          <w:color w:val="auto"/>
          <w:highlight w:val="none"/>
          <w:lang w:val="zh-CN"/>
        </w:rPr>
        <w:t xml:space="preserve">2.4 </w:t>
      </w:r>
      <w:bookmarkEnd w:id="286"/>
      <w:r>
        <w:rPr>
          <w:rFonts w:hint="eastAsia" w:ascii="宋体" w:hAnsi="宋体"/>
          <w:b/>
          <w:bCs/>
          <w:color w:val="auto"/>
          <w:highlight w:val="none"/>
          <w:lang w:val="zh-CN"/>
        </w:rPr>
        <w:t>施工现场、施工条件和基础资料的提供</w:t>
      </w:r>
    </w:p>
    <w:p w14:paraId="17E968AB">
      <w:pPr>
        <w:spacing w:line="360" w:lineRule="auto"/>
        <w:ind w:firstLine="420" w:firstLineChars="200"/>
        <w:rPr>
          <w:rFonts w:ascii="宋体" w:hAnsi="宋体"/>
          <w:color w:val="auto"/>
          <w:highlight w:val="none"/>
        </w:rPr>
      </w:pPr>
      <w:r>
        <w:rPr>
          <w:rFonts w:ascii="宋体" w:hAnsi="宋体"/>
          <w:color w:val="auto"/>
          <w:highlight w:val="none"/>
        </w:rPr>
        <w:t xml:space="preserve">2.4.1 </w:t>
      </w:r>
      <w:r>
        <w:rPr>
          <w:rFonts w:hint="eastAsia" w:ascii="宋体" w:hAnsi="宋体"/>
          <w:color w:val="auto"/>
          <w:highlight w:val="none"/>
        </w:rPr>
        <w:t>提供施工现场</w:t>
      </w:r>
    </w:p>
    <w:p w14:paraId="489A0272">
      <w:pPr>
        <w:spacing w:line="360" w:lineRule="auto"/>
        <w:ind w:firstLine="422" w:firstLineChars="200"/>
        <w:rPr>
          <w:rFonts w:ascii="宋体" w:hAnsi="宋体"/>
          <w:color w:val="auto"/>
          <w:highlight w:val="none"/>
          <w:u w:val="single"/>
        </w:rPr>
      </w:pPr>
      <w:r>
        <w:rPr>
          <w:rFonts w:hint="eastAsia" w:ascii="宋体" w:hAnsi="宋体"/>
          <w:b/>
          <w:color w:val="auto"/>
          <w:highlight w:val="none"/>
        </w:rPr>
        <w:t>关于发包人移交施工现场的期限要求：</w:t>
      </w:r>
      <w:r>
        <w:rPr>
          <w:rFonts w:hint="eastAsia" w:ascii="宋体" w:hAnsi="宋体"/>
          <w:color w:val="auto"/>
          <w:highlight w:val="none"/>
          <w:u w:val="single"/>
        </w:rPr>
        <w:t>开工日期7天前移交，双方签署移交的书面文件予以确认，承包人应事先做好现场踏勘工作。承包人在办理交接手续时，承包人如有异议应及时提出，否则在施工过程中出现对第三方的损害或不利，责任由承包人承担。</w:t>
      </w:r>
    </w:p>
    <w:p w14:paraId="6825FA73">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承包人应承担并支付为获得本合同工程所需的石料、砂、砾石、黏土或其他装修材料等所发生的料场使用费及其他开支或补偿费。发包人应尽可能协助承包人办理料场租用手续及解决使用过程中的有关问题，</w:t>
      </w:r>
      <w:r>
        <w:rPr>
          <w:rFonts w:hint="eastAsia" w:asciiTheme="minorEastAsia" w:hAnsiTheme="minorEastAsia" w:eastAsiaTheme="minorEastAsia"/>
          <w:color w:val="auto"/>
          <w:highlight w:val="none"/>
          <w:u w:val="single"/>
        </w:rPr>
        <w:t>由承包人承担所有费用</w:t>
      </w:r>
      <w:r>
        <w:rPr>
          <w:rFonts w:hint="eastAsia" w:ascii="宋体" w:hAnsi="宋体"/>
          <w:color w:val="auto"/>
          <w:highlight w:val="none"/>
          <w:u w:val="single"/>
        </w:rPr>
        <w:t>。</w:t>
      </w:r>
    </w:p>
    <w:p w14:paraId="7C29EFBA">
      <w:pPr>
        <w:spacing w:line="360" w:lineRule="auto"/>
        <w:ind w:firstLine="420" w:firstLineChars="200"/>
        <w:rPr>
          <w:rFonts w:asciiTheme="minorEastAsia" w:hAnsiTheme="minorEastAsia" w:eastAsiaTheme="minorEastAsia"/>
          <w:color w:val="auto"/>
          <w:highlight w:val="none"/>
          <w:u w:val="single"/>
        </w:rPr>
      </w:pPr>
      <w:r>
        <w:rPr>
          <w:rFonts w:asciiTheme="minorEastAsia" w:hAnsiTheme="minorEastAsia" w:eastAsiaTheme="minorEastAsia"/>
          <w:color w:val="auto"/>
          <w:highlight w:val="none"/>
          <w:u w:val="single"/>
        </w:rPr>
        <w:t xml:space="preserve">2.4.2 </w:t>
      </w:r>
      <w:r>
        <w:rPr>
          <w:rFonts w:hint="eastAsia" w:asciiTheme="minorEastAsia" w:hAnsiTheme="minorEastAsia" w:eastAsiaTheme="minorEastAsia"/>
          <w:color w:val="auto"/>
          <w:highlight w:val="none"/>
          <w:u w:val="single"/>
        </w:rPr>
        <w:t>提供施工条件（</w:t>
      </w:r>
      <w:r>
        <w:rPr>
          <w:rFonts w:asciiTheme="minorEastAsia" w:hAnsiTheme="minorEastAsia" w:eastAsiaTheme="minorEastAsia"/>
          <w:color w:val="auto"/>
          <w:highlight w:val="none"/>
          <w:u w:val="single"/>
        </w:rPr>
        <w:t>1</w:t>
      </w:r>
      <w:r>
        <w:rPr>
          <w:rFonts w:hint="eastAsia" w:asciiTheme="minorEastAsia" w:hAnsiTheme="minorEastAsia" w:eastAsiaTheme="minorEastAsia"/>
          <w:color w:val="auto"/>
          <w:highlight w:val="none"/>
          <w:u w:val="single"/>
        </w:rPr>
        <w:t>）关于发包人应负责提供施工所需要的条件，包括：</w:t>
      </w:r>
      <w:bookmarkStart w:id="287" w:name="_Toc373227705"/>
      <w:bookmarkEnd w:id="287"/>
      <w:bookmarkStart w:id="288" w:name="_Toc12276"/>
      <w:bookmarkEnd w:id="288"/>
      <w:bookmarkStart w:id="289" w:name="_Toc407135207"/>
      <w:bookmarkEnd w:id="289"/>
      <w:bookmarkStart w:id="290" w:name="_Toc389065271"/>
      <w:bookmarkEnd w:id="290"/>
      <w:r>
        <w:rPr>
          <w:rFonts w:hint="eastAsia" w:asciiTheme="minorEastAsia" w:hAnsiTheme="minorEastAsia" w:eastAsiaTheme="minorEastAsia"/>
          <w:color w:val="auto"/>
          <w:highlight w:val="none"/>
          <w:u w:val="single"/>
        </w:rPr>
        <w:t>发包人须完成水准点与坐标控制点现场交验；图纸会审和设计现场交底；协助承包人现场处理邻近建筑物、构筑物；协调群众堵工事件。发包人负责提供电源及通信源，由本工程承包人负责接入施工现场，从发包人提供的电源及通信源至施工用电、通信设备线路的安装由承包人负责实施，安装费、线路、设备购置费及施工过程中发生的所有电费、通信费，无论承包人是否在投标报价中单独列支，发包人均认为此项费用包含在投标报价中，由承包人承担所有费用。发包人负责提供水源并安装好临时水表，由本</w:t>
      </w:r>
      <w:r>
        <w:rPr>
          <w:color w:val="auto"/>
          <w:highlight w:val="none"/>
        </w:rPr>
        <w:fldChar w:fldCharType="begin"/>
      </w:r>
      <w:r>
        <w:rPr>
          <w:color w:val="auto"/>
          <w:highlight w:val="none"/>
        </w:rPr>
        <w:instrText xml:space="preserve"> HYPERLINK "http://cpro.baidu.com/cpro/ui/uijs.php?adclass=0&amp;app_id=0&amp;c=news&amp;cf=1001&amp;ch=0&amp;di=128&amp;fv=0&amp;is_app=0&amp;jk=223a062651fedfa6&amp;k=%B9%A4%B3%CC&amp;k0=%B9%A4%B3%CC&amp;kdi0=0&amp;luki=9&amp;n=10&amp;p=baidu&amp;q=baidusiteerror_cpr&amp;rb=1&amp;rs=1&amp;seller_id=1&amp;sid=a6dffe5126063a22&amp;ssp2=1&amp;stid=0&amp;t=tpclicked3_hc&amp;tu=u1698901&amp;u=http://3y.uu456.com/bp-21a52c575f0e7cd1842536f1-1.html&amp;urlid=0" \t "http://3y.uu456.com/_blank" </w:instrText>
      </w:r>
      <w:r>
        <w:rPr>
          <w:color w:val="auto"/>
          <w:highlight w:val="none"/>
        </w:rPr>
        <w:fldChar w:fldCharType="separate"/>
      </w:r>
      <w:r>
        <w:rPr>
          <w:rFonts w:hint="eastAsia" w:asciiTheme="minorEastAsia" w:hAnsiTheme="minorEastAsia" w:eastAsiaTheme="minorEastAsia"/>
          <w:color w:val="auto"/>
          <w:highlight w:val="none"/>
          <w:u w:val="single"/>
        </w:rPr>
        <w:t>工程</w:t>
      </w:r>
      <w:r>
        <w:rPr>
          <w:rFonts w:hint="eastAsia" w:asciiTheme="minorEastAsia" w:hAnsiTheme="minorEastAsia" w:eastAsiaTheme="minorEastAsia"/>
          <w:color w:val="auto"/>
          <w:highlight w:val="none"/>
          <w:u w:val="single"/>
        </w:rPr>
        <w:fldChar w:fldCharType="end"/>
      </w:r>
      <w:r>
        <w:rPr>
          <w:rFonts w:hint="eastAsia" w:asciiTheme="minorEastAsia" w:hAnsiTheme="minorEastAsia" w:eastAsiaTheme="minorEastAsia"/>
          <w:color w:val="auto"/>
          <w:highlight w:val="none"/>
          <w:u w:val="single"/>
        </w:rPr>
        <w:t>承包人后续接入施工现场，从水源至施工各用水点及施工用水的费用无论承包人是否在</w:t>
      </w:r>
      <w:r>
        <w:rPr>
          <w:color w:val="auto"/>
          <w:highlight w:val="none"/>
        </w:rPr>
        <w:fldChar w:fldCharType="begin"/>
      </w:r>
      <w:r>
        <w:rPr>
          <w:color w:val="auto"/>
          <w:highlight w:val="none"/>
        </w:rPr>
        <w:instrText xml:space="preserve"> HYPERLINK "http://cpro.baidu.com/cpro/ui/uijs.php?adclass=0&amp;app_id=0&amp;c=news&amp;cf=1001&amp;ch=0&amp;di=128&amp;fv=0&amp;is_app=0&amp;jk=223a062651fedfa6&amp;k=%CD%B6%B1%EA&amp;k0=%CD%B6%B1%EA&amp;kdi0=0&amp;luki=2&amp;n=10&amp;p=baidu&amp;q=baidusiteerror_cpr&amp;rb=1&amp;rs=1&amp;seller_id=1&amp;sid=a6dffe5126063a22&amp;ssp2=1&amp;stid=0&amp;t=tpclicked3_hc&amp;tu=u1698901&amp;u=http://3y.uu456.com/bp-21a52c575f0e7cd1842536f1-1.html&amp;urlid=0" \t "http://3y.uu456.com/_blank" </w:instrText>
      </w:r>
      <w:r>
        <w:rPr>
          <w:color w:val="auto"/>
          <w:highlight w:val="none"/>
        </w:rPr>
        <w:fldChar w:fldCharType="separate"/>
      </w:r>
      <w:r>
        <w:rPr>
          <w:rFonts w:hint="eastAsia" w:asciiTheme="minorEastAsia" w:hAnsiTheme="minorEastAsia" w:eastAsiaTheme="minorEastAsia"/>
          <w:color w:val="auto"/>
          <w:highlight w:val="none"/>
          <w:u w:val="single"/>
        </w:rPr>
        <w:t>投标</w:t>
      </w:r>
      <w:r>
        <w:rPr>
          <w:rFonts w:hint="eastAsia" w:asciiTheme="minorEastAsia" w:hAnsiTheme="minorEastAsia" w:eastAsiaTheme="minorEastAsia"/>
          <w:color w:val="auto"/>
          <w:highlight w:val="none"/>
          <w:u w:val="single"/>
        </w:rPr>
        <w:fldChar w:fldCharType="end"/>
      </w:r>
      <w:r>
        <w:rPr>
          <w:rFonts w:hint="eastAsia" w:asciiTheme="minorEastAsia" w:hAnsiTheme="minorEastAsia" w:eastAsiaTheme="minorEastAsia"/>
          <w:color w:val="auto"/>
          <w:highlight w:val="none"/>
          <w:u w:val="single"/>
        </w:rPr>
        <w:t>报价中单独列支，发包人均认为此项费用包含在投标报价中，由承包人承担所有费用。</w:t>
      </w:r>
    </w:p>
    <w:p w14:paraId="7886E383">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2.4.3 承包人提供的施工设备和临时设施 </w:t>
      </w:r>
    </w:p>
    <w:p w14:paraId="7FBD178C">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除专用合同条款另有约定的其他独立承包人和监理人指示的他人提供条件外，承包人运入施工场地的所有施工设备以及在施工场地建设的临时设施仅限于用于合同工程。 </w:t>
      </w:r>
    </w:p>
    <w:p w14:paraId="234B31FC">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关于修建临时设施费用承担的约定： </w:t>
      </w:r>
    </w:p>
    <w:p w14:paraId="4BA0D0F5">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①承包人的临时场所（含项目部驻地等）租用费、临时场所的环保、恢复、临时场所的补偿及地面附着物拆除等费用均由承包人负责，以上费用在投标报价中综合考虑。</w:t>
      </w:r>
    </w:p>
    <w:p w14:paraId="7B9B1D11">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②承包人负责合同实施期间其合同段内临时交通道路（含场内外连接公共交通道路）和交通设施的修建、维修、养护和交通管理工作，并承担一切费用。 </w:t>
      </w:r>
    </w:p>
    <w:p w14:paraId="1834C4EB">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 </w:t>
      </w:r>
    </w:p>
    <w:p w14:paraId="00E03314">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2.4.4 发包人提供的施工设备和临时设施 </w:t>
      </w:r>
    </w:p>
    <w:p w14:paraId="2FDF96FE">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发包人提供的施工设备和临时设施：     /      </w:t>
      </w:r>
    </w:p>
    <w:p w14:paraId="56B34305">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如发包人提供有的施工设备和临时设施的运行、维护、拆除、清运费用由承包人承担相应费用。</w:t>
      </w:r>
    </w:p>
    <w:p w14:paraId="3DD77D15">
      <w:pPr>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2.5 </w:t>
      </w:r>
      <w:r>
        <w:rPr>
          <w:rFonts w:hint="eastAsia" w:ascii="宋体" w:hAnsi="宋体"/>
          <w:color w:val="auto"/>
          <w:highlight w:val="none"/>
          <w:u w:val="single"/>
        </w:rPr>
        <w:t>资金来源证明及支付担保</w:t>
      </w:r>
    </w:p>
    <w:p w14:paraId="6FAE46C3">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发包人提供资金来源证明的期限要求：无</w:t>
      </w:r>
      <w:r>
        <w:rPr>
          <w:rFonts w:hint="eastAsia" w:ascii="宋体" w:hAnsi="宋体"/>
          <w:color w:val="auto"/>
          <w:highlight w:val="none"/>
        </w:rPr>
        <w:t>。</w:t>
      </w:r>
    </w:p>
    <w:p w14:paraId="009F9F8A">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发包人是否提供支付担保：否</w:t>
      </w:r>
      <w:r>
        <w:rPr>
          <w:rFonts w:hint="eastAsia" w:ascii="宋体" w:hAnsi="宋体"/>
          <w:color w:val="auto"/>
          <w:highlight w:val="none"/>
        </w:rPr>
        <w:t>。</w:t>
      </w:r>
    </w:p>
    <w:p w14:paraId="3539E2C6">
      <w:pPr>
        <w:spacing w:line="360" w:lineRule="auto"/>
        <w:ind w:firstLine="420" w:firstLineChars="200"/>
        <w:rPr>
          <w:rFonts w:ascii="宋体" w:hAnsi="宋体"/>
          <w:color w:val="auto"/>
          <w:highlight w:val="none"/>
          <w:u w:val="single"/>
        </w:rPr>
      </w:pPr>
      <w:bookmarkStart w:id="291" w:name="_Toc373227706"/>
      <w:r>
        <w:rPr>
          <w:rFonts w:hint="eastAsia" w:ascii="宋体" w:hAnsi="宋体"/>
          <w:color w:val="auto"/>
          <w:highlight w:val="none"/>
          <w:u w:val="single"/>
        </w:rPr>
        <w:t>发包人提供支付担保的形式：无</w:t>
      </w:r>
      <w:r>
        <w:rPr>
          <w:rFonts w:hint="eastAsia" w:ascii="宋体" w:hAnsi="宋体"/>
          <w:color w:val="auto"/>
          <w:highlight w:val="none"/>
        </w:rPr>
        <w:t>。</w:t>
      </w:r>
    </w:p>
    <w:p w14:paraId="42395F02">
      <w:pPr>
        <w:spacing w:line="360" w:lineRule="auto"/>
        <w:ind w:firstLine="420" w:firstLineChars="200"/>
        <w:rPr>
          <w:rFonts w:ascii="宋体" w:hAnsi="宋体"/>
          <w:color w:val="auto"/>
          <w:highlight w:val="none"/>
          <w:u w:val="single"/>
        </w:rPr>
      </w:pPr>
      <w:r>
        <w:rPr>
          <w:rFonts w:ascii="宋体" w:hAnsi="宋体"/>
          <w:color w:val="auto"/>
          <w:highlight w:val="none"/>
          <w:u w:val="single"/>
        </w:rPr>
        <w:t>3</w:t>
      </w:r>
      <w:bookmarkEnd w:id="291"/>
      <w:bookmarkStart w:id="292" w:name="_Toc296891198"/>
      <w:bookmarkEnd w:id="292"/>
      <w:bookmarkStart w:id="293" w:name="_Toc296944497"/>
      <w:bookmarkEnd w:id="293"/>
      <w:bookmarkStart w:id="294" w:name="_Toc292559868"/>
      <w:bookmarkEnd w:id="294"/>
      <w:bookmarkStart w:id="295" w:name="_Toc297048344"/>
      <w:bookmarkEnd w:id="295"/>
      <w:bookmarkStart w:id="296" w:name="_Toc297120458"/>
      <w:bookmarkEnd w:id="296"/>
      <w:bookmarkStart w:id="297" w:name="_Toc296503158"/>
      <w:bookmarkEnd w:id="297"/>
      <w:bookmarkStart w:id="298" w:name="_Toc296347157"/>
      <w:bookmarkEnd w:id="298"/>
      <w:bookmarkStart w:id="299" w:name="_Toc292559363"/>
      <w:bookmarkEnd w:id="299"/>
      <w:bookmarkStart w:id="300" w:name="_Toc296890986"/>
      <w:bookmarkEnd w:id="300"/>
      <w:bookmarkStart w:id="301" w:name="_Toc296346659"/>
      <w:r>
        <w:rPr>
          <w:rFonts w:ascii="宋体" w:hAnsi="宋体"/>
          <w:color w:val="auto"/>
          <w:highlight w:val="none"/>
          <w:u w:val="single"/>
        </w:rPr>
        <w:t xml:space="preserve">. </w:t>
      </w:r>
      <w:bookmarkEnd w:id="301"/>
      <w:r>
        <w:rPr>
          <w:rFonts w:hint="eastAsia" w:ascii="宋体" w:hAnsi="宋体"/>
          <w:color w:val="auto"/>
          <w:highlight w:val="none"/>
          <w:u w:val="single"/>
        </w:rPr>
        <w:t>承包人</w:t>
      </w:r>
      <w:bookmarkStart w:id="302" w:name="_Toc30105"/>
      <w:bookmarkEnd w:id="302"/>
      <w:bookmarkStart w:id="303" w:name="_Toc373227707"/>
      <w:bookmarkEnd w:id="303"/>
      <w:bookmarkStart w:id="304" w:name="_Toc407135209"/>
      <w:bookmarkEnd w:id="304"/>
      <w:bookmarkStart w:id="305" w:name="_Toc373478354"/>
      <w:bookmarkEnd w:id="305"/>
      <w:bookmarkStart w:id="306" w:name="_Toc389065273"/>
      <w:bookmarkEnd w:id="306"/>
    </w:p>
    <w:p w14:paraId="18728044">
      <w:pPr>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3.1 </w:t>
      </w:r>
      <w:r>
        <w:rPr>
          <w:rFonts w:hint="eastAsia" w:ascii="宋体" w:hAnsi="宋体"/>
          <w:color w:val="auto"/>
          <w:highlight w:val="none"/>
          <w:u w:val="single"/>
        </w:rPr>
        <w:t>承包人的一般义务</w:t>
      </w:r>
      <w:bookmarkStart w:id="307" w:name="_Toc22397"/>
      <w:bookmarkEnd w:id="307"/>
    </w:p>
    <w:p w14:paraId="21D9F9BF">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提交的竣工资料的内容：提供符合法律规定和合同约定及工程所在地行政质检监督部门和发包人上级相关部门要求的竣工图及竣工资料，包括但不限于①竣工图纸；②设计变更、洽商记录、现场签证；③施工资料：控制资料</w:t>
      </w:r>
      <w:r>
        <w:rPr>
          <w:rFonts w:ascii="宋体" w:hAnsi="宋体"/>
          <w:color w:val="auto"/>
          <w:highlight w:val="none"/>
          <w:u w:val="single"/>
        </w:rPr>
        <w:t>(含：材料检试验报告、施工记录、检验批质量、隐蔽工程记录、分项工程验收记录、分部工程验收记录)；④管理资料（含：开工报审表、施工日志、施工组织设计）；⑤提交上级建设主管部门的备案资料等</w:t>
      </w:r>
      <w:r>
        <w:rPr>
          <w:rFonts w:hint="eastAsia" w:ascii="宋体" w:hAnsi="宋体"/>
          <w:color w:val="auto"/>
          <w:highlight w:val="none"/>
          <w:u w:val="single"/>
        </w:rPr>
        <w:t>。</w:t>
      </w:r>
    </w:p>
    <w:p w14:paraId="66E80221">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承包人需要提交的竣工资料套数6套竣工图、6套竣工资料和电子版竣工图及资料光盘二张。</w:t>
      </w:r>
    </w:p>
    <w:p w14:paraId="7647B1C3">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承包人提交的竣工资料的费用承担：由承包人承担。</w:t>
      </w:r>
    </w:p>
    <w:p w14:paraId="2471B9A5">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承包人提交的竣工资料移交时间：通过竣工验收之日起</w:t>
      </w:r>
      <w:r>
        <w:rPr>
          <w:rFonts w:ascii="宋体" w:hAnsi="宋体"/>
          <w:color w:val="auto"/>
          <w:highlight w:val="none"/>
          <w:u w:val="single"/>
        </w:rPr>
        <w:t>28天内。</w:t>
      </w:r>
    </w:p>
    <w:p w14:paraId="5BE6C64E">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承包人提交的竣工资料形式要求：书面形式及电子文档。</w:t>
      </w:r>
    </w:p>
    <w:p w14:paraId="0348978F">
      <w:pPr>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1. </w:t>
      </w:r>
      <w:r>
        <w:rPr>
          <w:rFonts w:hint="eastAsia" w:ascii="宋体" w:hAnsi="宋体"/>
          <w:color w:val="auto"/>
          <w:highlight w:val="none"/>
          <w:u w:val="single"/>
        </w:rPr>
        <w:t>承包人应履行的其他义务：①、承包人应按发包人的要求配合施工管理工作，按发包人要求的时间提供周、月、季度计划、工程报告、工程报表等工程管理资料。②、承包人应积极主动核对图纸中的技术数据，充分理解设计意图。若由于明显的设计图纸问题（例如尺寸标注不闭合、文字标识相互矛盾等）和发包人（包括监理）不正确的指令，承包人发现后有口头或书面告知义务，否则造成工程质量、安全、进度损失，也不能免除承包人的责任。③、承包人应按照工程所在地政府相关规定，建立健全的雇员工资发放和劳动保障制度。如因雇员的工资发放和劳动保障制度不健全而引发群体性事件发生，导致民工围堵发包人及当地政府及行政主管部门等的，发包人有权解除合同，并要求承包人退场并赔偿发包人的经济损失。④、承包人使用的临时用水、临时用电等设施在合同执行期间，如发包人要求为其他承包人提供分表接口的，承包人应予无条件同意。⑤、承包人不得因工程施工影响了重要公共设施的安全，施工期间确保该大楼内所有租户能正常营业，如因进行装饰装修施工造成相邻的物品损坏或不能正常营业,承担修理和损失赔偿责任。承包人进入现场施工后，需做好现场安全文明施工及已有成品保护工作。现场运输材料、堆放材料等造成的路面的污染，承包人应该有专人负责跟踪打扫；现场的绿化、市政等公用设施做好施工期间的保护工作；现场施工及生活产生的垃圾应该每天有人清除；不允许在现场外搅拌砼及砂浆。⑥、必须遵守居民社区的相关制度</w:t>
      </w:r>
      <w:r>
        <w:rPr>
          <w:rFonts w:ascii="宋体" w:hAnsi="宋体"/>
          <w:color w:val="auto"/>
          <w:highlight w:val="none"/>
          <w:u w:val="single"/>
        </w:rPr>
        <w:t xml:space="preserve">,服从工程所在地行业行政主管部门对施工现场生活区、作业区、办公区的市政管理、施工现场管理、卫生管理等规定 </w:t>
      </w:r>
      <w:r>
        <w:rPr>
          <w:rFonts w:hint="eastAsia" w:ascii="宋体" w:hAnsi="宋体"/>
          <w:color w:val="auto"/>
          <w:highlight w:val="none"/>
          <w:u w:val="single"/>
        </w:rPr>
        <w:t>。⑦、工程竣工验收前承包人应编制管道功能性试验（试压、冲洗、消毒等）试验方案，并按规范和设计要求完成管道的功能性试验并出具相关试验报告。给水管道必须水压试验合格，并网运行前进行冲洗与消毒，经检验水质达到标准后，方可允许并网通水投入运行。试压、冲洗、消毒的费用包含在投标报价中。</w:t>
      </w:r>
    </w:p>
    <w:p w14:paraId="3541DD85">
      <w:pPr>
        <w:keepNext/>
        <w:keepLines/>
        <w:spacing w:line="360" w:lineRule="auto"/>
        <w:outlineLvl w:val="2"/>
        <w:rPr>
          <w:rFonts w:ascii="宋体" w:hAnsi="宋体"/>
          <w:b/>
          <w:bCs/>
          <w:color w:val="auto"/>
          <w:highlight w:val="none"/>
          <w:lang w:val="zh-CN"/>
        </w:rPr>
      </w:pPr>
      <w:r>
        <w:rPr>
          <w:rFonts w:ascii="宋体" w:hAnsi="宋体"/>
          <w:b/>
          <w:bCs/>
          <w:color w:val="auto"/>
          <w:highlight w:val="none"/>
          <w:lang w:val="zh-CN"/>
        </w:rPr>
        <w:t xml:space="preserve">3.2 </w:t>
      </w:r>
      <w:r>
        <w:rPr>
          <w:rFonts w:hint="eastAsia" w:ascii="宋体" w:hAnsi="宋体"/>
          <w:b/>
          <w:bCs/>
          <w:color w:val="auto"/>
          <w:highlight w:val="none"/>
          <w:lang w:val="zh-CN"/>
        </w:rPr>
        <w:t>项目经理</w:t>
      </w:r>
    </w:p>
    <w:p w14:paraId="383A638B">
      <w:pPr>
        <w:spacing w:line="360" w:lineRule="auto"/>
        <w:ind w:firstLine="420"/>
        <w:rPr>
          <w:rFonts w:ascii="宋体" w:hAnsi="宋体"/>
          <w:color w:val="auto"/>
          <w:highlight w:val="none"/>
        </w:rPr>
      </w:pPr>
      <w:bookmarkStart w:id="308" w:name="_Toc373227709"/>
      <w:bookmarkEnd w:id="308"/>
      <w:bookmarkStart w:id="309" w:name="_Toc373478356"/>
      <w:bookmarkEnd w:id="309"/>
      <w:bookmarkStart w:id="310" w:name="_Toc389065275"/>
      <w:bookmarkEnd w:id="310"/>
      <w:bookmarkStart w:id="311" w:name="_Toc407135211"/>
      <w:r>
        <w:rPr>
          <w:rFonts w:ascii="宋体" w:hAnsi="宋体"/>
          <w:color w:val="auto"/>
          <w:kern w:val="0"/>
          <w:highlight w:val="none"/>
        </w:rPr>
        <w:t xml:space="preserve">3.2.1 </w:t>
      </w:r>
      <w:bookmarkEnd w:id="311"/>
      <w:r>
        <w:rPr>
          <w:rFonts w:hint="eastAsia" w:ascii="宋体" w:hAnsi="宋体"/>
          <w:color w:val="auto"/>
          <w:highlight w:val="none"/>
        </w:rPr>
        <w:t>项目经理：</w:t>
      </w:r>
    </w:p>
    <w:p w14:paraId="7BDB01B9">
      <w:pPr>
        <w:spacing w:line="360" w:lineRule="auto"/>
        <w:ind w:firstLine="420"/>
        <w:rPr>
          <w:rFonts w:ascii="宋体" w:hAnsi="宋体"/>
          <w:color w:val="auto"/>
          <w:highlight w:val="none"/>
        </w:rPr>
      </w:pPr>
      <w:r>
        <w:rPr>
          <w:rFonts w:hint="eastAsia" w:ascii="宋体" w:hAnsi="宋体"/>
          <w:color w:val="auto"/>
          <w:highlight w:val="none"/>
        </w:rPr>
        <w:t>姓名：</w:t>
      </w:r>
      <w:r>
        <w:rPr>
          <w:rFonts w:hint="eastAsia" w:ascii="宋体" w:hAnsi="宋体"/>
          <w:color w:val="auto"/>
          <w:highlight w:val="none"/>
          <w:u w:val="single"/>
        </w:rPr>
        <w:t>（成交人在本项目拟采用的项目经理，必须与投标文件一致）</w:t>
      </w:r>
      <w:r>
        <w:rPr>
          <w:rFonts w:hint="eastAsia" w:ascii="宋体" w:hAnsi="宋体"/>
          <w:color w:val="auto"/>
          <w:highlight w:val="none"/>
        </w:rPr>
        <w:t>；</w:t>
      </w:r>
    </w:p>
    <w:p w14:paraId="28E7536A">
      <w:pPr>
        <w:spacing w:line="360" w:lineRule="auto"/>
        <w:ind w:firstLine="420"/>
        <w:rPr>
          <w:rFonts w:ascii="宋体" w:hAnsi="宋体"/>
          <w:color w:val="auto"/>
          <w:highlight w:val="none"/>
        </w:rPr>
      </w:pPr>
      <w:r>
        <w:rPr>
          <w:rFonts w:hint="eastAsia" w:ascii="宋体" w:hAnsi="宋体"/>
          <w:color w:val="auto"/>
          <w:highlight w:val="none"/>
        </w:rPr>
        <w:t>身份证号：</w:t>
      </w:r>
      <w:r>
        <w:rPr>
          <w:rFonts w:hint="eastAsia" w:ascii="宋体" w:hAnsi="宋体"/>
          <w:color w:val="auto"/>
          <w:highlight w:val="none"/>
          <w:u w:val="single"/>
        </w:rPr>
        <w:t>（与投标文件一致）</w:t>
      </w:r>
      <w:r>
        <w:rPr>
          <w:rFonts w:hint="eastAsia" w:ascii="宋体" w:hAnsi="宋体"/>
          <w:color w:val="auto"/>
          <w:highlight w:val="none"/>
        </w:rPr>
        <w:t>；</w:t>
      </w:r>
    </w:p>
    <w:p w14:paraId="2B586ABE">
      <w:pPr>
        <w:spacing w:line="360" w:lineRule="auto"/>
        <w:ind w:firstLine="420"/>
        <w:rPr>
          <w:rFonts w:ascii="宋体" w:hAnsi="宋体"/>
          <w:color w:val="auto"/>
          <w:highlight w:val="none"/>
        </w:rPr>
      </w:pPr>
      <w:r>
        <w:rPr>
          <w:rFonts w:hint="eastAsia" w:ascii="宋体" w:hAnsi="宋体"/>
          <w:color w:val="auto"/>
          <w:highlight w:val="none"/>
        </w:rPr>
        <w:t>建造师执业资格等级：</w:t>
      </w:r>
      <w:r>
        <w:rPr>
          <w:rFonts w:hint="eastAsia" w:ascii="宋体" w:hAnsi="宋体"/>
          <w:color w:val="auto"/>
          <w:highlight w:val="none"/>
          <w:u w:val="single"/>
        </w:rPr>
        <w:t>（与投标文件一致）</w:t>
      </w:r>
      <w:r>
        <w:rPr>
          <w:rFonts w:hint="eastAsia" w:ascii="宋体" w:hAnsi="宋体"/>
          <w:color w:val="auto"/>
          <w:highlight w:val="none"/>
        </w:rPr>
        <w:t>；</w:t>
      </w:r>
    </w:p>
    <w:p w14:paraId="78E281DE">
      <w:pPr>
        <w:spacing w:line="360" w:lineRule="auto"/>
        <w:ind w:firstLine="420"/>
        <w:rPr>
          <w:rFonts w:ascii="宋体" w:hAnsi="宋体"/>
          <w:color w:val="auto"/>
          <w:highlight w:val="none"/>
        </w:rPr>
      </w:pPr>
      <w:r>
        <w:rPr>
          <w:rFonts w:hint="eastAsia" w:ascii="宋体" w:hAnsi="宋体"/>
          <w:color w:val="auto"/>
          <w:highlight w:val="none"/>
        </w:rPr>
        <w:t>建造师注册证书号：</w:t>
      </w:r>
      <w:r>
        <w:rPr>
          <w:rFonts w:hint="eastAsia" w:ascii="宋体" w:hAnsi="宋体"/>
          <w:color w:val="auto"/>
          <w:highlight w:val="none"/>
          <w:u w:val="single"/>
        </w:rPr>
        <w:t>（与投标文件一致）</w:t>
      </w:r>
      <w:r>
        <w:rPr>
          <w:rFonts w:hint="eastAsia" w:ascii="宋体" w:hAnsi="宋体"/>
          <w:color w:val="auto"/>
          <w:highlight w:val="none"/>
        </w:rPr>
        <w:t>；</w:t>
      </w:r>
    </w:p>
    <w:p w14:paraId="4052FFC2">
      <w:pPr>
        <w:spacing w:line="360" w:lineRule="auto"/>
        <w:ind w:firstLine="420"/>
        <w:rPr>
          <w:rFonts w:ascii="宋体" w:hAnsi="宋体"/>
          <w:color w:val="auto"/>
          <w:highlight w:val="none"/>
        </w:rPr>
      </w:pPr>
      <w:r>
        <w:rPr>
          <w:rFonts w:hint="eastAsia" w:ascii="宋体" w:hAnsi="宋体"/>
          <w:color w:val="auto"/>
          <w:highlight w:val="none"/>
        </w:rPr>
        <w:t>建造师执业印章号：</w:t>
      </w:r>
      <w:r>
        <w:rPr>
          <w:rFonts w:hint="eastAsia" w:ascii="宋体" w:hAnsi="宋体"/>
          <w:color w:val="auto"/>
          <w:highlight w:val="none"/>
          <w:u w:val="single"/>
        </w:rPr>
        <w:t>（与投标文件一致）</w:t>
      </w:r>
      <w:r>
        <w:rPr>
          <w:rFonts w:hint="eastAsia" w:ascii="宋体" w:hAnsi="宋体"/>
          <w:color w:val="auto"/>
          <w:highlight w:val="none"/>
        </w:rPr>
        <w:t>；</w:t>
      </w:r>
    </w:p>
    <w:p w14:paraId="1663D33B">
      <w:pPr>
        <w:spacing w:line="360" w:lineRule="auto"/>
        <w:ind w:firstLine="420"/>
        <w:rPr>
          <w:rFonts w:ascii="宋体" w:hAnsi="宋体"/>
          <w:color w:val="auto"/>
          <w:highlight w:val="none"/>
        </w:rPr>
      </w:pPr>
      <w:r>
        <w:rPr>
          <w:rFonts w:hint="eastAsia" w:ascii="宋体" w:hAnsi="宋体"/>
          <w:color w:val="auto"/>
          <w:highlight w:val="none"/>
        </w:rPr>
        <w:t>安全生产考核合格证书号：</w:t>
      </w:r>
      <w:r>
        <w:rPr>
          <w:rFonts w:hint="eastAsia" w:ascii="宋体" w:hAnsi="宋体"/>
          <w:color w:val="auto"/>
          <w:highlight w:val="none"/>
          <w:u w:val="single"/>
        </w:rPr>
        <w:t>（与投标文件一致）</w:t>
      </w:r>
      <w:r>
        <w:rPr>
          <w:rFonts w:hint="eastAsia" w:ascii="宋体" w:hAnsi="宋体"/>
          <w:color w:val="auto"/>
          <w:highlight w:val="none"/>
        </w:rPr>
        <w:t>；</w:t>
      </w:r>
    </w:p>
    <w:p w14:paraId="5E9C4C94">
      <w:pPr>
        <w:spacing w:line="360" w:lineRule="auto"/>
        <w:ind w:firstLine="420"/>
        <w:rPr>
          <w:rFonts w:ascii="宋体" w:hAnsi="宋体"/>
          <w:color w:val="auto"/>
          <w:highlight w:val="none"/>
        </w:rPr>
      </w:pPr>
      <w:r>
        <w:rPr>
          <w:rFonts w:hint="eastAsia" w:ascii="宋体" w:hAnsi="宋体"/>
          <w:color w:val="auto"/>
          <w:highlight w:val="none"/>
        </w:rPr>
        <w:t>联系电话：</w:t>
      </w:r>
      <w:r>
        <w:rPr>
          <w:rFonts w:hint="eastAsia" w:ascii="宋体" w:hAnsi="宋体"/>
          <w:color w:val="auto"/>
          <w:highlight w:val="none"/>
          <w:u w:val="single"/>
        </w:rPr>
        <w:t xml:space="preserve">        </w:t>
      </w:r>
      <w:r>
        <w:rPr>
          <w:rFonts w:hint="eastAsia" w:ascii="宋体" w:hAnsi="宋体"/>
          <w:color w:val="auto"/>
          <w:highlight w:val="none"/>
        </w:rPr>
        <w:t>；</w:t>
      </w:r>
    </w:p>
    <w:p w14:paraId="44B258C8">
      <w:pPr>
        <w:spacing w:line="360" w:lineRule="auto"/>
        <w:ind w:firstLine="420"/>
        <w:rPr>
          <w:rFonts w:ascii="宋体" w:hAnsi="宋体"/>
          <w:color w:val="auto"/>
          <w:highlight w:val="none"/>
        </w:rPr>
      </w:pPr>
      <w:r>
        <w:rPr>
          <w:rFonts w:hint="eastAsia" w:ascii="宋体" w:hAnsi="宋体"/>
          <w:color w:val="auto"/>
          <w:highlight w:val="none"/>
        </w:rPr>
        <w:t>电子信箱：</w:t>
      </w:r>
      <w:r>
        <w:rPr>
          <w:rFonts w:hint="eastAsia" w:ascii="宋体" w:hAnsi="宋体"/>
          <w:color w:val="auto"/>
          <w:highlight w:val="none"/>
          <w:u w:val="single"/>
        </w:rPr>
        <w:t xml:space="preserve">        </w:t>
      </w:r>
      <w:r>
        <w:rPr>
          <w:rFonts w:hint="eastAsia" w:ascii="宋体" w:hAnsi="宋体"/>
          <w:color w:val="auto"/>
          <w:highlight w:val="none"/>
        </w:rPr>
        <w:t>；</w:t>
      </w:r>
    </w:p>
    <w:p w14:paraId="637106B2">
      <w:pPr>
        <w:spacing w:line="360" w:lineRule="auto"/>
        <w:ind w:firstLine="420"/>
        <w:rPr>
          <w:rFonts w:ascii="宋体" w:hAnsi="宋体"/>
          <w:color w:val="auto"/>
          <w:highlight w:val="none"/>
        </w:rPr>
      </w:pPr>
      <w:r>
        <w:rPr>
          <w:rFonts w:hint="eastAsia" w:ascii="宋体" w:hAnsi="宋体"/>
          <w:color w:val="auto"/>
          <w:highlight w:val="none"/>
        </w:rPr>
        <w:t>通信地址：</w:t>
      </w:r>
      <w:r>
        <w:rPr>
          <w:rFonts w:hint="eastAsia" w:ascii="宋体" w:hAnsi="宋体"/>
          <w:color w:val="auto"/>
          <w:highlight w:val="none"/>
          <w:u w:val="single"/>
        </w:rPr>
        <w:t xml:space="preserve">        </w:t>
      </w:r>
      <w:r>
        <w:rPr>
          <w:rFonts w:hint="eastAsia" w:ascii="宋体" w:hAnsi="宋体"/>
          <w:color w:val="auto"/>
          <w:highlight w:val="none"/>
        </w:rPr>
        <w:t>；</w:t>
      </w:r>
    </w:p>
    <w:p w14:paraId="3894D5F0">
      <w:pPr>
        <w:spacing w:line="360" w:lineRule="auto"/>
        <w:ind w:firstLine="420"/>
        <w:rPr>
          <w:rFonts w:ascii="宋体" w:hAnsi="宋体"/>
          <w:color w:val="auto"/>
          <w:highlight w:val="none"/>
          <w:u w:val="single"/>
        </w:rPr>
      </w:pPr>
      <w:r>
        <w:rPr>
          <w:rFonts w:hint="eastAsia" w:ascii="宋体" w:hAnsi="宋体"/>
          <w:color w:val="auto"/>
          <w:highlight w:val="none"/>
        </w:rPr>
        <w:t>承包人对项目经理的授权范围如下：</w:t>
      </w:r>
      <w:r>
        <w:rPr>
          <w:rFonts w:hint="eastAsia" w:ascii="宋体" w:hAnsi="宋体"/>
          <w:color w:val="auto"/>
          <w:highlight w:val="none"/>
          <w:u w:val="single"/>
        </w:rPr>
        <w:t>（1）对本工程的建设进行全面管理，行使合同约定的权利，履行合同约定的义务；（2）负责本工程的施工组织方案制定和施工组织设计；（3）负责本工程的劳动力组织和机械设备组织；（4）参与选择并使用具有相应资质的分包人；（5）参与选择物资供应单位；（6）在授权范围内协调与项目有关的内、外部关系；（7）负责与发包人、监理人办理设计变更、现场签证等手续，及时办理本工程相关索赔；（8）负责签收发包人、监理人往来函件，承包人的要求、通知均应以书面形式由承包人项目经理签字并加盖承包人公司公章印章后递交发包人；（9）代表承包人接受监理工程师或发包人现场代表发出的指示和指令。</w:t>
      </w:r>
    </w:p>
    <w:p w14:paraId="39A70EB9">
      <w:pPr>
        <w:spacing w:line="360" w:lineRule="auto"/>
        <w:ind w:firstLine="420"/>
        <w:rPr>
          <w:rFonts w:ascii="宋体" w:hAnsi="宋体"/>
          <w:color w:val="auto"/>
          <w:highlight w:val="none"/>
          <w:u w:val="single"/>
        </w:rPr>
      </w:pPr>
      <w:r>
        <w:rPr>
          <w:rFonts w:hint="eastAsia" w:ascii="宋体" w:hAnsi="宋体"/>
          <w:color w:val="auto"/>
          <w:highlight w:val="none"/>
          <w:u w:val="single"/>
        </w:rPr>
        <w:t>3.2.2关于项目经理每月在施工现场的时间要求：项目经理原则上每月在施工现场的时间不得少于当月施工时间的80%，若项目经理每月在岗时间少于当月施工时间的80%，少在岗带班一天，发包人有权处违约金</w:t>
      </w:r>
      <w:r>
        <w:rPr>
          <w:rFonts w:ascii="宋体" w:hAnsi="宋体"/>
          <w:color w:val="auto"/>
          <w:highlight w:val="none"/>
          <w:u w:val="single"/>
        </w:rPr>
        <w:t>2000</w:t>
      </w:r>
      <w:r>
        <w:rPr>
          <w:rFonts w:hint="eastAsia" w:ascii="宋体" w:hAnsi="宋体"/>
          <w:color w:val="auto"/>
          <w:highlight w:val="none"/>
          <w:u w:val="single"/>
        </w:rPr>
        <w:t>元</w:t>
      </w:r>
      <w:r>
        <w:rPr>
          <w:rFonts w:ascii="宋体" w:hAnsi="宋体"/>
          <w:color w:val="auto"/>
          <w:highlight w:val="none"/>
          <w:u w:val="single"/>
        </w:rPr>
        <w:t>/</w:t>
      </w:r>
      <w:r>
        <w:rPr>
          <w:rFonts w:hint="eastAsia" w:ascii="宋体" w:hAnsi="宋体"/>
          <w:color w:val="auto"/>
          <w:highlight w:val="none"/>
          <w:u w:val="single"/>
        </w:rPr>
        <w:t>日（人民币）。</w:t>
      </w:r>
    </w:p>
    <w:p w14:paraId="220F3572">
      <w:pPr>
        <w:spacing w:line="360" w:lineRule="auto"/>
        <w:ind w:firstLine="420"/>
        <w:rPr>
          <w:rFonts w:ascii="宋体" w:hAnsi="宋体"/>
          <w:color w:val="auto"/>
          <w:highlight w:val="none"/>
          <w:u w:val="single"/>
        </w:rPr>
      </w:pPr>
      <w:r>
        <w:rPr>
          <w:rFonts w:hint="eastAsia" w:ascii="宋体" w:hAnsi="宋体"/>
          <w:color w:val="auto"/>
          <w:highlight w:val="none"/>
          <w:u w:val="single"/>
        </w:rPr>
        <w:t>3.2.3由于承包人项目经理缺位导致管理混乱，发生重大安全生产事故的，承包人须承担相应的法律和经济责任。</w:t>
      </w:r>
    </w:p>
    <w:p w14:paraId="102B714D">
      <w:pPr>
        <w:spacing w:line="360" w:lineRule="auto"/>
        <w:ind w:firstLine="420"/>
        <w:rPr>
          <w:rFonts w:ascii="宋体" w:hAnsi="宋体"/>
          <w:b/>
          <w:bCs/>
          <w:color w:val="auto"/>
          <w:highlight w:val="none"/>
          <w:lang w:val="zh-CN"/>
        </w:rPr>
      </w:pPr>
      <w:r>
        <w:rPr>
          <w:rFonts w:ascii="宋体" w:hAnsi="宋体"/>
          <w:b/>
          <w:bCs/>
          <w:color w:val="auto"/>
          <w:highlight w:val="none"/>
          <w:lang w:val="zh-CN"/>
        </w:rPr>
        <w:t xml:space="preserve">3.3 </w:t>
      </w:r>
      <w:r>
        <w:rPr>
          <w:rFonts w:hint="eastAsia" w:ascii="宋体" w:hAnsi="宋体"/>
          <w:b/>
          <w:bCs/>
          <w:color w:val="auto"/>
          <w:highlight w:val="none"/>
          <w:lang w:val="zh-CN"/>
        </w:rPr>
        <w:t>承包人人员</w:t>
      </w:r>
      <w:bookmarkStart w:id="312" w:name="_Toc389065276"/>
      <w:bookmarkEnd w:id="312"/>
      <w:bookmarkStart w:id="313" w:name="_Toc373227710"/>
      <w:bookmarkEnd w:id="313"/>
      <w:bookmarkStart w:id="314" w:name="_Toc1580"/>
      <w:bookmarkEnd w:id="314"/>
      <w:bookmarkStart w:id="315" w:name="_Toc373478357"/>
      <w:bookmarkEnd w:id="315"/>
    </w:p>
    <w:p w14:paraId="457FFF21">
      <w:pPr>
        <w:spacing w:line="360" w:lineRule="auto"/>
        <w:ind w:firstLine="420"/>
        <w:rPr>
          <w:rFonts w:ascii="宋体" w:hAnsi="宋体"/>
          <w:color w:val="auto"/>
          <w:highlight w:val="none"/>
          <w:u w:val="single"/>
          <w:lang w:val="zh-CN"/>
        </w:rPr>
      </w:pPr>
      <w:r>
        <w:rPr>
          <w:rFonts w:hint="eastAsia" w:ascii="宋体" w:hAnsi="宋体"/>
          <w:color w:val="auto"/>
          <w:highlight w:val="none"/>
          <w:u w:val="single"/>
          <w:lang w:val="zh-CN"/>
        </w:rPr>
        <w:t>按《通用合同条款》</w:t>
      </w:r>
      <w:r>
        <w:rPr>
          <w:rFonts w:ascii="宋体" w:hAnsi="宋体"/>
          <w:color w:val="auto"/>
          <w:highlight w:val="none"/>
          <w:u w:val="single"/>
          <w:lang w:val="zh-CN"/>
        </w:rPr>
        <w:t>3.</w:t>
      </w:r>
      <w:r>
        <w:rPr>
          <w:rFonts w:hint="eastAsia" w:ascii="宋体" w:hAnsi="宋体"/>
          <w:color w:val="auto"/>
          <w:highlight w:val="none"/>
          <w:u w:val="single"/>
          <w:lang w:val="zh-CN"/>
        </w:rPr>
        <w:t>3</w:t>
      </w:r>
      <w:r>
        <w:rPr>
          <w:rFonts w:ascii="宋体" w:hAnsi="宋体"/>
          <w:color w:val="auto"/>
          <w:highlight w:val="none"/>
          <w:u w:val="single"/>
          <w:lang w:val="zh-CN"/>
        </w:rPr>
        <w:t>.条</w:t>
      </w:r>
      <w:r>
        <w:rPr>
          <w:rFonts w:hint="eastAsia" w:ascii="宋体" w:hAnsi="宋体"/>
          <w:color w:val="auto"/>
          <w:highlight w:val="none"/>
          <w:u w:val="single"/>
          <w:lang w:val="zh-CN"/>
        </w:rPr>
        <w:t>执行</w:t>
      </w:r>
    </w:p>
    <w:p w14:paraId="65069637">
      <w:pPr>
        <w:spacing w:line="360" w:lineRule="auto"/>
        <w:ind w:firstLine="420"/>
        <w:rPr>
          <w:rFonts w:ascii="宋体" w:hAnsi="宋体"/>
          <w:b/>
          <w:bCs/>
          <w:color w:val="auto"/>
          <w:highlight w:val="none"/>
          <w:lang w:val="zh-CN"/>
        </w:rPr>
      </w:pPr>
      <w:r>
        <w:rPr>
          <w:rFonts w:ascii="宋体" w:hAnsi="宋体"/>
          <w:b/>
          <w:bCs/>
          <w:color w:val="auto"/>
          <w:highlight w:val="none"/>
          <w:lang w:val="zh-CN"/>
        </w:rPr>
        <w:t>3</w:t>
      </w:r>
      <w:bookmarkStart w:id="316" w:name="_Toc296503159"/>
      <w:bookmarkEnd w:id="316"/>
      <w:bookmarkStart w:id="317" w:name="_Toc303539102"/>
      <w:bookmarkEnd w:id="317"/>
      <w:bookmarkStart w:id="318" w:name="_Toc297216151"/>
      <w:bookmarkEnd w:id="318"/>
      <w:bookmarkStart w:id="319" w:name="_Toc296944498"/>
      <w:bookmarkEnd w:id="319"/>
      <w:bookmarkStart w:id="320" w:name="_Toc297048345"/>
      <w:bookmarkEnd w:id="320"/>
      <w:bookmarkStart w:id="321" w:name="_Toc304295523"/>
      <w:bookmarkEnd w:id="321"/>
      <w:bookmarkStart w:id="322" w:name="_Toc296891199"/>
      <w:bookmarkEnd w:id="322"/>
      <w:bookmarkStart w:id="323" w:name="_Toc292559869"/>
      <w:bookmarkEnd w:id="323"/>
      <w:bookmarkStart w:id="324" w:name="_Toc296890987"/>
      <w:bookmarkEnd w:id="324"/>
      <w:bookmarkStart w:id="325" w:name="_Toc297120459"/>
      <w:bookmarkEnd w:id="325"/>
      <w:bookmarkStart w:id="326" w:name="_Toc312677988"/>
      <w:bookmarkEnd w:id="326"/>
      <w:bookmarkStart w:id="327" w:name="_Toc292559364"/>
      <w:bookmarkEnd w:id="327"/>
      <w:bookmarkStart w:id="328" w:name="_Toc300934945"/>
      <w:bookmarkEnd w:id="328"/>
      <w:bookmarkStart w:id="329" w:name="_Toc296347158"/>
      <w:bookmarkEnd w:id="329"/>
      <w:bookmarkStart w:id="330" w:name="_Toc297123492"/>
      <w:bookmarkEnd w:id="330"/>
      <w:bookmarkStart w:id="331" w:name="_Toc296346660"/>
      <w:r>
        <w:rPr>
          <w:rFonts w:ascii="宋体" w:hAnsi="宋体"/>
          <w:b/>
          <w:bCs/>
          <w:color w:val="auto"/>
          <w:highlight w:val="none"/>
          <w:lang w:val="zh-CN"/>
        </w:rPr>
        <w:t xml:space="preserve">.5 </w:t>
      </w:r>
      <w:bookmarkEnd w:id="331"/>
      <w:r>
        <w:rPr>
          <w:rFonts w:hint="eastAsia" w:ascii="宋体" w:hAnsi="宋体"/>
          <w:b/>
          <w:bCs/>
          <w:color w:val="auto"/>
          <w:highlight w:val="none"/>
          <w:lang w:val="zh-CN"/>
        </w:rPr>
        <w:t>分包</w:t>
      </w:r>
      <w:bookmarkStart w:id="332" w:name="_Toc373478358"/>
      <w:bookmarkEnd w:id="332"/>
      <w:bookmarkStart w:id="333" w:name="_Toc389065277"/>
      <w:bookmarkEnd w:id="333"/>
      <w:bookmarkStart w:id="334" w:name="_Toc30771"/>
      <w:bookmarkEnd w:id="334"/>
      <w:bookmarkStart w:id="335" w:name="_Toc407135213"/>
      <w:bookmarkEnd w:id="335"/>
      <w:bookmarkStart w:id="336" w:name="_Toc373227711"/>
      <w:bookmarkEnd w:id="336"/>
    </w:p>
    <w:p w14:paraId="5D81A55F">
      <w:pPr>
        <w:spacing w:line="360" w:lineRule="auto"/>
        <w:ind w:firstLine="420"/>
        <w:rPr>
          <w:rFonts w:ascii="宋体" w:hAnsi="宋体"/>
          <w:color w:val="auto"/>
          <w:highlight w:val="none"/>
          <w:lang w:val="zh-CN"/>
        </w:rPr>
      </w:pPr>
      <w:r>
        <w:rPr>
          <w:rFonts w:ascii="宋体" w:hAnsi="宋体"/>
          <w:color w:val="auto"/>
          <w:highlight w:val="none"/>
          <w:lang w:val="zh-CN"/>
        </w:rPr>
        <w:t xml:space="preserve">3.5.1 </w:t>
      </w:r>
      <w:r>
        <w:rPr>
          <w:rFonts w:hint="eastAsia" w:ascii="宋体" w:hAnsi="宋体"/>
          <w:color w:val="auto"/>
          <w:highlight w:val="none"/>
          <w:lang w:val="zh-CN"/>
        </w:rPr>
        <w:t>分包的一般约定</w:t>
      </w:r>
    </w:p>
    <w:p w14:paraId="52E555BC">
      <w:pPr>
        <w:spacing w:line="360" w:lineRule="auto"/>
        <w:ind w:firstLine="420"/>
        <w:rPr>
          <w:rFonts w:ascii="宋体" w:hAnsi="宋体"/>
          <w:color w:val="auto"/>
          <w:highlight w:val="none"/>
          <w:lang w:val="zh-CN"/>
        </w:rPr>
      </w:pPr>
      <w:r>
        <w:rPr>
          <w:rFonts w:hint="eastAsia" w:ascii="宋体" w:hAnsi="宋体"/>
          <w:color w:val="auto"/>
          <w:highlight w:val="none"/>
          <w:lang w:val="zh-CN"/>
        </w:rPr>
        <w:t>禁止分包的工程包括：</w:t>
      </w:r>
      <w:r>
        <w:rPr>
          <w:rFonts w:hint="eastAsia" w:ascii="宋体" w:hAnsi="宋体"/>
          <w:color w:val="auto"/>
          <w:highlight w:val="none"/>
          <w:u w:val="single"/>
          <w:lang w:val="zh-CN"/>
        </w:rPr>
        <w:t>按《通用合同条款》</w:t>
      </w:r>
      <w:r>
        <w:rPr>
          <w:rFonts w:ascii="宋体" w:hAnsi="宋体"/>
          <w:color w:val="auto"/>
          <w:highlight w:val="none"/>
          <w:u w:val="single"/>
          <w:lang w:val="zh-CN"/>
        </w:rPr>
        <w:t xml:space="preserve">3.5.1条 </w:t>
      </w:r>
      <w:r>
        <w:rPr>
          <w:rFonts w:hint="eastAsia" w:ascii="宋体" w:hAnsi="宋体"/>
          <w:color w:val="auto"/>
          <w:highlight w:val="none"/>
          <w:lang w:val="zh-CN"/>
        </w:rPr>
        <w:t>。</w:t>
      </w:r>
    </w:p>
    <w:p w14:paraId="1F0723BD">
      <w:pPr>
        <w:spacing w:line="360" w:lineRule="auto"/>
        <w:ind w:firstLine="420"/>
        <w:rPr>
          <w:rFonts w:ascii="宋体" w:hAnsi="宋体"/>
          <w:color w:val="auto"/>
          <w:highlight w:val="none"/>
          <w:u w:val="single"/>
          <w:lang w:val="zh-CN"/>
        </w:rPr>
      </w:pPr>
      <w:r>
        <w:rPr>
          <w:rFonts w:hint="eastAsia" w:ascii="宋体" w:hAnsi="宋体"/>
          <w:color w:val="auto"/>
          <w:highlight w:val="none"/>
          <w:lang w:val="zh-CN"/>
        </w:rPr>
        <w:t>主体结构、关键性工作的范围：</w:t>
      </w:r>
      <w:r>
        <w:rPr>
          <w:rFonts w:hint="eastAsia" w:ascii="宋体" w:hAnsi="宋体"/>
          <w:color w:val="auto"/>
          <w:highlight w:val="none"/>
          <w:u w:val="single"/>
          <w:lang w:val="zh-CN"/>
        </w:rPr>
        <w:t>按国家有关法律规定。</w:t>
      </w:r>
    </w:p>
    <w:p w14:paraId="38F6272B">
      <w:pPr>
        <w:spacing w:line="360" w:lineRule="auto"/>
        <w:ind w:firstLine="420"/>
        <w:rPr>
          <w:rFonts w:ascii="宋体" w:hAnsi="宋体"/>
          <w:color w:val="auto"/>
          <w:highlight w:val="none"/>
          <w:lang w:val="zh-CN"/>
        </w:rPr>
      </w:pPr>
      <w:r>
        <w:rPr>
          <w:rFonts w:ascii="宋体" w:hAnsi="宋体"/>
          <w:color w:val="auto"/>
          <w:highlight w:val="none"/>
          <w:lang w:val="zh-CN"/>
        </w:rPr>
        <w:t xml:space="preserve">3.5.2 </w:t>
      </w:r>
      <w:r>
        <w:rPr>
          <w:rFonts w:hint="eastAsia" w:ascii="宋体" w:hAnsi="宋体"/>
          <w:color w:val="auto"/>
          <w:highlight w:val="none"/>
          <w:lang w:val="zh-CN"/>
        </w:rPr>
        <w:t>分包的确定</w:t>
      </w:r>
    </w:p>
    <w:p w14:paraId="43606F58">
      <w:pPr>
        <w:spacing w:line="360" w:lineRule="auto"/>
        <w:ind w:firstLine="420"/>
        <w:rPr>
          <w:rFonts w:ascii="宋体" w:hAnsi="宋体"/>
          <w:color w:val="auto"/>
          <w:highlight w:val="none"/>
          <w:u w:val="single"/>
          <w:lang w:val="zh-CN"/>
        </w:rPr>
      </w:pPr>
      <w:r>
        <w:rPr>
          <w:rFonts w:hint="eastAsia" w:ascii="宋体" w:hAnsi="宋体"/>
          <w:color w:val="auto"/>
          <w:highlight w:val="none"/>
          <w:lang w:val="zh-CN"/>
        </w:rPr>
        <w:t>允许分包的专业工程包括：</w:t>
      </w:r>
      <w:r>
        <w:rPr>
          <w:rFonts w:hint="eastAsia" w:ascii="宋体" w:hAnsi="宋体"/>
          <w:color w:val="auto"/>
          <w:highlight w:val="none"/>
          <w:u w:val="single"/>
          <w:lang w:val="zh-CN"/>
        </w:rPr>
        <w:t xml:space="preserve">      /       </w:t>
      </w:r>
      <w:r>
        <w:rPr>
          <w:rFonts w:hint="eastAsia" w:ascii="宋体" w:hAnsi="宋体"/>
          <w:color w:val="auto"/>
          <w:highlight w:val="none"/>
          <w:lang w:val="zh-CN"/>
        </w:rPr>
        <w:t>。</w:t>
      </w:r>
    </w:p>
    <w:p w14:paraId="33E4C95B">
      <w:pPr>
        <w:keepNext/>
        <w:keepLines/>
        <w:spacing w:line="360" w:lineRule="auto"/>
        <w:outlineLvl w:val="2"/>
        <w:rPr>
          <w:rFonts w:ascii="宋体" w:hAnsi="宋体"/>
          <w:b/>
          <w:bCs/>
          <w:color w:val="auto"/>
          <w:highlight w:val="none"/>
          <w:lang w:val="zh-CN"/>
        </w:rPr>
      </w:pPr>
      <w:r>
        <w:rPr>
          <w:rFonts w:ascii="宋体" w:hAnsi="宋体"/>
          <w:b/>
          <w:bCs/>
          <w:color w:val="auto"/>
          <w:highlight w:val="none"/>
          <w:lang w:val="zh-CN"/>
        </w:rPr>
        <w:t xml:space="preserve">3.6 </w:t>
      </w:r>
      <w:r>
        <w:rPr>
          <w:rFonts w:hint="eastAsia" w:ascii="宋体" w:hAnsi="宋体"/>
          <w:b/>
          <w:bCs/>
          <w:color w:val="auto"/>
          <w:highlight w:val="none"/>
          <w:lang w:val="zh-CN"/>
        </w:rPr>
        <w:t>工程照管与成品、半成品保护</w:t>
      </w:r>
    </w:p>
    <w:p w14:paraId="77667F4D">
      <w:pPr>
        <w:spacing w:line="360" w:lineRule="auto"/>
        <w:ind w:firstLine="420" w:firstLineChars="200"/>
        <w:rPr>
          <w:rFonts w:asciiTheme="minorEastAsia" w:hAnsiTheme="minorEastAsia" w:eastAsiaTheme="minorEastAsia"/>
          <w:color w:val="auto"/>
          <w:kern w:val="0"/>
          <w:highlight w:val="none"/>
        </w:rPr>
      </w:pPr>
      <w:r>
        <w:rPr>
          <w:rFonts w:hint="eastAsia" w:ascii="宋体" w:hAnsi="宋体"/>
          <w:color w:val="auto"/>
          <w:kern w:val="0"/>
          <w:highlight w:val="none"/>
        </w:rPr>
        <w:t>承包人负责照管工程及工程相关的材料、工程设备的起始时间：</w:t>
      </w:r>
      <w:bookmarkStart w:id="337" w:name="_Toc407135214"/>
      <w:bookmarkEnd w:id="337"/>
      <w:bookmarkStart w:id="338" w:name="_Toc18806"/>
      <w:bookmarkEnd w:id="338"/>
      <w:bookmarkStart w:id="339" w:name="_Toc373227712"/>
      <w:bookmarkEnd w:id="339"/>
      <w:bookmarkStart w:id="340" w:name="_Toc389065278"/>
      <w:bookmarkEnd w:id="340"/>
      <w:bookmarkStart w:id="341" w:name="_Toc373478359"/>
      <w:r>
        <w:rPr>
          <w:rFonts w:hint="eastAsia" w:asciiTheme="minorEastAsia" w:hAnsiTheme="minorEastAsia" w:eastAsiaTheme="minorEastAsia"/>
          <w:color w:val="auto"/>
          <w:kern w:val="0"/>
          <w:highlight w:val="none"/>
          <w:u w:val="single"/>
        </w:rPr>
        <w:t>由发包人、监理验收承包人提供的材料和工程设备合格后开</w:t>
      </w:r>
      <w:r>
        <w:rPr>
          <w:rFonts w:hint="eastAsia" w:asciiTheme="minorEastAsia" w:hAnsiTheme="minorEastAsia" w:eastAsiaTheme="minorEastAsia"/>
          <w:color w:val="auto"/>
          <w:kern w:val="0"/>
          <w:highlight w:val="none"/>
        </w:rPr>
        <w:t>始。</w:t>
      </w:r>
    </w:p>
    <w:p w14:paraId="45D5DE08">
      <w:pPr>
        <w:spacing w:line="360" w:lineRule="auto"/>
        <w:ind w:firstLine="422" w:firstLineChars="200"/>
        <w:rPr>
          <w:rFonts w:ascii="宋体" w:hAnsi="宋体"/>
          <w:b/>
          <w:bCs/>
          <w:color w:val="auto"/>
          <w:highlight w:val="none"/>
          <w:lang w:val="zh-CN"/>
        </w:rPr>
      </w:pPr>
      <w:r>
        <w:rPr>
          <w:rFonts w:ascii="宋体" w:hAnsi="宋体"/>
          <w:b/>
          <w:bCs/>
          <w:color w:val="auto"/>
          <w:highlight w:val="none"/>
          <w:lang w:val="zh-CN"/>
        </w:rPr>
        <w:t xml:space="preserve">3.7 </w:t>
      </w:r>
      <w:bookmarkEnd w:id="341"/>
      <w:r>
        <w:rPr>
          <w:rFonts w:hint="eastAsia" w:ascii="宋体" w:hAnsi="宋体"/>
          <w:b/>
          <w:bCs/>
          <w:color w:val="auto"/>
          <w:highlight w:val="none"/>
          <w:lang w:val="zh-CN"/>
        </w:rPr>
        <w:t>履约保证金</w:t>
      </w:r>
    </w:p>
    <w:p w14:paraId="6431368B">
      <w:pPr>
        <w:spacing w:line="360" w:lineRule="auto"/>
        <w:ind w:firstLine="420" w:firstLineChars="200"/>
        <w:jc w:val="left"/>
        <w:rPr>
          <w:rFonts w:ascii="宋体" w:hAnsi="宋体" w:cs="宋体"/>
          <w:bCs/>
          <w:color w:val="auto"/>
          <w:kern w:val="0"/>
          <w:highlight w:val="none"/>
        </w:rPr>
      </w:pPr>
      <w:bookmarkStart w:id="342" w:name="_Toc373478360"/>
      <w:bookmarkEnd w:id="342"/>
      <w:bookmarkStart w:id="343" w:name="_Toc373227713"/>
      <w:bookmarkEnd w:id="343"/>
      <w:bookmarkStart w:id="344" w:name="_Toc351203636"/>
      <w:bookmarkEnd w:id="344"/>
      <w:bookmarkStart w:id="345" w:name="_Toc407135215"/>
      <w:bookmarkEnd w:id="345"/>
      <w:bookmarkStart w:id="346" w:name="_Toc389065279"/>
      <w:r>
        <w:rPr>
          <w:rFonts w:hint="eastAsia" w:ascii="宋体" w:hAnsi="宋体"/>
          <w:color w:val="auto"/>
          <w:highlight w:val="none"/>
        </w:rPr>
        <w:t>承包人提供履约担保的形式、金额及期限的：</w:t>
      </w:r>
      <w:bookmarkEnd w:id="346"/>
      <w:bookmarkStart w:id="347" w:name="_Toc15637"/>
      <w:bookmarkEnd w:id="347"/>
      <w:r>
        <w:rPr>
          <w:rFonts w:hint="eastAsia" w:ascii="宋体" w:hAnsi="宋体" w:cs="宋体"/>
          <w:bCs/>
          <w:color w:val="auto"/>
          <w:kern w:val="0"/>
          <w:highlight w:val="none"/>
        </w:rPr>
        <w:t>参照《贵港市财政局关于进一步优化政府采购营商环境有关事项的通知》(贵财采〔2020〕20号)文件要求，本项目免收履约保证金</w:t>
      </w:r>
    </w:p>
    <w:p w14:paraId="0D45B115">
      <w:pPr>
        <w:spacing w:line="360" w:lineRule="auto"/>
        <w:ind w:firstLine="422" w:firstLineChars="200"/>
        <w:jc w:val="left"/>
        <w:rPr>
          <w:rFonts w:ascii="宋体" w:hAnsi="宋体"/>
          <w:b/>
          <w:bCs/>
          <w:color w:val="auto"/>
          <w:highlight w:val="none"/>
          <w:lang w:val="zh-CN"/>
        </w:rPr>
      </w:pPr>
      <w:r>
        <w:rPr>
          <w:rFonts w:ascii="宋体" w:hAnsi="宋体"/>
          <w:b/>
          <w:bCs/>
          <w:color w:val="auto"/>
          <w:highlight w:val="none"/>
          <w:lang w:val="zh-CN"/>
        </w:rPr>
        <w:t>4</w:t>
      </w:r>
      <w:bookmarkStart w:id="348" w:name="_Toc296347161"/>
      <w:bookmarkEnd w:id="348"/>
      <w:bookmarkStart w:id="349" w:name="_Toc296346663"/>
      <w:bookmarkEnd w:id="349"/>
      <w:bookmarkStart w:id="350" w:name="_Toc297120462"/>
      <w:bookmarkEnd w:id="350"/>
      <w:bookmarkStart w:id="351" w:name="_Toc267251413"/>
      <w:bookmarkEnd w:id="351"/>
      <w:bookmarkStart w:id="352" w:name="_Toc292559871"/>
      <w:bookmarkEnd w:id="352"/>
      <w:bookmarkStart w:id="353" w:name="_Toc296944501"/>
      <w:bookmarkEnd w:id="353"/>
      <w:bookmarkStart w:id="354" w:name="_Toc296891202"/>
      <w:bookmarkEnd w:id="354"/>
      <w:bookmarkStart w:id="355" w:name="_Toc296890990"/>
      <w:bookmarkEnd w:id="355"/>
      <w:bookmarkStart w:id="356" w:name="_Toc296503162"/>
      <w:bookmarkEnd w:id="356"/>
      <w:bookmarkStart w:id="357" w:name="_Toc292559366"/>
      <w:bookmarkEnd w:id="357"/>
      <w:bookmarkStart w:id="358" w:name="_Toc297048348"/>
      <w:r>
        <w:rPr>
          <w:rFonts w:ascii="宋体" w:hAnsi="宋体"/>
          <w:b/>
          <w:bCs/>
          <w:color w:val="auto"/>
          <w:highlight w:val="none"/>
          <w:lang w:val="zh-CN"/>
        </w:rPr>
        <w:t xml:space="preserve">. </w:t>
      </w:r>
      <w:bookmarkEnd w:id="358"/>
      <w:r>
        <w:rPr>
          <w:rFonts w:hint="eastAsia" w:ascii="宋体" w:hAnsi="宋体"/>
          <w:b/>
          <w:bCs/>
          <w:color w:val="auto"/>
          <w:highlight w:val="none"/>
          <w:lang w:val="zh-CN"/>
        </w:rPr>
        <w:t>监理人</w:t>
      </w:r>
    </w:p>
    <w:p w14:paraId="108487D8">
      <w:pPr>
        <w:keepNext/>
        <w:keepLines/>
        <w:spacing w:line="360" w:lineRule="auto"/>
        <w:outlineLvl w:val="2"/>
        <w:rPr>
          <w:rFonts w:ascii="宋体" w:hAnsi="宋体"/>
          <w:b/>
          <w:bCs/>
          <w:color w:val="auto"/>
          <w:highlight w:val="none"/>
          <w:lang w:val="zh-CN"/>
        </w:rPr>
      </w:pPr>
      <w:bookmarkStart w:id="359" w:name="_Toc373227714"/>
      <w:bookmarkEnd w:id="359"/>
      <w:bookmarkStart w:id="360" w:name="_Toc21430"/>
      <w:bookmarkEnd w:id="360"/>
      <w:bookmarkStart w:id="361" w:name="_Toc407135216"/>
      <w:bookmarkEnd w:id="361"/>
      <w:bookmarkStart w:id="362" w:name="_Toc389065280"/>
      <w:bookmarkEnd w:id="362"/>
      <w:bookmarkStart w:id="363" w:name="_Toc373478361"/>
      <w:r>
        <w:rPr>
          <w:rFonts w:ascii="宋体" w:hAnsi="宋体"/>
          <w:b/>
          <w:bCs/>
          <w:color w:val="auto"/>
          <w:highlight w:val="none"/>
          <w:lang w:val="zh-CN"/>
        </w:rPr>
        <w:t xml:space="preserve">4.1 </w:t>
      </w:r>
      <w:bookmarkEnd w:id="363"/>
      <w:r>
        <w:rPr>
          <w:rFonts w:hint="eastAsia" w:ascii="宋体" w:hAnsi="宋体"/>
          <w:b/>
          <w:bCs/>
          <w:color w:val="auto"/>
          <w:highlight w:val="none"/>
          <w:lang w:val="zh-CN"/>
        </w:rPr>
        <w:t>监理人的一般规定</w:t>
      </w:r>
    </w:p>
    <w:p w14:paraId="00D005B4">
      <w:pPr>
        <w:spacing w:line="360" w:lineRule="auto"/>
        <w:ind w:firstLine="420"/>
        <w:jc w:val="left"/>
        <w:rPr>
          <w:rFonts w:ascii="宋体" w:hAnsi="宋体"/>
          <w:color w:val="auto"/>
          <w:highlight w:val="none"/>
        </w:rPr>
      </w:pPr>
      <w:r>
        <w:rPr>
          <w:rFonts w:hint="eastAsia" w:ascii="宋体" w:hAnsi="宋体"/>
          <w:color w:val="auto"/>
          <w:highlight w:val="none"/>
        </w:rPr>
        <w:t>关于监理人的监理内容：</w:t>
      </w:r>
      <w:r>
        <w:rPr>
          <w:rFonts w:hint="eastAsia" w:ascii="宋体" w:hAnsi="宋体"/>
          <w:color w:val="auto"/>
          <w:highlight w:val="none"/>
          <w:u w:val="single"/>
        </w:rPr>
        <w:t xml:space="preserve">根据发包人与监理人签订的《监理合同》、《监理工作规范》及工程实际需要确定  </w:t>
      </w:r>
      <w:r>
        <w:rPr>
          <w:rFonts w:hint="eastAsia" w:ascii="宋体" w:hAnsi="宋体"/>
          <w:color w:val="auto"/>
          <w:highlight w:val="none"/>
        </w:rPr>
        <w:t>。</w:t>
      </w:r>
    </w:p>
    <w:p w14:paraId="4B328C5C">
      <w:pPr>
        <w:spacing w:line="360" w:lineRule="auto"/>
        <w:ind w:firstLine="420"/>
        <w:jc w:val="left"/>
        <w:rPr>
          <w:rFonts w:ascii="宋体" w:hAnsi="宋体"/>
          <w:color w:val="auto"/>
          <w:highlight w:val="none"/>
          <w:u w:val="single"/>
        </w:rPr>
      </w:pPr>
      <w:r>
        <w:rPr>
          <w:rFonts w:hint="eastAsia" w:ascii="宋体" w:hAnsi="宋体"/>
          <w:color w:val="auto"/>
          <w:highlight w:val="none"/>
        </w:rPr>
        <w:t>关于监理人的监理权限：</w:t>
      </w:r>
      <w:r>
        <w:rPr>
          <w:rFonts w:hint="eastAsia" w:ascii="宋体" w:hAnsi="宋体"/>
          <w:color w:val="auto"/>
          <w:highlight w:val="none"/>
          <w:u w:val="single"/>
        </w:rPr>
        <w:t>1.对施工过程的质量、进度控制，施工中各种组织协调工作及全程监理，如涉及合同价款、费用、工期、有关技术规范的重大变更等指令或签证的，须征得发包人的书面批准；2.在发出施工进度计划和施工方案说明以及有关能引起工程费用实际增加（减少）或延长工期的指令前，应得到发包人的书面批准，否则不对发包人产生约束力；3.监理工程师在向承包人发出有关技术规范的重大变更或有关变更合同条款的任何指令前均应获得发包人书面批准；4.工程实际竣工日期提前或超过工程承包合同规定的竣工期限的签证之前应得到发包人的书面批准；5.签证单监理只有证明权，无确认权；6.工程内容和材料变更确认应得到发包人的书面批准；7.工程暂停令和复工令签发、参与工程变更的审核签认、审核工程进度款支付的实际进度；8.按监理合同有关条款及国家地方建设监理有关规定的内容监督，但无权解除或减轻合同中承包人的义务；9.监理人履行须经发包人批准行使的权利时，应当向承包人出示其行使该权利已经取得发包人批准的文件或者其他合法有效的证明。</w:t>
      </w:r>
    </w:p>
    <w:p w14:paraId="735E4DD4">
      <w:pPr>
        <w:spacing w:line="360" w:lineRule="auto"/>
        <w:ind w:firstLine="420"/>
        <w:jc w:val="left"/>
        <w:rPr>
          <w:rFonts w:ascii="宋体" w:hAnsi="宋体"/>
          <w:color w:val="auto"/>
          <w:highlight w:val="none"/>
          <w:u w:val="single"/>
        </w:rPr>
      </w:pPr>
      <w:r>
        <w:rPr>
          <w:rFonts w:hint="eastAsia" w:ascii="宋体" w:hAnsi="宋体"/>
          <w:color w:val="auto"/>
          <w:highlight w:val="none"/>
        </w:rPr>
        <w:t>关于监理人在施工现场的办公场所、生活场所的提供和费用承担的约定：</w:t>
      </w:r>
      <w:r>
        <w:rPr>
          <w:rFonts w:hint="eastAsia" w:ascii="宋体" w:hAnsi="宋体"/>
          <w:color w:val="auto"/>
          <w:highlight w:val="none"/>
          <w:u w:val="single"/>
        </w:rPr>
        <w:t xml:space="preserve">         /          。</w:t>
      </w:r>
    </w:p>
    <w:p w14:paraId="05C5BD1E">
      <w:pPr>
        <w:keepNext/>
        <w:keepLines/>
        <w:spacing w:line="360" w:lineRule="auto"/>
        <w:outlineLvl w:val="2"/>
        <w:rPr>
          <w:rFonts w:ascii="宋体" w:hAnsi="宋体"/>
          <w:b/>
          <w:bCs/>
          <w:color w:val="auto"/>
          <w:highlight w:val="none"/>
          <w:lang w:val="zh-CN"/>
        </w:rPr>
      </w:pPr>
      <w:bookmarkStart w:id="364" w:name="_Toc373478362"/>
      <w:bookmarkEnd w:id="364"/>
      <w:bookmarkStart w:id="365" w:name="_Toc407135217"/>
      <w:bookmarkEnd w:id="365"/>
      <w:bookmarkStart w:id="366" w:name="_Toc1099"/>
      <w:bookmarkEnd w:id="366"/>
      <w:bookmarkStart w:id="367" w:name="_Toc373227715"/>
      <w:bookmarkEnd w:id="367"/>
      <w:bookmarkStart w:id="368" w:name="_Toc389065281"/>
      <w:r>
        <w:rPr>
          <w:rFonts w:ascii="宋体" w:hAnsi="宋体"/>
          <w:b/>
          <w:bCs/>
          <w:color w:val="auto"/>
          <w:highlight w:val="none"/>
          <w:lang w:val="zh-CN"/>
        </w:rPr>
        <w:t xml:space="preserve">4.2 </w:t>
      </w:r>
      <w:bookmarkEnd w:id="368"/>
      <w:r>
        <w:rPr>
          <w:rFonts w:hint="eastAsia" w:ascii="宋体" w:hAnsi="宋体"/>
          <w:b/>
          <w:bCs/>
          <w:color w:val="auto"/>
          <w:highlight w:val="none"/>
          <w:lang w:val="zh-CN"/>
        </w:rPr>
        <w:t>监理人员</w:t>
      </w:r>
    </w:p>
    <w:p w14:paraId="67BBF57A">
      <w:pPr>
        <w:spacing w:line="360" w:lineRule="auto"/>
        <w:ind w:firstLine="420" w:firstLineChars="200"/>
        <w:rPr>
          <w:rFonts w:ascii="宋体" w:hAnsi="宋体"/>
          <w:color w:val="auto"/>
          <w:highlight w:val="none"/>
        </w:rPr>
      </w:pPr>
      <w:r>
        <w:rPr>
          <w:rFonts w:hint="eastAsia" w:ascii="宋体" w:hAnsi="宋体"/>
          <w:color w:val="auto"/>
          <w:highlight w:val="none"/>
        </w:rPr>
        <w:t>总监理工程师：</w:t>
      </w:r>
    </w:p>
    <w:p w14:paraId="44AC35E0">
      <w:pPr>
        <w:spacing w:line="360" w:lineRule="auto"/>
        <w:ind w:firstLine="420" w:firstLineChars="200"/>
        <w:rPr>
          <w:rFonts w:ascii="宋体" w:hAnsi="宋体"/>
          <w:color w:val="auto"/>
          <w:highlight w:val="none"/>
        </w:rPr>
      </w:pPr>
      <w:r>
        <w:rPr>
          <w:rFonts w:hint="eastAsia" w:ascii="宋体" w:hAnsi="宋体"/>
          <w:color w:val="auto"/>
          <w:highlight w:val="none"/>
        </w:rPr>
        <w:t>姓名：</w:t>
      </w:r>
      <w:r>
        <w:rPr>
          <w:rFonts w:hint="eastAsia" w:ascii="宋体" w:hAnsi="宋体" w:cs="宋体"/>
          <w:color w:val="auto"/>
          <w:highlight w:val="none"/>
          <w:u w:val="single"/>
        </w:rPr>
        <w:t></w:t>
      </w:r>
      <w:r>
        <w:rPr>
          <w:rFonts w:hint="eastAsia" w:ascii="宋体" w:hAnsi="宋体"/>
          <w:color w:val="auto"/>
          <w:highlight w:val="none"/>
          <w:u w:val="single"/>
        </w:rPr>
        <w:t xml:space="preserve">（在签订合同时明确）        </w:t>
      </w:r>
      <w:r>
        <w:rPr>
          <w:rFonts w:hint="eastAsia" w:ascii="宋体" w:hAnsi="宋体"/>
          <w:color w:val="auto"/>
          <w:highlight w:val="none"/>
        </w:rPr>
        <w:t>；</w:t>
      </w:r>
    </w:p>
    <w:p w14:paraId="63F77348">
      <w:pPr>
        <w:spacing w:line="360" w:lineRule="auto"/>
        <w:ind w:firstLine="420" w:firstLineChars="200"/>
        <w:rPr>
          <w:rFonts w:ascii="宋体" w:hAnsi="宋体"/>
          <w:color w:val="auto"/>
          <w:highlight w:val="none"/>
        </w:rPr>
      </w:pPr>
      <w:r>
        <w:rPr>
          <w:rFonts w:hint="eastAsia" w:ascii="宋体" w:hAnsi="宋体"/>
          <w:color w:val="auto"/>
          <w:highlight w:val="none"/>
        </w:rPr>
        <w:t>职务：</w:t>
      </w:r>
      <w:r>
        <w:rPr>
          <w:rFonts w:hint="eastAsia" w:ascii="宋体" w:hAnsi="宋体"/>
          <w:color w:val="auto"/>
          <w:highlight w:val="none"/>
          <w:u w:val="single"/>
        </w:rPr>
        <w:t xml:space="preserve">   （在签订合同时明确）        </w:t>
      </w:r>
      <w:r>
        <w:rPr>
          <w:rFonts w:hint="eastAsia" w:ascii="宋体" w:hAnsi="宋体"/>
          <w:color w:val="auto"/>
          <w:highlight w:val="none"/>
        </w:rPr>
        <w:t>；</w:t>
      </w:r>
    </w:p>
    <w:p w14:paraId="16E9EC8B">
      <w:pPr>
        <w:spacing w:line="360" w:lineRule="auto"/>
        <w:ind w:firstLine="420" w:firstLineChars="200"/>
        <w:rPr>
          <w:rFonts w:ascii="宋体" w:hAnsi="宋体"/>
          <w:color w:val="auto"/>
          <w:highlight w:val="none"/>
        </w:rPr>
      </w:pPr>
      <w:r>
        <w:rPr>
          <w:rFonts w:hint="eastAsia" w:ascii="宋体" w:hAnsi="宋体"/>
          <w:color w:val="auto"/>
          <w:highlight w:val="none"/>
        </w:rPr>
        <w:t>监理工程师注册证书号：</w:t>
      </w:r>
      <w:r>
        <w:rPr>
          <w:rFonts w:hint="eastAsia" w:ascii="宋体" w:hAnsi="宋体"/>
          <w:color w:val="auto"/>
          <w:highlight w:val="none"/>
          <w:u w:val="single"/>
        </w:rPr>
        <w:t xml:space="preserve">   （在签订合同时明确）        </w:t>
      </w:r>
      <w:r>
        <w:rPr>
          <w:rFonts w:hint="eastAsia" w:ascii="宋体" w:hAnsi="宋体"/>
          <w:color w:val="auto"/>
          <w:highlight w:val="none"/>
        </w:rPr>
        <w:t>；</w:t>
      </w:r>
    </w:p>
    <w:p w14:paraId="6435D6AF">
      <w:pPr>
        <w:spacing w:line="360" w:lineRule="auto"/>
        <w:ind w:firstLine="420" w:firstLineChars="200"/>
        <w:rPr>
          <w:rFonts w:ascii="宋体" w:hAnsi="宋体"/>
          <w:color w:val="auto"/>
          <w:highlight w:val="none"/>
        </w:rPr>
      </w:pPr>
      <w:r>
        <w:rPr>
          <w:rFonts w:hint="eastAsia" w:ascii="宋体" w:hAnsi="宋体"/>
          <w:color w:val="auto"/>
          <w:highlight w:val="none"/>
        </w:rPr>
        <w:t>联系电话：</w:t>
      </w:r>
      <w:r>
        <w:rPr>
          <w:rFonts w:hint="eastAsia" w:ascii="宋体" w:hAnsi="宋体"/>
          <w:color w:val="auto"/>
          <w:highlight w:val="none"/>
          <w:u w:val="single"/>
        </w:rPr>
        <w:t xml:space="preserve">        </w:t>
      </w:r>
      <w:r>
        <w:rPr>
          <w:rFonts w:hint="eastAsia" w:ascii="宋体" w:hAnsi="宋体"/>
          <w:color w:val="auto"/>
          <w:highlight w:val="none"/>
        </w:rPr>
        <w:t>；</w:t>
      </w:r>
    </w:p>
    <w:p w14:paraId="439DADAE">
      <w:pPr>
        <w:spacing w:line="360" w:lineRule="auto"/>
        <w:ind w:firstLine="420" w:firstLineChars="200"/>
        <w:rPr>
          <w:rFonts w:ascii="宋体" w:hAnsi="宋体"/>
          <w:color w:val="auto"/>
          <w:highlight w:val="none"/>
        </w:rPr>
      </w:pPr>
      <w:r>
        <w:rPr>
          <w:rFonts w:hint="eastAsia" w:ascii="宋体" w:hAnsi="宋体"/>
          <w:color w:val="auto"/>
          <w:highlight w:val="none"/>
        </w:rPr>
        <w:t>电子信箱：</w:t>
      </w:r>
      <w:r>
        <w:rPr>
          <w:rFonts w:hint="eastAsia" w:ascii="宋体" w:hAnsi="宋体"/>
          <w:color w:val="auto"/>
          <w:highlight w:val="none"/>
          <w:u w:val="single"/>
        </w:rPr>
        <w:t xml:space="preserve">        </w:t>
      </w:r>
      <w:r>
        <w:rPr>
          <w:rFonts w:hint="eastAsia" w:ascii="宋体" w:hAnsi="宋体"/>
          <w:color w:val="auto"/>
          <w:highlight w:val="none"/>
        </w:rPr>
        <w:t>；</w:t>
      </w:r>
    </w:p>
    <w:p w14:paraId="12E2EF01">
      <w:pPr>
        <w:spacing w:line="360" w:lineRule="auto"/>
        <w:ind w:firstLine="420" w:firstLineChars="200"/>
        <w:rPr>
          <w:rFonts w:ascii="宋体" w:hAnsi="宋体"/>
          <w:color w:val="auto"/>
          <w:highlight w:val="none"/>
        </w:rPr>
      </w:pPr>
      <w:r>
        <w:rPr>
          <w:rFonts w:hint="eastAsia" w:ascii="宋体" w:hAnsi="宋体"/>
          <w:color w:val="auto"/>
          <w:highlight w:val="none"/>
        </w:rPr>
        <w:t>通信地址：</w:t>
      </w:r>
      <w:r>
        <w:rPr>
          <w:rFonts w:hint="eastAsia" w:ascii="宋体" w:hAnsi="宋体"/>
          <w:color w:val="auto"/>
          <w:highlight w:val="none"/>
          <w:u w:val="single"/>
        </w:rPr>
        <w:t xml:space="preserve">        </w:t>
      </w:r>
      <w:r>
        <w:rPr>
          <w:rFonts w:hint="eastAsia" w:ascii="宋体" w:hAnsi="宋体"/>
          <w:color w:val="auto"/>
          <w:highlight w:val="none"/>
        </w:rPr>
        <w:t>；</w:t>
      </w:r>
    </w:p>
    <w:p w14:paraId="4A6B5F72">
      <w:pPr>
        <w:spacing w:line="360" w:lineRule="auto"/>
        <w:ind w:firstLine="420" w:firstLineChars="200"/>
        <w:rPr>
          <w:rFonts w:ascii="宋体" w:hAnsi="宋体"/>
          <w:color w:val="auto"/>
          <w:highlight w:val="none"/>
        </w:rPr>
      </w:pPr>
      <w:r>
        <w:rPr>
          <w:rFonts w:hint="eastAsia" w:ascii="宋体" w:hAnsi="宋体"/>
          <w:color w:val="auto"/>
          <w:highlight w:val="none"/>
        </w:rPr>
        <w:t>关于监理人的其他约定：</w:t>
      </w:r>
      <w:r>
        <w:rPr>
          <w:rFonts w:hint="eastAsia" w:ascii="宋体" w:hAnsi="宋体" w:cs="宋体"/>
          <w:color w:val="auto"/>
          <w:highlight w:val="none"/>
          <w:u w:val="single"/>
        </w:rPr>
        <w:t xml:space="preserve">                  /                        </w:t>
      </w:r>
    </w:p>
    <w:p w14:paraId="4A3AF7C3">
      <w:pPr>
        <w:keepNext/>
        <w:keepLines/>
        <w:spacing w:line="360" w:lineRule="auto"/>
        <w:outlineLvl w:val="2"/>
        <w:rPr>
          <w:rFonts w:ascii="宋体" w:hAnsi="宋体"/>
          <w:b/>
          <w:bCs/>
          <w:color w:val="auto"/>
          <w:highlight w:val="none"/>
          <w:lang w:val="zh-CN"/>
        </w:rPr>
      </w:pPr>
      <w:bookmarkStart w:id="369" w:name="_Toc389065282"/>
      <w:bookmarkEnd w:id="369"/>
      <w:bookmarkStart w:id="370" w:name="_Toc31316"/>
      <w:bookmarkEnd w:id="370"/>
      <w:bookmarkStart w:id="371" w:name="_Toc407135218"/>
      <w:bookmarkEnd w:id="371"/>
      <w:bookmarkStart w:id="372" w:name="_Toc373478363"/>
      <w:bookmarkEnd w:id="372"/>
      <w:bookmarkStart w:id="373" w:name="_Toc373227716"/>
      <w:r>
        <w:rPr>
          <w:rFonts w:ascii="宋体" w:hAnsi="宋体"/>
          <w:b/>
          <w:bCs/>
          <w:color w:val="auto"/>
          <w:highlight w:val="none"/>
          <w:lang w:val="zh-CN"/>
        </w:rPr>
        <w:t xml:space="preserve">4.4 </w:t>
      </w:r>
      <w:bookmarkEnd w:id="373"/>
      <w:r>
        <w:rPr>
          <w:rFonts w:hint="eastAsia" w:ascii="宋体" w:hAnsi="宋体"/>
          <w:b/>
          <w:bCs/>
          <w:color w:val="auto"/>
          <w:highlight w:val="none"/>
          <w:lang w:val="zh-CN"/>
        </w:rPr>
        <w:t>商定或确定</w:t>
      </w:r>
    </w:p>
    <w:p w14:paraId="2F6C51CF">
      <w:pPr>
        <w:spacing w:line="360" w:lineRule="auto"/>
        <w:ind w:firstLine="420" w:firstLineChars="200"/>
        <w:rPr>
          <w:rFonts w:ascii="宋体" w:hAnsi="宋体"/>
          <w:color w:val="auto"/>
          <w:highlight w:val="none"/>
        </w:rPr>
      </w:pPr>
      <w:bookmarkStart w:id="374" w:name="_Toc267251418"/>
      <w:bookmarkEnd w:id="374"/>
      <w:r>
        <w:rPr>
          <w:rFonts w:hint="eastAsia" w:ascii="宋体" w:hAnsi="宋体"/>
          <w:color w:val="auto"/>
          <w:highlight w:val="none"/>
        </w:rPr>
        <w:t>在发包人和承包人不能通过协商达成一致意见时，发包人授权监理人对以下事项进行确定：</w:t>
      </w:r>
    </w:p>
    <w:p w14:paraId="63584117">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w:t>
      </w:r>
      <w:r>
        <w:rPr>
          <w:rFonts w:hint="eastAsia" w:asciiTheme="minorEastAsia" w:hAnsiTheme="minorEastAsia" w:eastAsiaTheme="minorEastAsia"/>
          <w:color w:val="auto"/>
          <w:highlight w:val="none"/>
          <w:u w:val="single"/>
        </w:rPr>
        <w:t>按照合同约定执行</w:t>
      </w:r>
      <w:r>
        <w:rPr>
          <w:rFonts w:hint="eastAsia" w:ascii="宋体" w:hAnsi="宋体"/>
          <w:color w:val="auto"/>
          <w:highlight w:val="none"/>
        </w:rPr>
        <w:t>；</w:t>
      </w:r>
    </w:p>
    <w:p w14:paraId="2F1395C4">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w:t>
      </w:r>
      <w:r>
        <w:rPr>
          <w:rFonts w:hint="eastAsia" w:ascii="宋体" w:hAnsi="宋体"/>
          <w:color w:val="auto"/>
          <w:highlight w:val="none"/>
          <w:u w:val="single"/>
        </w:rPr>
        <w:t>依据法律、法规和地方性文件的规定</w:t>
      </w:r>
      <w:r>
        <w:rPr>
          <w:rFonts w:hint="eastAsia" w:asciiTheme="minorEastAsia" w:hAnsiTheme="minorEastAsia" w:eastAsiaTheme="minorEastAsia"/>
          <w:color w:val="auto"/>
          <w:highlight w:val="none"/>
          <w:u w:val="single"/>
        </w:rPr>
        <w:t>执行</w:t>
      </w:r>
      <w:r>
        <w:rPr>
          <w:rFonts w:hint="eastAsia" w:ascii="宋体" w:hAnsi="宋体"/>
          <w:color w:val="auto"/>
          <w:highlight w:val="none"/>
        </w:rPr>
        <w:t>；</w:t>
      </w:r>
    </w:p>
    <w:p w14:paraId="5C6B4407">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w:t>
      </w:r>
      <w:r>
        <w:rPr>
          <w:rFonts w:hint="eastAsia" w:ascii="宋体" w:hAnsi="宋体"/>
          <w:color w:val="auto"/>
          <w:highlight w:val="none"/>
          <w:u w:val="single"/>
        </w:rPr>
        <w:t>/</w:t>
      </w:r>
      <w:r>
        <w:rPr>
          <w:rFonts w:hint="eastAsia" w:ascii="宋体" w:hAnsi="宋体"/>
          <w:color w:val="auto"/>
          <w:highlight w:val="none"/>
        </w:rPr>
        <w:t>。</w:t>
      </w:r>
    </w:p>
    <w:p w14:paraId="5EAFE5A4">
      <w:pPr>
        <w:keepNext/>
        <w:keepLines/>
        <w:spacing w:before="60" w:after="60" w:line="413" w:lineRule="auto"/>
        <w:outlineLvl w:val="1"/>
        <w:rPr>
          <w:rFonts w:ascii="宋体" w:hAnsi="宋体"/>
          <w:b/>
          <w:bCs/>
          <w:color w:val="auto"/>
          <w:highlight w:val="none"/>
          <w:lang w:val="zh-CN"/>
        </w:rPr>
      </w:pPr>
      <w:bookmarkStart w:id="375" w:name="_Toc373227717"/>
      <w:bookmarkEnd w:id="375"/>
      <w:bookmarkStart w:id="376" w:name="_Toc373478364"/>
      <w:bookmarkEnd w:id="376"/>
      <w:bookmarkStart w:id="377" w:name="_Toc389065283"/>
      <w:bookmarkEnd w:id="377"/>
      <w:bookmarkStart w:id="378" w:name="_Toc407135219"/>
      <w:bookmarkEnd w:id="378"/>
      <w:bookmarkStart w:id="379" w:name="_Toc351203637"/>
      <w:bookmarkEnd w:id="379"/>
      <w:bookmarkStart w:id="380" w:name="_Toc4428"/>
      <w:r>
        <w:rPr>
          <w:rFonts w:ascii="宋体" w:hAnsi="宋体"/>
          <w:b/>
          <w:bCs/>
          <w:color w:val="auto"/>
          <w:highlight w:val="none"/>
          <w:lang w:val="zh-CN"/>
        </w:rPr>
        <w:t>5</w:t>
      </w:r>
      <w:bookmarkEnd w:id="380"/>
      <w:bookmarkStart w:id="381" w:name="_Toc296890991"/>
      <w:bookmarkEnd w:id="381"/>
      <w:bookmarkStart w:id="382" w:name="_Toc296944502"/>
      <w:bookmarkEnd w:id="382"/>
      <w:bookmarkStart w:id="383" w:name="_Toc297048349"/>
      <w:bookmarkEnd w:id="383"/>
      <w:bookmarkStart w:id="384" w:name="_Toc296891203"/>
      <w:bookmarkEnd w:id="384"/>
      <w:bookmarkStart w:id="385" w:name="_Toc292559367"/>
      <w:bookmarkEnd w:id="385"/>
      <w:bookmarkStart w:id="386" w:name="_Toc296346664"/>
      <w:bookmarkEnd w:id="386"/>
      <w:bookmarkStart w:id="387" w:name="_Toc296503163"/>
      <w:bookmarkEnd w:id="387"/>
      <w:bookmarkStart w:id="388" w:name="_Toc297120463"/>
      <w:bookmarkEnd w:id="388"/>
      <w:bookmarkStart w:id="389" w:name="_Toc296347162"/>
      <w:bookmarkEnd w:id="389"/>
      <w:bookmarkStart w:id="390" w:name="_Toc292559872"/>
      <w:r>
        <w:rPr>
          <w:rFonts w:ascii="宋体" w:hAnsi="宋体"/>
          <w:b/>
          <w:bCs/>
          <w:color w:val="auto"/>
          <w:highlight w:val="none"/>
          <w:lang w:val="zh-CN"/>
        </w:rPr>
        <w:t xml:space="preserve">. </w:t>
      </w:r>
      <w:bookmarkEnd w:id="390"/>
      <w:r>
        <w:rPr>
          <w:rFonts w:hint="eastAsia" w:ascii="宋体" w:hAnsi="宋体"/>
          <w:b/>
          <w:bCs/>
          <w:color w:val="auto"/>
          <w:highlight w:val="none"/>
          <w:lang w:val="zh-CN"/>
        </w:rPr>
        <w:t>工程质量</w:t>
      </w:r>
    </w:p>
    <w:p w14:paraId="53B5C96C">
      <w:pPr>
        <w:keepNext/>
        <w:keepLines/>
        <w:spacing w:line="360" w:lineRule="auto"/>
        <w:outlineLvl w:val="2"/>
        <w:rPr>
          <w:rFonts w:ascii="宋体" w:hAnsi="宋体"/>
          <w:b/>
          <w:bCs/>
          <w:color w:val="auto"/>
          <w:highlight w:val="none"/>
          <w:lang w:val="zh-CN"/>
        </w:rPr>
      </w:pPr>
      <w:bookmarkStart w:id="391" w:name="_Toc407135220"/>
      <w:bookmarkEnd w:id="391"/>
      <w:bookmarkStart w:id="392" w:name="_Toc373227718"/>
      <w:bookmarkEnd w:id="392"/>
      <w:bookmarkStart w:id="393" w:name="_Toc373478365"/>
      <w:bookmarkEnd w:id="393"/>
      <w:bookmarkStart w:id="394" w:name="_Toc389065284"/>
      <w:bookmarkEnd w:id="394"/>
      <w:bookmarkStart w:id="395" w:name="_Toc28634"/>
      <w:r>
        <w:rPr>
          <w:rFonts w:ascii="宋体" w:hAnsi="宋体"/>
          <w:b/>
          <w:bCs/>
          <w:color w:val="auto"/>
          <w:highlight w:val="none"/>
          <w:lang w:val="zh-CN"/>
        </w:rPr>
        <w:t xml:space="preserve">5.1 </w:t>
      </w:r>
      <w:bookmarkEnd w:id="395"/>
      <w:r>
        <w:rPr>
          <w:rFonts w:hint="eastAsia" w:ascii="宋体" w:hAnsi="宋体"/>
          <w:b/>
          <w:bCs/>
          <w:color w:val="auto"/>
          <w:highlight w:val="none"/>
          <w:lang w:val="zh-CN"/>
        </w:rPr>
        <w:t>质量要求</w:t>
      </w:r>
    </w:p>
    <w:p w14:paraId="497115A2">
      <w:pPr>
        <w:spacing w:line="360" w:lineRule="auto"/>
        <w:ind w:firstLine="420" w:firstLineChars="200"/>
        <w:jc w:val="left"/>
        <w:rPr>
          <w:rFonts w:ascii="宋体" w:hAnsi="宋体"/>
          <w:color w:val="auto"/>
          <w:highlight w:val="none"/>
          <w:u w:val="single"/>
        </w:rPr>
      </w:pPr>
      <w:bookmarkStart w:id="396" w:name="_Toc300934949"/>
      <w:bookmarkEnd w:id="396"/>
      <w:bookmarkStart w:id="397" w:name="_Toc373227719"/>
      <w:bookmarkEnd w:id="397"/>
      <w:bookmarkStart w:id="398" w:name="_Toc318581164"/>
      <w:bookmarkEnd w:id="398"/>
      <w:bookmarkStart w:id="399" w:name="_Toc373478366"/>
      <w:bookmarkEnd w:id="399"/>
      <w:bookmarkStart w:id="400" w:name="_Toc297123496"/>
      <w:bookmarkEnd w:id="400"/>
      <w:bookmarkStart w:id="401" w:name="_Toc304295527"/>
      <w:bookmarkEnd w:id="401"/>
      <w:bookmarkStart w:id="402" w:name="_Toc297216155"/>
      <w:bookmarkEnd w:id="402"/>
      <w:bookmarkStart w:id="403" w:name="_Toc407135221"/>
      <w:bookmarkEnd w:id="403"/>
      <w:bookmarkStart w:id="404" w:name="_Toc351203638"/>
      <w:bookmarkEnd w:id="404"/>
      <w:bookmarkStart w:id="405" w:name="_Toc303539106"/>
      <w:bookmarkEnd w:id="405"/>
      <w:bookmarkStart w:id="406" w:name="_Toc389065285"/>
      <w:bookmarkEnd w:id="406"/>
      <w:bookmarkStart w:id="407" w:name="_Toc312677997"/>
      <w:r>
        <w:rPr>
          <w:rFonts w:ascii="宋体" w:hAnsi="宋体"/>
          <w:color w:val="auto"/>
          <w:highlight w:val="none"/>
        </w:rPr>
        <w:t xml:space="preserve">5.1.1 </w:t>
      </w:r>
      <w:bookmarkEnd w:id="407"/>
      <w:r>
        <w:rPr>
          <w:rFonts w:hint="eastAsia" w:ascii="宋体" w:hAnsi="宋体"/>
          <w:color w:val="auto"/>
          <w:highlight w:val="none"/>
        </w:rPr>
        <w:t>特殊质量标准和要求：</w:t>
      </w:r>
      <w:r>
        <w:rPr>
          <w:rFonts w:hint="eastAsia" w:ascii="宋体" w:hAnsi="宋体"/>
          <w:color w:val="auto"/>
          <w:highlight w:val="none"/>
          <w:u w:val="single"/>
        </w:rPr>
        <w:t>工程质量符合国家或地方的质量检验评定合格标准。承包人应按现行的</w:t>
      </w:r>
      <w:r>
        <w:rPr>
          <w:rFonts w:hint="eastAsia"/>
          <w:color w:val="auto"/>
          <w:highlight w:val="none"/>
          <w:u w:val="single"/>
        </w:rPr>
        <w:t>《工程施工质量验收规范》</w:t>
      </w:r>
      <w:r>
        <w:rPr>
          <w:rFonts w:hint="eastAsia" w:ascii="宋体" w:hAnsi="宋体"/>
          <w:color w:val="auto"/>
          <w:highlight w:val="none"/>
          <w:u w:val="single"/>
        </w:rPr>
        <w:t>和《建筑装饰装修工程质量验收规范》的质量标准施工。严格执行广西壮族自治区住房和城乡建设厅《关于严格实行房屋建筑和市政基础设施工程质量终身责任承诺、永久性质量责任标牌、终身责任信息档案等制度的通知》(桂建管[2014]96号)的要求，落实建设工程质量终身责任。严格执行《民用建筑工程室内环境污染控制范围》、《建筑内部装修设计防火规范》的标准，所有建筑装饰装修材料必须符合国家质量监督检验检疫总局发布的</w:t>
      </w:r>
      <w:r>
        <w:rPr>
          <w:rStyle w:val="53"/>
          <w:rFonts w:ascii="宋体" w:hAnsi="宋体" w:cs="Arial"/>
          <w:i w:val="0"/>
          <w:color w:val="auto"/>
          <w:highlight w:val="none"/>
          <w:u w:val="single"/>
        </w:rPr>
        <w:t>《室内装饰装修材料有害物质限量</w:t>
      </w:r>
      <w:r>
        <w:rPr>
          <w:rFonts w:ascii="宋体" w:hAnsi="宋体" w:cs="Arial"/>
          <w:color w:val="auto"/>
          <w:highlight w:val="none"/>
          <w:u w:val="single"/>
        </w:rPr>
        <w:t xml:space="preserve"> 10项强制性国家标准</w:t>
      </w:r>
      <w:r>
        <w:rPr>
          <w:rFonts w:hint="eastAsia" w:ascii="宋体" w:hAnsi="宋体" w:cs="Arial"/>
          <w:color w:val="auto"/>
          <w:highlight w:val="none"/>
          <w:u w:val="single"/>
        </w:rPr>
        <w:t>》。</w:t>
      </w:r>
    </w:p>
    <w:p w14:paraId="2535D50B">
      <w:pPr>
        <w:spacing w:line="360" w:lineRule="auto"/>
        <w:ind w:firstLine="420" w:firstLineChars="200"/>
        <w:jc w:val="left"/>
        <w:rPr>
          <w:rFonts w:ascii="宋体" w:hAnsi="宋体"/>
          <w:color w:val="auto"/>
          <w:highlight w:val="none"/>
        </w:rPr>
      </w:pPr>
      <w:r>
        <w:rPr>
          <w:rFonts w:hint="eastAsia" w:ascii="宋体" w:hAnsi="宋体"/>
          <w:color w:val="auto"/>
          <w:highlight w:val="none"/>
        </w:rPr>
        <w:t>关于工程奖项的约定：</w:t>
      </w:r>
      <w:r>
        <w:rPr>
          <w:rFonts w:hint="eastAsia" w:ascii="宋体" w:hAnsi="宋体"/>
          <w:color w:val="auto"/>
          <w:highlight w:val="none"/>
          <w:u w:val="single"/>
        </w:rPr>
        <w:t xml:space="preserve">     /     </w:t>
      </w:r>
      <w:r>
        <w:rPr>
          <w:rFonts w:hint="eastAsia" w:ascii="宋体" w:hAnsi="宋体"/>
          <w:color w:val="auto"/>
          <w:highlight w:val="none"/>
        </w:rPr>
        <w:t>。</w:t>
      </w:r>
    </w:p>
    <w:p w14:paraId="3B1F3EEC">
      <w:pPr>
        <w:spacing w:line="360" w:lineRule="auto"/>
        <w:ind w:firstLine="420" w:firstLineChars="200"/>
        <w:jc w:val="left"/>
        <w:rPr>
          <w:rFonts w:ascii="宋体" w:hAnsi="宋体"/>
          <w:color w:val="auto"/>
          <w:highlight w:val="none"/>
        </w:rPr>
      </w:pPr>
      <w:r>
        <w:rPr>
          <w:rFonts w:ascii="宋体" w:hAnsi="宋体"/>
          <w:color w:val="auto"/>
          <w:highlight w:val="none"/>
        </w:rPr>
        <w:t xml:space="preserve">5.3 </w:t>
      </w:r>
      <w:r>
        <w:rPr>
          <w:rFonts w:hint="eastAsia" w:ascii="宋体" w:hAnsi="宋体"/>
          <w:color w:val="auto"/>
          <w:highlight w:val="none"/>
        </w:rPr>
        <w:t>隐蔽工程检查</w:t>
      </w:r>
    </w:p>
    <w:p w14:paraId="2545EA1C">
      <w:pPr>
        <w:spacing w:line="360" w:lineRule="auto"/>
        <w:ind w:firstLine="420" w:firstLineChars="200"/>
        <w:jc w:val="left"/>
        <w:rPr>
          <w:rFonts w:asciiTheme="minorEastAsia" w:hAnsiTheme="minorEastAsia" w:eastAsiaTheme="minorEastAsia"/>
          <w:color w:val="auto"/>
          <w:highlight w:val="none"/>
          <w:u w:val="single"/>
        </w:rPr>
      </w:pPr>
      <w:r>
        <w:rPr>
          <w:rFonts w:ascii="宋体" w:hAnsi="宋体"/>
          <w:color w:val="auto"/>
          <w:highlight w:val="none"/>
        </w:rPr>
        <w:t>5.3.2</w:t>
      </w:r>
      <w:r>
        <w:rPr>
          <w:rFonts w:hint="eastAsia" w:asciiTheme="minorEastAsia" w:hAnsiTheme="minorEastAsia" w:eastAsiaTheme="minorEastAsia"/>
          <w:color w:val="auto"/>
          <w:highlight w:val="none"/>
        </w:rPr>
        <w:t>承包人提前通知监理人隐蔽工程检查的期限的约定</w:t>
      </w:r>
      <w:r>
        <w:rPr>
          <w:rFonts w:hint="eastAsia" w:ascii="仿宋" w:hAnsi="仿宋" w:eastAsia="仿宋"/>
          <w:color w:val="auto"/>
          <w:sz w:val="30"/>
          <w:szCs w:val="30"/>
          <w:highlight w:val="none"/>
        </w:rPr>
        <w:t>：</w:t>
      </w:r>
      <w:r>
        <w:rPr>
          <w:rFonts w:hint="eastAsia" w:asciiTheme="minorEastAsia" w:hAnsiTheme="minorEastAsia" w:eastAsiaTheme="minorEastAsia"/>
          <w:color w:val="auto"/>
          <w:highlight w:val="none"/>
          <w:u w:val="single"/>
        </w:rPr>
        <w:t>工程隐蔽或中间验收前12小时书面形式通知发包人和监理工程师验收的内容、时间、地点,承包人准备验收记录单(印制的表格)由双方签证。验收合格,承包人方可进行隐蔽工程的施工,验收不合格,双方商订时限内修改后按上述循序重新验收。</w:t>
      </w:r>
    </w:p>
    <w:p w14:paraId="79087675">
      <w:pPr>
        <w:spacing w:line="360" w:lineRule="auto"/>
        <w:ind w:firstLine="420" w:firstLineChars="200"/>
        <w:jc w:val="left"/>
        <w:rPr>
          <w:rFonts w:ascii="宋体" w:hAnsi="宋体"/>
          <w:color w:val="auto"/>
          <w:highlight w:val="none"/>
        </w:rPr>
      </w:pPr>
      <w:r>
        <w:rPr>
          <w:rFonts w:hint="eastAsia" w:ascii="宋体" w:hAnsi="宋体"/>
          <w:color w:val="auto"/>
          <w:highlight w:val="none"/>
        </w:rPr>
        <w:t>监理人不能按时进行检查时，应提前</w:t>
      </w:r>
      <w:r>
        <w:rPr>
          <w:rFonts w:ascii="宋体" w:hAnsi="宋体"/>
          <w:color w:val="auto"/>
          <w:highlight w:val="none"/>
          <w:u w:val="single"/>
        </w:rPr>
        <w:t>2</w:t>
      </w:r>
      <w:r>
        <w:rPr>
          <w:rFonts w:hint="eastAsia" w:ascii="宋体" w:hAnsi="宋体"/>
          <w:color w:val="auto"/>
          <w:highlight w:val="none"/>
          <w:u w:val="single"/>
        </w:rPr>
        <w:t>4</w:t>
      </w:r>
      <w:r>
        <w:rPr>
          <w:rFonts w:hint="eastAsia" w:ascii="宋体" w:hAnsi="宋体"/>
          <w:color w:val="auto"/>
          <w:highlight w:val="none"/>
        </w:rPr>
        <w:t>小时提交书面延期要求。</w:t>
      </w:r>
    </w:p>
    <w:p w14:paraId="4ABAF5F5">
      <w:pPr>
        <w:spacing w:line="360" w:lineRule="auto"/>
        <w:ind w:firstLine="420" w:firstLineChars="200"/>
        <w:jc w:val="left"/>
        <w:rPr>
          <w:rFonts w:ascii="宋体" w:hAnsi="宋体"/>
          <w:color w:val="auto"/>
          <w:highlight w:val="none"/>
        </w:rPr>
      </w:pPr>
      <w:r>
        <w:rPr>
          <w:rFonts w:hint="eastAsia" w:ascii="宋体" w:hAnsi="宋体"/>
          <w:color w:val="auto"/>
          <w:highlight w:val="none"/>
        </w:rPr>
        <w:t>关于延期最长不得超过：</w:t>
      </w:r>
      <w:r>
        <w:rPr>
          <w:rFonts w:hint="eastAsia" w:ascii="宋体" w:hAnsi="宋体"/>
          <w:color w:val="auto"/>
          <w:highlight w:val="none"/>
          <w:u w:val="single"/>
        </w:rPr>
        <w:t>48</w:t>
      </w:r>
      <w:r>
        <w:rPr>
          <w:rFonts w:hint="eastAsia" w:ascii="宋体" w:hAnsi="宋体"/>
          <w:color w:val="auto"/>
          <w:highlight w:val="none"/>
        </w:rPr>
        <w:t>小时。</w:t>
      </w:r>
    </w:p>
    <w:p w14:paraId="6FFF9302">
      <w:pPr>
        <w:keepNext/>
        <w:keepLines/>
        <w:spacing w:before="60" w:after="60" w:line="413" w:lineRule="auto"/>
        <w:outlineLvl w:val="1"/>
        <w:rPr>
          <w:rFonts w:ascii="宋体" w:hAnsi="宋体"/>
          <w:b/>
          <w:bCs/>
          <w:color w:val="auto"/>
          <w:highlight w:val="none"/>
          <w:lang w:val="zh-CN"/>
        </w:rPr>
      </w:pPr>
      <w:bookmarkStart w:id="408" w:name="_Toc32195"/>
      <w:bookmarkEnd w:id="408"/>
      <w:r>
        <w:rPr>
          <w:rFonts w:ascii="宋体" w:hAnsi="宋体"/>
          <w:bCs/>
          <w:color w:val="auto"/>
          <w:highlight w:val="none"/>
          <w:lang w:val="zh-CN"/>
        </w:rPr>
        <w:t xml:space="preserve">6. </w:t>
      </w:r>
      <w:r>
        <w:rPr>
          <w:rFonts w:hint="eastAsia" w:ascii="宋体" w:hAnsi="宋体"/>
          <w:b/>
          <w:bCs/>
          <w:color w:val="auto"/>
          <w:highlight w:val="none"/>
          <w:lang w:val="zh-CN"/>
        </w:rPr>
        <w:t>安全文明施工与环境保护</w:t>
      </w:r>
    </w:p>
    <w:p w14:paraId="65A88A72">
      <w:pPr>
        <w:keepNext/>
        <w:keepLines/>
        <w:spacing w:line="360" w:lineRule="auto"/>
        <w:outlineLvl w:val="2"/>
        <w:rPr>
          <w:rFonts w:ascii="宋体" w:hAnsi="宋体"/>
          <w:bCs/>
          <w:color w:val="auto"/>
          <w:highlight w:val="none"/>
          <w:lang w:val="zh-CN"/>
        </w:rPr>
      </w:pPr>
      <w:bookmarkStart w:id="409" w:name="_Toc407135222"/>
      <w:bookmarkEnd w:id="409"/>
      <w:bookmarkStart w:id="410" w:name="_Toc373478367"/>
      <w:bookmarkEnd w:id="410"/>
      <w:bookmarkStart w:id="411" w:name="_Toc373227720"/>
      <w:bookmarkEnd w:id="411"/>
      <w:bookmarkStart w:id="412" w:name="_Toc389065286"/>
      <w:bookmarkEnd w:id="412"/>
      <w:bookmarkStart w:id="413" w:name="_Toc23420"/>
      <w:r>
        <w:rPr>
          <w:rFonts w:ascii="宋体" w:hAnsi="宋体"/>
          <w:bCs/>
          <w:color w:val="auto"/>
          <w:highlight w:val="none"/>
          <w:lang w:val="zh-CN"/>
        </w:rPr>
        <w:t xml:space="preserve">6.1 </w:t>
      </w:r>
      <w:bookmarkEnd w:id="413"/>
      <w:r>
        <w:rPr>
          <w:rFonts w:hint="eastAsia" w:ascii="宋体" w:hAnsi="宋体"/>
          <w:bCs/>
          <w:color w:val="auto"/>
          <w:highlight w:val="none"/>
          <w:lang w:val="zh-CN"/>
        </w:rPr>
        <w:t>安全文明施工</w:t>
      </w:r>
    </w:p>
    <w:p w14:paraId="06C0EC10">
      <w:pPr>
        <w:spacing w:line="360" w:lineRule="auto"/>
        <w:ind w:firstLine="420"/>
        <w:jc w:val="left"/>
        <w:rPr>
          <w:rFonts w:ascii="宋体" w:hAnsi="宋体"/>
          <w:color w:val="auto"/>
          <w:highlight w:val="none"/>
        </w:rPr>
      </w:pPr>
      <w:r>
        <w:rPr>
          <w:rFonts w:ascii="宋体" w:hAnsi="宋体"/>
          <w:color w:val="auto"/>
          <w:highlight w:val="none"/>
        </w:rPr>
        <w:t xml:space="preserve">6.1.1 </w:t>
      </w:r>
      <w:r>
        <w:rPr>
          <w:rFonts w:hint="eastAsia" w:ascii="宋体" w:hAnsi="宋体"/>
          <w:color w:val="auto"/>
          <w:highlight w:val="none"/>
        </w:rPr>
        <w:t>项目安全生产的达标目标及相应事项的约定：</w:t>
      </w:r>
      <w:r>
        <w:rPr>
          <w:rFonts w:hint="eastAsia" w:ascii="宋体" w:hAnsi="宋体"/>
          <w:color w:val="auto"/>
          <w:highlight w:val="none"/>
          <w:u w:val="single"/>
        </w:rPr>
        <w:t>承包人应遵守安全生产法律、法规的规定及国家和工程所在地工程建设安全生产有关管理规定，严格按现行安全标准组织施工，并随时接受发包人、监理人和行业安全检查人员依法实施的监督检查，采取必要的安全防护措施，消除事故隐患。其安全施工防护费用已经含在合同价款内。本工程在整个施工期间杜绝一切人身伤亡和重大质量安全事故。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如经政府相关部门调查发现因承包人过失造成事故的发生，发包人有权解除合同，由此造成的一切经济损失和法律责任由承包人承担 。未尽事宜按《通用合同条款》6.1.1条执行。</w:t>
      </w:r>
    </w:p>
    <w:p w14:paraId="68A8AB75">
      <w:pPr>
        <w:spacing w:line="360" w:lineRule="auto"/>
        <w:ind w:firstLine="420"/>
        <w:jc w:val="left"/>
        <w:rPr>
          <w:rFonts w:ascii="宋体" w:hAnsi="宋体"/>
          <w:color w:val="auto"/>
          <w:highlight w:val="none"/>
        </w:rPr>
      </w:pPr>
      <w:r>
        <w:rPr>
          <w:rFonts w:hint="eastAsia" w:ascii="宋体" w:hAnsi="宋体"/>
          <w:color w:val="auto"/>
          <w:highlight w:val="none"/>
        </w:rPr>
        <w:t xml:space="preserve">关于安全文明施工奖项的约定：  </w:t>
      </w:r>
      <w:r>
        <w:rPr>
          <w:rFonts w:hint="eastAsia" w:ascii="宋体" w:hAnsi="宋体"/>
          <w:b/>
          <w:bCs/>
          <w:color w:val="auto"/>
          <w:highlight w:val="none"/>
          <w:u w:val="single"/>
        </w:rPr>
        <w:t xml:space="preserve"> /  </w:t>
      </w:r>
      <w:r>
        <w:rPr>
          <w:rFonts w:hint="eastAsia" w:ascii="宋体" w:hAnsi="宋体"/>
          <w:color w:val="auto"/>
          <w:highlight w:val="none"/>
        </w:rPr>
        <w:t>。</w:t>
      </w:r>
    </w:p>
    <w:p w14:paraId="6AE8BE4D">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47018992">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承包人应根据本工程的实际安全施工要求，编制施工安全技术措施，并在签订合同协议书之日起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61B4B9A6">
      <w:pPr>
        <w:spacing w:line="360" w:lineRule="auto"/>
        <w:ind w:firstLine="420"/>
        <w:jc w:val="left"/>
        <w:rPr>
          <w:rFonts w:ascii="宋体" w:hAnsi="宋体"/>
          <w:color w:val="auto"/>
          <w:highlight w:val="none"/>
        </w:rPr>
      </w:pPr>
      <w:r>
        <w:rPr>
          <w:rFonts w:hint="eastAsia" w:ascii="宋体" w:hAnsi="宋体"/>
          <w:color w:val="auto"/>
          <w:highlight w:val="none"/>
        </w:rPr>
        <w:t>本项目需要编制专项施工方案的工程包括但不限于以下内容：</w:t>
      </w:r>
    </w:p>
    <w:p w14:paraId="6F14FE92">
      <w:pPr>
        <w:spacing w:line="360" w:lineRule="auto"/>
        <w:ind w:firstLine="420"/>
        <w:jc w:val="left"/>
        <w:rPr>
          <w:rFonts w:ascii="宋体" w:hAnsi="宋体"/>
          <w:color w:val="auto"/>
          <w:highlight w:val="none"/>
        </w:rPr>
      </w:pPr>
      <w:r>
        <w:rPr>
          <w:rFonts w:hint="eastAsia" w:ascii="宋体" w:hAnsi="宋体"/>
          <w:color w:val="auto"/>
          <w:highlight w:val="none"/>
        </w:rPr>
        <w:t>（1）不良地质条件下有潜在危险性的土方、石方开挖(假如有)；</w:t>
      </w:r>
    </w:p>
    <w:p w14:paraId="6FE6C3C0">
      <w:pPr>
        <w:spacing w:line="360" w:lineRule="auto"/>
        <w:ind w:firstLine="420"/>
        <w:jc w:val="left"/>
        <w:rPr>
          <w:rFonts w:ascii="宋体" w:hAnsi="宋体"/>
          <w:color w:val="auto"/>
          <w:highlight w:val="none"/>
        </w:rPr>
      </w:pPr>
      <w:r>
        <w:rPr>
          <w:rFonts w:hint="eastAsia" w:ascii="宋体" w:hAnsi="宋体"/>
          <w:color w:val="auto"/>
          <w:highlight w:val="none"/>
        </w:rPr>
        <w:t>（2）滑坡和高边坡处理(假如有)；</w:t>
      </w:r>
    </w:p>
    <w:p w14:paraId="669CCC4D">
      <w:pPr>
        <w:spacing w:line="360" w:lineRule="auto"/>
        <w:ind w:firstLine="420"/>
        <w:jc w:val="left"/>
        <w:rPr>
          <w:rFonts w:ascii="宋体" w:hAnsi="宋体"/>
          <w:color w:val="auto"/>
          <w:highlight w:val="none"/>
        </w:rPr>
      </w:pPr>
      <w:r>
        <w:rPr>
          <w:rFonts w:hint="eastAsia" w:ascii="宋体" w:hAnsi="宋体"/>
          <w:color w:val="auto"/>
          <w:highlight w:val="none"/>
        </w:rPr>
        <w:t>（3）桩基础、挡墙基础、深水基础及围堰工程(假如有)；</w:t>
      </w:r>
    </w:p>
    <w:p w14:paraId="26F481F4">
      <w:pPr>
        <w:spacing w:line="360" w:lineRule="auto"/>
        <w:ind w:firstLine="420"/>
        <w:jc w:val="left"/>
        <w:rPr>
          <w:rFonts w:ascii="宋体" w:hAnsi="宋体"/>
          <w:color w:val="auto"/>
          <w:highlight w:val="none"/>
        </w:rPr>
      </w:pPr>
      <w:r>
        <w:rPr>
          <w:rFonts w:hint="eastAsia" w:ascii="宋体" w:hAnsi="宋体"/>
          <w:color w:val="auto"/>
          <w:highlight w:val="none"/>
        </w:rPr>
        <w:t>（4）桥梁工程中的梁、拱、柱等构件施工等(假如有)；</w:t>
      </w:r>
    </w:p>
    <w:p w14:paraId="48F54592">
      <w:pPr>
        <w:spacing w:line="360" w:lineRule="auto"/>
        <w:ind w:firstLine="420"/>
        <w:jc w:val="left"/>
        <w:rPr>
          <w:rFonts w:ascii="宋体" w:hAnsi="宋体"/>
          <w:color w:val="auto"/>
          <w:highlight w:val="none"/>
        </w:rPr>
      </w:pPr>
      <w:r>
        <w:rPr>
          <w:rFonts w:hint="eastAsia" w:ascii="宋体" w:hAnsi="宋体"/>
          <w:color w:val="auto"/>
          <w:highlight w:val="none"/>
        </w:rPr>
        <w:t>（5）隧道工程中的不良地质隧道、高瓦斯隧道等(假如有)；</w:t>
      </w:r>
    </w:p>
    <w:p w14:paraId="202C9792">
      <w:pPr>
        <w:spacing w:line="360" w:lineRule="auto"/>
        <w:ind w:firstLine="420"/>
        <w:jc w:val="left"/>
        <w:rPr>
          <w:rFonts w:ascii="宋体" w:hAnsi="宋体"/>
          <w:color w:val="auto"/>
          <w:highlight w:val="none"/>
        </w:rPr>
      </w:pPr>
      <w:r>
        <w:rPr>
          <w:rFonts w:hint="eastAsia" w:ascii="宋体" w:hAnsi="宋体"/>
          <w:color w:val="auto"/>
          <w:highlight w:val="none"/>
        </w:rPr>
        <w:t>（6）水上工程中的打桩船作业、施工船作业、外海孤岛作业、边通航边施工作业等（假如有)；</w:t>
      </w:r>
    </w:p>
    <w:p w14:paraId="7ED9CD56">
      <w:pPr>
        <w:spacing w:line="360" w:lineRule="auto"/>
        <w:ind w:firstLine="420"/>
        <w:jc w:val="left"/>
        <w:rPr>
          <w:rFonts w:ascii="宋体" w:hAnsi="宋体"/>
          <w:color w:val="auto"/>
          <w:highlight w:val="none"/>
        </w:rPr>
      </w:pPr>
      <w:r>
        <w:rPr>
          <w:rFonts w:hint="eastAsia" w:ascii="宋体" w:hAnsi="宋体"/>
          <w:color w:val="auto"/>
          <w:highlight w:val="none"/>
        </w:rPr>
        <w:t>（7）水下工程中的水下焊接、混凝土浇筑、爆破工程等(如果有)；</w:t>
      </w:r>
    </w:p>
    <w:p w14:paraId="4E477434">
      <w:pPr>
        <w:spacing w:line="360" w:lineRule="auto"/>
        <w:ind w:firstLine="420"/>
        <w:jc w:val="left"/>
        <w:rPr>
          <w:rFonts w:ascii="宋体" w:hAnsi="宋体"/>
          <w:color w:val="auto"/>
          <w:highlight w:val="none"/>
        </w:rPr>
      </w:pPr>
      <w:r>
        <w:rPr>
          <w:rFonts w:hint="eastAsia" w:ascii="宋体" w:hAnsi="宋体"/>
          <w:color w:val="auto"/>
          <w:highlight w:val="none"/>
        </w:rPr>
        <w:t>（8）爆破工程(假如有)；</w:t>
      </w:r>
    </w:p>
    <w:p w14:paraId="67BEA36E">
      <w:pPr>
        <w:spacing w:line="360" w:lineRule="auto"/>
        <w:ind w:firstLine="420"/>
        <w:jc w:val="left"/>
        <w:rPr>
          <w:rFonts w:ascii="宋体" w:hAnsi="宋体"/>
          <w:color w:val="auto"/>
          <w:highlight w:val="none"/>
        </w:rPr>
      </w:pPr>
      <w:r>
        <w:rPr>
          <w:rFonts w:hint="eastAsia" w:ascii="宋体" w:hAnsi="宋体"/>
          <w:color w:val="auto"/>
          <w:highlight w:val="none"/>
        </w:rPr>
        <w:t>（9）临时工程中的支架、模板、的架设与拆除；施工场所的加固与拆除</w:t>
      </w:r>
      <w:r>
        <w:rPr>
          <w:rFonts w:ascii="宋体" w:hAnsi="宋体"/>
          <w:color w:val="auto"/>
          <w:highlight w:val="none"/>
        </w:rPr>
        <w:t>工程</w:t>
      </w:r>
      <w:r>
        <w:rPr>
          <w:rFonts w:hint="eastAsia" w:ascii="宋体" w:hAnsi="宋体"/>
          <w:color w:val="auto"/>
          <w:highlight w:val="none"/>
        </w:rPr>
        <w:t>；</w:t>
      </w:r>
    </w:p>
    <w:p w14:paraId="3DEB984D">
      <w:pPr>
        <w:spacing w:line="360" w:lineRule="auto"/>
        <w:ind w:firstLine="420"/>
        <w:jc w:val="left"/>
        <w:rPr>
          <w:rFonts w:ascii="宋体" w:hAnsi="宋体"/>
          <w:strike/>
          <w:color w:val="auto"/>
          <w:highlight w:val="none"/>
        </w:rPr>
      </w:pPr>
      <w:r>
        <w:rPr>
          <w:rFonts w:hint="eastAsia" w:ascii="宋体" w:hAnsi="宋体"/>
          <w:color w:val="auto"/>
          <w:highlight w:val="none"/>
        </w:rPr>
        <w:t>（10）其他危险性较大的工程。</w:t>
      </w:r>
    </w:p>
    <w:p w14:paraId="35E043C3">
      <w:pPr>
        <w:spacing w:line="360" w:lineRule="auto"/>
        <w:ind w:firstLine="420"/>
        <w:jc w:val="left"/>
        <w:rPr>
          <w:rFonts w:ascii="宋体" w:hAnsi="宋体"/>
          <w:color w:val="auto"/>
          <w:highlight w:val="none"/>
        </w:rPr>
      </w:pPr>
      <w:r>
        <w:rPr>
          <w:rFonts w:hint="eastAsia" w:ascii="宋体" w:hAnsi="宋体"/>
          <w:color w:val="auto"/>
          <w:highlight w:val="none"/>
        </w:rPr>
        <w:t>承包人应充分关注和保障所有在现场工作的人员的安全，采取以下有效措施，使现场和本合同工程的实施保持有条不紊，以免使上述人员的安全受到威胁。</w:t>
      </w:r>
    </w:p>
    <w:p w14:paraId="65143E63">
      <w:pPr>
        <w:spacing w:line="360" w:lineRule="auto"/>
        <w:ind w:firstLine="420"/>
        <w:jc w:val="left"/>
        <w:rPr>
          <w:rFonts w:ascii="宋体" w:hAnsi="宋体"/>
          <w:color w:val="auto"/>
          <w:highlight w:val="none"/>
        </w:rPr>
      </w:pPr>
      <w:r>
        <w:rPr>
          <w:rFonts w:hint="eastAsia" w:ascii="宋体" w:hAnsi="宋体"/>
          <w:color w:val="auto"/>
          <w:highlight w:val="none"/>
        </w:rPr>
        <w:t>（1）按规定的最低数量和资质条件配备专职安全生产管理人员；</w:t>
      </w:r>
    </w:p>
    <w:p w14:paraId="4C0BBC8A">
      <w:pPr>
        <w:spacing w:line="360" w:lineRule="auto"/>
        <w:ind w:firstLine="420"/>
        <w:jc w:val="left"/>
        <w:rPr>
          <w:rFonts w:ascii="宋体" w:hAnsi="宋体"/>
          <w:color w:val="auto"/>
          <w:highlight w:val="none"/>
        </w:rPr>
      </w:pPr>
      <w:r>
        <w:rPr>
          <w:rFonts w:hint="eastAsia" w:ascii="宋体" w:hAnsi="宋体"/>
          <w:color w:val="auto"/>
          <w:highlight w:val="none"/>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7CCD8017">
      <w:pPr>
        <w:spacing w:line="360" w:lineRule="auto"/>
        <w:ind w:firstLine="420"/>
        <w:jc w:val="left"/>
        <w:rPr>
          <w:rFonts w:ascii="宋体" w:hAnsi="宋体"/>
          <w:color w:val="auto"/>
          <w:highlight w:val="none"/>
        </w:rPr>
      </w:pPr>
      <w:r>
        <w:rPr>
          <w:rFonts w:hint="eastAsia" w:ascii="宋体" w:hAnsi="宋体"/>
          <w:color w:val="auto"/>
          <w:highlight w:val="none"/>
        </w:rPr>
        <w:t>（3）所有施工机具设备和高空作业设备均应定期检查，并有安全员的签字记录；</w:t>
      </w:r>
    </w:p>
    <w:p w14:paraId="1BE2CB9B">
      <w:pPr>
        <w:spacing w:line="360" w:lineRule="auto"/>
        <w:ind w:firstLine="420"/>
        <w:jc w:val="left"/>
        <w:rPr>
          <w:rFonts w:ascii="宋体" w:hAnsi="宋体"/>
          <w:color w:val="auto"/>
          <w:highlight w:val="none"/>
        </w:rPr>
      </w:pPr>
      <w:r>
        <w:rPr>
          <w:rFonts w:hint="eastAsia" w:ascii="宋体" w:hAnsi="宋体"/>
          <w:color w:val="auto"/>
          <w:highlight w:val="none"/>
        </w:rPr>
        <w:t>（4）根据本合同各单位工程的施工特点，严格执行《房屋建筑和市政基础设施工程施工安全监督规定》建质[2014]153号、《建筑施工安全技术统一规范》GB50870-2013、《市政工程施工安全检查标准》CJJ/T 275-2018等有关规定。</w:t>
      </w:r>
    </w:p>
    <w:p w14:paraId="7881181C">
      <w:pPr>
        <w:spacing w:line="360" w:lineRule="auto"/>
        <w:ind w:firstLine="420"/>
        <w:jc w:val="left"/>
        <w:rPr>
          <w:rFonts w:ascii="宋体" w:hAnsi="宋体"/>
          <w:color w:val="auto"/>
          <w:highlight w:val="none"/>
        </w:rPr>
      </w:pPr>
      <w:r>
        <w:rPr>
          <w:rFonts w:hint="eastAsia" w:ascii="宋体" w:hAnsi="宋体"/>
          <w:color w:val="auto"/>
          <w:highlight w:val="none"/>
        </w:rPr>
        <w:t>为了保护本合同工程免遭损坏，或为了现场附近和过往群众的安全与方便，在确有必要的时候和地方，或当监理人或有关主管部门要求时，承包人应自费提供照明、警卫、护栅、警告标志等安全防护设施。</w:t>
      </w:r>
    </w:p>
    <w:p w14:paraId="40BA6B6F">
      <w:pPr>
        <w:spacing w:line="360" w:lineRule="auto"/>
        <w:ind w:firstLine="420"/>
        <w:jc w:val="left"/>
        <w:rPr>
          <w:rFonts w:ascii="宋体" w:hAnsi="宋体"/>
          <w:color w:val="auto"/>
          <w:highlight w:val="none"/>
        </w:rPr>
      </w:pPr>
      <w:r>
        <w:rPr>
          <w:rFonts w:hint="eastAsia" w:ascii="宋体" w:hAnsi="宋体"/>
          <w:color w:val="auto"/>
          <w:highlight w:val="none"/>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7921DAB">
      <w:pPr>
        <w:spacing w:line="360" w:lineRule="auto"/>
        <w:ind w:firstLine="420"/>
        <w:jc w:val="left"/>
        <w:rPr>
          <w:rFonts w:ascii="宋体" w:hAnsi="宋体"/>
          <w:color w:val="auto"/>
          <w:highlight w:val="none"/>
          <w:u w:val="single"/>
        </w:rPr>
      </w:pPr>
      <w:r>
        <w:rPr>
          <w:rFonts w:ascii="宋体" w:hAnsi="宋体"/>
          <w:color w:val="auto"/>
          <w:highlight w:val="none"/>
        </w:rPr>
        <w:t xml:space="preserve">6.1.4 </w:t>
      </w:r>
      <w:r>
        <w:rPr>
          <w:rFonts w:hint="eastAsia" w:ascii="宋体" w:hAnsi="宋体"/>
          <w:color w:val="auto"/>
          <w:highlight w:val="none"/>
        </w:rPr>
        <w:t>关于治安保卫的特别约定：</w:t>
      </w:r>
      <w:r>
        <w:rPr>
          <w:rFonts w:hint="eastAsia" w:ascii="宋体" w:hAnsi="宋体"/>
          <w:color w:val="auto"/>
          <w:highlight w:val="none"/>
          <w:u w:val="single"/>
        </w:rPr>
        <w:t>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B3C1AFB">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关于编制施工场地治安管理计划的约定：承包人应在工程开工后7天内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3D6075A">
      <w:pPr>
        <w:spacing w:line="360" w:lineRule="auto"/>
        <w:ind w:firstLine="420" w:firstLineChars="200"/>
        <w:jc w:val="left"/>
        <w:rPr>
          <w:rFonts w:ascii="宋体" w:hAnsi="宋体"/>
          <w:color w:val="auto"/>
          <w:highlight w:val="none"/>
        </w:rPr>
      </w:pPr>
      <w:r>
        <w:rPr>
          <w:rFonts w:ascii="宋体" w:hAnsi="宋体"/>
          <w:color w:val="auto"/>
          <w:highlight w:val="none"/>
        </w:rPr>
        <w:t xml:space="preserve">6.1.5 </w:t>
      </w:r>
      <w:r>
        <w:rPr>
          <w:rFonts w:hint="eastAsia" w:ascii="宋体" w:hAnsi="宋体"/>
          <w:color w:val="auto"/>
          <w:highlight w:val="none"/>
        </w:rPr>
        <w:t>文明施工</w:t>
      </w:r>
    </w:p>
    <w:p w14:paraId="6A4A456D">
      <w:pPr>
        <w:spacing w:line="360" w:lineRule="auto"/>
        <w:ind w:firstLine="420" w:firstLineChars="200"/>
        <w:jc w:val="left"/>
        <w:rPr>
          <w:rFonts w:ascii="宋体" w:hAnsi="宋体"/>
          <w:color w:val="auto"/>
          <w:highlight w:val="none"/>
        </w:rPr>
      </w:pPr>
      <w:r>
        <w:rPr>
          <w:rFonts w:hint="eastAsia" w:ascii="宋体" w:hAnsi="宋体"/>
          <w:color w:val="auto"/>
          <w:highlight w:val="none"/>
        </w:rPr>
        <w:t>合同当事人对文明施工的要求：</w:t>
      </w:r>
      <w:r>
        <w:rPr>
          <w:rFonts w:hint="eastAsia" w:ascii="宋体" w:hAnsi="宋体"/>
          <w:color w:val="auto"/>
          <w:highlight w:val="none"/>
          <w:u w:val="single"/>
        </w:rPr>
        <w:t>符合法律规定和工程所在地建设行政主管部门的要求</w:t>
      </w:r>
      <w:r>
        <w:rPr>
          <w:rFonts w:hint="eastAsia" w:ascii="宋体" w:hAnsi="宋体"/>
          <w:color w:val="auto"/>
          <w:highlight w:val="none"/>
        </w:rPr>
        <w:t>。</w:t>
      </w:r>
    </w:p>
    <w:p w14:paraId="0390368D">
      <w:pPr>
        <w:spacing w:line="360" w:lineRule="auto"/>
        <w:ind w:firstLine="420" w:firstLineChars="200"/>
        <w:jc w:val="left"/>
        <w:rPr>
          <w:rFonts w:ascii="宋体" w:hAnsi="宋体"/>
          <w:color w:val="auto"/>
          <w:highlight w:val="none"/>
        </w:rPr>
      </w:pPr>
      <w:r>
        <w:rPr>
          <w:rFonts w:ascii="宋体" w:hAnsi="宋体"/>
          <w:color w:val="auto"/>
          <w:highlight w:val="none"/>
        </w:rPr>
        <w:t>6.1.6</w:t>
      </w:r>
      <w:r>
        <w:rPr>
          <w:rFonts w:hint="eastAsia" w:ascii="宋体" w:hAnsi="宋体" w:cs="宋体"/>
          <w:color w:val="auto"/>
          <w:kern w:val="0"/>
          <w:highlight w:val="none"/>
        </w:rPr>
        <w:t>关于安全</w:t>
      </w:r>
      <w:r>
        <w:rPr>
          <w:rFonts w:hint="eastAsia" w:ascii="宋体" w:hAnsi="宋体"/>
          <w:color w:val="auto"/>
          <w:kern w:val="0"/>
          <w:highlight w:val="none"/>
        </w:rPr>
        <w:t>生产</w:t>
      </w:r>
      <w:r>
        <w:rPr>
          <w:rFonts w:hint="eastAsia" w:ascii="宋体" w:hAnsi="宋体" w:cs="宋体"/>
          <w:color w:val="auto"/>
          <w:kern w:val="0"/>
          <w:highlight w:val="none"/>
        </w:rPr>
        <w:t>费</w:t>
      </w:r>
      <w:r>
        <w:rPr>
          <w:rFonts w:hint="eastAsia" w:ascii="宋体" w:hAnsi="宋体"/>
          <w:color w:val="auto"/>
          <w:kern w:val="0"/>
          <w:highlight w:val="none"/>
        </w:rPr>
        <w:t>总额、</w:t>
      </w:r>
      <w:r>
        <w:rPr>
          <w:rFonts w:hint="eastAsia" w:ascii="宋体" w:hAnsi="宋体" w:cs="宋体"/>
          <w:color w:val="auto"/>
          <w:kern w:val="0"/>
          <w:highlight w:val="none"/>
        </w:rPr>
        <w:t>支付比例</w:t>
      </w:r>
      <w:r>
        <w:rPr>
          <w:rFonts w:hint="eastAsia" w:ascii="宋体" w:hAnsi="宋体"/>
          <w:color w:val="auto"/>
          <w:kern w:val="0"/>
          <w:highlight w:val="none"/>
        </w:rPr>
        <w:t>、</w:t>
      </w:r>
      <w:r>
        <w:rPr>
          <w:rFonts w:hint="eastAsia" w:ascii="宋体" w:hAnsi="宋体" w:cs="宋体"/>
          <w:color w:val="auto"/>
          <w:kern w:val="0"/>
          <w:highlight w:val="none"/>
        </w:rPr>
        <w:t>支付期限</w:t>
      </w:r>
      <w:r>
        <w:rPr>
          <w:rFonts w:hint="eastAsia" w:ascii="宋体" w:hAnsi="宋体"/>
          <w:color w:val="auto"/>
          <w:kern w:val="0"/>
          <w:highlight w:val="none"/>
        </w:rPr>
        <w:t>、转入和结余收回</w:t>
      </w:r>
      <w:r>
        <w:rPr>
          <w:rFonts w:hint="eastAsia" w:ascii="宋体" w:hAnsi="宋体" w:cs="宋体"/>
          <w:color w:val="auto"/>
          <w:kern w:val="0"/>
          <w:highlight w:val="none"/>
        </w:rPr>
        <w:t>的约定：</w:t>
      </w:r>
    </w:p>
    <w:p w14:paraId="637D4832">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）本合同价款已包含安全文明施工费。</w:t>
      </w:r>
    </w:p>
    <w:p w14:paraId="0A27F36B">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）使用要求：专款专用。具体按</w:t>
      </w:r>
      <w:r>
        <w:rPr>
          <w:rFonts w:hint="eastAsia" w:ascii="宋体" w:hAnsi="宋体"/>
          <w:color w:val="auto"/>
          <w:kern w:val="0"/>
          <w:highlight w:val="none"/>
          <w:u w:val="single"/>
        </w:rPr>
        <w:t>《广西壮族自治区建设工程安全文明施工费使用管理细则》（桂建质〔</w:t>
      </w:r>
      <w:r>
        <w:rPr>
          <w:rFonts w:ascii="宋体" w:hAnsi="宋体"/>
          <w:color w:val="auto"/>
          <w:kern w:val="0"/>
          <w:highlight w:val="none"/>
          <w:u w:val="single"/>
        </w:rPr>
        <w:t>2015</w:t>
      </w:r>
      <w:r>
        <w:rPr>
          <w:rFonts w:hint="eastAsia" w:ascii="宋体" w:hAnsi="宋体"/>
          <w:color w:val="auto"/>
          <w:kern w:val="0"/>
          <w:highlight w:val="none"/>
          <w:u w:val="single"/>
        </w:rPr>
        <w:t>〕</w:t>
      </w:r>
      <w:r>
        <w:rPr>
          <w:rFonts w:ascii="宋体" w:hAnsi="宋体"/>
          <w:color w:val="auto"/>
          <w:kern w:val="0"/>
          <w:highlight w:val="none"/>
          <w:u w:val="single"/>
        </w:rPr>
        <w:t>16</w:t>
      </w:r>
      <w:r>
        <w:rPr>
          <w:rFonts w:hint="eastAsia" w:ascii="宋体" w:hAnsi="宋体"/>
          <w:color w:val="auto"/>
          <w:kern w:val="0"/>
          <w:highlight w:val="none"/>
          <w:u w:val="single"/>
        </w:rPr>
        <w:t>号）</w:t>
      </w:r>
      <w:r>
        <w:rPr>
          <w:rFonts w:hint="eastAsia" w:ascii="宋体" w:hAnsi="宋体"/>
          <w:color w:val="auto"/>
          <w:kern w:val="0"/>
          <w:highlight w:val="none"/>
        </w:rPr>
        <w:t>和</w:t>
      </w:r>
      <w:r>
        <w:rPr>
          <w:rFonts w:hint="eastAsia" w:ascii="宋体" w:hAnsi="宋体"/>
          <w:color w:val="auto"/>
          <w:kern w:val="0"/>
          <w:highlight w:val="none"/>
          <w:u w:val="single"/>
        </w:rPr>
        <w:t>贵港市相关规定执行</w:t>
      </w:r>
      <w:r>
        <w:rPr>
          <w:rFonts w:hint="eastAsia" w:ascii="宋体" w:hAnsi="宋体"/>
          <w:color w:val="auto"/>
          <w:kern w:val="0"/>
          <w:highlight w:val="none"/>
        </w:rPr>
        <w:t>。</w:t>
      </w:r>
    </w:p>
    <w:p w14:paraId="2971FB5D">
      <w:pPr>
        <w:autoSpaceDE w:val="0"/>
        <w:autoSpaceDN w:val="0"/>
        <w:adjustRightInd w:val="0"/>
        <w:spacing w:line="360" w:lineRule="auto"/>
        <w:ind w:firstLine="420" w:firstLineChars="200"/>
        <w:jc w:val="left"/>
        <w:rPr>
          <w:rFonts w:ascii="宋体" w:hAnsi="宋体" w:cs="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）支付约定：发</w:t>
      </w:r>
      <w:r>
        <w:rPr>
          <w:rFonts w:hint="eastAsia" w:ascii="宋体" w:hAnsi="宋体"/>
          <w:color w:val="auto"/>
          <w:highlight w:val="none"/>
        </w:rPr>
        <w:t>包人的</w:t>
      </w:r>
      <w:r>
        <w:rPr>
          <w:rFonts w:hint="eastAsia" w:ascii="宋体" w:hAnsi="宋体"/>
          <w:color w:val="auto"/>
          <w:kern w:val="0"/>
          <w:highlight w:val="none"/>
        </w:rPr>
        <w:t>工程</w:t>
      </w:r>
      <w:r>
        <w:rPr>
          <w:rFonts w:hint="eastAsia" w:ascii="宋体" w:hAnsi="宋体"/>
          <w:color w:val="auto"/>
          <w:highlight w:val="none"/>
        </w:rPr>
        <w:t>预付款已含</w:t>
      </w:r>
      <w:r>
        <w:rPr>
          <w:rFonts w:hint="eastAsia" w:ascii="宋体" w:hAnsi="宋体"/>
          <w:color w:val="auto"/>
          <w:kern w:val="0"/>
          <w:highlight w:val="none"/>
        </w:rPr>
        <w:t>预付安全文明施工费。</w:t>
      </w:r>
    </w:p>
    <w:p w14:paraId="7CE471F9">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4</w:t>
      </w:r>
      <w:r>
        <w:rPr>
          <w:rFonts w:hint="eastAsia" w:ascii="宋体" w:hAnsi="宋体"/>
          <w:color w:val="auto"/>
          <w:kern w:val="0"/>
          <w:highlight w:val="none"/>
        </w:rPr>
        <w:t>）施工单位将安全生产费用使用情况定期报告建设单位和监理单位，并提供相应的材料接受建设行政主管部门对此事项监管。</w:t>
      </w:r>
    </w:p>
    <w:p w14:paraId="66736E06">
      <w:pPr>
        <w:keepNext/>
        <w:keepLines/>
        <w:spacing w:line="360" w:lineRule="auto"/>
        <w:outlineLvl w:val="2"/>
        <w:rPr>
          <w:rFonts w:ascii="宋体" w:hAnsi="宋体"/>
          <w:b/>
          <w:bCs/>
          <w:color w:val="auto"/>
          <w:highlight w:val="none"/>
          <w:lang w:val="zh-CN"/>
        </w:rPr>
      </w:pPr>
      <w:bookmarkStart w:id="414" w:name="_Toc373478368"/>
      <w:r>
        <w:rPr>
          <w:rFonts w:ascii="宋体" w:hAnsi="宋体"/>
          <w:b/>
          <w:bCs/>
          <w:color w:val="auto"/>
          <w:highlight w:val="none"/>
          <w:lang w:val="zh-CN"/>
        </w:rPr>
        <w:t xml:space="preserve">6.3 </w:t>
      </w:r>
      <w:bookmarkEnd w:id="414"/>
      <w:r>
        <w:rPr>
          <w:rFonts w:hint="eastAsia" w:ascii="宋体" w:hAnsi="宋体"/>
          <w:b/>
          <w:bCs/>
          <w:color w:val="auto"/>
          <w:highlight w:val="none"/>
          <w:lang w:val="zh-CN"/>
        </w:rPr>
        <w:t>环境保护</w:t>
      </w:r>
    </w:p>
    <w:p w14:paraId="4DA2248E">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u w:val="single"/>
        </w:rPr>
        <w:t>因施工需要，经发包人批准，由承包人办理有关施工场地交通、环卫和施工噪音管理等手续，费用由承包人负责。</w:t>
      </w:r>
    </w:p>
    <w:p w14:paraId="1DAE13C2">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u w:val="single"/>
        </w:rPr>
        <w:t>经过城市道路的施工车辆，必须按交警、城管、运输等部门相关规定执行。由于施工车辆造成的道路、环境等污染，其责任和费用均由承包人承担。</w:t>
      </w:r>
    </w:p>
    <w:p w14:paraId="3B3C8E7A">
      <w:pPr>
        <w:keepNext/>
        <w:keepLines/>
        <w:spacing w:before="60" w:after="60" w:line="413" w:lineRule="auto"/>
        <w:outlineLvl w:val="1"/>
        <w:rPr>
          <w:rFonts w:ascii="宋体" w:hAnsi="宋体"/>
          <w:b/>
          <w:bCs/>
          <w:color w:val="auto"/>
          <w:highlight w:val="none"/>
          <w:lang w:val="zh-CN"/>
        </w:rPr>
      </w:pPr>
      <w:bookmarkStart w:id="415" w:name="_Toc407135224"/>
      <w:bookmarkEnd w:id="415"/>
      <w:bookmarkStart w:id="416" w:name="_Toc389065288"/>
      <w:bookmarkEnd w:id="416"/>
      <w:bookmarkStart w:id="417" w:name="_Toc8764"/>
      <w:bookmarkEnd w:id="417"/>
      <w:bookmarkStart w:id="418" w:name="_Toc351203639"/>
      <w:bookmarkEnd w:id="418"/>
      <w:bookmarkStart w:id="419" w:name="_Toc373227722"/>
      <w:bookmarkEnd w:id="419"/>
      <w:bookmarkStart w:id="420" w:name="_Toc373478369"/>
      <w:bookmarkEnd w:id="420"/>
      <w:r>
        <w:rPr>
          <w:rFonts w:ascii="宋体" w:hAnsi="宋体"/>
          <w:b/>
          <w:bCs/>
          <w:color w:val="auto"/>
          <w:highlight w:val="none"/>
          <w:lang w:val="zh-CN"/>
        </w:rPr>
        <w:t xml:space="preserve">7. </w:t>
      </w:r>
      <w:r>
        <w:rPr>
          <w:rFonts w:hint="eastAsia" w:ascii="宋体" w:hAnsi="宋体"/>
          <w:b/>
          <w:bCs/>
          <w:color w:val="auto"/>
          <w:highlight w:val="none"/>
          <w:lang w:val="zh-CN"/>
        </w:rPr>
        <w:t>工期和进度</w:t>
      </w:r>
    </w:p>
    <w:p w14:paraId="11B319E2">
      <w:pPr>
        <w:keepNext/>
        <w:keepLines/>
        <w:spacing w:line="360" w:lineRule="auto"/>
        <w:outlineLvl w:val="2"/>
        <w:rPr>
          <w:rFonts w:ascii="宋体" w:hAnsi="宋体"/>
          <w:b/>
          <w:bCs/>
          <w:color w:val="auto"/>
          <w:highlight w:val="none"/>
          <w:lang w:val="zh-CN"/>
        </w:rPr>
      </w:pPr>
      <w:bookmarkStart w:id="421" w:name="_Toc373227723"/>
      <w:bookmarkEnd w:id="421"/>
      <w:bookmarkStart w:id="422" w:name="_Toc407135225"/>
      <w:bookmarkEnd w:id="422"/>
      <w:bookmarkStart w:id="423" w:name="_Toc15619"/>
      <w:bookmarkEnd w:id="423"/>
      <w:bookmarkStart w:id="424" w:name="_Toc373478370"/>
      <w:bookmarkEnd w:id="424"/>
      <w:bookmarkStart w:id="425" w:name="_Toc389065289"/>
      <w:r>
        <w:rPr>
          <w:rFonts w:ascii="宋体" w:hAnsi="宋体"/>
          <w:b/>
          <w:bCs/>
          <w:color w:val="auto"/>
          <w:highlight w:val="none"/>
          <w:lang w:val="zh-CN"/>
        </w:rPr>
        <w:t xml:space="preserve">7.1 </w:t>
      </w:r>
      <w:bookmarkEnd w:id="425"/>
      <w:r>
        <w:rPr>
          <w:rFonts w:hint="eastAsia" w:ascii="宋体" w:hAnsi="宋体"/>
          <w:b/>
          <w:bCs/>
          <w:color w:val="auto"/>
          <w:highlight w:val="none"/>
          <w:lang w:val="zh-CN"/>
        </w:rPr>
        <w:t>施工组织设计</w:t>
      </w:r>
    </w:p>
    <w:p w14:paraId="3A14C847">
      <w:pPr>
        <w:autoSpaceDE w:val="0"/>
        <w:autoSpaceDN w:val="0"/>
        <w:adjustRightInd w:val="0"/>
        <w:spacing w:line="360" w:lineRule="auto"/>
        <w:ind w:firstLine="420" w:firstLineChars="200"/>
        <w:jc w:val="left"/>
        <w:rPr>
          <w:rFonts w:ascii="宋体" w:hAnsi="宋体"/>
          <w:color w:val="auto"/>
          <w:highlight w:val="none"/>
          <w:u w:val="single"/>
        </w:rPr>
      </w:pPr>
      <w:r>
        <w:rPr>
          <w:rFonts w:ascii="宋体" w:hAnsi="宋体"/>
          <w:color w:val="auto"/>
          <w:highlight w:val="none"/>
        </w:rPr>
        <w:t xml:space="preserve">7.1.1 </w:t>
      </w:r>
      <w:r>
        <w:rPr>
          <w:rFonts w:hint="eastAsia" w:ascii="宋体" w:hAnsi="宋体"/>
          <w:color w:val="auto"/>
          <w:highlight w:val="none"/>
        </w:rPr>
        <w:t>合</w:t>
      </w:r>
      <w:r>
        <w:rPr>
          <w:rFonts w:hint="eastAsia" w:ascii="宋体" w:hAnsi="宋体"/>
          <w:color w:val="auto"/>
          <w:kern w:val="0"/>
          <w:highlight w:val="none"/>
        </w:rPr>
        <w:t>同当事人约定的施工组织设计应包括的其他内容：</w:t>
      </w:r>
      <w:r>
        <w:rPr>
          <w:rFonts w:hint="eastAsia" w:ascii="宋体" w:hAnsi="宋体"/>
          <w:color w:val="auto"/>
          <w:highlight w:val="none"/>
          <w:u w:val="single"/>
        </w:rPr>
        <w:t>按《通用合同条款》</w:t>
      </w:r>
      <w:r>
        <w:rPr>
          <w:rFonts w:ascii="宋体" w:hAnsi="宋体"/>
          <w:color w:val="auto"/>
          <w:highlight w:val="none"/>
          <w:u w:val="single"/>
        </w:rPr>
        <w:t>7.1.1</w:t>
      </w:r>
      <w:r>
        <w:rPr>
          <w:rFonts w:hint="eastAsia" w:ascii="宋体" w:hAnsi="宋体"/>
          <w:color w:val="auto"/>
          <w:highlight w:val="none"/>
          <w:u w:val="single"/>
        </w:rPr>
        <w:t>条执行</w:t>
      </w:r>
      <w:r>
        <w:rPr>
          <w:rFonts w:hint="eastAsia" w:ascii="宋体" w:hAnsi="宋体"/>
          <w:color w:val="auto"/>
          <w:highlight w:val="none"/>
        </w:rPr>
        <w:t>。</w:t>
      </w:r>
    </w:p>
    <w:p w14:paraId="27A3FE4A">
      <w:pPr>
        <w:autoSpaceDE w:val="0"/>
        <w:autoSpaceDN w:val="0"/>
        <w:adjustRightInd w:val="0"/>
        <w:spacing w:line="360" w:lineRule="auto"/>
        <w:ind w:firstLine="420" w:firstLineChars="200"/>
        <w:jc w:val="left"/>
        <w:rPr>
          <w:rFonts w:ascii="宋体" w:hAnsi="宋体"/>
          <w:color w:val="auto"/>
          <w:kern w:val="0"/>
          <w:highlight w:val="none"/>
        </w:rPr>
      </w:pPr>
      <w:r>
        <w:rPr>
          <w:rFonts w:ascii="宋体" w:hAnsi="宋体"/>
          <w:color w:val="auto"/>
          <w:highlight w:val="none"/>
        </w:rPr>
        <w:t xml:space="preserve">7.1.2 </w:t>
      </w:r>
      <w:r>
        <w:rPr>
          <w:rFonts w:hint="eastAsia" w:ascii="宋体" w:hAnsi="宋体"/>
          <w:color w:val="auto"/>
          <w:kern w:val="0"/>
          <w:highlight w:val="none"/>
        </w:rPr>
        <w:t>施工组织设计的提交和修改</w:t>
      </w:r>
    </w:p>
    <w:p w14:paraId="7DC877BA">
      <w:pPr>
        <w:autoSpaceDE w:val="0"/>
        <w:autoSpaceDN w:val="0"/>
        <w:adjustRightInd w:val="0"/>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承包人提交详细施工组织设计的期限的约定：</w:t>
      </w:r>
      <w:r>
        <w:rPr>
          <w:rFonts w:hint="eastAsia" w:ascii="宋体" w:hAnsi="宋体"/>
          <w:color w:val="auto"/>
          <w:kern w:val="0"/>
          <w:highlight w:val="none"/>
          <w:u w:val="single"/>
        </w:rPr>
        <w:t>承包人应在合同签订后</w:t>
      </w:r>
      <w:r>
        <w:rPr>
          <w:rFonts w:ascii="宋体" w:hAnsi="宋体"/>
          <w:color w:val="auto"/>
          <w:kern w:val="0"/>
          <w:highlight w:val="none"/>
          <w:u w:val="single"/>
        </w:rPr>
        <w:t>7</w:t>
      </w:r>
      <w:r>
        <w:rPr>
          <w:rFonts w:hint="eastAsia" w:ascii="宋体" w:hAnsi="宋体"/>
          <w:color w:val="auto"/>
          <w:kern w:val="0"/>
          <w:highlight w:val="none"/>
          <w:u w:val="single"/>
        </w:rPr>
        <w:t>天内</w:t>
      </w:r>
      <w:r>
        <w:rPr>
          <w:rFonts w:hint="eastAsia" w:ascii="宋体" w:hAnsi="宋体"/>
          <w:color w:val="auto"/>
          <w:highlight w:val="none"/>
        </w:rPr>
        <w:t>。</w:t>
      </w:r>
    </w:p>
    <w:p w14:paraId="10E489F7">
      <w:pPr>
        <w:spacing w:line="360" w:lineRule="auto"/>
        <w:ind w:firstLine="420" w:firstLineChars="200"/>
        <w:jc w:val="left"/>
        <w:rPr>
          <w:rFonts w:ascii="宋体" w:hAnsi="宋体"/>
          <w:color w:val="auto"/>
          <w:highlight w:val="none"/>
        </w:rPr>
      </w:pPr>
      <w:r>
        <w:rPr>
          <w:rFonts w:hint="eastAsia" w:ascii="宋体" w:hAnsi="宋体"/>
          <w:color w:val="auto"/>
          <w:highlight w:val="none"/>
        </w:rPr>
        <w:t>发包人和监理人在收到详细的施工组织设计后确认或提出修改意见的期限：</w:t>
      </w:r>
      <w:r>
        <w:rPr>
          <w:rFonts w:hint="eastAsia" w:ascii="宋体" w:hAnsi="宋体"/>
          <w:color w:val="auto"/>
          <w:kern w:val="0"/>
          <w:highlight w:val="none"/>
          <w:u w:val="single"/>
        </w:rPr>
        <w:t>收到施工组织设计后</w:t>
      </w:r>
      <w:r>
        <w:rPr>
          <w:rFonts w:ascii="宋体" w:hAnsi="宋体"/>
          <w:color w:val="auto"/>
          <w:kern w:val="0"/>
          <w:highlight w:val="none"/>
          <w:u w:val="single"/>
        </w:rPr>
        <w:t>7</w:t>
      </w:r>
      <w:r>
        <w:rPr>
          <w:rFonts w:hint="eastAsia" w:ascii="宋体" w:hAnsi="宋体"/>
          <w:color w:val="auto"/>
          <w:kern w:val="0"/>
          <w:highlight w:val="none"/>
          <w:u w:val="single"/>
        </w:rPr>
        <w:t>天内确认或提出修改意见</w:t>
      </w:r>
      <w:r>
        <w:rPr>
          <w:rFonts w:hint="eastAsia" w:ascii="宋体" w:hAnsi="宋体"/>
          <w:color w:val="auto"/>
          <w:highlight w:val="none"/>
        </w:rPr>
        <w:t>。</w:t>
      </w:r>
    </w:p>
    <w:p w14:paraId="4561A643">
      <w:pPr>
        <w:keepNext/>
        <w:keepLines/>
        <w:spacing w:line="360" w:lineRule="auto"/>
        <w:outlineLvl w:val="2"/>
        <w:rPr>
          <w:rFonts w:ascii="宋体" w:hAnsi="宋体"/>
          <w:b/>
          <w:bCs/>
          <w:color w:val="auto"/>
          <w:highlight w:val="none"/>
          <w:lang w:val="zh-CN"/>
        </w:rPr>
      </w:pPr>
      <w:bookmarkStart w:id="426" w:name="_Toc373227724"/>
      <w:bookmarkEnd w:id="426"/>
      <w:bookmarkStart w:id="427" w:name="_Toc407135226"/>
      <w:bookmarkEnd w:id="427"/>
      <w:bookmarkStart w:id="428" w:name="_Toc373478371"/>
      <w:bookmarkEnd w:id="428"/>
      <w:bookmarkStart w:id="429" w:name="_Toc5581"/>
      <w:bookmarkEnd w:id="429"/>
      <w:bookmarkStart w:id="430" w:name="_Toc389065290"/>
      <w:r>
        <w:rPr>
          <w:rFonts w:ascii="宋体" w:hAnsi="宋体"/>
          <w:b/>
          <w:bCs/>
          <w:color w:val="auto"/>
          <w:highlight w:val="none"/>
          <w:lang w:val="zh-CN"/>
        </w:rPr>
        <w:t>7</w:t>
      </w:r>
      <w:bookmarkEnd w:id="430"/>
      <w:bookmarkStart w:id="431" w:name="_Toc300934966"/>
      <w:bookmarkEnd w:id="431"/>
      <w:bookmarkStart w:id="432" w:name="_Toc303539123"/>
      <w:bookmarkEnd w:id="432"/>
      <w:bookmarkStart w:id="433" w:name="_Toc312677479"/>
      <w:bookmarkEnd w:id="433"/>
      <w:bookmarkStart w:id="434" w:name="_Toc297123514"/>
      <w:bookmarkEnd w:id="434"/>
      <w:bookmarkStart w:id="435" w:name="_Toc297216173"/>
      <w:bookmarkEnd w:id="435"/>
      <w:bookmarkStart w:id="436" w:name="_Toc304295541"/>
      <w:bookmarkEnd w:id="436"/>
      <w:bookmarkStart w:id="437" w:name="_Toc312678005"/>
      <w:r>
        <w:rPr>
          <w:rFonts w:ascii="宋体" w:hAnsi="宋体"/>
          <w:b/>
          <w:bCs/>
          <w:color w:val="auto"/>
          <w:highlight w:val="none"/>
          <w:lang w:val="zh-CN"/>
        </w:rPr>
        <w:t xml:space="preserve">.2 </w:t>
      </w:r>
      <w:bookmarkEnd w:id="437"/>
      <w:r>
        <w:rPr>
          <w:rFonts w:hint="eastAsia" w:ascii="宋体" w:hAnsi="宋体"/>
          <w:b/>
          <w:bCs/>
          <w:color w:val="auto"/>
          <w:highlight w:val="none"/>
          <w:lang w:val="zh-CN"/>
        </w:rPr>
        <w:t>施工进度计划</w:t>
      </w:r>
    </w:p>
    <w:p w14:paraId="65B5BDFA">
      <w:pPr>
        <w:spacing w:line="360" w:lineRule="auto"/>
        <w:ind w:firstLine="420" w:firstLineChars="200"/>
        <w:jc w:val="left"/>
        <w:rPr>
          <w:rFonts w:ascii="宋体" w:hAnsi="宋体"/>
          <w:color w:val="auto"/>
          <w:highlight w:val="none"/>
        </w:rPr>
      </w:pPr>
      <w:r>
        <w:rPr>
          <w:rFonts w:ascii="宋体" w:hAnsi="宋体"/>
          <w:color w:val="auto"/>
          <w:highlight w:val="none"/>
        </w:rPr>
        <w:t xml:space="preserve">7.2.2 </w:t>
      </w:r>
      <w:r>
        <w:rPr>
          <w:rFonts w:hint="eastAsia" w:ascii="宋体" w:hAnsi="宋体"/>
          <w:color w:val="auto"/>
          <w:highlight w:val="none"/>
        </w:rPr>
        <w:t>施工进度计划的修订</w:t>
      </w:r>
    </w:p>
    <w:p w14:paraId="6E7831B6">
      <w:pPr>
        <w:spacing w:line="360" w:lineRule="auto"/>
        <w:ind w:firstLine="420" w:firstLineChars="200"/>
        <w:jc w:val="left"/>
        <w:rPr>
          <w:rFonts w:ascii="宋体" w:hAnsi="宋体"/>
          <w:color w:val="auto"/>
          <w:highlight w:val="none"/>
        </w:rPr>
      </w:pPr>
      <w:r>
        <w:rPr>
          <w:rFonts w:hint="eastAsia" w:ascii="宋体" w:hAnsi="宋体"/>
          <w:color w:val="auto"/>
          <w:highlight w:val="none"/>
        </w:rPr>
        <w:t>发包人和监理人在收到修订的施工进度计划后确认或提出修改意见的期限：</w:t>
      </w:r>
      <w:r>
        <w:rPr>
          <w:rFonts w:hint="eastAsia" w:ascii="宋体" w:hAnsi="宋体"/>
          <w:color w:val="auto"/>
          <w:highlight w:val="none"/>
          <w:u w:val="single"/>
        </w:rPr>
        <w:t>收到修订的施工进度计划后</w:t>
      </w:r>
      <w:r>
        <w:rPr>
          <w:rFonts w:ascii="宋体" w:hAnsi="宋体"/>
          <w:color w:val="auto"/>
          <w:highlight w:val="none"/>
          <w:u w:val="single"/>
        </w:rPr>
        <w:t>7</w:t>
      </w:r>
      <w:r>
        <w:rPr>
          <w:rFonts w:hint="eastAsia" w:ascii="宋体" w:hAnsi="宋体"/>
          <w:color w:val="auto"/>
          <w:highlight w:val="none"/>
          <w:u w:val="single"/>
        </w:rPr>
        <w:t>天内确认或提出修改意见</w:t>
      </w:r>
      <w:r>
        <w:rPr>
          <w:rFonts w:hint="eastAsia" w:ascii="宋体" w:hAnsi="宋体"/>
          <w:color w:val="auto"/>
          <w:highlight w:val="none"/>
        </w:rPr>
        <w:t>。</w:t>
      </w:r>
    </w:p>
    <w:p w14:paraId="6AEAC1D0">
      <w:pPr>
        <w:keepNext/>
        <w:keepLines/>
        <w:spacing w:line="360" w:lineRule="auto"/>
        <w:outlineLvl w:val="2"/>
        <w:rPr>
          <w:rFonts w:ascii="宋体" w:hAnsi="宋体"/>
          <w:b/>
          <w:bCs/>
          <w:color w:val="auto"/>
          <w:highlight w:val="none"/>
          <w:lang w:val="zh-CN"/>
        </w:rPr>
      </w:pPr>
      <w:bookmarkStart w:id="438" w:name="_Toc22144"/>
      <w:bookmarkEnd w:id="438"/>
      <w:bookmarkStart w:id="439" w:name="_Toc373478372"/>
      <w:bookmarkEnd w:id="439"/>
      <w:bookmarkStart w:id="440" w:name="_Toc373227725"/>
      <w:bookmarkEnd w:id="440"/>
      <w:bookmarkStart w:id="441" w:name="_Toc389065291"/>
      <w:bookmarkEnd w:id="441"/>
      <w:bookmarkStart w:id="442" w:name="_Toc407135227"/>
      <w:r>
        <w:rPr>
          <w:rFonts w:ascii="宋体" w:hAnsi="宋体"/>
          <w:b/>
          <w:bCs/>
          <w:color w:val="auto"/>
          <w:highlight w:val="none"/>
          <w:lang w:val="zh-CN"/>
        </w:rPr>
        <w:t xml:space="preserve">7.3 </w:t>
      </w:r>
      <w:bookmarkEnd w:id="442"/>
      <w:r>
        <w:rPr>
          <w:rFonts w:hint="eastAsia" w:ascii="宋体" w:hAnsi="宋体"/>
          <w:b/>
          <w:bCs/>
          <w:color w:val="auto"/>
          <w:highlight w:val="none"/>
          <w:lang w:val="zh-CN"/>
        </w:rPr>
        <w:t>开工</w:t>
      </w:r>
    </w:p>
    <w:p w14:paraId="4842BD60">
      <w:pPr>
        <w:spacing w:line="360" w:lineRule="auto"/>
        <w:ind w:firstLine="420" w:firstLineChars="200"/>
        <w:jc w:val="left"/>
        <w:rPr>
          <w:rFonts w:ascii="宋体" w:hAnsi="宋体"/>
          <w:color w:val="auto"/>
          <w:highlight w:val="none"/>
        </w:rPr>
      </w:pPr>
      <w:r>
        <w:rPr>
          <w:rFonts w:ascii="宋体" w:hAnsi="宋体"/>
          <w:color w:val="auto"/>
          <w:highlight w:val="none"/>
        </w:rPr>
        <w:t xml:space="preserve">7.3.1 </w:t>
      </w:r>
      <w:r>
        <w:rPr>
          <w:rFonts w:hint="eastAsia" w:ascii="宋体" w:hAnsi="宋体"/>
          <w:color w:val="auto"/>
          <w:highlight w:val="none"/>
        </w:rPr>
        <w:t>开工准备</w:t>
      </w:r>
    </w:p>
    <w:p w14:paraId="539CD5C5">
      <w:pPr>
        <w:spacing w:line="360" w:lineRule="auto"/>
        <w:ind w:firstLine="426"/>
        <w:jc w:val="left"/>
        <w:rPr>
          <w:rFonts w:ascii="宋体" w:hAnsi="宋体"/>
          <w:color w:val="auto"/>
          <w:highlight w:val="none"/>
          <w:u w:val="single"/>
        </w:rPr>
      </w:pPr>
      <w:r>
        <w:rPr>
          <w:rFonts w:hint="eastAsia" w:ascii="宋体" w:hAnsi="宋体"/>
          <w:color w:val="auto"/>
          <w:highlight w:val="none"/>
        </w:rPr>
        <w:t>关于承包人提交</w:t>
      </w:r>
      <w:r>
        <w:rPr>
          <w:rFonts w:hint="eastAsia" w:ascii="宋体" w:hAnsi="宋体"/>
          <w:color w:val="auto"/>
          <w:kern w:val="0"/>
          <w:highlight w:val="none"/>
        </w:rPr>
        <w:t>工程开工报审表的期限：</w:t>
      </w:r>
      <w:r>
        <w:rPr>
          <w:rFonts w:hint="eastAsia" w:ascii="宋体" w:hAnsi="宋体"/>
          <w:color w:val="auto"/>
          <w:highlight w:val="none"/>
          <w:u w:val="single"/>
        </w:rPr>
        <w:t>开工日期前</w:t>
      </w:r>
      <w:r>
        <w:rPr>
          <w:rFonts w:ascii="宋体" w:hAnsi="宋体"/>
          <w:color w:val="auto"/>
          <w:highlight w:val="none"/>
          <w:u w:val="single"/>
        </w:rPr>
        <w:t>7</w:t>
      </w:r>
      <w:r>
        <w:rPr>
          <w:rFonts w:hint="eastAsia" w:ascii="宋体" w:hAnsi="宋体"/>
          <w:color w:val="auto"/>
          <w:highlight w:val="none"/>
          <w:u w:val="single"/>
        </w:rPr>
        <w:t>天</w:t>
      </w:r>
      <w:r>
        <w:rPr>
          <w:rFonts w:hint="eastAsia" w:ascii="宋体" w:hAnsi="宋体"/>
          <w:color w:val="auto"/>
          <w:highlight w:val="none"/>
        </w:rPr>
        <w:t>。</w:t>
      </w:r>
    </w:p>
    <w:p w14:paraId="1CA81169">
      <w:pPr>
        <w:spacing w:line="360" w:lineRule="auto"/>
        <w:ind w:firstLine="645"/>
        <w:jc w:val="left"/>
        <w:rPr>
          <w:rFonts w:asciiTheme="minorEastAsia" w:hAnsiTheme="minorEastAsia" w:eastAsiaTheme="minorEastAsia"/>
          <w:color w:val="auto"/>
          <w:highlight w:val="none"/>
        </w:rPr>
      </w:pPr>
      <w:r>
        <w:rPr>
          <w:rFonts w:hint="eastAsia" w:ascii="宋体" w:hAnsi="宋体"/>
          <w:color w:val="auto"/>
          <w:highlight w:val="none"/>
        </w:rPr>
        <w:t>关于发包人应完成的其他开工准备工作及期限：</w:t>
      </w:r>
      <w:r>
        <w:rPr>
          <w:rFonts w:hint="eastAsia" w:asciiTheme="minorEastAsia" w:hAnsiTheme="minorEastAsia" w:eastAsiaTheme="minorEastAsia"/>
          <w:color w:val="auto"/>
          <w:highlight w:val="none"/>
          <w:u w:val="single"/>
        </w:rPr>
        <w:t>按《通用合同条款》7.3、1条执行</w:t>
      </w:r>
      <w:r>
        <w:rPr>
          <w:rFonts w:hint="eastAsia" w:asciiTheme="minorEastAsia" w:hAnsiTheme="minorEastAsia" w:eastAsiaTheme="minorEastAsia"/>
          <w:color w:val="auto"/>
          <w:highlight w:val="none"/>
        </w:rPr>
        <w:t>。</w:t>
      </w:r>
    </w:p>
    <w:p w14:paraId="14A4AD80">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关于承包人应完成的其他开工准备工作及期限：</w:t>
      </w:r>
      <w:r>
        <w:rPr>
          <w:rFonts w:hint="eastAsia" w:ascii="宋体" w:hAnsi="宋体"/>
          <w:color w:val="auto"/>
          <w:highlight w:val="none"/>
          <w:u w:val="single"/>
        </w:rPr>
        <w:t>开工日期前</w:t>
      </w:r>
      <w:r>
        <w:rPr>
          <w:rFonts w:ascii="宋体" w:hAnsi="宋体"/>
          <w:color w:val="auto"/>
          <w:highlight w:val="none"/>
          <w:u w:val="single"/>
        </w:rPr>
        <w:t>7</w:t>
      </w:r>
      <w:r>
        <w:rPr>
          <w:rFonts w:hint="eastAsia" w:ascii="宋体" w:hAnsi="宋体"/>
          <w:color w:val="auto"/>
          <w:highlight w:val="none"/>
          <w:u w:val="single"/>
        </w:rPr>
        <w:t>天</w:t>
      </w:r>
      <w:r>
        <w:rPr>
          <w:rFonts w:hint="eastAsia" w:ascii="宋体" w:hAnsi="宋体"/>
          <w:color w:val="auto"/>
          <w:highlight w:val="none"/>
        </w:rPr>
        <w:t>。</w:t>
      </w:r>
    </w:p>
    <w:p w14:paraId="7993A31C">
      <w:pPr>
        <w:spacing w:line="360" w:lineRule="auto"/>
        <w:ind w:firstLine="420" w:firstLineChars="200"/>
        <w:jc w:val="left"/>
        <w:rPr>
          <w:rFonts w:ascii="宋体" w:hAnsi="宋体"/>
          <w:color w:val="auto"/>
          <w:highlight w:val="none"/>
        </w:rPr>
      </w:pPr>
      <w:r>
        <w:rPr>
          <w:rFonts w:ascii="宋体" w:hAnsi="宋体"/>
          <w:color w:val="auto"/>
          <w:highlight w:val="none"/>
        </w:rPr>
        <w:t xml:space="preserve">7.3.2 </w:t>
      </w:r>
      <w:r>
        <w:rPr>
          <w:rFonts w:hint="eastAsia" w:ascii="宋体" w:hAnsi="宋体"/>
          <w:color w:val="auto"/>
          <w:highlight w:val="none"/>
        </w:rPr>
        <w:t>开工通知</w:t>
      </w:r>
    </w:p>
    <w:p w14:paraId="63D85283">
      <w:pPr>
        <w:spacing w:line="360" w:lineRule="auto"/>
        <w:ind w:firstLine="420" w:firstLineChars="200"/>
        <w:jc w:val="left"/>
        <w:rPr>
          <w:rFonts w:ascii="宋体" w:hAnsi="宋体"/>
          <w:color w:val="auto"/>
          <w:highlight w:val="none"/>
        </w:rPr>
      </w:pPr>
      <w:r>
        <w:rPr>
          <w:rFonts w:hint="eastAsia" w:ascii="宋体" w:hAnsi="宋体"/>
          <w:color w:val="auto"/>
          <w:highlight w:val="none"/>
          <w:u w:val="single"/>
        </w:rPr>
        <w:t>因发包人原因造成监理人未能在计划开工日期之日起150天内发出开工通知的，承包人有权提出价格调整要求，或者解除合同</w:t>
      </w:r>
      <w:r>
        <w:rPr>
          <w:rFonts w:hint="eastAsia" w:ascii="宋体" w:hAnsi="宋体"/>
          <w:color w:val="auto"/>
          <w:highlight w:val="none"/>
        </w:rPr>
        <w:t>。</w:t>
      </w:r>
    </w:p>
    <w:p w14:paraId="42AE24AC">
      <w:pPr>
        <w:keepNext/>
        <w:keepLines/>
        <w:spacing w:line="360" w:lineRule="auto"/>
        <w:outlineLvl w:val="2"/>
        <w:rPr>
          <w:rFonts w:ascii="宋体" w:hAnsi="宋体"/>
          <w:b/>
          <w:bCs/>
          <w:color w:val="auto"/>
          <w:highlight w:val="none"/>
          <w:lang w:val="zh-CN"/>
        </w:rPr>
      </w:pPr>
      <w:bookmarkStart w:id="443" w:name="_Toc389065292"/>
      <w:bookmarkEnd w:id="443"/>
      <w:bookmarkStart w:id="444" w:name="_Toc373227726"/>
      <w:bookmarkEnd w:id="444"/>
      <w:bookmarkStart w:id="445" w:name="_Toc407135228"/>
      <w:bookmarkEnd w:id="445"/>
      <w:bookmarkStart w:id="446" w:name="_Toc373478373"/>
      <w:bookmarkEnd w:id="446"/>
      <w:bookmarkStart w:id="447" w:name="_Toc8158"/>
      <w:bookmarkEnd w:id="447"/>
      <w:r>
        <w:rPr>
          <w:rFonts w:ascii="宋体" w:hAnsi="宋体"/>
          <w:b/>
          <w:bCs/>
          <w:color w:val="auto"/>
          <w:highlight w:val="none"/>
          <w:lang w:val="zh-CN"/>
        </w:rPr>
        <w:t xml:space="preserve">7.4 </w:t>
      </w:r>
      <w:r>
        <w:rPr>
          <w:rFonts w:hint="eastAsia" w:ascii="宋体" w:hAnsi="宋体"/>
          <w:b/>
          <w:bCs/>
          <w:color w:val="auto"/>
          <w:highlight w:val="none"/>
          <w:lang w:val="zh-CN"/>
        </w:rPr>
        <w:t>测量放线</w:t>
      </w:r>
    </w:p>
    <w:p w14:paraId="2DEB4DEE">
      <w:pPr>
        <w:spacing w:line="360" w:lineRule="auto"/>
        <w:ind w:firstLine="420" w:firstLineChars="200"/>
        <w:jc w:val="left"/>
        <w:rPr>
          <w:rFonts w:ascii="宋体" w:hAnsi="宋体"/>
          <w:color w:val="auto"/>
          <w:highlight w:val="none"/>
        </w:rPr>
      </w:pPr>
      <w:r>
        <w:rPr>
          <w:rFonts w:ascii="宋体" w:hAnsi="宋体"/>
          <w:color w:val="auto"/>
          <w:highlight w:val="none"/>
        </w:rPr>
        <w:t>7.4.1</w:t>
      </w:r>
      <w:r>
        <w:rPr>
          <w:rFonts w:hint="eastAsia" w:ascii="宋体" w:hAnsi="宋体"/>
          <w:color w:val="auto"/>
          <w:highlight w:val="none"/>
        </w:rPr>
        <w:t>发包人通过监理人向承包人提供测量基准点、基准线和水准点及其书面资料的期限：</w:t>
      </w:r>
    </w:p>
    <w:p w14:paraId="279E16A2">
      <w:pPr>
        <w:spacing w:line="360" w:lineRule="auto"/>
        <w:jc w:val="left"/>
        <w:rPr>
          <w:rFonts w:ascii="宋体" w:hAnsi="宋体"/>
          <w:color w:val="auto"/>
          <w:highlight w:val="none"/>
          <w:u w:val="single"/>
        </w:rPr>
      </w:pPr>
      <w:r>
        <w:rPr>
          <w:rFonts w:hint="eastAsia" w:ascii="宋体" w:hAnsi="宋体"/>
          <w:color w:val="auto"/>
          <w:highlight w:val="none"/>
          <w:u w:val="single"/>
        </w:rPr>
        <w:t>开工日期前</w:t>
      </w:r>
      <w:r>
        <w:rPr>
          <w:rFonts w:ascii="宋体" w:hAnsi="宋体"/>
          <w:color w:val="auto"/>
          <w:highlight w:val="none"/>
          <w:u w:val="single"/>
        </w:rPr>
        <w:t>7</w:t>
      </w:r>
      <w:r>
        <w:rPr>
          <w:rFonts w:hint="eastAsia" w:ascii="宋体" w:hAnsi="宋体"/>
          <w:color w:val="auto"/>
          <w:highlight w:val="none"/>
          <w:u w:val="single"/>
        </w:rPr>
        <w:t>天</w:t>
      </w:r>
      <w:r>
        <w:rPr>
          <w:rFonts w:hint="eastAsia" w:ascii="宋体" w:hAnsi="宋体"/>
          <w:color w:val="auto"/>
          <w:highlight w:val="none"/>
        </w:rPr>
        <w:t>。</w:t>
      </w:r>
    </w:p>
    <w:p w14:paraId="6D035623">
      <w:pPr>
        <w:keepNext/>
        <w:keepLines/>
        <w:spacing w:line="360" w:lineRule="auto"/>
        <w:outlineLvl w:val="2"/>
        <w:rPr>
          <w:rFonts w:ascii="宋体" w:hAnsi="宋体"/>
          <w:b/>
          <w:bCs/>
          <w:color w:val="auto"/>
          <w:highlight w:val="none"/>
          <w:lang w:val="zh-CN"/>
        </w:rPr>
      </w:pPr>
      <w:bookmarkStart w:id="448" w:name="_Toc407135229"/>
      <w:bookmarkEnd w:id="448"/>
      <w:bookmarkStart w:id="449" w:name="_Toc373478374"/>
      <w:bookmarkEnd w:id="449"/>
      <w:bookmarkStart w:id="450" w:name="_Toc6995"/>
      <w:bookmarkEnd w:id="450"/>
      <w:bookmarkStart w:id="451" w:name="_Toc373227727"/>
      <w:bookmarkEnd w:id="451"/>
      <w:bookmarkStart w:id="452" w:name="_Toc389065293"/>
      <w:r>
        <w:rPr>
          <w:rFonts w:ascii="宋体" w:hAnsi="宋体"/>
          <w:b/>
          <w:bCs/>
          <w:color w:val="auto"/>
          <w:highlight w:val="none"/>
          <w:lang w:val="zh-CN"/>
        </w:rPr>
        <w:t>7</w:t>
      </w:r>
      <w:bookmarkEnd w:id="452"/>
      <w:bookmarkStart w:id="453" w:name="_Toc312678010"/>
      <w:bookmarkEnd w:id="453"/>
      <w:bookmarkStart w:id="454" w:name="_Toc303539125"/>
      <w:bookmarkEnd w:id="454"/>
      <w:bookmarkStart w:id="455" w:name="_Toc297123516"/>
      <w:bookmarkEnd w:id="455"/>
      <w:bookmarkStart w:id="456" w:name="_Toc304295546"/>
      <w:bookmarkEnd w:id="456"/>
      <w:bookmarkStart w:id="457" w:name="_Toc300934968"/>
      <w:bookmarkEnd w:id="457"/>
      <w:bookmarkStart w:id="458" w:name="_Toc297216175"/>
      <w:bookmarkEnd w:id="458"/>
      <w:bookmarkStart w:id="459" w:name="_Toc312677484"/>
      <w:r>
        <w:rPr>
          <w:rFonts w:ascii="宋体" w:hAnsi="宋体"/>
          <w:b/>
          <w:bCs/>
          <w:color w:val="auto"/>
          <w:highlight w:val="none"/>
          <w:lang w:val="zh-CN"/>
        </w:rPr>
        <w:t xml:space="preserve">.5 </w:t>
      </w:r>
      <w:bookmarkEnd w:id="459"/>
      <w:r>
        <w:rPr>
          <w:rFonts w:hint="eastAsia" w:ascii="宋体" w:hAnsi="宋体"/>
          <w:b/>
          <w:bCs/>
          <w:color w:val="auto"/>
          <w:highlight w:val="none"/>
          <w:lang w:val="zh-CN"/>
        </w:rPr>
        <w:t>工期延误</w:t>
      </w:r>
    </w:p>
    <w:p w14:paraId="7921E30D">
      <w:pPr>
        <w:spacing w:line="360" w:lineRule="auto"/>
        <w:ind w:firstLine="420" w:firstLineChars="200"/>
        <w:jc w:val="left"/>
        <w:rPr>
          <w:rFonts w:ascii="宋体" w:hAnsi="宋体"/>
          <w:color w:val="auto"/>
          <w:highlight w:val="none"/>
        </w:rPr>
      </w:pPr>
      <w:r>
        <w:rPr>
          <w:rFonts w:ascii="宋体" w:hAnsi="宋体"/>
          <w:color w:val="auto"/>
          <w:highlight w:val="none"/>
        </w:rPr>
        <w:t xml:space="preserve">7.5.1 </w:t>
      </w:r>
      <w:r>
        <w:rPr>
          <w:rFonts w:hint="eastAsia" w:ascii="宋体" w:hAnsi="宋体"/>
          <w:color w:val="auto"/>
          <w:highlight w:val="none"/>
        </w:rPr>
        <w:t>因发包人原因导致工期延误</w:t>
      </w:r>
    </w:p>
    <w:p w14:paraId="61512263">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7</w:t>
      </w:r>
      <w:r>
        <w:rPr>
          <w:rFonts w:hint="eastAsia" w:ascii="宋体" w:hAnsi="宋体"/>
          <w:color w:val="auto"/>
          <w:highlight w:val="none"/>
        </w:rPr>
        <w:t>）因发包人原因导致工期延误的其他情形：</w:t>
      </w:r>
      <w:r>
        <w:rPr>
          <w:rFonts w:hint="eastAsia" w:ascii="宋体" w:hAnsi="宋体"/>
          <w:color w:val="auto"/>
          <w:highlight w:val="none"/>
          <w:u w:val="single"/>
        </w:rPr>
        <w:t>①重大图纸变更影响关健线路工序施工；②施工期间如因停电、停水连续</w:t>
      </w:r>
      <w:r>
        <w:rPr>
          <w:rFonts w:ascii="宋体" w:hAnsi="宋体"/>
          <w:color w:val="auto"/>
          <w:highlight w:val="none"/>
          <w:u w:val="single"/>
        </w:rPr>
        <w:t>8</w:t>
      </w:r>
      <w:r>
        <w:rPr>
          <w:rFonts w:hint="eastAsia" w:ascii="宋体" w:hAnsi="宋体"/>
          <w:color w:val="auto"/>
          <w:highlight w:val="none"/>
          <w:u w:val="single"/>
        </w:rPr>
        <w:t>小时以上或一周内间歇性停水、停电累计</w:t>
      </w:r>
      <w:r>
        <w:rPr>
          <w:rFonts w:ascii="宋体" w:hAnsi="宋体"/>
          <w:color w:val="auto"/>
          <w:highlight w:val="none"/>
          <w:u w:val="single"/>
        </w:rPr>
        <w:t>8</w:t>
      </w:r>
      <w:r>
        <w:rPr>
          <w:rFonts w:hint="eastAsia" w:ascii="宋体" w:hAnsi="宋体"/>
          <w:color w:val="auto"/>
          <w:highlight w:val="none"/>
          <w:u w:val="single"/>
        </w:rPr>
        <w:t>小时（含</w:t>
      </w:r>
      <w:r>
        <w:rPr>
          <w:rFonts w:ascii="宋体" w:hAnsi="宋体"/>
          <w:color w:val="auto"/>
          <w:highlight w:val="none"/>
          <w:u w:val="single"/>
        </w:rPr>
        <w:t>8</w:t>
      </w:r>
      <w:r>
        <w:rPr>
          <w:rFonts w:hint="eastAsia" w:ascii="宋体" w:hAnsi="宋体"/>
          <w:color w:val="auto"/>
          <w:highlight w:val="none"/>
          <w:u w:val="single"/>
        </w:rPr>
        <w:t>小时）影响正常施工的。③政府指令性停工。④因发包人未能及时材料提供延误的。⑤非承包人的责任造成的工期延误其他情形</w:t>
      </w:r>
      <w:r>
        <w:rPr>
          <w:rFonts w:hint="eastAsia" w:ascii="宋体" w:hAnsi="宋体"/>
          <w:color w:val="auto"/>
          <w:highlight w:val="none"/>
        </w:rPr>
        <w:t>。</w:t>
      </w:r>
    </w:p>
    <w:p w14:paraId="34F57ED3">
      <w:pPr>
        <w:spacing w:line="360" w:lineRule="auto"/>
        <w:ind w:firstLine="420" w:firstLineChars="200"/>
        <w:jc w:val="left"/>
        <w:rPr>
          <w:rFonts w:ascii="宋体" w:hAnsi="宋体"/>
          <w:color w:val="auto"/>
          <w:highlight w:val="none"/>
        </w:rPr>
      </w:pPr>
      <w:r>
        <w:rPr>
          <w:rFonts w:hint="eastAsia" w:ascii="宋体" w:hAnsi="宋体"/>
          <w:color w:val="auto"/>
          <w:highlight w:val="none"/>
        </w:rPr>
        <w:t>因发包人原因导致工期延误的,开工、竣工日期相应顺延</w:t>
      </w:r>
    </w:p>
    <w:p w14:paraId="78766093">
      <w:pPr>
        <w:spacing w:line="360" w:lineRule="auto"/>
        <w:ind w:firstLine="420" w:firstLineChars="200"/>
        <w:jc w:val="left"/>
        <w:rPr>
          <w:rFonts w:ascii="宋体" w:hAnsi="宋体"/>
          <w:color w:val="auto"/>
          <w:highlight w:val="none"/>
        </w:rPr>
      </w:pPr>
      <w:r>
        <w:rPr>
          <w:rFonts w:ascii="宋体" w:hAnsi="宋体"/>
          <w:color w:val="auto"/>
          <w:highlight w:val="none"/>
        </w:rPr>
        <w:t>7</w:t>
      </w:r>
      <w:bookmarkStart w:id="460" w:name="_Toc312677486"/>
      <w:bookmarkEnd w:id="460"/>
      <w:bookmarkStart w:id="461" w:name="_Toc297216177"/>
      <w:bookmarkEnd w:id="461"/>
      <w:bookmarkStart w:id="462" w:name="_Toc318581169"/>
      <w:bookmarkEnd w:id="462"/>
      <w:bookmarkStart w:id="463" w:name="_Toc303539127"/>
      <w:bookmarkEnd w:id="463"/>
      <w:bookmarkStart w:id="464" w:name="_Toc312678012"/>
      <w:bookmarkEnd w:id="464"/>
      <w:bookmarkStart w:id="465" w:name="_Toc297123518"/>
      <w:bookmarkEnd w:id="465"/>
      <w:bookmarkStart w:id="466" w:name="_Toc304295548"/>
      <w:bookmarkEnd w:id="466"/>
      <w:bookmarkStart w:id="467" w:name="_Toc300934970"/>
      <w:r>
        <w:rPr>
          <w:rFonts w:ascii="宋体" w:hAnsi="宋体"/>
          <w:color w:val="auto"/>
          <w:highlight w:val="none"/>
        </w:rPr>
        <w:t xml:space="preserve">.5.2 </w:t>
      </w:r>
      <w:bookmarkEnd w:id="467"/>
      <w:r>
        <w:rPr>
          <w:rFonts w:hint="eastAsia" w:ascii="宋体" w:hAnsi="宋体"/>
          <w:color w:val="auto"/>
          <w:highlight w:val="none"/>
        </w:rPr>
        <w:t>因承包人原因导致工期延误</w:t>
      </w:r>
    </w:p>
    <w:p w14:paraId="1F9B6963">
      <w:pPr>
        <w:spacing w:line="360" w:lineRule="auto"/>
        <w:ind w:firstLine="420" w:firstLineChars="200"/>
        <w:jc w:val="left"/>
        <w:rPr>
          <w:rFonts w:ascii="宋体" w:hAnsi="宋体"/>
          <w:color w:val="auto"/>
          <w:highlight w:val="none"/>
        </w:rPr>
      </w:pPr>
      <w:r>
        <w:rPr>
          <w:rFonts w:hint="eastAsia" w:ascii="宋体" w:hAnsi="宋体"/>
          <w:color w:val="auto"/>
          <w:highlight w:val="none"/>
        </w:rPr>
        <w:t>因</w:t>
      </w:r>
      <w:bookmarkStart w:id="468" w:name="_Toc312678013"/>
      <w:bookmarkEnd w:id="468"/>
      <w:bookmarkStart w:id="469" w:name="_Toc312677487"/>
      <w:bookmarkEnd w:id="469"/>
      <w:bookmarkStart w:id="470" w:name="_Toc318581170"/>
      <w:r>
        <w:rPr>
          <w:rFonts w:hint="eastAsia" w:ascii="宋体" w:hAnsi="宋体"/>
          <w:color w:val="auto"/>
          <w:highlight w:val="none"/>
        </w:rPr>
        <w:t>承包人原因造成工期延误，逾期竣工违约金的计算方法为：</w:t>
      </w:r>
      <w:bookmarkEnd w:id="470"/>
      <w:r>
        <w:rPr>
          <w:rFonts w:hint="eastAsia" w:ascii="宋体" w:hAnsi="宋体"/>
          <w:color w:val="auto"/>
          <w:highlight w:val="none"/>
          <w:u w:val="single"/>
        </w:rPr>
        <w:t>按逾期竣工的单项工程罚款，每延误一天</w:t>
      </w:r>
      <w:r>
        <w:rPr>
          <w:rFonts w:ascii="宋体" w:hAnsi="宋体"/>
          <w:color w:val="auto"/>
          <w:highlight w:val="none"/>
          <w:u w:val="single"/>
        </w:rPr>
        <w:t>,</w:t>
      </w:r>
      <w:r>
        <w:rPr>
          <w:rFonts w:hint="eastAsia" w:ascii="宋体" w:hAnsi="宋体"/>
          <w:color w:val="auto"/>
          <w:highlight w:val="none"/>
          <w:u w:val="single"/>
        </w:rPr>
        <w:t>按单项工程应支付给承包人的结算造价的万分之一处罚</w:t>
      </w:r>
      <w:r>
        <w:rPr>
          <w:rFonts w:ascii="宋体" w:hAnsi="宋体"/>
          <w:color w:val="auto"/>
          <w:highlight w:val="none"/>
          <w:u w:val="single"/>
        </w:rPr>
        <w:t>,</w:t>
      </w:r>
      <w:r>
        <w:rPr>
          <w:rFonts w:hint="eastAsia" w:ascii="宋体" w:hAnsi="宋体"/>
          <w:color w:val="auto"/>
          <w:highlight w:val="none"/>
          <w:u w:val="single"/>
        </w:rPr>
        <w:t>罚款直接从结算款中扣除。误期时间从规定竣工日期起直到实际竣工日期的天数（扣除发包人批准顺延的工期）。</w:t>
      </w:r>
      <w:r>
        <w:rPr>
          <w:rFonts w:hint="eastAsia" w:ascii="宋体" w:hAnsi="宋体"/>
          <w:color w:val="auto"/>
          <w:highlight w:val="none"/>
        </w:rPr>
        <w:t>因承包人原因造成工期延误，逾</w:t>
      </w:r>
      <w:bookmarkStart w:id="471" w:name="_Toc318581171"/>
      <w:bookmarkEnd w:id="471"/>
      <w:bookmarkStart w:id="472" w:name="_Toc312678014"/>
      <w:r>
        <w:rPr>
          <w:rFonts w:hint="eastAsia" w:ascii="宋体" w:hAnsi="宋体"/>
          <w:color w:val="auto"/>
          <w:highlight w:val="none"/>
        </w:rPr>
        <w:t>期竣工违约金的上限：</w:t>
      </w:r>
      <w:bookmarkEnd w:id="472"/>
      <w:r>
        <w:rPr>
          <w:rFonts w:hint="eastAsia" w:ascii="宋体" w:hAnsi="宋体"/>
          <w:color w:val="auto"/>
          <w:highlight w:val="none"/>
          <w:u w:val="single"/>
        </w:rPr>
        <w:t>逾期竣工的工程结算造价的1</w:t>
      </w:r>
      <w:r>
        <w:rPr>
          <w:rFonts w:ascii="宋体" w:hAnsi="宋体"/>
          <w:color w:val="auto"/>
          <w:highlight w:val="none"/>
          <w:u w:val="single"/>
        </w:rPr>
        <w:t xml:space="preserve">  %</w:t>
      </w:r>
      <w:r>
        <w:rPr>
          <w:rFonts w:hint="eastAsia" w:ascii="宋体" w:hAnsi="宋体"/>
          <w:color w:val="auto"/>
          <w:highlight w:val="none"/>
        </w:rPr>
        <w:t>。</w:t>
      </w:r>
    </w:p>
    <w:p w14:paraId="30986DA5">
      <w:pPr>
        <w:keepNext/>
        <w:keepLines/>
        <w:spacing w:line="360" w:lineRule="auto"/>
        <w:outlineLvl w:val="2"/>
        <w:rPr>
          <w:rFonts w:ascii="宋体" w:hAnsi="宋体"/>
          <w:b/>
          <w:bCs/>
          <w:color w:val="auto"/>
          <w:highlight w:val="none"/>
          <w:lang w:val="zh-CN"/>
        </w:rPr>
      </w:pPr>
      <w:bookmarkStart w:id="473" w:name="_Toc373478375"/>
      <w:bookmarkEnd w:id="473"/>
      <w:bookmarkStart w:id="474" w:name="_Toc389065294"/>
      <w:bookmarkEnd w:id="474"/>
      <w:bookmarkStart w:id="475" w:name="_Toc373227728"/>
      <w:bookmarkEnd w:id="475"/>
      <w:bookmarkStart w:id="476" w:name="_Toc29817"/>
      <w:bookmarkEnd w:id="476"/>
      <w:bookmarkStart w:id="477" w:name="_Toc407135230"/>
      <w:r>
        <w:rPr>
          <w:rFonts w:ascii="宋体" w:hAnsi="宋体"/>
          <w:b/>
          <w:bCs/>
          <w:color w:val="auto"/>
          <w:highlight w:val="none"/>
          <w:lang w:val="zh-CN"/>
        </w:rPr>
        <w:t>7</w:t>
      </w:r>
      <w:bookmarkEnd w:id="477"/>
      <w:bookmarkStart w:id="478" w:name="_Toc303539128"/>
      <w:bookmarkEnd w:id="478"/>
      <w:bookmarkStart w:id="479" w:name="_Toc304295549"/>
      <w:bookmarkEnd w:id="479"/>
      <w:bookmarkStart w:id="480" w:name="_Toc297123519"/>
      <w:bookmarkEnd w:id="480"/>
      <w:bookmarkStart w:id="481" w:name="_Toc300934971"/>
      <w:bookmarkEnd w:id="481"/>
      <w:bookmarkStart w:id="482" w:name="_Toc297216178"/>
      <w:bookmarkEnd w:id="482"/>
      <w:bookmarkStart w:id="483" w:name="_Toc312678015"/>
      <w:r>
        <w:rPr>
          <w:rFonts w:ascii="宋体" w:hAnsi="宋体"/>
          <w:b/>
          <w:bCs/>
          <w:color w:val="auto"/>
          <w:highlight w:val="none"/>
          <w:lang w:val="zh-CN"/>
        </w:rPr>
        <w:t xml:space="preserve">.6 </w:t>
      </w:r>
      <w:bookmarkEnd w:id="483"/>
      <w:r>
        <w:rPr>
          <w:rFonts w:hint="eastAsia" w:ascii="宋体" w:hAnsi="宋体"/>
          <w:b/>
          <w:bCs/>
          <w:color w:val="auto"/>
          <w:highlight w:val="none"/>
          <w:lang w:val="zh-CN"/>
        </w:rPr>
        <w:t>不利物质条件</w:t>
      </w:r>
    </w:p>
    <w:p w14:paraId="5E834316">
      <w:pPr>
        <w:spacing w:line="360" w:lineRule="auto"/>
        <w:ind w:firstLine="420" w:firstLineChars="200"/>
        <w:jc w:val="left"/>
        <w:rPr>
          <w:rFonts w:ascii="宋体" w:hAnsi="宋体"/>
          <w:color w:val="auto"/>
          <w:highlight w:val="none"/>
          <w:u w:val="single"/>
        </w:rPr>
      </w:pPr>
      <w:bookmarkStart w:id="484" w:name="_Toc300934972"/>
      <w:bookmarkEnd w:id="484"/>
      <w:bookmarkStart w:id="485" w:name="_Toc297216179"/>
      <w:bookmarkEnd w:id="485"/>
      <w:bookmarkStart w:id="486" w:name="_Toc303539129"/>
      <w:bookmarkEnd w:id="486"/>
      <w:bookmarkStart w:id="487" w:name="_Toc304295550"/>
      <w:bookmarkEnd w:id="487"/>
      <w:bookmarkStart w:id="488" w:name="_Toc297123520"/>
      <w:bookmarkEnd w:id="488"/>
      <w:bookmarkStart w:id="489" w:name="_Toc312678016"/>
      <w:bookmarkEnd w:id="489"/>
      <w:bookmarkStart w:id="490" w:name="_Toc318581172"/>
      <w:r>
        <w:rPr>
          <w:rFonts w:hint="eastAsia" w:ascii="宋体" w:hAnsi="宋体"/>
          <w:color w:val="auto"/>
          <w:highlight w:val="none"/>
        </w:rPr>
        <w:t>不利物质条件的其他情形和有关约定：</w:t>
      </w:r>
      <w:bookmarkEnd w:id="490"/>
      <w:r>
        <w:rPr>
          <w:rFonts w:hint="eastAsia" w:ascii="宋体" w:hAnsi="宋体"/>
          <w:color w:val="auto"/>
          <w:highlight w:val="none"/>
          <w:u w:val="single"/>
        </w:rPr>
        <w:t>按《通用合同条款》</w:t>
      </w:r>
      <w:r>
        <w:rPr>
          <w:rFonts w:ascii="宋体" w:hAnsi="宋体"/>
          <w:color w:val="auto"/>
          <w:highlight w:val="none"/>
          <w:u w:val="single"/>
        </w:rPr>
        <w:t>7.6</w:t>
      </w:r>
      <w:r>
        <w:rPr>
          <w:rFonts w:hint="eastAsia" w:ascii="宋体" w:hAnsi="宋体"/>
          <w:color w:val="auto"/>
          <w:highlight w:val="none"/>
          <w:u w:val="single"/>
        </w:rPr>
        <w:t>条执行</w:t>
      </w:r>
      <w:r>
        <w:rPr>
          <w:rFonts w:hint="eastAsia" w:ascii="宋体" w:hAnsi="宋体"/>
          <w:color w:val="auto"/>
          <w:highlight w:val="none"/>
        </w:rPr>
        <w:t>。</w:t>
      </w:r>
    </w:p>
    <w:p w14:paraId="14C66C5C">
      <w:pPr>
        <w:keepNext/>
        <w:keepLines/>
        <w:spacing w:line="360" w:lineRule="auto"/>
        <w:outlineLvl w:val="2"/>
        <w:rPr>
          <w:rFonts w:ascii="宋体" w:hAnsi="宋体"/>
          <w:b/>
          <w:bCs/>
          <w:color w:val="auto"/>
          <w:highlight w:val="none"/>
          <w:lang w:val="zh-CN"/>
        </w:rPr>
      </w:pPr>
      <w:bookmarkStart w:id="491" w:name="_Toc373478376"/>
      <w:bookmarkEnd w:id="491"/>
      <w:bookmarkStart w:id="492" w:name="_Toc407135231"/>
      <w:bookmarkEnd w:id="492"/>
      <w:bookmarkStart w:id="493" w:name="_Toc373227729"/>
      <w:bookmarkEnd w:id="493"/>
      <w:bookmarkStart w:id="494" w:name="_Toc20459"/>
      <w:bookmarkEnd w:id="494"/>
      <w:bookmarkStart w:id="495" w:name="_Toc389065295"/>
      <w:bookmarkEnd w:id="495"/>
      <w:r>
        <w:rPr>
          <w:rFonts w:ascii="宋体" w:hAnsi="宋体"/>
          <w:b/>
          <w:bCs/>
          <w:color w:val="auto"/>
          <w:highlight w:val="none"/>
          <w:lang w:val="zh-CN"/>
        </w:rPr>
        <w:t>7</w:t>
      </w:r>
      <w:bookmarkStart w:id="496" w:name="_Toc312678017"/>
      <w:bookmarkEnd w:id="496"/>
      <w:bookmarkStart w:id="497" w:name="_Toc304295551"/>
      <w:bookmarkEnd w:id="497"/>
      <w:bookmarkStart w:id="498" w:name="_Toc297123521"/>
      <w:bookmarkEnd w:id="498"/>
      <w:bookmarkStart w:id="499" w:name="_Toc303539130"/>
      <w:bookmarkEnd w:id="499"/>
      <w:bookmarkStart w:id="500" w:name="_Toc297216180"/>
      <w:bookmarkEnd w:id="500"/>
      <w:bookmarkStart w:id="501" w:name="_Toc300934973"/>
      <w:r>
        <w:rPr>
          <w:rFonts w:ascii="宋体" w:hAnsi="宋体"/>
          <w:b/>
          <w:bCs/>
          <w:color w:val="auto"/>
          <w:highlight w:val="none"/>
          <w:lang w:val="zh-CN"/>
        </w:rPr>
        <w:t xml:space="preserve">.7 </w:t>
      </w:r>
      <w:bookmarkEnd w:id="501"/>
      <w:r>
        <w:rPr>
          <w:rFonts w:hint="eastAsia" w:ascii="宋体" w:hAnsi="宋体"/>
          <w:b/>
          <w:bCs/>
          <w:color w:val="auto"/>
          <w:highlight w:val="none"/>
          <w:lang w:val="zh-CN"/>
        </w:rPr>
        <w:t>异常恶劣的气候条件</w:t>
      </w:r>
    </w:p>
    <w:p w14:paraId="47FF452C">
      <w:pPr>
        <w:spacing w:line="360" w:lineRule="auto"/>
        <w:ind w:firstLine="420" w:firstLineChars="200"/>
        <w:jc w:val="left"/>
        <w:rPr>
          <w:rFonts w:ascii="宋体" w:hAnsi="宋体"/>
          <w:color w:val="auto"/>
          <w:highlight w:val="none"/>
        </w:rPr>
      </w:pPr>
      <w:r>
        <w:rPr>
          <w:rFonts w:hint="eastAsia" w:ascii="宋体" w:hAnsi="宋体"/>
          <w:color w:val="auto"/>
          <w:highlight w:val="none"/>
        </w:rPr>
        <w:t>发包人和承包人同意以下情形视为异常恶劣的气候条件：</w:t>
      </w:r>
    </w:p>
    <w:p w14:paraId="1F41309C">
      <w:pPr>
        <w:spacing w:line="360" w:lineRule="auto"/>
        <w:ind w:firstLine="42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hint="eastAsia" w:ascii="宋体" w:hAnsi="宋体"/>
          <w:color w:val="auto"/>
          <w:highlight w:val="none"/>
          <w:u w:val="single"/>
        </w:rPr>
        <w:t>日降雨大于</w:t>
      </w:r>
      <w:r>
        <w:rPr>
          <w:rFonts w:ascii="宋体" w:hAnsi="宋体"/>
          <w:color w:val="auto"/>
          <w:highlight w:val="none"/>
          <w:u w:val="single"/>
        </w:rPr>
        <w:t>100mm</w:t>
      </w:r>
      <w:r>
        <w:rPr>
          <w:rFonts w:hint="eastAsia" w:ascii="宋体" w:hAnsi="宋体"/>
          <w:color w:val="auto"/>
          <w:highlight w:val="none"/>
          <w:u w:val="single"/>
        </w:rPr>
        <w:t>的雨日超过</w:t>
      </w:r>
      <w:r>
        <w:rPr>
          <w:rFonts w:ascii="宋体" w:hAnsi="宋体"/>
          <w:color w:val="auto"/>
          <w:highlight w:val="none"/>
          <w:u w:val="single"/>
        </w:rPr>
        <w:t>1</w:t>
      </w:r>
      <w:r>
        <w:rPr>
          <w:rFonts w:hint="eastAsia" w:ascii="宋体" w:hAnsi="宋体"/>
          <w:color w:val="auto"/>
          <w:highlight w:val="none"/>
          <w:u w:val="single"/>
        </w:rPr>
        <w:t>天</w:t>
      </w:r>
      <w:r>
        <w:rPr>
          <w:rFonts w:hint="eastAsia" w:ascii="宋体" w:hAnsi="宋体"/>
          <w:color w:val="auto"/>
          <w:highlight w:val="none"/>
        </w:rPr>
        <w:t>；</w:t>
      </w:r>
    </w:p>
    <w:p w14:paraId="4CC0FFC4">
      <w:pPr>
        <w:spacing w:line="360" w:lineRule="auto"/>
        <w:ind w:firstLine="42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w:t>
      </w:r>
      <w:r>
        <w:rPr>
          <w:rFonts w:hint="eastAsia" w:ascii="宋体" w:hAnsi="宋体"/>
          <w:color w:val="auto"/>
          <w:highlight w:val="none"/>
          <w:u w:val="single"/>
        </w:rPr>
        <w:t>日气温超过</w:t>
      </w:r>
      <w:r>
        <w:rPr>
          <w:rFonts w:ascii="宋体" w:hAnsi="宋体"/>
          <w:color w:val="auto"/>
          <w:highlight w:val="none"/>
          <w:u w:val="single"/>
        </w:rPr>
        <w:t>38</w:t>
      </w:r>
      <w:r>
        <w:rPr>
          <w:rFonts w:hint="eastAsia" w:ascii="宋体" w:hAnsi="宋体"/>
          <w:color w:val="auto"/>
          <w:highlight w:val="none"/>
          <w:u w:val="single"/>
        </w:rPr>
        <w:t>℃的高温大于</w:t>
      </w:r>
      <w:r>
        <w:rPr>
          <w:rFonts w:ascii="宋体" w:hAnsi="宋体"/>
          <w:color w:val="auto"/>
          <w:highlight w:val="none"/>
          <w:u w:val="single"/>
        </w:rPr>
        <w:t>3</w:t>
      </w:r>
      <w:r>
        <w:rPr>
          <w:rFonts w:hint="eastAsia" w:ascii="宋体" w:hAnsi="宋体"/>
          <w:color w:val="auto"/>
          <w:highlight w:val="none"/>
          <w:u w:val="single"/>
        </w:rPr>
        <w:t>天</w:t>
      </w:r>
      <w:r>
        <w:rPr>
          <w:rFonts w:hint="eastAsia" w:ascii="宋体" w:hAnsi="宋体"/>
          <w:color w:val="auto"/>
          <w:highlight w:val="none"/>
        </w:rPr>
        <w:t>；</w:t>
      </w:r>
    </w:p>
    <w:p w14:paraId="54B3FFF9">
      <w:pPr>
        <w:spacing w:line="360" w:lineRule="auto"/>
        <w:ind w:firstLine="42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3</w:t>
      </w:r>
      <w:r>
        <w:rPr>
          <w:rFonts w:hint="eastAsia" w:ascii="宋体" w:hAnsi="宋体"/>
          <w:color w:val="auto"/>
          <w:highlight w:val="none"/>
        </w:rPr>
        <w:t>）</w:t>
      </w:r>
      <w:r>
        <w:rPr>
          <w:rFonts w:hint="eastAsia" w:ascii="宋体" w:hAnsi="宋体"/>
          <w:color w:val="auto"/>
          <w:highlight w:val="none"/>
          <w:u w:val="single"/>
        </w:rPr>
        <w:t>日气温低于</w:t>
      </w:r>
      <w:r>
        <w:rPr>
          <w:rFonts w:ascii="宋体" w:hAnsi="宋体"/>
          <w:color w:val="auto"/>
          <w:highlight w:val="none"/>
          <w:u w:val="single"/>
        </w:rPr>
        <w:t>-20</w:t>
      </w:r>
      <w:r>
        <w:rPr>
          <w:rFonts w:hint="eastAsia" w:ascii="宋体" w:hAnsi="宋体"/>
          <w:color w:val="auto"/>
          <w:highlight w:val="none"/>
          <w:u w:val="single"/>
        </w:rPr>
        <w:t>℃的严寒大于</w:t>
      </w:r>
      <w:r>
        <w:rPr>
          <w:rFonts w:ascii="宋体" w:hAnsi="宋体"/>
          <w:color w:val="auto"/>
          <w:highlight w:val="none"/>
          <w:u w:val="single"/>
        </w:rPr>
        <w:t>3</w:t>
      </w:r>
      <w:r>
        <w:rPr>
          <w:rFonts w:hint="eastAsia" w:ascii="宋体" w:hAnsi="宋体"/>
          <w:color w:val="auto"/>
          <w:highlight w:val="none"/>
          <w:u w:val="single"/>
        </w:rPr>
        <w:t>天；</w:t>
      </w:r>
    </w:p>
    <w:p w14:paraId="124E62BD">
      <w:pPr>
        <w:spacing w:line="360" w:lineRule="auto"/>
        <w:ind w:firstLine="42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4</w:t>
      </w:r>
      <w:r>
        <w:rPr>
          <w:rFonts w:hint="eastAsia" w:ascii="宋体" w:hAnsi="宋体"/>
          <w:color w:val="auto"/>
          <w:highlight w:val="none"/>
        </w:rPr>
        <w:t>）</w:t>
      </w:r>
      <w:r>
        <w:rPr>
          <w:rFonts w:ascii="宋体" w:hAnsi="宋体"/>
          <w:color w:val="auto"/>
          <w:highlight w:val="none"/>
          <w:u w:val="single"/>
        </w:rPr>
        <w:t>10</w:t>
      </w:r>
      <w:r>
        <w:rPr>
          <w:rFonts w:hint="eastAsia" w:ascii="宋体" w:hAnsi="宋体"/>
          <w:color w:val="auto"/>
          <w:highlight w:val="none"/>
          <w:u w:val="single"/>
        </w:rPr>
        <w:t>级以上的大风超过</w:t>
      </w:r>
      <w:r>
        <w:rPr>
          <w:rFonts w:ascii="宋体" w:hAnsi="宋体"/>
          <w:color w:val="auto"/>
          <w:highlight w:val="none"/>
          <w:u w:val="single"/>
        </w:rPr>
        <w:t>1</w:t>
      </w:r>
      <w:r>
        <w:rPr>
          <w:rFonts w:hint="eastAsia" w:ascii="宋体" w:hAnsi="宋体"/>
          <w:color w:val="auto"/>
          <w:highlight w:val="none"/>
          <w:u w:val="single"/>
        </w:rPr>
        <w:t>天</w:t>
      </w:r>
      <w:r>
        <w:rPr>
          <w:rFonts w:hint="eastAsia" w:ascii="宋体" w:hAnsi="宋体"/>
          <w:color w:val="auto"/>
          <w:highlight w:val="none"/>
        </w:rPr>
        <w:t>。</w:t>
      </w:r>
    </w:p>
    <w:p w14:paraId="2FBFABCD">
      <w:pPr>
        <w:spacing w:line="360" w:lineRule="auto"/>
        <w:ind w:firstLine="420" w:firstLineChars="200"/>
        <w:jc w:val="left"/>
        <w:rPr>
          <w:rFonts w:ascii="宋体" w:hAnsi="宋体"/>
          <w:color w:val="auto"/>
          <w:highlight w:val="none"/>
        </w:rPr>
      </w:pPr>
      <w:r>
        <w:rPr>
          <w:rFonts w:hint="eastAsia" w:ascii="宋体" w:hAnsi="宋体"/>
          <w:color w:val="auto"/>
          <w:highlight w:val="none"/>
          <w:u w:val="single"/>
        </w:rPr>
        <w:t>以上异常恶劣的气候的认定以当地气象部门出具的材料为准</w:t>
      </w:r>
      <w:r>
        <w:rPr>
          <w:rFonts w:hint="eastAsia" w:ascii="宋体" w:hAnsi="宋体"/>
          <w:color w:val="auto"/>
          <w:highlight w:val="none"/>
        </w:rPr>
        <w:t>。</w:t>
      </w:r>
    </w:p>
    <w:p w14:paraId="262F7321">
      <w:pPr>
        <w:keepNext/>
        <w:keepLines/>
        <w:spacing w:line="360" w:lineRule="auto"/>
        <w:outlineLvl w:val="2"/>
        <w:rPr>
          <w:rFonts w:ascii="宋体" w:hAnsi="宋体"/>
          <w:b/>
          <w:bCs/>
          <w:color w:val="auto"/>
          <w:highlight w:val="none"/>
          <w:lang w:val="zh-CN"/>
        </w:rPr>
      </w:pPr>
      <w:bookmarkStart w:id="502" w:name="_Toc27796"/>
      <w:bookmarkEnd w:id="502"/>
      <w:bookmarkStart w:id="503" w:name="_Toc373227730"/>
      <w:bookmarkEnd w:id="503"/>
      <w:bookmarkStart w:id="504" w:name="_Toc407135232"/>
      <w:bookmarkEnd w:id="504"/>
      <w:bookmarkStart w:id="505" w:name="_Toc373478377"/>
      <w:bookmarkEnd w:id="505"/>
      <w:bookmarkStart w:id="506" w:name="_Toc389065296"/>
      <w:r>
        <w:rPr>
          <w:rFonts w:ascii="宋体" w:hAnsi="宋体"/>
          <w:b/>
          <w:bCs/>
          <w:color w:val="auto"/>
          <w:highlight w:val="none"/>
          <w:lang w:val="zh-CN"/>
        </w:rPr>
        <w:t xml:space="preserve">7.9 </w:t>
      </w:r>
      <w:bookmarkEnd w:id="506"/>
      <w:r>
        <w:rPr>
          <w:rFonts w:hint="eastAsia" w:ascii="宋体" w:hAnsi="宋体"/>
          <w:b/>
          <w:bCs/>
          <w:color w:val="auto"/>
          <w:highlight w:val="none"/>
          <w:lang w:val="zh-CN"/>
        </w:rPr>
        <w:t>提前竣工</w:t>
      </w:r>
    </w:p>
    <w:p w14:paraId="12B611C8">
      <w:pPr>
        <w:spacing w:line="360" w:lineRule="auto"/>
        <w:ind w:firstLine="420" w:firstLineChars="200"/>
        <w:jc w:val="left"/>
        <w:rPr>
          <w:rFonts w:ascii="宋体" w:hAnsi="宋体"/>
          <w:color w:val="auto"/>
          <w:highlight w:val="none"/>
        </w:rPr>
      </w:pPr>
      <w:r>
        <w:rPr>
          <w:rFonts w:ascii="宋体" w:hAnsi="宋体"/>
          <w:color w:val="auto"/>
          <w:highlight w:val="none"/>
        </w:rPr>
        <w:t>7.9.2</w:t>
      </w:r>
      <w:r>
        <w:rPr>
          <w:rFonts w:hint="eastAsia" w:ascii="宋体" w:hAnsi="宋体"/>
          <w:color w:val="auto"/>
          <w:highlight w:val="none"/>
        </w:rPr>
        <w:t>提前竣工（赶工）增加费的计算方法：</w:t>
      </w:r>
      <w:r>
        <w:rPr>
          <w:rFonts w:hint="eastAsia" w:ascii="宋体" w:hAnsi="宋体"/>
          <w:color w:val="auto"/>
          <w:highlight w:val="none"/>
          <w:u w:val="single"/>
        </w:rPr>
        <w:t>无</w:t>
      </w:r>
      <w:r>
        <w:rPr>
          <w:rFonts w:hint="eastAsia" w:ascii="宋体" w:hAnsi="宋体"/>
          <w:color w:val="auto"/>
          <w:highlight w:val="none"/>
        </w:rPr>
        <w:t>。</w:t>
      </w:r>
    </w:p>
    <w:p w14:paraId="54BF178C">
      <w:pPr>
        <w:keepNext/>
        <w:keepLines/>
        <w:spacing w:before="60" w:after="60" w:line="413" w:lineRule="auto"/>
        <w:outlineLvl w:val="1"/>
        <w:rPr>
          <w:rFonts w:ascii="宋体" w:hAnsi="宋体"/>
          <w:b/>
          <w:bCs/>
          <w:color w:val="auto"/>
          <w:highlight w:val="none"/>
          <w:lang w:val="zh-CN"/>
        </w:rPr>
      </w:pPr>
      <w:bookmarkStart w:id="507" w:name="_Toc407135233"/>
      <w:bookmarkEnd w:id="507"/>
      <w:bookmarkStart w:id="508" w:name="_Toc373478378"/>
      <w:bookmarkEnd w:id="508"/>
      <w:bookmarkStart w:id="509" w:name="_Toc351203640"/>
      <w:bookmarkEnd w:id="509"/>
      <w:bookmarkStart w:id="510" w:name="_Toc389065297"/>
      <w:bookmarkEnd w:id="510"/>
      <w:bookmarkStart w:id="511" w:name="_Toc7815"/>
      <w:bookmarkEnd w:id="511"/>
      <w:bookmarkStart w:id="512" w:name="_Toc373227731"/>
      <w:r>
        <w:rPr>
          <w:rFonts w:ascii="宋体" w:hAnsi="宋体"/>
          <w:b/>
          <w:bCs/>
          <w:color w:val="auto"/>
          <w:highlight w:val="none"/>
          <w:lang w:val="zh-CN"/>
        </w:rPr>
        <w:t xml:space="preserve">8. </w:t>
      </w:r>
      <w:bookmarkEnd w:id="512"/>
      <w:r>
        <w:rPr>
          <w:rFonts w:hint="eastAsia" w:ascii="宋体" w:hAnsi="宋体"/>
          <w:b/>
          <w:bCs/>
          <w:color w:val="auto"/>
          <w:highlight w:val="none"/>
          <w:lang w:val="zh-CN"/>
        </w:rPr>
        <w:t>材料与设备</w:t>
      </w:r>
    </w:p>
    <w:p w14:paraId="043940CC">
      <w:pPr>
        <w:keepNext/>
        <w:keepLines/>
        <w:spacing w:line="360" w:lineRule="auto"/>
        <w:outlineLvl w:val="2"/>
        <w:rPr>
          <w:rFonts w:ascii="宋体" w:hAnsi="宋体"/>
          <w:b/>
          <w:bCs/>
          <w:color w:val="auto"/>
          <w:highlight w:val="none"/>
          <w:lang w:val="zh-CN"/>
        </w:rPr>
      </w:pPr>
      <w:bookmarkStart w:id="513" w:name="_Toc373227732"/>
      <w:bookmarkEnd w:id="513"/>
      <w:bookmarkStart w:id="514" w:name="_Toc407135234"/>
      <w:bookmarkEnd w:id="514"/>
      <w:bookmarkStart w:id="515" w:name="_Toc373478379"/>
      <w:bookmarkEnd w:id="515"/>
      <w:bookmarkStart w:id="516" w:name="_Toc29203"/>
      <w:bookmarkEnd w:id="516"/>
      <w:bookmarkStart w:id="517" w:name="_Toc389065298"/>
      <w:bookmarkEnd w:id="517"/>
      <w:r>
        <w:rPr>
          <w:rFonts w:ascii="宋体" w:hAnsi="宋体"/>
          <w:b/>
          <w:bCs/>
          <w:color w:val="auto"/>
          <w:highlight w:val="none"/>
          <w:lang w:val="zh-CN"/>
        </w:rPr>
        <w:t xml:space="preserve">8.2 </w:t>
      </w:r>
      <w:r>
        <w:rPr>
          <w:rFonts w:hint="eastAsia" w:ascii="宋体" w:hAnsi="宋体"/>
          <w:b/>
          <w:bCs/>
          <w:color w:val="auto"/>
          <w:highlight w:val="none"/>
          <w:lang w:val="zh-CN"/>
        </w:rPr>
        <w:t>承包人采购材料与工程设备</w:t>
      </w:r>
    </w:p>
    <w:p w14:paraId="47781F8B">
      <w:pPr>
        <w:keepNext/>
        <w:keepLines/>
        <w:spacing w:line="360" w:lineRule="auto"/>
        <w:ind w:firstLine="420" w:firstLineChars="200"/>
        <w:outlineLvl w:val="2"/>
        <w:rPr>
          <w:rFonts w:asciiTheme="minorEastAsia" w:hAnsiTheme="minorEastAsia" w:eastAsiaTheme="minorEastAsia"/>
          <w:color w:val="auto"/>
          <w:kern w:val="0"/>
          <w:highlight w:val="none"/>
        </w:rPr>
      </w:pPr>
      <w:r>
        <w:rPr>
          <w:rFonts w:hint="eastAsia" w:ascii="宋体" w:hAnsi="宋体"/>
          <w:color w:val="auto"/>
          <w:kern w:val="0"/>
          <w:highlight w:val="none"/>
        </w:rPr>
        <w:t>承包人负责工程材料和设备的采购、运输和保管，</w:t>
      </w:r>
      <w:r>
        <w:rPr>
          <w:rFonts w:hint="eastAsia" w:asciiTheme="minorEastAsia" w:hAnsiTheme="minorEastAsia" w:eastAsiaTheme="minorEastAsia"/>
          <w:color w:val="auto"/>
          <w:highlight w:val="none"/>
        </w:rPr>
        <w:t>所</w:t>
      </w:r>
      <w:r>
        <w:rPr>
          <w:rFonts w:asciiTheme="minorEastAsia" w:hAnsiTheme="minorEastAsia" w:eastAsiaTheme="minorEastAsia"/>
          <w:color w:val="auto"/>
          <w:highlight w:val="none"/>
        </w:rPr>
        <w:t>采购材料、工程设备的,</w:t>
      </w:r>
      <w:r>
        <w:rPr>
          <w:rFonts w:hint="eastAsia" w:asciiTheme="minorEastAsia" w:hAnsiTheme="minorEastAsia" w:eastAsiaTheme="minorEastAsia"/>
          <w:color w:val="auto"/>
          <w:highlight w:val="none"/>
        </w:rPr>
        <w:t>须</w:t>
      </w:r>
      <w:r>
        <w:rPr>
          <w:rFonts w:asciiTheme="minorEastAsia" w:hAnsiTheme="minorEastAsia" w:eastAsiaTheme="minorEastAsia"/>
          <w:color w:val="auto"/>
          <w:highlight w:val="none"/>
        </w:rPr>
        <w:t xml:space="preserve">按照设计和有关标准要求采购, </w:t>
      </w:r>
      <w:r>
        <w:rPr>
          <w:color w:val="auto"/>
          <w:highlight w:val="none"/>
        </w:rPr>
        <w:t>并提供产品合格证明及出厂证明</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对材料、工程设备质量负责</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合同约定由承包人采购的材料、工程设备,发包人不得指定生产厂家或供应商,发包人违反本款约定指定生产厂家或供应商的,承包人有权拒绝,并由发包人承担相应责任。</w:t>
      </w:r>
    </w:p>
    <w:p w14:paraId="512951D8">
      <w:pPr>
        <w:autoSpaceDE w:val="0"/>
        <w:autoSpaceDN w:val="0"/>
        <w:adjustRightInd w:val="0"/>
        <w:spacing w:line="360" w:lineRule="auto"/>
        <w:ind w:firstLine="420" w:firstLineChars="200"/>
        <w:jc w:val="left"/>
        <w:rPr>
          <w:rFonts w:asciiTheme="minorEastAsia" w:hAnsiTheme="minorEastAsia" w:eastAsiaTheme="minorEastAsia"/>
          <w:color w:val="auto"/>
          <w:highlight w:val="none"/>
          <w:u w:val="single"/>
        </w:rPr>
      </w:pPr>
      <w:bookmarkStart w:id="518" w:name="_Toc30643"/>
      <w:bookmarkEnd w:id="518"/>
      <w:bookmarkStart w:id="519" w:name="_Toc373227733"/>
      <w:bookmarkEnd w:id="519"/>
      <w:bookmarkStart w:id="520" w:name="_Toc373478380"/>
      <w:bookmarkEnd w:id="520"/>
      <w:bookmarkStart w:id="521" w:name="_Toc407135235"/>
      <w:r>
        <w:rPr>
          <w:rFonts w:hint="eastAsia" w:asciiTheme="minorEastAsia" w:hAnsiTheme="minorEastAsia" w:eastAsiaTheme="minorEastAsia"/>
          <w:color w:val="auto"/>
          <w:highlight w:val="none"/>
          <w:u w:val="single"/>
        </w:rPr>
        <w:t>承包人采购工程所需的材料、设备时，</w:t>
      </w:r>
      <w:r>
        <w:rPr>
          <w:rFonts w:hint="eastAsia"/>
          <w:color w:val="auto"/>
          <w:highlight w:val="none"/>
          <w:u w:val="single"/>
        </w:rPr>
        <w:t>品种、</w:t>
      </w:r>
      <w:r>
        <w:rPr>
          <w:rFonts w:hint="eastAsia" w:asciiTheme="minorEastAsia" w:hAnsiTheme="minorEastAsia" w:eastAsiaTheme="minorEastAsia"/>
          <w:color w:val="auto"/>
          <w:highlight w:val="none"/>
          <w:u w:val="single"/>
        </w:rPr>
        <w:t>规格</w:t>
      </w:r>
      <w:r>
        <w:rPr>
          <w:rFonts w:hint="eastAsia" w:asciiTheme="minorEastAsia" w:hAnsiTheme="minorEastAsia"/>
          <w:color w:val="auto"/>
          <w:highlight w:val="none"/>
          <w:u w:val="single"/>
        </w:rPr>
        <w:t>和质量技术等级</w:t>
      </w:r>
      <w:r>
        <w:rPr>
          <w:rFonts w:hint="eastAsia" w:asciiTheme="minorEastAsia" w:hAnsiTheme="minorEastAsia" w:eastAsiaTheme="minorEastAsia"/>
          <w:color w:val="auto"/>
          <w:highlight w:val="none"/>
          <w:u w:val="single"/>
        </w:rPr>
        <w:t>等标准必须</w:t>
      </w:r>
      <w:r>
        <w:rPr>
          <w:rFonts w:hint="eastAsia" w:asciiTheme="minorEastAsia" w:hAnsiTheme="minorEastAsia"/>
          <w:color w:val="auto"/>
          <w:highlight w:val="none"/>
          <w:u w:val="single"/>
        </w:rPr>
        <w:t>不低</w:t>
      </w:r>
      <w:r>
        <w:rPr>
          <w:rFonts w:hint="eastAsia" w:asciiTheme="minorEastAsia" w:hAnsiTheme="minorEastAsia" w:eastAsiaTheme="minorEastAsia"/>
          <w:color w:val="auto"/>
          <w:highlight w:val="none"/>
          <w:u w:val="single"/>
        </w:rPr>
        <w:t>发包人在招标时</w:t>
      </w:r>
      <w:r>
        <w:rPr>
          <w:rFonts w:hint="eastAsia" w:asciiTheme="minorEastAsia" w:hAnsiTheme="minorEastAsia"/>
          <w:color w:val="auto"/>
          <w:highlight w:val="none"/>
          <w:u w:val="single"/>
        </w:rPr>
        <w:t>的相关资料</w:t>
      </w:r>
      <w:r>
        <w:rPr>
          <w:rFonts w:hint="eastAsia" w:asciiTheme="minorEastAsia" w:hAnsiTheme="minorEastAsia" w:eastAsiaTheme="minorEastAsia"/>
          <w:color w:val="auto"/>
          <w:highlight w:val="none"/>
          <w:u w:val="single"/>
        </w:rPr>
        <w:t>所规定价格</w:t>
      </w:r>
      <w:r>
        <w:rPr>
          <w:rFonts w:hint="eastAsia" w:asciiTheme="minorEastAsia" w:hAnsiTheme="minorEastAsia"/>
          <w:color w:val="auto"/>
          <w:highlight w:val="none"/>
          <w:u w:val="single"/>
        </w:rPr>
        <w:t>和质量</w:t>
      </w:r>
      <w:r>
        <w:rPr>
          <w:rFonts w:hint="eastAsia" w:asciiTheme="minorEastAsia" w:hAnsiTheme="minorEastAsia" w:eastAsiaTheme="minorEastAsia"/>
          <w:color w:val="auto"/>
          <w:highlight w:val="none"/>
          <w:u w:val="single"/>
        </w:rPr>
        <w:t>等级进行采购，</w:t>
      </w:r>
      <w:r>
        <w:rPr>
          <w:rFonts w:hint="eastAsia" w:asciiTheme="minorEastAsia" w:hAnsiTheme="minorEastAsia" w:eastAsiaTheme="minorEastAsia"/>
          <w:color w:val="auto"/>
          <w:kern w:val="0"/>
          <w:highlight w:val="none"/>
          <w:u w:val="single"/>
        </w:rPr>
        <w:t>以</w:t>
      </w:r>
      <w:r>
        <w:rPr>
          <w:rFonts w:hint="eastAsia" w:asciiTheme="minorEastAsia" w:hAnsiTheme="minorEastAsia" w:eastAsiaTheme="minorEastAsia"/>
          <w:color w:val="auto"/>
          <w:highlight w:val="none"/>
          <w:u w:val="single"/>
        </w:rPr>
        <w:t>确保材料、设备的质量。</w:t>
      </w:r>
    </w:p>
    <w:p w14:paraId="660D1670">
      <w:pPr>
        <w:keepNext/>
        <w:keepLines/>
        <w:spacing w:line="360" w:lineRule="auto"/>
        <w:outlineLvl w:val="2"/>
        <w:rPr>
          <w:rFonts w:ascii="宋体" w:hAnsi="宋体"/>
          <w:b/>
          <w:bCs/>
          <w:color w:val="auto"/>
          <w:highlight w:val="none"/>
          <w:lang w:val="zh-CN"/>
        </w:rPr>
      </w:pPr>
      <w:r>
        <w:rPr>
          <w:rFonts w:ascii="宋体" w:hAnsi="宋体"/>
          <w:b/>
          <w:bCs/>
          <w:color w:val="auto"/>
          <w:highlight w:val="none"/>
          <w:lang w:val="zh-CN"/>
        </w:rPr>
        <w:t>8</w:t>
      </w:r>
      <w:bookmarkEnd w:id="521"/>
      <w:bookmarkStart w:id="522" w:name="_Toc312677493"/>
      <w:bookmarkEnd w:id="522"/>
      <w:bookmarkStart w:id="523" w:name="_Toc296891207"/>
      <w:bookmarkEnd w:id="523"/>
      <w:bookmarkStart w:id="524" w:name="_Toc292559372"/>
      <w:bookmarkEnd w:id="524"/>
      <w:bookmarkStart w:id="525" w:name="_Toc297048353"/>
      <w:bookmarkEnd w:id="525"/>
      <w:bookmarkStart w:id="526" w:name="_Toc296944506"/>
      <w:bookmarkEnd w:id="526"/>
      <w:bookmarkStart w:id="527" w:name="_Toc267251424"/>
      <w:bookmarkEnd w:id="527"/>
      <w:bookmarkStart w:id="528" w:name="_Toc312678019"/>
      <w:bookmarkEnd w:id="528"/>
      <w:bookmarkStart w:id="529" w:name="_Toc304295556"/>
      <w:bookmarkEnd w:id="529"/>
      <w:bookmarkStart w:id="530" w:name="_Toc280868654"/>
      <w:bookmarkEnd w:id="530"/>
      <w:bookmarkStart w:id="531" w:name="_Toc303539136"/>
      <w:bookmarkEnd w:id="531"/>
      <w:bookmarkStart w:id="532" w:name="_Toc296347166"/>
      <w:bookmarkEnd w:id="532"/>
      <w:bookmarkStart w:id="533" w:name="_Toc296890995"/>
      <w:bookmarkEnd w:id="533"/>
      <w:bookmarkStart w:id="534" w:name="_Toc297216186"/>
      <w:bookmarkEnd w:id="534"/>
      <w:bookmarkStart w:id="535" w:name="_Toc297120467"/>
      <w:bookmarkEnd w:id="535"/>
      <w:bookmarkStart w:id="536" w:name="_Toc292559877"/>
      <w:bookmarkEnd w:id="536"/>
      <w:bookmarkStart w:id="537" w:name="_Toc296503167"/>
      <w:bookmarkEnd w:id="537"/>
      <w:bookmarkStart w:id="538" w:name="_Toc297123527"/>
      <w:bookmarkEnd w:id="538"/>
      <w:bookmarkStart w:id="539" w:name="_Toc296346668"/>
      <w:bookmarkEnd w:id="539"/>
      <w:bookmarkStart w:id="540" w:name="_Toc280868655"/>
      <w:bookmarkEnd w:id="540"/>
      <w:bookmarkStart w:id="541" w:name="_Toc300934979"/>
      <w:bookmarkEnd w:id="541"/>
      <w:bookmarkStart w:id="542" w:name="_Toc280868656"/>
      <w:r>
        <w:rPr>
          <w:rFonts w:ascii="宋体" w:hAnsi="宋体"/>
          <w:b/>
          <w:bCs/>
          <w:color w:val="auto"/>
          <w:highlight w:val="none"/>
          <w:lang w:val="zh-CN"/>
        </w:rPr>
        <w:t xml:space="preserve">.4 </w:t>
      </w:r>
      <w:bookmarkEnd w:id="542"/>
      <w:r>
        <w:rPr>
          <w:rFonts w:hint="eastAsia" w:ascii="宋体" w:hAnsi="宋体"/>
          <w:b/>
          <w:bCs/>
          <w:color w:val="auto"/>
          <w:highlight w:val="none"/>
          <w:lang w:val="zh-CN"/>
        </w:rPr>
        <w:t>材料与工程设备的保管与使用</w:t>
      </w:r>
    </w:p>
    <w:p w14:paraId="39B4890E">
      <w:pPr>
        <w:spacing w:line="360" w:lineRule="auto"/>
        <w:ind w:firstLine="420" w:firstLineChars="200"/>
        <w:jc w:val="left"/>
        <w:rPr>
          <w:rFonts w:ascii="宋体" w:hAnsi="宋体"/>
          <w:color w:val="auto"/>
          <w:highlight w:val="none"/>
          <w:u w:val="single"/>
        </w:rPr>
      </w:pPr>
      <w:r>
        <w:rPr>
          <w:rFonts w:ascii="宋体" w:hAnsi="宋体"/>
          <w:color w:val="auto"/>
          <w:highlight w:val="none"/>
        </w:rPr>
        <w:t>8</w:t>
      </w:r>
      <w:bookmarkStart w:id="543" w:name="_Toc297123528"/>
      <w:bookmarkEnd w:id="543"/>
      <w:bookmarkStart w:id="544" w:name="_Toc296347167"/>
      <w:bookmarkEnd w:id="544"/>
      <w:bookmarkStart w:id="545" w:name="_Toc297216187"/>
      <w:bookmarkEnd w:id="545"/>
      <w:bookmarkStart w:id="546" w:name="_Toc296503168"/>
      <w:bookmarkEnd w:id="546"/>
      <w:bookmarkStart w:id="547" w:name="_Toc297048354"/>
      <w:bookmarkEnd w:id="547"/>
      <w:bookmarkStart w:id="548" w:name="_Toc300934980"/>
      <w:bookmarkEnd w:id="548"/>
      <w:bookmarkStart w:id="549" w:name="_Toc312677494"/>
      <w:bookmarkEnd w:id="549"/>
      <w:bookmarkStart w:id="550" w:name="_Toc303539137"/>
      <w:bookmarkEnd w:id="550"/>
      <w:bookmarkStart w:id="551" w:name="_Toc304295557"/>
      <w:bookmarkEnd w:id="551"/>
      <w:bookmarkStart w:id="552" w:name="_Toc296891208"/>
      <w:bookmarkEnd w:id="552"/>
      <w:bookmarkStart w:id="553" w:name="_Toc318581173"/>
      <w:bookmarkEnd w:id="553"/>
      <w:bookmarkStart w:id="554" w:name="_Toc297120468"/>
      <w:bookmarkEnd w:id="554"/>
      <w:bookmarkStart w:id="555" w:name="_Toc296944507"/>
      <w:bookmarkEnd w:id="555"/>
      <w:bookmarkStart w:id="556" w:name="_Toc292559878"/>
      <w:bookmarkEnd w:id="556"/>
      <w:bookmarkStart w:id="557" w:name="_Toc312678020"/>
      <w:bookmarkEnd w:id="557"/>
      <w:bookmarkStart w:id="558" w:name="_Toc296346669"/>
      <w:bookmarkEnd w:id="558"/>
      <w:bookmarkStart w:id="559" w:name="_Toc296890996"/>
      <w:bookmarkEnd w:id="559"/>
      <w:bookmarkStart w:id="560" w:name="_Toc292559373"/>
      <w:r>
        <w:rPr>
          <w:rFonts w:ascii="宋体" w:hAnsi="宋体"/>
          <w:color w:val="auto"/>
          <w:highlight w:val="none"/>
        </w:rPr>
        <w:t>.4.</w:t>
      </w:r>
      <w:r>
        <w:rPr>
          <w:rFonts w:hint="eastAsia" w:ascii="宋体" w:hAnsi="宋体"/>
          <w:color w:val="auto"/>
          <w:highlight w:val="none"/>
          <w:u w:val="single"/>
        </w:rPr>
        <w:t xml:space="preserve">1承包人供应的材料和工程设备使用前, </w:t>
      </w:r>
      <w:r>
        <w:rPr>
          <w:rFonts w:hint="eastAsia" w:ascii="宋体" w:hAnsi="宋体"/>
          <w:color w:val="auto"/>
          <w:kern w:val="0"/>
          <w:highlight w:val="none"/>
          <w:u w:val="single"/>
        </w:rPr>
        <w:t>需</w:t>
      </w:r>
      <w:r>
        <w:rPr>
          <w:rFonts w:hint="eastAsia" w:ascii="宋体" w:hAnsi="宋体"/>
          <w:color w:val="auto"/>
          <w:highlight w:val="none"/>
          <w:u w:val="single"/>
        </w:rPr>
        <w:t>监理单位、施工单位共同验收或相关检测部门检验（检验的费用已包含在合同价款的综合单价当中），</w:t>
      </w:r>
      <w:r>
        <w:rPr>
          <w:rFonts w:hint="eastAsia"/>
          <w:color w:val="auto"/>
          <w:highlight w:val="none"/>
          <w:u w:val="single"/>
        </w:rPr>
        <w:t>产品花色、品种、规格、</w:t>
      </w:r>
      <w:r>
        <w:rPr>
          <w:rFonts w:hint="eastAsia" w:asciiTheme="minorEastAsia" w:hAnsiTheme="minorEastAsia"/>
          <w:color w:val="auto"/>
          <w:highlight w:val="none"/>
          <w:u w:val="single"/>
        </w:rPr>
        <w:t>质量</w:t>
      </w:r>
      <w:r>
        <w:rPr>
          <w:rFonts w:hint="eastAsia" w:asciiTheme="minorEastAsia" w:hAnsiTheme="minorEastAsia" w:eastAsiaTheme="minorEastAsia"/>
          <w:color w:val="auto"/>
          <w:highlight w:val="none"/>
          <w:u w:val="single"/>
        </w:rPr>
        <w:t>等级等标准达不</w:t>
      </w:r>
      <w:r>
        <w:rPr>
          <w:rFonts w:hint="eastAsia" w:ascii="宋体" w:hAnsi="宋体"/>
          <w:color w:val="auto"/>
          <w:highlight w:val="none"/>
          <w:u w:val="single"/>
        </w:rPr>
        <w:t>到招标文件要求，不得使用</w:t>
      </w:r>
      <w:bookmarkEnd w:id="560"/>
      <w:r>
        <w:rPr>
          <w:rFonts w:hint="eastAsia" w:ascii="宋体" w:hAnsi="宋体"/>
          <w:color w:val="auto"/>
          <w:highlight w:val="none"/>
          <w:u w:val="single"/>
        </w:rPr>
        <w:t>。</w:t>
      </w:r>
      <w:r>
        <w:rPr>
          <w:rFonts w:hint="eastAsia" w:ascii="宋体" w:hAnsi="宋体"/>
          <w:bCs/>
          <w:color w:val="auto"/>
          <w:highlight w:val="none"/>
          <w:u w:val="single"/>
          <w:lang w:val="zh-CN"/>
        </w:rPr>
        <w:t xml:space="preserve"> 材料与工程设备由</w:t>
      </w:r>
      <w:r>
        <w:rPr>
          <w:rFonts w:hint="eastAsia" w:ascii="宋体" w:hAnsi="宋体"/>
          <w:color w:val="auto"/>
          <w:highlight w:val="none"/>
          <w:u w:val="single"/>
        </w:rPr>
        <w:t>承包人妥善保管,保管期间产生的费用由承包人承担</w:t>
      </w:r>
      <w:r>
        <w:rPr>
          <w:rFonts w:hint="eastAsia" w:ascii="宋体" w:hAnsi="宋体"/>
          <w:color w:val="auto"/>
          <w:highlight w:val="none"/>
        </w:rPr>
        <w:t>。</w:t>
      </w:r>
    </w:p>
    <w:p w14:paraId="7B0B8E98">
      <w:pPr>
        <w:keepNext/>
        <w:keepLines/>
        <w:spacing w:line="360" w:lineRule="auto"/>
        <w:outlineLvl w:val="2"/>
        <w:rPr>
          <w:rFonts w:ascii="宋体" w:hAnsi="宋体"/>
          <w:b/>
          <w:bCs/>
          <w:color w:val="auto"/>
          <w:highlight w:val="none"/>
          <w:lang w:val="zh-CN"/>
        </w:rPr>
      </w:pPr>
      <w:bookmarkStart w:id="561" w:name="_Toc407135236"/>
      <w:bookmarkEnd w:id="561"/>
      <w:bookmarkStart w:id="562" w:name="_Toc373227734"/>
      <w:bookmarkEnd w:id="562"/>
      <w:bookmarkStart w:id="563" w:name="_Toc28857"/>
      <w:bookmarkEnd w:id="563"/>
      <w:bookmarkStart w:id="564" w:name="_Toc389065300"/>
      <w:bookmarkEnd w:id="564"/>
      <w:bookmarkStart w:id="565" w:name="_Toc373478381"/>
      <w:r>
        <w:rPr>
          <w:rFonts w:ascii="宋体" w:hAnsi="宋体"/>
          <w:b/>
          <w:bCs/>
          <w:color w:val="auto"/>
          <w:highlight w:val="none"/>
          <w:lang w:val="zh-CN"/>
        </w:rPr>
        <w:t xml:space="preserve">8.6 </w:t>
      </w:r>
      <w:bookmarkEnd w:id="565"/>
      <w:r>
        <w:rPr>
          <w:rFonts w:hint="eastAsia" w:ascii="宋体" w:hAnsi="宋体"/>
          <w:b/>
          <w:bCs/>
          <w:color w:val="auto"/>
          <w:highlight w:val="none"/>
          <w:lang w:val="zh-CN"/>
        </w:rPr>
        <w:t>样品</w:t>
      </w:r>
    </w:p>
    <w:p w14:paraId="6E5940D3">
      <w:pPr>
        <w:autoSpaceDE w:val="0"/>
        <w:autoSpaceDN w:val="0"/>
        <w:adjustRightInd w:val="0"/>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8.6.1 </w:t>
      </w:r>
      <w:r>
        <w:rPr>
          <w:rFonts w:hint="eastAsia" w:ascii="宋体" w:hAnsi="宋体"/>
          <w:color w:val="auto"/>
          <w:kern w:val="0"/>
          <w:highlight w:val="none"/>
        </w:rPr>
        <w:t>样品的报送与封存</w:t>
      </w:r>
    </w:p>
    <w:p w14:paraId="58E2D1C2">
      <w:pPr>
        <w:autoSpaceDE w:val="0"/>
        <w:autoSpaceDN w:val="0"/>
        <w:adjustRightInd w:val="0"/>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需要承包人报送样品的材料或工程设备，样品的种类、名称、规格、数量要求：</w:t>
      </w:r>
      <w:bookmarkStart w:id="566" w:name="_Toc407135237"/>
      <w:bookmarkEnd w:id="566"/>
      <w:bookmarkStart w:id="567" w:name="_Toc389065301"/>
      <w:bookmarkEnd w:id="567"/>
      <w:bookmarkStart w:id="568" w:name="_Toc2018"/>
      <w:bookmarkEnd w:id="568"/>
      <w:bookmarkStart w:id="569" w:name="_Toc373227735"/>
      <w:bookmarkEnd w:id="569"/>
      <w:bookmarkStart w:id="570" w:name="_Toc373478382"/>
      <w:r>
        <w:rPr>
          <w:rFonts w:hint="eastAsia" w:ascii="宋体" w:hAnsi="宋体"/>
          <w:color w:val="auto"/>
          <w:highlight w:val="none"/>
          <w:u w:val="single"/>
        </w:rPr>
        <w:t>主要材料(设备)明细表中列明的材料及设备,由发包人、监理人认可后方可供货至现场;材料进场后由采购人、监理单位、施工单位共同验收,如不能确定其质</w:t>
      </w:r>
      <w:r>
        <w:rPr>
          <w:rFonts w:hint="eastAsia" w:ascii="宋体" w:hAnsi="宋体"/>
          <w:color w:val="auto"/>
          <w:kern w:val="0"/>
          <w:highlight w:val="none"/>
          <w:u w:val="single"/>
        </w:rPr>
        <w:t>量的</w:t>
      </w:r>
      <w:r>
        <w:rPr>
          <w:rFonts w:hint="eastAsia" w:ascii="宋体" w:hAnsi="宋体"/>
          <w:color w:val="auto"/>
          <w:kern w:val="0"/>
          <w:highlight w:val="none"/>
        </w:rPr>
        <w:t>，</w:t>
      </w:r>
      <w:r>
        <w:rPr>
          <w:rFonts w:hint="eastAsia" w:ascii="宋体" w:hAnsi="宋体"/>
          <w:color w:val="auto"/>
          <w:highlight w:val="none"/>
          <w:u w:val="single"/>
        </w:rPr>
        <w:t>由监理单位进行抽样报送检测部门检验合格后方可使用。</w:t>
      </w:r>
    </w:p>
    <w:p w14:paraId="7064A914">
      <w:pPr>
        <w:autoSpaceDE w:val="0"/>
        <w:autoSpaceDN w:val="0"/>
        <w:adjustRightInd w:val="0"/>
        <w:spacing w:line="360" w:lineRule="auto"/>
        <w:jc w:val="left"/>
        <w:rPr>
          <w:rFonts w:ascii="宋体" w:hAnsi="宋体"/>
          <w:b/>
          <w:bCs/>
          <w:color w:val="auto"/>
          <w:highlight w:val="none"/>
          <w:lang w:val="zh-CN"/>
        </w:rPr>
      </w:pPr>
      <w:r>
        <w:rPr>
          <w:rFonts w:ascii="宋体" w:hAnsi="宋体"/>
          <w:b/>
          <w:bCs/>
          <w:color w:val="auto"/>
          <w:highlight w:val="none"/>
          <w:lang w:val="zh-CN"/>
        </w:rPr>
        <w:t xml:space="preserve">8.8 </w:t>
      </w:r>
      <w:bookmarkEnd w:id="570"/>
      <w:r>
        <w:rPr>
          <w:rFonts w:hint="eastAsia" w:ascii="宋体" w:hAnsi="宋体"/>
          <w:b/>
          <w:bCs/>
          <w:color w:val="auto"/>
          <w:highlight w:val="none"/>
          <w:lang w:val="zh-CN"/>
        </w:rPr>
        <w:t>施工设备和临时设施</w:t>
      </w:r>
    </w:p>
    <w:p w14:paraId="6649487D">
      <w:pPr>
        <w:spacing w:line="360" w:lineRule="auto"/>
        <w:ind w:firstLine="420"/>
        <w:jc w:val="left"/>
        <w:rPr>
          <w:rFonts w:ascii="宋体" w:hAnsi="宋体"/>
          <w:color w:val="auto"/>
          <w:highlight w:val="none"/>
        </w:rPr>
      </w:pPr>
      <w:bookmarkStart w:id="571" w:name="_Toc407135238"/>
      <w:bookmarkEnd w:id="571"/>
      <w:bookmarkStart w:id="572" w:name="_Toc373478383"/>
      <w:bookmarkEnd w:id="572"/>
      <w:bookmarkStart w:id="573" w:name="_Toc373227736"/>
      <w:bookmarkEnd w:id="573"/>
      <w:bookmarkStart w:id="574" w:name="_Toc389065302"/>
      <w:bookmarkEnd w:id="574"/>
      <w:bookmarkStart w:id="575" w:name="_Toc351203641"/>
      <w:bookmarkEnd w:id="575"/>
      <w:r>
        <w:rPr>
          <w:rFonts w:ascii="宋体" w:hAnsi="宋体"/>
          <w:color w:val="auto"/>
          <w:highlight w:val="none"/>
        </w:rPr>
        <w:t xml:space="preserve">8.8.1 </w:t>
      </w:r>
      <w:r>
        <w:rPr>
          <w:rFonts w:hint="eastAsia" w:ascii="宋体" w:hAnsi="宋体"/>
          <w:color w:val="auto"/>
          <w:highlight w:val="none"/>
        </w:rPr>
        <w:t>承包人提供的施工设备和临时设施</w:t>
      </w:r>
    </w:p>
    <w:p w14:paraId="7D7AE14A">
      <w:pPr>
        <w:spacing w:line="360" w:lineRule="auto"/>
        <w:ind w:firstLine="420"/>
        <w:rPr>
          <w:rFonts w:ascii="宋体" w:hAnsi="宋体"/>
          <w:color w:val="auto"/>
          <w:highlight w:val="none"/>
          <w:u w:val="single"/>
        </w:rPr>
      </w:pPr>
      <w:r>
        <w:rPr>
          <w:rFonts w:hint="eastAsia" w:ascii="宋体" w:hAnsi="宋体"/>
          <w:color w:val="auto"/>
          <w:highlight w:val="none"/>
        </w:rPr>
        <w:t>关于修建临时设施费用承担的约定：</w:t>
      </w:r>
      <w:r>
        <w:rPr>
          <w:rFonts w:hint="eastAsia" w:ascii="宋体" w:hAnsi="宋体"/>
          <w:color w:val="auto"/>
          <w:highlight w:val="none"/>
          <w:u w:val="single"/>
        </w:rPr>
        <w:t>①承包人的临时场所（含项目部驻地等）租用费（含拆迁补偿）、临时用地的环保、恢复、及地面附着物拆除等费用均由承包人负责，以上费用在投标报价中综合考虑。</w:t>
      </w:r>
    </w:p>
    <w:p w14:paraId="42D5184A">
      <w:pPr>
        <w:spacing w:line="360" w:lineRule="auto"/>
        <w:ind w:firstLine="420"/>
        <w:rPr>
          <w:rFonts w:ascii="宋体" w:hAnsi="宋体"/>
          <w:color w:val="auto"/>
          <w:highlight w:val="none"/>
          <w:u w:val="single"/>
        </w:rPr>
      </w:pPr>
      <w:r>
        <w:rPr>
          <w:rFonts w:hint="eastAsia" w:ascii="宋体" w:hAnsi="宋体"/>
          <w:color w:val="auto"/>
          <w:highlight w:val="none"/>
          <w:u w:val="single"/>
        </w:rPr>
        <w:t>②承包人负责合同实施期间其合同段内临时交通道路（含场内外连接公共交通道路）和交通设施的修建、维修、养护和交通管理工作，并承担一切费用。</w:t>
      </w:r>
    </w:p>
    <w:p w14:paraId="5B127A30">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③承包人修建的临时道路和交通设施，应免费提供给发包人、监理工程师和其他合同段的承包人使用</w:t>
      </w:r>
      <w:r>
        <w:rPr>
          <w:rFonts w:hint="eastAsia" w:ascii="宋体" w:hAnsi="宋体"/>
          <w:color w:val="auto"/>
          <w:highlight w:val="none"/>
        </w:rPr>
        <w:t>。</w:t>
      </w:r>
    </w:p>
    <w:p w14:paraId="66D3C069">
      <w:pPr>
        <w:autoSpaceDE w:val="0"/>
        <w:autoSpaceDN w:val="0"/>
        <w:adjustRightInd w:val="0"/>
        <w:spacing w:line="360" w:lineRule="auto"/>
        <w:ind w:firstLine="420" w:firstLineChars="200"/>
        <w:jc w:val="left"/>
        <w:rPr>
          <w:rFonts w:ascii="宋体" w:hAnsi="宋体"/>
          <w:color w:val="auto"/>
          <w:highlight w:val="none"/>
        </w:rPr>
      </w:pPr>
      <w:r>
        <w:rPr>
          <w:rFonts w:ascii="宋体" w:hAnsi="宋体"/>
          <w:color w:val="auto"/>
          <w:highlight w:val="none"/>
        </w:rPr>
        <w:t xml:space="preserve">8.8.2 </w:t>
      </w:r>
      <w:r>
        <w:rPr>
          <w:rFonts w:hint="eastAsia" w:ascii="宋体" w:hAnsi="宋体"/>
          <w:color w:val="auto"/>
          <w:highlight w:val="none"/>
        </w:rPr>
        <w:t>发包人提供的施工设备和临时设施</w:t>
      </w:r>
    </w:p>
    <w:p w14:paraId="2F7EEF79">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olor w:val="auto"/>
          <w:highlight w:val="none"/>
        </w:rPr>
        <w:t>发包人提供的施工设备和临时设施：</w:t>
      </w:r>
      <w:r>
        <w:rPr>
          <w:rFonts w:ascii="宋体" w:hAnsi="宋体"/>
          <w:color w:val="auto"/>
          <w:highlight w:val="none"/>
          <w:u w:val="single"/>
        </w:rPr>
        <w:t xml:space="preserve">           /        </w:t>
      </w:r>
      <w:r>
        <w:rPr>
          <w:rFonts w:hint="eastAsia" w:ascii="宋体" w:hAnsi="宋体"/>
          <w:color w:val="auto"/>
          <w:highlight w:val="none"/>
        </w:rPr>
        <w:t>。</w:t>
      </w:r>
    </w:p>
    <w:p w14:paraId="29730CCB">
      <w:pPr>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olor w:val="auto"/>
          <w:highlight w:val="none"/>
        </w:rPr>
        <w:t>发包人提供的施工设备和临时设施的运行、维护、拆除、清运费用的承担人：</w:t>
      </w:r>
      <w:r>
        <w:rPr>
          <w:rFonts w:hint="eastAsia" w:ascii="宋体" w:hAnsi="宋体"/>
          <w:color w:val="auto"/>
          <w:highlight w:val="none"/>
          <w:u w:val="single"/>
        </w:rPr>
        <w:t xml:space="preserve">  承包人负责费用  </w:t>
      </w:r>
      <w:r>
        <w:rPr>
          <w:rFonts w:hint="eastAsia" w:ascii="宋体" w:hAnsi="宋体"/>
          <w:color w:val="auto"/>
          <w:highlight w:val="none"/>
        </w:rPr>
        <w:t>。</w:t>
      </w:r>
    </w:p>
    <w:p w14:paraId="480ABE95">
      <w:pPr>
        <w:keepNext/>
        <w:keepLines/>
        <w:spacing w:before="60" w:after="60" w:line="413" w:lineRule="auto"/>
        <w:outlineLvl w:val="1"/>
        <w:rPr>
          <w:rFonts w:ascii="宋体" w:hAnsi="宋体"/>
          <w:b/>
          <w:bCs/>
          <w:color w:val="auto"/>
          <w:highlight w:val="none"/>
          <w:lang w:val="zh-CN"/>
        </w:rPr>
      </w:pPr>
      <w:bookmarkStart w:id="576" w:name="_Toc7145"/>
      <w:bookmarkEnd w:id="576"/>
      <w:r>
        <w:rPr>
          <w:rFonts w:ascii="宋体" w:hAnsi="宋体"/>
          <w:b/>
          <w:bCs/>
          <w:color w:val="auto"/>
          <w:highlight w:val="none"/>
          <w:lang w:val="zh-CN"/>
        </w:rPr>
        <w:t>9</w:t>
      </w:r>
      <w:bookmarkStart w:id="577" w:name="_Toc297120473"/>
      <w:bookmarkEnd w:id="577"/>
      <w:bookmarkStart w:id="578" w:name="_Toc297123533"/>
      <w:bookmarkEnd w:id="578"/>
      <w:bookmarkStart w:id="579" w:name="_Toc297048359"/>
      <w:bookmarkEnd w:id="579"/>
      <w:bookmarkStart w:id="580" w:name="_Toc304295559"/>
      <w:bookmarkEnd w:id="580"/>
      <w:bookmarkStart w:id="581" w:name="_Toc296944512"/>
      <w:bookmarkEnd w:id="581"/>
      <w:bookmarkStart w:id="582" w:name="_Toc312678021"/>
      <w:bookmarkEnd w:id="582"/>
      <w:bookmarkStart w:id="583" w:name="_Toc303539139"/>
      <w:bookmarkEnd w:id="583"/>
      <w:bookmarkStart w:id="584" w:name="_Toc296347172"/>
      <w:bookmarkEnd w:id="584"/>
      <w:bookmarkStart w:id="585" w:name="_Toc312677495"/>
      <w:bookmarkEnd w:id="585"/>
      <w:bookmarkStart w:id="586" w:name="_Toc267251428"/>
      <w:bookmarkEnd w:id="586"/>
      <w:bookmarkStart w:id="587" w:name="_Toc292559883"/>
      <w:bookmarkEnd w:id="587"/>
      <w:bookmarkStart w:id="588" w:name="_Toc296346674"/>
      <w:bookmarkEnd w:id="588"/>
      <w:bookmarkStart w:id="589" w:name="_Toc300934982"/>
      <w:bookmarkEnd w:id="589"/>
      <w:bookmarkStart w:id="590" w:name="_Toc296891001"/>
      <w:bookmarkEnd w:id="590"/>
      <w:bookmarkStart w:id="591" w:name="_Toc297216192"/>
      <w:bookmarkEnd w:id="591"/>
      <w:bookmarkStart w:id="592" w:name="_Toc267251427"/>
      <w:bookmarkEnd w:id="592"/>
      <w:bookmarkStart w:id="593" w:name="_Toc292559378"/>
      <w:bookmarkEnd w:id="593"/>
      <w:bookmarkStart w:id="594" w:name="_Toc296503173"/>
      <w:bookmarkEnd w:id="594"/>
      <w:bookmarkStart w:id="595" w:name="_Toc296891213"/>
      <w:r>
        <w:rPr>
          <w:rFonts w:ascii="宋体" w:hAnsi="宋体"/>
          <w:b/>
          <w:bCs/>
          <w:color w:val="auto"/>
          <w:highlight w:val="none"/>
          <w:lang w:val="zh-CN"/>
        </w:rPr>
        <w:t xml:space="preserve">. </w:t>
      </w:r>
      <w:bookmarkEnd w:id="595"/>
      <w:r>
        <w:rPr>
          <w:rFonts w:hint="eastAsia" w:ascii="宋体" w:hAnsi="宋体"/>
          <w:b/>
          <w:bCs/>
          <w:color w:val="auto"/>
          <w:highlight w:val="none"/>
          <w:lang w:val="zh-CN"/>
        </w:rPr>
        <w:t>试验与检验</w:t>
      </w:r>
    </w:p>
    <w:p w14:paraId="07FFE933">
      <w:pPr>
        <w:keepNext/>
        <w:keepLines/>
        <w:spacing w:line="360" w:lineRule="auto"/>
        <w:outlineLvl w:val="2"/>
        <w:rPr>
          <w:rFonts w:ascii="宋体" w:hAnsi="宋体"/>
          <w:b/>
          <w:bCs/>
          <w:color w:val="auto"/>
          <w:highlight w:val="none"/>
          <w:lang w:val="zh-CN"/>
        </w:rPr>
      </w:pPr>
      <w:bookmarkStart w:id="596" w:name="_Toc29377"/>
      <w:bookmarkEnd w:id="596"/>
      <w:bookmarkStart w:id="597" w:name="_Toc373478384"/>
      <w:bookmarkEnd w:id="597"/>
      <w:bookmarkStart w:id="598" w:name="_Toc407135239"/>
      <w:bookmarkEnd w:id="598"/>
      <w:bookmarkStart w:id="599" w:name="_Toc389065303"/>
      <w:bookmarkEnd w:id="599"/>
      <w:bookmarkStart w:id="600" w:name="_Toc373227737"/>
      <w:bookmarkEnd w:id="600"/>
      <w:r>
        <w:rPr>
          <w:rFonts w:ascii="宋体" w:hAnsi="宋体"/>
          <w:b/>
          <w:bCs/>
          <w:color w:val="auto"/>
          <w:highlight w:val="none"/>
          <w:lang w:val="zh-CN"/>
        </w:rPr>
        <w:t>9</w:t>
      </w:r>
      <w:bookmarkStart w:id="601" w:name="_Toc312677496"/>
      <w:bookmarkEnd w:id="601"/>
      <w:bookmarkStart w:id="602" w:name="_Toc303539140"/>
      <w:bookmarkEnd w:id="602"/>
      <w:bookmarkStart w:id="603" w:name="_Toc300934983"/>
      <w:bookmarkEnd w:id="603"/>
      <w:bookmarkStart w:id="604" w:name="_Toc312678022"/>
      <w:bookmarkEnd w:id="604"/>
      <w:bookmarkStart w:id="605" w:name="_Toc297123534"/>
      <w:bookmarkEnd w:id="605"/>
      <w:bookmarkStart w:id="606" w:name="_Toc304295560"/>
      <w:bookmarkEnd w:id="606"/>
      <w:bookmarkStart w:id="607" w:name="_Toc297216193"/>
      <w:r>
        <w:rPr>
          <w:rFonts w:ascii="宋体" w:hAnsi="宋体"/>
          <w:b/>
          <w:bCs/>
          <w:color w:val="auto"/>
          <w:highlight w:val="none"/>
          <w:lang w:val="zh-CN"/>
        </w:rPr>
        <w:t xml:space="preserve">.1 </w:t>
      </w:r>
      <w:bookmarkEnd w:id="607"/>
      <w:r>
        <w:rPr>
          <w:rFonts w:hint="eastAsia" w:ascii="宋体" w:hAnsi="宋体"/>
          <w:b/>
          <w:bCs/>
          <w:color w:val="auto"/>
          <w:highlight w:val="none"/>
          <w:lang w:val="zh-CN"/>
        </w:rPr>
        <w:t>试验设备与试验人员</w:t>
      </w:r>
    </w:p>
    <w:p w14:paraId="74C9F8AD">
      <w:pPr>
        <w:spacing w:line="360" w:lineRule="auto"/>
        <w:ind w:firstLine="420" w:firstLineChars="200"/>
        <w:jc w:val="left"/>
        <w:rPr>
          <w:rFonts w:ascii="宋体" w:hAnsi="宋体"/>
          <w:color w:val="auto"/>
          <w:highlight w:val="none"/>
        </w:rPr>
      </w:pPr>
      <w:r>
        <w:rPr>
          <w:rFonts w:ascii="宋体" w:hAnsi="宋体"/>
          <w:color w:val="auto"/>
          <w:highlight w:val="none"/>
        </w:rPr>
        <w:t>9</w:t>
      </w:r>
      <w:bookmarkStart w:id="608" w:name="_Toc297123535"/>
      <w:bookmarkEnd w:id="608"/>
      <w:bookmarkStart w:id="609" w:name="_Toc304295561"/>
      <w:bookmarkEnd w:id="609"/>
      <w:bookmarkStart w:id="610" w:name="_Toc297216194"/>
      <w:bookmarkEnd w:id="610"/>
      <w:bookmarkStart w:id="611" w:name="_Toc312678023"/>
      <w:bookmarkEnd w:id="611"/>
      <w:bookmarkStart w:id="612" w:name="_Toc312677497"/>
      <w:bookmarkEnd w:id="612"/>
      <w:bookmarkStart w:id="613" w:name="_Toc303539141"/>
      <w:bookmarkEnd w:id="613"/>
      <w:bookmarkStart w:id="614" w:name="_Toc300934984"/>
      <w:bookmarkEnd w:id="614"/>
      <w:bookmarkStart w:id="615" w:name="_Toc318581174"/>
      <w:r>
        <w:rPr>
          <w:rFonts w:ascii="宋体" w:hAnsi="宋体"/>
          <w:color w:val="auto"/>
          <w:highlight w:val="none"/>
        </w:rPr>
        <w:t xml:space="preserve">.1.2 </w:t>
      </w:r>
      <w:bookmarkEnd w:id="615"/>
      <w:r>
        <w:rPr>
          <w:rFonts w:hint="eastAsia" w:ascii="宋体" w:hAnsi="宋体"/>
          <w:color w:val="auto"/>
          <w:highlight w:val="none"/>
        </w:rPr>
        <w:t>试验设备</w:t>
      </w:r>
    </w:p>
    <w:p w14:paraId="6D3950AE">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施工现场需要配置的试验场所：</w:t>
      </w:r>
      <w:bookmarkStart w:id="616" w:name="_Toc304295562"/>
      <w:bookmarkEnd w:id="616"/>
      <w:bookmarkStart w:id="617" w:name="_Toc297216195"/>
      <w:bookmarkEnd w:id="617"/>
      <w:bookmarkStart w:id="618" w:name="_Toc312678024"/>
      <w:bookmarkEnd w:id="618"/>
      <w:bookmarkStart w:id="619" w:name="_Toc297123536"/>
      <w:bookmarkEnd w:id="619"/>
      <w:bookmarkStart w:id="620" w:name="_Toc303539142"/>
      <w:bookmarkEnd w:id="620"/>
      <w:bookmarkStart w:id="621" w:name="_Toc312677498"/>
      <w:bookmarkEnd w:id="621"/>
      <w:bookmarkStart w:id="622" w:name="_Toc300934985"/>
      <w:bookmarkEnd w:id="622"/>
      <w:r>
        <w:rPr>
          <w:rFonts w:hint="eastAsia" w:ascii="宋体" w:hAnsi="宋体"/>
          <w:color w:val="auto"/>
          <w:highlight w:val="none"/>
          <w:u w:val="single"/>
        </w:rPr>
        <w:t>按相关规定执行，由承包人提供</w:t>
      </w:r>
      <w:r>
        <w:rPr>
          <w:rFonts w:hint="eastAsia" w:ascii="宋体" w:hAnsi="宋体"/>
          <w:color w:val="auto"/>
          <w:highlight w:val="none"/>
        </w:rPr>
        <w:t>。</w:t>
      </w:r>
    </w:p>
    <w:p w14:paraId="6E7DE3E8">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施工现场需要配备的试验设备：</w:t>
      </w:r>
      <w:r>
        <w:rPr>
          <w:rFonts w:hint="eastAsia" w:ascii="宋体" w:hAnsi="宋体"/>
          <w:color w:val="auto"/>
          <w:highlight w:val="none"/>
          <w:u w:val="single"/>
        </w:rPr>
        <w:t>按相关规定执行，由承包人提供</w:t>
      </w:r>
      <w:r>
        <w:rPr>
          <w:rFonts w:hint="eastAsia" w:ascii="宋体" w:hAnsi="宋体"/>
          <w:color w:val="auto"/>
          <w:highlight w:val="none"/>
        </w:rPr>
        <w:t>。</w:t>
      </w:r>
    </w:p>
    <w:p w14:paraId="5F56C902">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施工现场需要具备的其他试验条件：</w:t>
      </w:r>
      <w:r>
        <w:rPr>
          <w:rFonts w:hint="eastAsia" w:ascii="宋体" w:hAnsi="宋体"/>
          <w:color w:val="auto"/>
          <w:highlight w:val="none"/>
          <w:u w:val="single"/>
        </w:rPr>
        <w:t>按相关规定执行，由承包人提供</w:t>
      </w:r>
      <w:r>
        <w:rPr>
          <w:rFonts w:hint="eastAsia" w:ascii="宋体" w:hAnsi="宋体"/>
          <w:color w:val="auto"/>
          <w:highlight w:val="none"/>
        </w:rPr>
        <w:t>。</w:t>
      </w:r>
    </w:p>
    <w:p w14:paraId="26CE29E3">
      <w:pPr>
        <w:keepNext/>
        <w:keepLines/>
        <w:spacing w:line="360" w:lineRule="auto"/>
        <w:outlineLvl w:val="2"/>
        <w:rPr>
          <w:rFonts w:ascii="宋体" w:hAnsi="宋体"/>
          <w:b/>
          <w:bCs/>
          <w:color w:val="auto"/>
          <w:highlight w:val="none"/>
          <w:lang w:val="zh-CN"/>
        </w:rPr>
      </w:pPr>
      <w:bookmarkStart w:id="623" w:name="_Toc389065304"/>
      <w:bookmarkEnd w:id="623"/>
      <w:bookmarkStart w:id="624" w:name="_Toc373227738"/>
      <w:bookmarkEnd w:id="624"/>
      <w:bookmarkStart w:id="625" w:name="_Toc407135240"/>
      <w:bookmarkEnd w:id="625"/>
      <w:bookmarkStart w:id="626" w:name="_Toc373478385"/>
      <w:r>
        <w:rPr>
          <w:rFonts w:ascii="宋体" w:hAnsi="宋体"/>
          <w:b/>
          <w:bCs/>
          <w:color w:val="auto"/>
          <w:highlight w:val="none"/>
          <w:lang w:val="zh-CN"/>
        </w:rPr>
        <w:t xml:space="preserve">9.4 </w:t>
      </w:r>
      <w:bookmarkEnd w:id="626"/>
      <w:r>
        <w:rPr>
          <w:rFonts w:hint="eastAsia" w:ascii="宋体" w:hAnsi="宋体"/>
          <w:b/>
          <w:bCs/>
          <w:color w:val="auto"/>
          <w:highlight w:val="none"/>
          <w:lang w:val="zh-CN"/>
        </w:rPr>
        <w:t>现场工艺试验</w:t>
      </w:r>
    </w:p>
    <w:p w14:paraId="50CD84A9">
      <w:pPr>
        <w:spacing w:line="360" w:lineRule="auto"/>
        <w:ind w:firstLine="420" w:firstLineChars="200"/>
        <w:jc w:val="left"/>
        <w:rPr>
          <w:rFonts w:ascii="宋体" w:hAnsi="宋体"/>
          <w:color w:val="auto"/>
          <w:highlight w:val="none"/>
        </w:rPr>
      </w:pPr>
      <w:r>
        <w:rPr>
          <w:rFonts w:hint="eastAsia" w:ascii="宋体" w:hAnsi="宋体"/>
          <w:color w:val="auto"/>
          <w:highlight w:val="none"/>
        </w:rPr>
        <w:t>现场工艺试验的有关约定：</w:t>
      </w:r>
      <w:r>
        <w:rPr>
          <w:rFonts w:hint="eastAsia" w:ascii="宋体" w:hAnsi="宋体"/>
          <w:color w:val="auto"/>
          <w:highlight w:val="none"/>
          <w:u w:val="single"/>
        </w:rPr>
        <w:t>按《通用合同条款》</w:t>
      </w:r>
      <w:r>
        <w:rPr>
          <w:rFonts w:ascii="宋体" w:hAnsi="宋体"/>
          <w:color w:val="auto"/>
          <w:highlight w:val="none"/>
          <w:u w:val="single"/>
        </w:rPr>
        <w:t>9.4</w:t>
      </w:r>
      <w:r>
        <w:rPr>
          <w:rFonts w:hint="eastAsia" w:ascii="宋体" w:hAnsi="宋体"/>
          <w:color w:val="auto"/>
          <w:highlight w:val="none"/>
          <w:u w:val="single"/>
        </w:rPr>
        <w:t>条执行</w:t>
      </w:r>
      <w:r>
        <w:rPr>
          <w:rFonts w:hint="eastAsia" w:ascii="宋体" w:hAnsi="宋体"/>
          <w:color w:val="auto"/>
          <w:highlight w:val="none"/>
        </w:rPr>
        <w:t>。</w:t>
      </w:r>
    </w:p>
    <w:p w14:paraId="60FACD74">
      <w:pPr>
        <w:keepNext/>
        <w:keepLines/>
        <w:spacing w:line="360" w:lineRule="auto"/>
        <w:outlineLvl w:val="2"/>
        <w:rPr>
          <w:rFonts w:ascii="宋体" w:hAnsi="宋体"/>
          <w:b/>
          <w:bCs/>
          <w:color w:val="auto"/>
          <w:highlight w:val="none"/>
          <w:lang w:val="zh-CN"/>
        </w:rPr>
      </w:pPr>
      <w:bookmarkStart w:id="627" w:name="_Toc407135241"/>
      <w:bookmarkEnd w:id="627"/>
      <w:bookmarkStart w:id="628" w:name="_Toc18997"/>
      <w:bookmarkEnd w:id="628"/>
      <w:bookmarkStart w:id="629" w:name="OLE_LINK1"/>
      <w:r>
        <w:rPr>
          <w:rFonts w:ascii="宋体" w:hAnsi="宋体"/>
          <w:b/>
          <w:bCs/>
          <w:color w:val="auto"/>
          <w:highlight w:val="none"/>
          <w:lang w:val="zh-CN"/>
        </w:rPr>
        <w:t xml:space="preserve">9.5 </w:t>
      </w:r>
      <w:bookmarkEnd w:id="629"/>
      <w:r>
        <w:rPr>
          <w:rFonts w:hint="eastAsia" w:ascii="宋体" w:hAnsi="宋体"/>
          <w:b/>
          <w:bCs/>
          <w:color w:val="auto"/>
          <w:highlight w:val="none"/>
          <w:lang w:val="zh-CN"/>
        </w:rPr>
        <w:t>检验费用</w:t>
      </w:r>
    </w:p>
    <w:p w14:paraId="37BA6639">
      <w:pPr>
        <w:spacing w:line="360" w:lineRule="auto"/>
        <w:ind w:firstLine="411" w:firstLineChars="196"/>
        <w:rPr>
          <w:rFonts w:ascii="宋体" w:hAnsi="宋体"/>
          <w:color w:val="auto"/>
          <w:highlight w:val="none"/>
        </w:rPr>
      </w:pPr>
      <w:r>
        <w:rPr>
          <w:rFonts w:hint="eastAsia" w:ascii="宋体" w:hAnsi="宋体"/>
          <w:color w:val="auto"/>
          <w:highlight w:val="none"/>
        </w:rPr>
        <w:t>根据《建设工程质量检测管理办法》（建设部令第</w:t>
      </w:r>
      <w:r>
        <w:rPr>
          <w:rFonts w:ascii="宋体" w:hAnsi="宋体"/>
          <w:color w:val="auto"/>
          <w:highlight w:val="none"/>
        </w:rPr>
        <w:t>141</w:t>
      </w:r>
      <w:r>
        <w:rPr>
          <w:rFonts w:hint="eastAsia" w:ascii="宋体" w:hAnsi="宋体"/>
          <w:color w:val="auto"/>
          <w:highlight w:val="none"/>
        </w:rPr>
        <w:t>号）以及《广西壮族自治区建设工程质量检测管理规定》（桂建管〔</w:t>
      </w:r>
      <w:r>
        <w:rPr>
          <w:rFonts w:ascii="宋体" w:hAnsi="宋体"/>
          <w:color w:val="auto"/>
          <w:highlight w:val="none"/>
        </w:rPr>
        <w:t>2013</w:t>
      </w:r>
      <w:r>
        <w:rPr>
          <w:rFonts w:hint="eastAsia" w:ascii="宋体" w:hAnsi="宋体"/>
          <w:color w:val="auto"/>
          <w:highlight w:val="none"/>
        </w:rPr>
        <w:t>〕</w:t>
      </w:r>
      <w:r>
        <w:rPr>
          <w:rFonts w:ascii="宋体" w:hAnsi="宋体"/>
          <w:color w:val="auto"/>
          <w:highlight w:val="none"/>
        </w:rPr>
        <w:t>11</w:t>
      </w:r>
      <w:r>
        <w:rPr>
          <w:rFonts w:hint="eastAsia" w:ascii="宋体" w:hAnsi="宋体"/>
          <w:color w:val="auto"/>
          <w:highlight w:val="none"/>
        </w:rPr>
        <w:t>号）规定，工程质量检测业务由发包人委托有相应资质的检测机构检测。费用从发包人的项目建设经费中支出并直接支付给检测机构，不计入合同价款内。</w:t>
      </w:r>
    </w:p>
    <w:p w14:paraId="3A0857DD">
      <w:pPr>
        <w:keepNext/>
        <w:keepLines/>
        <w:spacing w:before="60" w:after="60" w:line="413" w:lineRule="auto"/>
        <w:outlineLvl w:val="1"/>
        <w:rPr>
          <w:rFonts w:ascii="宋体" w:hAnsi="宋体"/>
          <w:b/>
          <w:bCs/>
          <w:color w:val="auto"/>
          <w:highlight w:val="none"/>
          <w:lang w:val="zh-CN"/>
        </w:rPr>
      </w:pPr>
      <w:bookmarkStart w:id="630" w:name="_Toc16275"/>
      <w:bookmarkEnd w:id="630"/>
      <w:bookmarkStart w:id="631" w:name="_Toc407135242"/>
      <w:bookmarkEnd w:id="631"/>
      <w:bookmarkStart w:id="632" w:name="_Toc389065305"/>
      <w:bookmarkEnd w:id="632"/>
      <w:bookmarkStart w:id="633" w:name="_Toc351203642"/>
      <w:bookmarkEnd w:id="633"/>
      <w:bookmarkStart w:id="634" w:name="_Toc373227739"/>
      <w:bookmarkEnd w:id="634"/>
      <w:bookmarkStart w:id="635" w:name="_Toc373478386"/>
      <w:bookmarkEnd w:id="635"/>
      <w:r>
        <w:rPr>
          <w:rFonts w:ascii="宋体" w:hAnsi="宋体"/>
          <w:b/>
          <w:bCs/>
          <w:color w:val="auto"/>
          <w:highlight w:val="none"/>
          <w:lang w:val="zh-CN"/>
        </w:rPr>
        <w:t>1</w:t>
      </w:r>
      <w:bookmarkStart w:id="636" w:name="_Toc296347192"/>
      <w:bookmarkEnd w:id="636"/>
      <w:bookmarkStart w:id="637" w:name="_Toc304295566"/>
      <w:bookmarkEnd w:id="637"/>
      <w:bookmarkStart w:id="638" w:name="_Toc296944532"/>
      <w:bookmarkEnd w:id="638"/>
      <w:bookmarkStart w:id="639" w:name="_Toc267251440"/>
      <w:bookmarkEnd w:id="639"/>
      <w:bookmarkStart w:id="640" w:name="_Toc267251441"/>
      <w:bookmarkEnd w:id="640"/>
      <w:bookmarkStart w:id="641" w:name="_Toc267251433"/>
      <w:bookmarkEnd w:id="641"/>
      <w:bookmarkStart w:id="642" w:name="_Toc312677499"/>
      <w:bookmarkEnd w:id="642"/>
      <w:bookmarkStart w:id="643" w:name="_Toc297120493"/>
      <w:bookmarkEnd w:id="643"/>
      <w:bookmarkStart w:id="644" w:name="_Toc312678025"/>
      <w:bookmarkEnd w:id="644"/>
      <w:bookmarkStart w:id="645" w:name="_Toc296346694"/>
      <w:bookmarkEnd w:id="645"/>
      <w:bookmarkStart w:id="646" w:name="_Toc292559903"/>
      <w:bookmarkEnd w:id="646"/>
      <w:bookmarkStart w:id="647" w:name="_Toc267251442"/>
      <w:bookmarkEnd w:id="647"/>
      <w:bookmarkStart w:id="648" w:name="_Toc300934989"/>
      <w:bookmarkEnd w:id="648"/>
      <w:bookmarkStart w:id="649" w:name="_Toc296503193"/>
      <w:bookmarkEnd w:id="649"/>
      <w:bookmarkStart w:id="650" w:name="_Toc297123540"/>
      <w:bookmarkEnd w:id="650"/>
      <w:bookmarkStart w:id="651" w:name="_Toc297216199"/>
      <w:bookmarkEnd w:id="651"/>
      <w:bookmarkStart w:id="652" w:name="_Toc267251435"/>
      <w:bookmarkEnd w:id="652"/>
      <w:bookmarkStart w:id="653" w:name="_Toc296891021"/>
      <w:bookmarkEnd w:id="653"/>
      <w:bookmarkStart w:id="654" w:name="_Toc296891233"/>
      <w:bookmarkEnd w:id="654"/>
      <w:bookmarkStart w:id="655" w:name="_Toc267251439"/>
      <w:bookmarkEnd w:id="655"/>
      <w:bookmarkStart w:id="656" w:name="_Toc303539146"/>
      <w:bookmarkEnd w:id="656"/>
      <w:bookmarkStart w:id="657" w:name="_Toc297048379"/>
      <w:bookmarkEnd w:id="657"/>
      <w:bookmarkStart w:id="658" w:name="_Toc292559398"/>
      <w:bookmarkEnd w:id="658"/>
      <w:bookmarkStart w:id="659" w:name="_Toc267251437"/>
      <w:r>
        <w:rPr>
          <w:rFonts w:ascii="宋体" w:hAnsi="宋体"/>
          <w:b/>
          <w:bCs/>
          <w:color w:val="auto"/>
          <w:highlight w:val="none"/>
          <w:lang w:val="zh-CN"/>
        </w:rPr>
        <w:t xml:space="preserve">0. </w:t>
      </w:r>
      <w:bookmarkEnd w:id="659"/>
      <w:r>
        <w:rPr>
          <w:rFonts w:hint="eastAsia" w:ascii="宋体" w:hAnsi="宋体"/>
          <w:b/>
          <w:bCs/>
          <w:color w:val="auto"/>
          <w:highlight w:val="none"/>
          <w:lang w:val="zh-CN"/>
        </w:rPr>
        <w:t>变更</w:t>
      </w:r>
    </w:p>
    <w:p w14:paraId="7AF01E55">
      <w:pPr>
        <w:keepNext/>
        <w:keepLines/>
        <w:spacing w:line="360" w:lineRule="auto"/>
        <w:outlineLvl w:val="2"/>
        <w:rPr>
          <w:rFonts w:ascii="宋体" w:hAnsi="宋体"/>
          <w:b/>
          <w:bCs/>
          <w:color w:val="auto"/>
          <w:highlight w:val="none"/>
          <w:lang w:val="zh-CN"/>
        </w:rPr>
      </w:pPr>
      <w:bookmarkStart w:id="660" w:name="_Toc389065306"/>
      <w:bookmarkEnd w:id="660"/>
      <w:bookmarkStart w:id="661" w:name="_Toc9754"/>
      <w:bookmarkEnd w:id="661"/>
      <w:bookmarkStart w:id="662" w:name="_Toc407135243"/>
      <w:bookmarkEnd w:id="662"/>
      <w:bookmarkStart w:id="663" w:name="_Toc373227740"/>
      <w:bookmarkEnd w:id="663"/>
      <w:bookmarkStart w:id="664" w:name="_Toc373478387"/>
      <w:r>
        <w:rPr>
          <w:rFonts w:ascii="宋体" w:hAnsi="宋体"/>
          <w:b/>
          <w:bCs/>
          <w:color w:val="auto"/>
          <w:highlight w:val="none"/>
          <w:lang w:val="zh-CN"/>
        </w:rPr>
        <w:t>1</w:t>
      </w:r>
      <w:bookmarkEnd w:id="664"/>
      <w:bookmarkStart w:id="665" w:name="_Toc297123541"/>
      <w:bookmarkEnd w:id="665"/>
      <w:bookmarkStart w:id="666" w:name="_Toc292559904"/>
      <w:bookmarkEnd w:id="666"/>
      <w:bookmarkStart w:id="667" w:name="_Toc296503194"/>
      <w:bookmarkEnd w:id="667"/>
      <w:bookmarkStart w:id="668" w:name="_Toc296944533"/>
      <w:bookmarkEnd w:id="668"/>
      <w:bookmarkStart w:id="669" w:name="_Toc300934990"/>
      <w:bookmarkEnd w:id="669"/>
      <w:bookmarkStart w:id="670" w:name="_Toc297120494"/>
      <w:bookmarkEnd w:id="670"/>
      <w:bookmarkStart w:id="671" w:name="_Toc296346695"/>
      <w:bookmarkEnd w:id="671"/>
      <w:bookmarkStart w:id="672" w:name="_Toc296891234"/>
      <w:bookmarkEnd w:id="672"/>
      <w:bookmarkStart w:id="673" w:name="_Toc296347193"/>
      <w:bookmarkEnd w:id="673"/>
      <w:bookmarkStart w:id="674" w:name="_Toc304295567"/>
      <w:bookmarkEnd w:id="674"/>
      <w:bookmarkStart w:id="675" w:name="_Toc312678026"/>
      <w:bookmarkEnd w:id="675"/>
      <w:bookmarkStart w:id="676" w:name="_Toc297048380"/>
      <w:bookmarkEnd w:id="676"/>
      <w:bookmarkStart w:id="677" w:name="_Toc303539147"/>
      <w:bookmarkEnd w:id="677"/>
      <w:bookmarkStart w:id="678" w:name="_Toc312677500"/>
      <w:bookmarkEnd w:id="678"/>
      <w:bookmarkStart w:id="679" w:name="_Toc292559399"/>
      <w:bookmarkEnd w:id="679"/>
      <w:bookmarkStart w:id="680" w:name="_Toc296891022"/>
      <w:bookmarkEnd w:id="680"/>
      <w:bookmarkStart w:id="681" w:name="_Toc297216200"/>
      <w:r>
        <w:rPr>
          <w:rFonts w:ascii="宋体" w:hAnsi="宋体"/>
          <w:b/>
          <w:bCs/>
          <w:color w:val="auto"/>
          <w:highlight w:val="none"/>
          <w:lang w:val="zh-CN"/>
        </w:rPr>
        <w:t xml:space="preserve">0.1 </w:t>
      </w:r>
      <w:bookmarkEnd w:id="681"/>
      <w:r>
        <w:rPr>
          <w:rFonts w:hint="eastAsia" w:ascii="宋体" w:hAnsi="宋体"/>
          <w:b/>
          <w:bCs/>
          <w:color w:val="auto"/>
          <w:highlight w:val="none"/>
          <w:lang w:val="zh-CN"/>
        </w:rPr>
        <w:t>变更的范围</w:t>
      </w:r>
    </w:p>
    <w:p w14:paraId="0E59FC62">
      <w:pPr>
        <w:spacing w:line="360" w:lineRule="auto"/>
        <w:ind w:firstLine="426"/>
        <w:jc w:val="left"/>
        <w:rPr>
          <w:rFonts w:ascii="宋体" w:hAnsi="宋体"/>
          <w:color w:val="auto"/>
          <w:highlight w:val="none"/>
        </w:rPr>
      </w:pPr>
      <w:r>
        <w:rPr>
          <w:rFonts w:hint="eastAsia" w:ascii="宋体" w:hAnsi="宋体"/>
          <w:color w:val="auto"/>
          <w:highlight w:val="none"/>
        </w:rPr>
        <w:t>关于变更的范围的约定：</w:t>
      </w:r>
      <w:r>
        <w:rPr>
          <w:rFonts w:hint="eastAsia" w:ascii="宋体" w:hAnsi="宋体"/>
          <w:color w:val="auto"/>
          <w:highlight w:val="none"/>
          <w:u w:val="single"/>
        </w:rPr>
        <w:t>设计变更</w:t>
      </w:r>
      <w:r>
        <w:rPr>
          <w:rFonts w:hint="eastAsia" w:ascii="宋体" w:hAnsi="宋体"/>
          <w:color w:val="auto"/>
          <w:highlight w:val="none"/>
        </w:rPr>
        <w:t>。</w:t>
      </w:r>
    </w:p>
    <w:p w14:paraId="06D01292">
      <w:pPr>
        <w:spacing w:line="360" w:lineRule="auto"/>
        <w:ind w:firstLine="426"/>
        <w:jc w:val="left"/>
        <w:rPr>
          <w:rFonts w:ascii="宋体" w:hAnsi="宋体"/>
          <w:color w:val="auto"/>
          <w:highlight w:val="none"/>
        </w:rPr>
      </w:pPr>
      <w:r>
        <w:rPr>
          <w:rFonts w:hint="eastAsia" w:ascii="宋体" w:hAnsi="宋体"/>
          <w:color w:val="auto"/>
          <w:highlight w:val="none"/>
        </w:rPr>
        <w:t>所发生的工程设计变更,应由发包人驻工地代表根据授权的范围内与设计单位签字认可后,发生的工程量变更由发包人驻工地代表和现场的监理工程师承包方共同签字认可。合同履行中承包人不得要求变更工程质量标准及发生其他实质性变更。发包人根据工程实际情况,可以对工程中个别工程内容进行增减。</w:t>
      </w:r>
    </w:p>
    <w:p w14:paraId="0BF3B000">
      <w:pPr>
        <w:keepNext/>
        <w:keepLines/>
        <w:spacing w:line="360" w:lineRule="auto"/>
        <w:outlineLvl w:val="2"/>
        <w:rPr>
          <w:rFonts w:ascii="宋体" w:hAnsi="宋体"/>
          <w:b/>
          <w:bCs/>
          <w:color w:val="auto"/>
          <w:highlight w:val="none"/>
          <w:lang w:val="zh-CN"/>
        </w:rPr>
      </w:pPr>
      <w:bookmarkStart w:id="682" w:name="_Toc373227741"/>
      <w:bookmarkEnd w:id="682"/>
      <w:bookmarkStart w:id="683" w:name="_Toc373478388"/>
      <w:bookmarkEnd w:id="683"/>
      <w:bookmarkStart w:id="684" w:name="_Toc407135244"/>
      <w:bookmarkEnd w:id="684"/>
      <w:bookmarkStart w:id="685" w:name="_Toc389065307"/>
      <w:bookmarkEnd w:id="685"/>
      <w:bookmarkStart w:id="686" w:name="_Toc1870"/>
      <w:r>
        <w:rPr>
          <w:rFonts w:ascii="宋体" w:hAnsi="宋体"/>
          <w:b/>
          <w:bCs/>
          <w:color w:val="auto"/>
          <w:highlight w:val="none"/>
          <w:lang w:val="zh-CN"/>
        </w:rPr>
        <w:t xml:space="preserve">10.3 </w:t>
      </w:r>
      <w:bookmarkEnd w:id="686"/>
      <w:r>
        <w:rPr>
          <w:rFonts w:hint="eastAsia" w:ascii="宋体" w:hAnsi="宋体"/>
          <w:b/>
          <w:bCs/>
          <w:color w:val="auto"/>
          <w:highlight w:val="none"/>
          <w:lang w:val="zh-CN"/>
        </w:rPr>
        <w:t>变更程序</w:t>
      </w:r>
    </w:p>
    <w:p w14:paraId="7C225A44">
      <w:pPr>
        <w:spacing w:line="360" w:lineRule="auto"/>
        <w:ind w:firstLine="441" w:firstLineChars="210"/>
        <w:rPr>
          <w:rFonts w:ascii="宋体" w:hAnsi="宋体"/>
          <w:color w:val="auto"/>
          <w:highlight w:val="none"/>
        </w:rPr>
      </w:pPr>
      <w:r>
        <w:rPr>
          <w:rFonts w:ascii="宋体" w:hAnsi="宋体"/>
          <w:color w:val="auto"/>
          <w:highlight w:val="none"/>
        </w:rPr>
        <w:t>10.3.1</w:t>
      </w:r>
      <w:r>
        <w:rPr>
          <w:rFonts w:hint="eastAsia" w:ascii="宋体" w:hAnsi="宋体"/>
          <w:color w:val="auto"/>
          <w:highlight w:val="none"/>
        </w:rPr>
        <w:t>国有投资项目：</w:t>
      </w:r>
    </w:p>
    <w:p w14:paraId="1FA8F55E">
      <w:pPr>
        <w:spacing w:line="360" w:lineRule="auto"/>
        <w:ind w:firstLine="441" w:firstLineChars="210"/>
        <w:rPr>
          <w:rFonts w:ascii="宋体" w:hAnsi="宋体"/>
          <w:color w:val="auto"/>
          <w:highlight w:val="none"/>
        </w:rPr>
      </w:pPr>
      <w:r>
        <w:rPr>
          <w:rFonts w:hint="eastAsia" w:ascii="宋体" w:hAnsi="宋体"/>
          <w:color w:val="auto"/>
          <w:highlight w:val="none"/>
        </w:rPr>
        <w:t>⑴设计变更和工程签证，按政府相关部门或发包人的上级相关部门的规定办理。属不可抗力（自然灾害、突发事件等）造成变更的，按特事特办原则予以办理。</w:t>
      </w:r>
    </w:p>
    <w:p w14:paraId="2E33BDA7">
      <w:pPr>
        <w:spacing w:line="360" w:lineRule="auto"/>
        <w:ind w:firstLine="441" w:firstLineChars="210"/>
        <w:rPr>
          <w:rFonts w:ascii="宋体" w:hAnsi="宋体"/>
          <w:color w:val="auto"/>
          <w:highlight w:val="none"/>
        </w:rPr>
      </w:pPr>
      <w:r>
        <w:rPr>
          <w:rFonts w:hint="eastAsia" w:ascii="宋体" w:hAnsi="宋体"/>
          <w:color w:val="auto"/>
          <w:highlight w:val="none"/>
        </w:rPr>
        <w:t>⑵合同规定的合同价款调整情况发生后，承包人未在规定时间内书面通知发包人，或者未在规定时间内提出调整报告，发包人可以根据有关资料，决定是否调整和调整的金额。</w:t>
      </w:r>
    </w:p>
    <w:p w14:paraId="5D226ECE">
      <w:pPr>
        <w:spacing w:line="360" w:lineRule="auto"/>
        <w:ind w:firstLine="420" w:firstLineChars="200"/>
        <w:jc w:val="left"/>
        <w:rPr>
          <w:rFonts w:ascii="宋体" w:hAnsi="宋体"/>
          <w:color w:val="auto"/>
          <w:highlight w:val="none"/>
          <w:u w:val="single"/>
        </w:rPr>
      </w:pPr>
      <w:r>
        <w:rPr>
          <w:rFonts w:ascii="宋体" w:hAnsi="宋体"/>
          <w:color w:val="auto"/>
          <w:highlight w:val="none"/>
        </w:rPr>
        <w:t xml:space="preserve">10.3.2 </w:t>
      </w:r>
      <w:r>
        <w:rPr>
          <w:rFonts w:hint="eastAsia" w:ascii="宋体" w:hAnsi="宋体"/>
          <w:color w:val="auto"/>
          <w:highlight w:val="none"/>
        </w:rPr>
        <w:t>非国有投资项目：</w:t>
      </w:r>
      <w:r>
        <w:rPr>
          <w:rFonts w:hint="eastAsia" w:ascii="宋体" w:hAnsi="宋体"/>
          <w:color w:val="auto"/>
          <w:highlight w:val="none"/>
          <w:u w:val="single"/>
        </w:rPr>
        <w:t xml:space="preserve">     /     </w:t>
      </w:r>
    </w:p>
    <w:p w14:paraId="40602A71">
      <w:pPr>
        <w:keepNext/>
        <w:keepLines/>
        <w:spacing w:line="360" w:lineRule="auto"/>
        <w:outlineLvl w:val="2"/>
        <w:rPr>
          <w:rFonts w:ascii="宋体" w:hAnsi="宋体"/>
          <w:b/>
          <w:bCs/>
          <w:color w:val="auto"/>
          <w:highlight w:val="none"/>
          <w:lang w:val="zh-CN"/>
        </w:rPr>
      </w:pPr>
      <w:bookmarkStart w:id="687" w:name="_Toc373227742"/>
      <w:r>
        <w:rPr>
          <w:rFonts w:ascii="宋体" w:hAnsi="宋体"/>
          <w:b/>
          <w:bCs/>
          <w:color w:val="auto"/>
          <w:highlight w:val="none"/>
          <w:lang w:val="zh-CN"/>
        </w:rPr>
        <w:t xml:space="preserve">10.4 </w:t>
      </w:r>
      <w:bookmarkEnd w:id="687"/>
      <w:r>
        <w:rPr>
          <w:rFonts w:hint="eastAsia" w:ascii="宋体" w:hAnsi="宋体"/>
          <w:b/>
          <w:bCs/>
          <w:color w:val="auto"/>
          <w:highlight w:val="none"/>
          <w:lang w:val="zh-CN"/>
        </w:rPr>
        <w:t>变更估价</w:t>
      </w:r>
    </w:p>
    <w:p w14:paraId="0E170DF4">
      <w:pPr>
        <w:spacing w:line="360" w:lineRule="auto"/>
        <w:ind w:firstLine="420" w:firstLineChars="200"/>
        <w:jc w:val="left"/>
        <w:rPr>
          <w:rFonts w:ascii="宋体" w:hAnsi="宋体"/>
          <w:color w:val="auto"/>
          <w:highlight w:val="none"/>
        </w:rPr>
      </w:pPr>
      <w:bookmarkStart w:id="688" w:name="_Toc373478390"/>
      <w:bookmarkEnd w:id="688"/>
      <w:bookmarkStart w:id="689" w:name="_Toc373227743"/>
      <w:bookmarkEnd w:id="689"/>
      <w:bookmarkStart w:id="690" w:name="_Toc5836"/>
      <w:bookmarkEnd w:id="690"/>
      <w:bookmarkStart w:id="691" w:name="_Toc389065309"/>
      <w:bookmarkEnd w:id="691"/>
      <w:r>
        <w:rPr>
          <w:rFonts w:ascii="宋体" w:hAnsi="宋体"/>
          <w:color w:val="auto"/>
          <w:highlight w:val="none"/>
        </w:rPr>
        <w:t xml:space="preserve">10.4.1 </w:t>
      </w:r>
      <w:r>
        <w:rPr>
          <w:rFonts w:hint="eastAsia" w:ascii="宋体" w:hAnsi="宋体"/>
          <w:color w:val="auto"/>
          <w:highlight w:val="none"/>
        </w:rPr>
        <w:t>变更估价原则</w:t>
      </w:r>
    </w:p>
    <w:p w14:paraId="10041506">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关于变更估价的约定</w:t>
      </w:r>
    </w:p>
    <w:p w14:paraId="2E7B9CD5">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变更价款约定的其他方法:施工中发生的设计变更追加及减少的项目,工程量按实计算。</w:t>
      </w:r>
    </w:p>
    <w:p w14:paraId="0CB164AE">
      <w:pPr>
        <w:spacing w:line="360" w:lineRule="auto"/>
        <w:ind w:firstLine="420" w:firstLineChars="200"/>
        <w:jc w:val="left"/>
        <w:rPr>
          <w:rFonts w:ascii="宋体" w:hAnsi="宋体"/>
          <w:color w:val="auto"/>
          <w:highlight w:val="none"/>
          <w:u w:val="single"/>
        </w:rPr>
      </w:pPr>
      <w:bookmarkStart w:id="692" w:name="_Toc251051742"/>
      <w:bookmarkEnd w:id="692"/>
      <w:r>
        <w:rPr>
          <w:rFonts w:hint="eastAsia" w:ascii="宋体" w:hAnsi="宋体"/>
          <w:color w:val="auto"/>
          <w:highlight w:val="none"/>
          <w:u w:val="single"/>
        </w:rPr>
        <w:t>工程变更合同价款按下列方法进行：（</w:t>
      </w:r>
      <w:r>
        <w:rPr>
          <w:rFonts w:ascii="宋体" w:hAnsi="宋体"/>
          <w:color w:val="auto"/>
          <w:highlight w:val="none"/>
          <w:u w:val="single"/>
        </w:rPr>
        <w:t>1</w:t>
      </w:r>
      <w:r>
        <w:rPr>
          <w:rFonts w:hint="eastAsia" w:ascii="宋体" w:hAnsi="宋体"/>
          <w:color w:val="auto"/>
          <w:highlight w:val="none"/>
          <w:u w:val="single"/>
        </w:rPr>
        <w:t>）合同中已有相同清单项目的，按合同该清单项目价格进行计算；（</w:t>
      </w:r>
      <w:r>
        <w:rPr>
          <w:rFonts w:ascii="宋体" w:hAnsi="宋体"/>
          <w:color w:val="auto"/>
          <w:highlight w:val="none"/>
          <w:u w:val="single"/>
        </w:rPr>
        <w:t>2</w:t>
      </w:r>
      <w:r>
        <w:rPr>
          <w:rFonts w:hint="eastAsia" w:ascii="宋体" w:hAnsi="宋体"/>
          <w:color w:val="auto"/>
          <w:highlight w:val="none"/>
          <w:u w:val="single"/>
        </w:rPr>
        <w:t>）合同中只有类似清单项目的，参照该类似清单项目价格进行计算；（</w:t>
      </w:r>
      <w:r>
        <w:rPr>
          <w:rFonts w:ascii="宋体" w:hAnsi="宋体"/>
          <w:color w:val="auto"/>
          <w:highlight w:val="none"/>
          <w:u w:val="single"/>
        </w:rPr>
        <w:t>3</w:t>
      </w:r>
      <w:r>
        <w:rPr>
          <w:rFonts w:hint="eastAsia" w:ascii="宋体" w:hAnsi="宋体"/>
          <w:color w:val="auto"/>
          <w:highlight w:val="none"/>
          <w:u w:val="single"/>
        </w:rPr>
        <w:t>）合同中没有适用或类似清单项目的价格计算方法：有定额的套定额，并（</w:t>
      </w:r>
      <w:r>
        <w:rPr>
          <w:rFonts w:hint="eastAsia" w:ascii="宋体" w:hAnsi="宋体" w:eastAsia="MS Mincho" w:cs="MS Mincho"/>
          <w:b/>
          <w:bCs/>
          <w:color w:val="auto"/>
          <w:highlight w:val="none"/>
        </w:rPr>
        <w:t>☑</w:t>
      </w:r>
      <w:r>
        <w:rPr>
          <w:rFonts w:hint="eastAsia" w:ascii="宋体" w:hAnsi="宋体"/>
          <w:color w:val="auto"/>
          <w:highlight w:val="none"/>
          <w:u w:val="single"/>
        </w:rPr>
        <w:t>乘以下浮系数</w:t>
      </w:r>
      <w:r>
        <w:rPr>
          <w:rFonts w:hint="eastAsia" w:ascii="宋体" w:hAnsi="宋体" w:cs="宋体"/>
          <w:color w:val="auto"/>
          <w:highlight w:val="none"/>
          <w:u w:val="single"/>
        </w:rPr>
        <w:t>（中标价除以控制价乘以</w:t>
      </w:r>
      <w:r>
        <w:rPr>
          <w:rFonts w:ascii="宋体" w:hAnsi="宋体" w:cs="宋体"/>
          <w:color w:val="auto"/>
          <w:highlight w:val="none"/>
          <w:u w:val="single"/>
        </w:rPr>
        <w:t>100%</w:t>
      </w:r>
      <w:r>
        <w:rPr>
          <w:rFonts w:hint="eastAsia" w:ascii="宋体" w:hAnsi="宋体" w:cs="宋体"/>
          <w:color w:val="auto"/>
          <w:highlight w:val="none"/>
          <w:u w:val="single"/>
        </w:rPr>
        <w:t>）</w:t>
      </w:r>
      <w:r>
        <w:rPr>
          <w:rFonts w:hint="eastAsia" w:ascii="宋体" w:hAnsi="宋体"/>
          <w:color w:val="auto"/>
          <w:highlight w:val="none"/>
          <w:u w:val="single"/>
        </w:rPr>
        <w:t>，</w:t>
      </w:r>
      <w:r>
        <w:rPr>
          <w:rFonts w:hint="eastAsia" w:ascii="宋体" w:hAnsi="宋体"/>
          <w:b/>
          <w:bCs/>
          <w:color w:val="auto"/>
          <w:highlight w:val="none"/>
        </w:rPr>
        <w:t>□</w:t>
      </w:r>
      <w:r>
        <w:rPr>
          <w:rFonts w:hint="eastAsia" w:ascii="宋体" w:hAnsi="宋体"/>
          <w:color w:val="auto"/>
          <w:highlight w:val="none"/>
          <w:u w:val="single"/>
        </w:rPr>
        <w:t>不乘下浮系数）计算，其中：材料设备价格按施工期间的《贵港市建设工程造价信息》相应信息价的加权平均值计算，</w:t>
      </w:r>
      <w:r>
        <w:rPr>
          <w:rFonts w:hint="eastAsia" w:asciiTheme="minorEastAsia" w:hAnsiTheme="minorEastAsia" w:eastAsiaTheme="minorEastAsia"/>
          <w:color w:val="auto"/>
          <w:highlight w:val="none"/>
          <w:u w:val="single"/>
        </w:rPr>
        <w:t>《贵港市建设工程造价信息》没有相应价格信息的按施工期间的《南宁市建设工程造价信息》相应价格信息</w:t>
      </w:r>
      <w:r>
        <w:rPr>
          <w:rFonts w:hint="eastAsia" w:ascii="宋体" w:hAnsi="宋体"/>
          <w:color w:val="auto"/>
          <w:highlight w:val="none"/>
          <w:u w:val="single"/>
        </w:rPr>
        <w:t>加权平均值计算，</w:t>
      </w:r>
      <w:r>
        <w:rPr>
          <w:rFonts w:hint="eastAsia" w:asciiTheme="minorEastAsia" w:hAnsiTheme="minorEastAsia" w:eastAsiaTheme="minorEastAsia"/>
          <w:color w:val="auto"/>
          <w:highlight w:val="none"/>
          <w:u w:val="single"/>
        </w:rPr>
        <w:t>《南宁市建设工程造价信息》</w:t>
      </w:r>
      <w:r>
        <w:rPr>
          <w:rFonts w:hint="eastAsia" w:ascii="宋体" w:hAnsi="宋体"/>
          <w:color w:val="auto"/>
          <w:highlight w:val="none"/>
          <w:u w:val="single"/>
        </w:rPr>
        <w:t>没有相应信息价的，由建设单位委托造价咨询单位根据当地市场行情来确定，新增单价需报送造价咨询单位评审确定。</w:t>
      </w:r>
    </w:p>
    <w:p w14:paraId="46E0C0E0">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u w:val="single"/>
        </w:rPr>
        <w:t>施工单位投标报价时的措施项目费报价不因施工过程中发生的设计变更而调整。</w:t>
      </w:r>
    </w:p>
    <w:p w14:paraId="47251D68">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u w:val="single"/>
        </w:rPr>
        <w:t>设计变更导致实际完成的工程量与已标价清单或预算书中列明的该项目工程量有偏差时，按专用条款“</w:t>
      </w:r>
      <w:r>
        <w:rPr>
          <w:rFonts w:ascii="宋体" w:hAnsi="宋体"/>
          <w:color w:val="auto"/>
          <w:highlight w:val="none"/>
          <w:u w:val="single"/>
        </w:rPr>
        <w:t>1.13</w:t>
      </w:r>
      <w:r>
        <w:rPr>
          <w:rFonts w:hint="eastAsia" w:ascii="宋体" w:hAnsi="宋体"/>
          <w:color w:val="auto"/>
          <w:highlight w:val="none"/>
          <w:u w:val="single"/>
        </w:rPr>
        <w:t>工程量清单错误的修正”执行。</w:t>
      </w:r>
    </w:p>
    <w:p w14:paraId="18333456">
      <w:pPr>
        <w:keepNext/>
        <w:keepLines/>
        <w:spacing w:line="360" w:lineRule="auto"/>
        <w:outlineLvl w:val="2"/>
        <w:rPr>
          <w:rFonts w:ascii="宋体" w:hAnsi="宋体"/>
          <w:b/>
          <w:bCs/>
          <w:color w:val="auto"/>
          <w:highlight w:val="none"/>
          <w:lang w:val="zh-CN"/>
        </w:rPr>
      </w:pPr>
      <w:r>
        <w:rPr>
          <w:rFonts w:ascii="宋体" w:hAnsi="宋体"/>
          <w:b/>
          <w:bCs/>
          <w:color w:val="auto"/>
          <w:highlight w:val="none"/>
          <w:lang w:val="zh-CN"/>
        </w:rPr>
        <w:t>1</w:t>
      </w:r>
      <w:bookmarkStart w:id="693" w:name="_Toc296944536"/>
      <w:bookmarkEnd w:id="693"/>
      <w:bookmarkStart w:id="694" w:name="_Toc296347196"/>
      <w:bookmarkEnd w:id="694"/>
      <w:bookmarkStart w:id="695" w:name="_Toc292559402"/>
      <w:bookmarkEnd w:id="695"/>
      <w:bookmarkStart w:id="696" w:name="_Toc296891237"/>
      <w:bookmarkEnd w:id="696"/>
      <w:bookmarkStart w:id="697" w:name="_Toc296503197"/>
      <w:bookmarkEnd w:id="697"/>
      <w:bookmarkStart w:id="698" w:name="_Toc303539150"/>
      <w:bookmarkEnd w:id="698"/>
      <w:bookmarkStart w:id="699" w:name="_Toc297120497"/>
      <w:bookmarkEnd w:id="699"/>
      <w:bookmarkStart w:id="700" w:name="_Toc297123544"/>
      <w:bookmarkEnd w:id="700"/>
      <w:bookmarkStart w:id="701" w:name="_Toc312678029"/>
      <w:bookmarkEnd w:id="701"/>
      <w:bookmarkStart w:id="702" w:name="_Toc312677503"/>
      <w:bookmarkEnd w:id="702"/>
      <w:bookmarkStart w:id="703" w:name="_Toc304295570"/>
      <w:bookmarkEnd w:id="703"/>
      <w:bookmarkStart w:id="704" w:name="_Toc296891025"/>
      <w:bookmarkEnd w:id="704"/>
      <w:bookmarkStart w:id="705" w:name="_Toc296346698"/>
      <w:bookmarkEnd w:id="705"/>
      <w:bookmarkStart w:id="706" w:name="_Toc292559907"/>
      <w:bookmarkEnd w:id="706"/>
      <w:bookmarkStart w:id="707" w:name="_Toc300934993"/>
      <w:bookmarkEnd w:id="707"/>
      <w:bookmarkStart w:id="708" w:name="_Toc297048383"/>
      <w:bookmarkEnd w:id="708"/>
      <w:bookmarkStart w:id="709" w:name="_Toc297216203"/>
      <w:bookmarkEnd w:id="709"/>
      <w:r>
        <w:rPr>
          <w:rFonts w:ascii="宋体" w:hAnsi="宋体"/>
          <w:b/>
          <w:bCs/>
          <w:color w:val="auto"/>
          <w:highlight w:val="none"/>
          <w:lang w:val="zh-CN"/>
        </w:rPr>
        <w:t xml:space="preserve">0.5 </w:t>
      </w:r>
      <w:r>
        <w:rPr>
          <w:rFonts w:hint="eastAsia" w:ascii="宋体" w:hAnsi="宋体"/>
          <w:b/>
          <w:bCs/>
          <w:color w:val="auto"/>
          <w:highlight w:val="none"/>
          <w:lang w:val="zh-CN"/>
        </w:rPr>
        <w:t>承</w:t>
      </w:r>
      <w:bookmarkStart w:id="710" w:name="_Toc296503203"/>
      <w:bookmarkEnd w:id="710"/>
      <w:bookmarkStart w:id="711" w:name="_Toc297123545"/>
      <w:bookmarkEnd w:id="711"/>
      <w:bookmarkStart w:id="712" w:name="_Toc296891243"/>
      <w:bookmarkEnd w:id="712"/>
      <w:bookmarkStart w:id="713" w:name="_Toc296944542"/>
      <w:bookmarkEnd w:id="713"/>
      <w:bookmarkStart w:id="714" w:name="_Toc297120503"/>
      <w:bookmarkEnd w:id="714"/>
      <w:bookmarkStart w:id="715" w:name="_Toc297216204"/>
      <w:bookmarkEnd w:id="715"/>
      <w:bookmarkStart w:id="716" w:name="_Toc297048389"/>
      <w:bookmarkEnd w:id="716"/>
      <w:bookmarkStart w:id="717" w:name="_Toc303539151"/>
      <w:bookmarkEnd w:id="717"/>
      <w:bookmarkStart w:id="718" w:name="_Toc300934994"/>
      <w:bookmarkEnd w:id="718"/>
      <w:bookmarkStart w:id="719" w:name="_Toc296347202"/>
      <w:bookmarkEnd w:id="719"/>
      <w:bookmarkStart w:id="720" w:name="_Toc292559913"/>
      <w:bookmarkEnd w:id="720"/>
      <w:bookmarkStart w:id="721" w:name="_Toc292559408"/>
      <w:bookmarkEnd w:id="721"/>
      <w:bookmarkStart w:id="722" w:name="_Toc296891031"/>
      <w:bookmarkEnd w:id="722"/>
      <w:bookmarkStart w:id="723" w:name="_Toc296346704"/>
      <w:bookmarkEnd w:id="723"/>
      <w:r>
        <w:rPr>
          <w:rFonts w:hint="eastAsia" w:ascii="宋体" w:hAnsi="宋体"/>
          <w:b/>
          <w:bCs/>
          <w:color w:val="auto"/>
          <w:highlight w:val="none"/>
          <w:lang w:val="zh-CN"/>
        </w:rPr>
        <w:t>包人的合理化建议</w:t>
      </w:r>
    </w:p>
    <w:p w14:paraId="1C575E59">
      <w:pPr>
        <w:spacing w:line="360" w:lineRule="auto"/>
        <w:ind w:firstLine="420" w:firstLineChars="200"/>
        <w:jc w:val="left"/>
        <w:rPr>
          <w:rFonts w:ascii="宋体" w:hAnsi="宋体"/>
          <w:color w:val="auto"/>
          <w:highlight w:val="none"/>
        </w:rPr>
      </w:pPr>
      <w:r>
        <w:rPr>
          <w:rFonts w:hint="eastAsia" w:ascii="宋体" w:hAnsi="宋体"/>
          <w:color w:val="auto"/>
          <w:highlight w:val="none"/>
        </w:rPr>
        <w:t>监理人审查承包人合理化建议的期限：</w:t>
      </w:r>
      <w:r>
        <w:rPr>
          <w:rFonts w:ascii="宋体" w:hAnsi="宋体"/>
          <w:bCs/>
          <w:color w:val="auto"/>
          <w:highlight w:val="none"/>
          <w:u w:val="single"/>
        </w:rPr>
        <w:t>7</w:t>
      </w:r>
      <w:r>
        <w:rPr>
          <w:rFonts w:hint="eastAsia" w:ascii="宋体" w:hAnsi="宋体"/>
          <w:bCs/>
          <w:color w:val="auto"/>
          <w:highlight w:val="none"/>
          <w:u w:val="single"/>
        </w:rPr>
        <w:t>天内审查完毕并报发包人</w:t>
      </w:r>
      <w:r>
        <w:rPr>
          <w:rFonts w:hint="eastAsia" w:ascii="宋体" w:hAnsi="宋体"/>
          <w:color w:val="auto"/>
          <w:highlight w:val="none"/>
        </w:rPr>
        <w:t>。</w:t>
      </w:r>
    </w:p>
    <w:p w14:paraId="553920BA">
      <w:pPr>
        <w:spacing w:line="360" w:lineRule="auto"/>
        <w:ind w:firstLine="420" w:firstLineChars="200"/>
        <w:jc w:val="left"/>
        <w:rPr>
          <w:rFonts w:ascii="宋体" w:hAnsi="宋体"/>
          <w:color w:val="auto"/>
          <w:highlight w:val="none"/>
        </w:rPr>
      </w:pPr>
      <w:r>
        <w:rPr>
          <w:rFonts w:hint="eastAsia" w:ascii="宋体" w:hAnsi="宋体"/>
          <w:color w:val="auto"/>
          <w:highlight w:val="none"/>
        </w:rPr>
        <w:t>发包人审批承包人合理化建议的期限：</w:t>
      </w:r>
      <w:r>
        <w:rPr>
          <w:rFonts w:hint="eastAsia" w:ascii="宋体" w:hAnsi="宋体"/>
          <w:bCs/>
          <w:color w:val="auto"/>
          <w:highlight w:val="none"/>
          <w:u w:val="single"/>
        </w:rPr>
        <w:t>收到监理人报送的合理化建议后</w:t>
      </w:r>
      <w:r>
        <w:rPr>
          <w:rFonts w:ascii="宋体" w:hAnsi="宋体"/>
          <w:bCs/>
          <w:color w:val="auto"/>
          <w:highlight w:val="none"/>
          <w:u w:val="single"/>
        </w:rPr>
        <w:t>7</w:t>
      </w:r>
      <w:r>
        <w:rPr>
          <w:rFonts w:hint="eastAsia" w:ascii="宋体" w:hAnsi="宋体"/>
          <w:bCs/>
          <w:color w:val="auto"/>
          <w:highlight w:val="none"/>
          <w:u w:val="single"/>
        </w:rPr>
        <w:t>天内审批完毕</w:t>
      </w:r>
      <w:r>
        <w:rPr>
          <w:rFonts w:hint="eastAsia" w:ascii="宋体" w:hAnsi="宋体"/>
          <w:color w:val="auto"/>
          <w:highlight w:val="none"/>
        </w:rPr>
        <w:t>。</w:t>
      </w:r>
    </w:p>
    <w:p w14:paraId="685CE4CD">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承</w:t>
      </w:r>
      <w:bookmarkStart w:id="724" w:name="_Toc303539152"/>
      <w:bookmarkEnd w:id="724"/>
      <w:bookmarkStart w:id="725" w:name="_Toc297120504"/>
      <w:bookmarkEnd w:id="725"/>
      <w:bookmarkStart w:id="726" w:name="_Toc300934995"/>
      <w:bookmarkEnd w:id="726"/>
      <w:bookmarkStart w:id="727" w:name="_Toc304295571"/>
      <w:bookmarkEnd w:id="727"/>
      <w:bookmarkStart w:id="728" w:name="_Toc292559914"/>
      <w:bookmarkEnd w:id="728"/>
      <w:bookmarkStart w:id="729" w:name="_Toc296347203"/>
      <w:bookmarkEnd w:id="729"/>
      <w:bookmarkStart w:id="730" w:name="_Toc318581175"/>
      <w:bookmarkEnd w:id="730"/>
      <w:bookmarkStart w:id="731" w:name="_Toc292559409"/>
      <w:bookmarkEnd w:id="731"/>
      <w:bookmarkStart w:id="732" w:name="_Toc296944543"/>
      <w:bookmarkEnd w:id="732"/>
      <w:bookmarkStart w:id="733" w:name="_Toc296891244"/>
      <w:bookmarkEnd w:id="733"/>
      <w:bookmarkStart w:id="734" w:name="_Toc297048390"/>
      <w:bookmarkEnd w:id="734"/>
      <w:bookmarkStart w:id="735" w:name="_Toc296346705"/>
      <w:bookmarkEnd w:id="735"/>
      <w:bookmarkStart w:id="736" w:name="_Toc297123546"/>
      <w:bookmarkEnd w:id="736"/>
      <w:bookmarkStart w:id="737" w:name="_Toc296503204"/>
      <w:bookmarkEnd w:id="737"/>
      <w:bookmarkStart w:id="738" w:name="_Toc312677504"/>
      <w:bookmarkEnd w:id="738"/>
      <w:bookmarkStart w:id="739" w:name="_Toc312678030"/>
      <w:bookmarkEnd w:id="739"/>
      <w:bookmarkStart w:id="740" w:name="_Toc297216205"/>
      <w:bookmarkEnd w:id="740"/>
      <w:bookmarkStart w:id="741" w:name="_Toc296891032"/>
      <w:r>
        <w:rPr>
          <w:rFonts w:hint="eastAsia" w:ascii="宋体" w:hAnsi="宋体"/>
          <w:color w:val="auto"/>
          <w:highlight w:val="none"/>
        </w:rPr>
        <w:t>包人提出的合理化建议降低了合同价格或者提高了工程经济效益的奖励的方法和金额为：</w:t>
      </w:r>
      <w:bookmarkEnd w:id="741"/>
      <w:r>
        <w:rPr>
          <w:rFonts w:hint="eastAsia" w:ascii="宋体" w:hAnsi="宋体"/>
          <w:color w:val="auto"/>
          <w:highlight w:val="none"/>
          <w:u w:val="single"/>
        </w:rPr>
        <w:t>无</w:t>
      </w:r>
      <w:r>
        <w:rPr>
          <w:rFonts w:hint="eastAsia" w:ascii="宋体" w:hAnsi="宋体"/>
          <w:color w:val="auto"/>
          <w:highlight w:val="none"/>
        </w:rPr>
        <w:t>。</w:t>
      </w:r>
    </w:p>
    <w:p w14:paraId="60FFBC40">
      <w:pPr>
        <w:keepNext/>
        <w:keepLines/>
        <w:spacing w:line="360" w:lineRule="auto"/>
        <w:outlineLvl w:val="2"/>
        <w:rPr>
          <w:rFonts w:ascii="宋体" w:hAnsi="宋体"/>
          <w:b/>
          <w:bCs/>
          <w:color w:val="auto"/>
          <w:highlight w:val="none"/>
          <w:lang w:val="zh-CN"/>
        </w:rPr>
      </w:pPr>
      <w:bookmarkStart w:id="742" w:name="_Toc373478391"/>
      <w:bookmarkEnd w:id="742"/>
      <w:bookmarkStart w:id="743" w:name="_Toc389065310"/>
      <w:bookmarkEnd w:id="743"/>
      <w:bookmarkStart w:id="744" w:name="_Toc373227744"/>
      <w:bookmarkEnd w:id="744"/>
      <w:bookmarkStart w:id="745" w:name="_Toc865"/>
      <w:bookmarkEnd w:id="745"/>
      <w:bookmarkStart w:id="746" w:name="_Toc407135247"/>
      <w:bookmarkEnd w:id="746"/>
      <w:r>
        <w:rPr>
          <w:rFonts w:ascii="宋体" w:hAnsi="宋体"/>
          <w:b/>
          <w:bCs/>
          <w:color w:val="auto"/>
          <w:highlight w:val="none"/>
          <w:lang w:val="zh-CN"/>
        </w:rPr>
        <w:t>1</w:t>
      </w:r>
      <w:bookmarkStart w:id="747" w:name="_Toc297123548"/>
      <w:bookmarkEnd w:id="747"/>
      <w:bookmarkStart w:id="748" w:name="_Toc296944538"/>
      <w:bookmarkEnd w:id="748"/>
      <w:bookmarkStart w:id="749" w:name="_Toc297216207"/>
      <w:bookmarkEnd w:id="749"/>
      <w:bookmarkStart w:id="750" w:name="_Toc300934997"/>
      <w:bookmarkEnd w:id="750"/>
      <w:bookmarkStart w:id="751" w:name="_Toc303539154"/>
      <w:bookmarkEnd w:id="751"/>
      <w:bookmarkStart w:id="752" w:name="_Toc304295574"/>
      <w:bookmarkEnd w:id="752"/>
      <w:bookmarkStart w:id="753" w:name="_Toc296891027"/>
      <w:bookmarkEnd w:id="753"/>
      <w:bookmarkStart w:id="754" w:name="_Toc297048385"/>
      <w:bookmarkEnd w:id="754"/>
      <w:bookmarkStart w:id="755" w:name="_Toc296346700"/>
      <w:bookmarkEnd w:id="755"/>
      <w:bookmarkStart w:id="756" w:name="_Toc297120499"/>
      <w:bookmarkEnd w:id="756"/>
      <w:bookmarkStart w:id="757" w:name="_Toc292559404"/>
      <w:bookmarkEnd w:id="757"/>
      <w:bookmarkStart w:id="758" w:name="_Toc296503199"/>
      <w:bookmarkEnd w:id="758"/>
      <w:bookmarkStart w:id="759" w:name="_Toc296891239"/>
      <w:bookmarkEnd w:id="759"/>
      <w:bookmarkStart w:id="760" w:name="_Toc292559909"/>
      <w:bookmarkEnd w:id="760"/>
      <w:bookmarkStart w:id="761" w:name="_Toc312678033"/>
      <w:bookmarkEnd w:id="761"/>
      <w:bookmarkStart w:id="762" w:name="_Toc296347198"/>
      <w:bookmarkEnd w:id="762"/>
      <w:bookmarkStart w:id="763" w:name="_Toc312677507"/>
      <w:r>
        <w:rPr>
          <w:rFonts w:ascii="宋体" w:hAnsi="宋体"/>
          <w:b/>
          <w:bCs/>
          <w:color w:val="auto"/>
          <w:highlight w:val="none"/>
          <w:lang w:val="zh-CN"/>
        </w:rPr>
        <w:t xml:space="preserve">0.7 </w:t>
      </w:r>
      <w:bookmarkEnd w:id="763"/>
      <w:r>
        <w:rPr>
          <w:rFonts w:hint="eastAsia" w:ascii="宋体" w:hAnsi="宋体"/>
          <w:b/>
          <w:bCs/>
          <w:color w:val="auto"/>
          <w:highlight w:val="none"/>
          <w:lang w:val="zh-CN"/>
        </w:rPr>
        <w:t>暂估价</w:t>
      </w:r>
    </w:p>
    <w:p w14:paraId="586947E9">
      <w:pPr>
        <w:spacing w:line="360" w:lineRule="auto"/>
        <w:ind w:firstLine="422" w:firstLineChars="200"/>
        <w:jc w:val="left"/>
        <w:rPr>
          <w:rFonts w:ascii="宋体" w:hAnsi="宋体"/>
          <w:b/>
          <w:color w:val="auto"/>
          <w:highlight w:val="none"/>
        </w:rPr>
      </w:pPr>
      <w:bookmarkStart w:id="764" w:name="_Toc407135248"/>
      <w:bookmarkEnd w:id="764"/>
      <w:bookmarkStart w:id="765" w:name="_Toc373227745"/>
      <w:bookmarkEnd w:id="765"/>
      <w:bookmarkStart w:id="766" w:name="_Toc389065311"/>
      <w:bookmarkEnd w:id="766"/>
      <w:bookmarkStart w:id="767" w:name="_Toc373478392"/>
      <w:bookmarkEnd w:id="767"/>
      <w:r>
        <w:rPr>
          <w:rFonts w:ascii="宋体" w:hAnsi="宋体"/>
          <w:b/>
          <w:color w:val="auto"/>
          <w:highlight w:val="none"/>
        </w:rPr>
        <w:t>1</w:t>
      </w:r>
      <w:bookmarkStart w:id="768" w:name="_Toc312678035"/>
      <w:bookmarkEnd w:id="768"/>
      <w:bookmarkStart w:id="769" w:name="_Toc312677509"/>
      <w:bookmarkEnd w:id="769"/>
      <w:bookmarkStart w:id="770" w:name="_Toc318581177"/>
      <w:r>
        <w:rPr>
          <w:rFonts w:ascii="宋体" w:hAnsi="宋体"/>
          <w:b/>
          <w:color w:val="auto"/>
          <w:highlight w:val="none"/>
        </w:rPr>
        <w:t xml:space="preserve">0.7.1 </w:t>
      </w:r>
      <w:bookmarkEnd w:id="770"/>
      <w:r>
        <w:rPr>
          <w:rFonts w:hint="eastAsia" w:ascii="宋体" w:hAnsi="宋体"/>
          <w:b/>
          <w:color w:val="auto"/>
          <w:highlight w:val="none"/>
        </w:rPr>
        <w:t>依法必须招标的暂估价项目</w:t>
      </w:r>
    </w:p>
    <w:p w14:paraId="202538AB">
      <w:pPr>
        <w:spacing w:line="360" w:lineRule="auto"/>
        <w:ind w:firstLine="420" w:firstLineChars="200"/>
        <w:jc w:val="left"/>
        <w:rPr>
          <w:rFonts w:ascii="宋体" w:hAnsi="宋体"/>
          <w:color w:val="auto"/>
          <w:highlight w:val="none"/>
        </w:rPr>
      </w:pPr>
      <w:r>
        <w:rPr>
          <w:rFonts w:hint="eastAsia" w:ascii="宋体" w:hAnsi="宋体"/>
          <w:color w:val="auto"/>
          <w:highlight w:val="none"/>
        </w:rPr>
        <w:t>对于依法必须招标的暂估价项目的确认和批准采取第</w:t>
      </w:r>
      <w:r>
        <w:rPr>
          <w:rFonts w:ascii="宋体" w:hAnsi="宋体"/>
          <w:color w:val="auto"/>
          <w:highlight w:val="none"/>
          <w:u w:val="single"/>
        </w:rPr>
        <w:t>1</w:t>
      </w:r>
      <w:r>
        <w:rPr>
          <w:rFonts w:hint="eastAsia" w:ascii="宋体" w:hAnsi="宋体"/>
          <w:color w:val="auto"/>
          <w:highlight w:val="none"/>
        </w:rPr>
        <w:t>种方式确定。</w:t>
      </w:r>
    </w:p>
    <w:p w14:paraId="6AE55FAD">
      <w:pPr>
        <w:spacing w:line="360" w:lineRule="auto"/>
        <w:ind w:firstLine="420"/>
        <w:rPr>
          <w:rFonts w:ascii="宋体" w:hAnsi="宋体"/>
          <w:color w:val="auto"/>
          <w:highlight w:val="none"/>
          <w:u w:val="single"/>
        </w:rPr>
      </w:pPr>
      <w:r>
        <w:rPr>
          <w:rFonts w:hint="eastAsia" w:ascii="宋体" w:hAnsi="宋体"/>
          <w:color w:val="auto"/>
          <w:highlight w:val="none"/>
        </w:rPr>
        <w:t>第</w:t>
      </w:r>
      <w:r>
        <w:rPr>
          <w:rFonts w:ascii="宋体" w:hAnsi="宋体"/>
          <w:color w:val="auto"/>
          <w:highlight w:val="none"/>
        </w:rPr>
        <w:t>1</w:t>
      </w:r>
      <w:r>
        <w:rPr>
          <w:rFonts w:hint="eastAsia" w:ascii="宋体" w:hAnsi="宋体"/>
          <w:color w:val="auto"/>
          <w:highlight w:val="none"/>
        </w:rPr>
        <w:t>种方式：</w:t>
      </w:r>
      <w:r>
        <w:rPr>
          <w:rFonts w:hint="eastAsia" w:ascii="宋体" w:hAnsi="宋体"/>
          <w:color w:val="auto"/>
          <w:highlight w:val="none"/>
          <w:u w:val="single"/>
        </w:rPr>
        <w:t>对于依法必须招标的暂估价项目，由承包人招标，对该暂估价项目的确认和批准按照以下约定执行：</w:t>
      </w:r>
    </w:p>
    <w:p w14:paraId="539B8F8C">
      <w:pPr>
        <w:spacing w:line="360" w:lineRule="auto"/>
        <w:ind w:firstLine="42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1</w:t>
      </w:r>
      <w:r>
        <w:rPr>
          <w:rFonts w:hint="eastAsia" w:ascii="宋体" w:hAnsi="宋体"/>
          <w:color w:val="auto"/>
          <w:highlight w:val="none"/>
          <w:u w:val="single"/>
        </w:rPr>
        <w:t>）承包人应当根据施工进度计划，在招标工作启动前</w:t>
      </w:r>
      <w:r>
        <w:rPr>
          <w:rFonts w:ascii="宋体" w:hAnsi="宋体"/>
          <w:color w:val="auto"/>
          <w:highlight w:val="none"/>
          <w:u w:val="single"/>
        </w:rPr>
        <w:t>14</w:t>
      </w:r>
      <w:r>
        <w:rPr>
          <w:rFonts w:hint="eastAsia" w:ascii="宋体" w:hAnsi="宋体"/>
          <w:color w:val="auto"/>
          <w:highlight w:val="none"/>
          <w:u w:val="single"/>
        </w:rPr>
        <w:t>天将招标方案通过监理人报送发包人审查，发包人应当在收到承包人报送的招标方案后</w:t>
      </w:r>
      <w:r>
        <w:rPr>
          <w:rFonts w:ascii="宋体" w:hAnsi="宋体"/>
          <w:color w:val="auto"/>
          <w:highlight w:val="none"/>
          <w:u w:val="single"/>
        </w:rPr>
        <w:t>7</w:t>
      </w:r>
      <w:r>
        <w:rPr>
          <w:rFonts w:hint="eastAsia" w:ascii="宋体" w:hAnsi="宋体"/>
          <w:color w:val="auto"/>
          <w:highlight w:val="none"/>
          <w:u w:val="single"/>
        </w:rPr>
        <w:t>天内批准或提出修改意见。承包人应当按照经过发包人批准的招标方案开展招标工作；</w:t>
      </w:r>
    </w:p>
    <w:p w14:paraId="6A41FB74">
      <w:pPr>
        <w:spacing w:line="360" w:lineRule="auto"/>
        <w:ind w:firstLine="420"/>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2</w:t>
      </w:r>
      <w:r>
        <w:rPr>
          <w:rFonts w:hint="eastAsia" w:ascii="宋体" w:hAnsi="宋体"/>
          <w:color w:val="auto"/>
          <w:highlight w:val="none"/>
          <w:u w:val="single"/>
        </w:rPr>
        <w:t>）承包人应当根据施工进度计划，提前</w:t>
      </w:r>
      <w:r>
        <w:rPr>
          <w:rFonts w:ascii="宋体" w:hAnsi="宋体"/>
          <w:color w:val="auto"/>
          <w:highlight w:val="none"/>
          <w:u w:val="single"/>
        </w:rPr>
        <w:t>14</w:t>
      </w:r>
      <w:r>
        <w:rPr>
          <w:rFonts w:hint="eastAsia" w:ascii="宋体" w:hAnsi="宋体"/>
          <w:color w:val="auto"/>
          <w:highlight w:val="none"/>
          <w:u w:val="single"/>
        </w:rPr>
        <w:t>天将招标文件通过监理人报送发包人审批，发包人应当在收到承包人报送的相关文件后</w:t>
      </w:r>
      <w:r>
        <w:rPr>
          <w:rFonts w:ascii="宋体" w:hAnsi="宋体"/>
          <w:color w:val="auto"/>
          <w:highlight w:val="none"/>
          <w:u w:val="single"/>
        </w:rPr>
        <w:t>7</w:t>
      </w:r>
      <w:r>
        <w:rPr>
          <w:rFonts w:hint="eastAsia" w:ascii="宋体" w:hAnsi="宋体"/>
          <w:color w:val="auto"/>
          <w:highlight w:val="none"/>
          <w:u w:val="single"/>
        </w:rPr>
        <w:t>天内完成审批或提出修改意见；发包人有权确定招标控制价并委派评标委员会成员；</w:t>
      </w:r>
    </w:p>
    <w:p w14:paraId="07616C11">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3</w:t>
      </w:r>
      <w:r>
        <w:rPr>
          <w:rFonts w:hint="eastAsia" w:ascii="宋体" w:hAnsi="宋体"/>
          <w:color w:val="auto"/>
          <w:highlight w:val="none"/>
          <w:u w:val="single"/>
        </w:rPr>
        <w:t>）承包人与供应商、分包人在签订暂估价合同前，应当提前</w:t>
      </w:r>
      <w:r>
        <w:rPr>
          <w:rFonts w:ascii="宋体" w:hAnsi="宋体"/>
          <w:color w:val="auto"/>
          <w:highlight w:val="none"/>
          <w:u w:val="single"/>
        </w:rPr>
        <w:t>7</w:t>
      </w:r>
      <w:r>
        <w:rPr>
          <w:rFonts w:hint="eastAsia" w:ascii="宋体" w:hAnsi="宋体"/>
          <w:color w:val="auto"/>
          <w:highlight w:val="none"/>
          <w:u w:val="single"/>
        </w:rPr>
        <w:t>天将确定的中标候选供应商或中标候选分包人的资料报送发包人，发包人应在收到资料后</w:t>
      </w:r>
      <w:r>
        <w:rPr>
          <w:rFonts w:ascii="宋体" w:hAnsi="宋体"/>
          <w:color w:val="auto"/>
          <w:highlight w:val="none"/>
          <w:u w:val="single"/>
        </w:rPr>
        <w:t>3</w:t>
      </w:r>
      <w:r>
        <w:rPr>
          <w:rFonts w:hint="eastAsia" w:ascii="宋体" w:hAnsi="宋体"/>
          <w:color w:val="auto"/>
          <w:highlight w:val="none"/>
          <w:u w:val="single"/>
        </w:rPr>
        <w:t>天内与承包人共同确定成交人；承包人应当在签订合同后</w:t>
      </w:r>
      <w:r>
        <w:rPr>
          <w:rFonts w:ascii="宋体" w:hAnsi="宋体"/>
          <w:color w:val="auto"/>
          <w:highlight w:val="none"/>
          <w:u w:val="single"/>
        </w:rPr>
        <w:t>7</w:t>
      </w:r>
      <w:r>
        <w:rPr>
          <w:rFonts w:hint="eastAsia" w:ascii="宋体" w:hAnsi="宋体"/>
          <w:color w:val="auto"/>
          <w:highlight w:val="none"/>
          <w:u w:val="single"/>
        </w:rPr>
        <w:t>天内，将暂估价合同副本报送发包人留存。</w:t>
      </w:r>
    </w:p>
    <w:p w14:paraId="70C1147F">
      <w:pPr>
        <w:spacing w:line="360" w:lineRule="auto"/>
        <w:ind w:firstLine="420"/>
        <w:jc w:val="left"/>
        <w:outlineLvl w:val="0"/>
        <w:rPr>
          <w:rFonts w:ascii="宋体" w:hAnsi="宋体"/>
          <w:b/>
          <w:color w:val="auto"/>
          <w:highlight w:val="none"/>
        </w:rPr>
      </w:pPr>
      <w:bookmarkStart w:id="771" w:name="_Toc4418"/>
      <w:bookmarkStart w:id="772" w:name="_Toc17334"/>
      <w:bookmarkStart w:id="773" w:name="_Toc31404"/>
      <w:bookmarkStart w:id="774" w:name="_Toc10767"/>
      <w:bookmarkStart w:id="775" w:name="_Toc15049"/>
      <w:bookmarkStart w:id="776" w:name="_Toc17678"/>
      <w:r>
        <w:rPr>
          <w:rFonts w:ascii="宋体" w:hAnsi="宋体"/>
          <w:b/>
          <w:color w:val="auto"/>
          <w:highlight w:val="none"/>
        </w:rPr>
        <w:t xml:space="preserve">10.7.2 </w:t>
      </w:r>
      <w:r>
        <w:rPr>
          <w:rFonts w:hint="eastAsia" w:ascii="宋体" w:hAnsi="宋体"/>
          <w:b/>
          <w:color w:val="auto"/>
          <w:highlight w:val="none"/>
        </w:rPr>
        <w:t>不属于依法必须招标的暂估价项目</w:t>
      </w:r>
      <w:bookmarkEnd w:id="771"/>
      <w:bookmarkEnd w:id="772"/>
      <w:bookmarkEnd w:id="773"/>
      <w:bookmarkEnd w:id="774"/>
      <w:bookmarkEnd w:id="775"/>
      <w:bookmarkEnd w:id="776"/>
    </w:p>
    <w:p w14:paraId="234DC33E">
      <w:pPr>
        <w:spacing w:line="360" w:lineRule="auto"/>
        <w:ind w:firstLine="420"/>
        <w:jc w:val="left"/>
        <w:rPr>
          <w:rFonts w:ascii="宋体" w:hAnsi="宋体"/>
          <w:color w:val="auto"/>
          <w:highlight w:val="none"/>
        </w:rPr>
      </w:pPr>
      <w:r>
        <w:rPr>
          <w:rFonts w:hint="eastAsia" w:ascii="宋体" w:hAnsi="宋体"/>
          <w:color w:val="auto"/>
          <w:highlight w:val="none"/>
        </w:rPr>
        <w:t>对于不属于依法必须招标的暂估价项目的确认和批准采取第</w:t>
      </w:r>
      <w:r>
        <w:rPr>
          <w:rFonts w:ascii="宋体" w:hAnsi="宋体"/>
          <w:color w:val="auto"/>
          <w:highlight w:val="none"/>
          <w:u w:val="single"/>
        </w:rPr>
        <w:t>1</w:t>
      </w:r>
      <w:r>
        <w:rPr>
          <w:rFonts w:hint="eastAsia" w:ascii="宋体" w:hAnsi="宋体"/>
          <w:color w:val="auto"/>
          <w:highlight w:val="none"/>
        </w:rPr>
        <w:t>种方式确定。</w:t>
      </w:r>
    </w:p>
    <w:p w14:paraId="706552FE">
      <w:pPr>
        <w:spacing w:line="360" w:lineRule="auto"/>
        <w:ind w:firstLine="420"/>
        <w:jc w:val="left"/>
        <w:rPr>
          <w:rFonts w:ascii="宋体" w:hAnsi="宋体"/>
          <w:color w:val="auto"/>
          <w:highlight w:val="none"/>
        </w:rPr>
      </w:pPr>
      <w:r>
        <w:rPr>
          <w:rFonts w:hint="eastAsia" w:ascii="宋体" w:hAnsi="宋体"/>
          <w:color w:val="auto"/>
          <w:highlight w:val="none"/>
        </w:rPr>
        <w:t>第</w:t>
      </w:r>
      <w:r>
        <w:rPr>
          <w:rFonts w:ascii="宋体" w:hAnsi="宋体"/>
          <w:color w:val="auto"/>
          <w:highlight w:val="none"/>
        </w:rPr>
        <w:t>1</w:t>
      </w:r>
      <w:r>
        <w:rPr>
          <w:rFonts w:hint="eastAsia" w:ascii="宋体" w:hAnsi="宋体"/>
          <w:color w:val="auto"/>
          <w:highlight w:val="none"/>
        </w:rPr>
        <w:t>种方式：对于不属于依法必须招标的暂估价项目，按本项约定确认和批准：</w:t>
      </w:r>
    </w:p>
    <w:p w14:paraId="03992060">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1</w:t>
      </w:r>
      <w:r>
        <w:rPr>
          <w:rFonts w:hint="eastAsia" w:ascii="宋体" w:hAnsi="宋体"/>
          <w:color w:val="auto"/>
          <w:highlight w:val="none"/>
          <w:u w:val="single"/>
        </w:rPr>
        <w:t>）承包人应根据施工进度计划，在签订暂估价项目的采购合同、分包合同前</w:t>
      </w:r>
      <w:r>
        <w:rPr>
          <w:rFonts w:ascii="宋体" w:hAnsi="宋体"/>
          <w:color w:val="auto"/>
          <w:highlight w:val="none"/>
          <w:u w:val="single"/>
        </w:rPr>
        <w:t>28</w:t>
      </w:r>
      <w:r>
        <w:rPr>
          <w:rFonts w:hint="eastAsia" w:ascii="宋体" w:hAnsi="宋体"/>
          <w:color w:val="auto"/>
          <w:highlight w:val="none"/>
          <w:u w:val="single"/>
        </w:rPr>
        <w:t>天向监理人提出书面申请。监理人应当在收到申请后</w:t>
      </w:r>
      <w:r>
        <w:rPr>
          <w:rFonts w:ascii="宋体" w:hAnsi="宋体"/>
          <w:color w:val="auto"/>
          <w:highlight w:val="none"/>
          <w:u w:val="single"/>
        </w:rPr>
        <w:t>3</w:t>
      </w:r>
      <w:r>
        <w:rPr>
          <w:rFonts w:hint="eastAsia" w:ascii="宋体" w:hAnsi="宋体"/>
          <w:color w:val="auto"/>
          <w:highlight w:val="none"/>
          <w:u w:val="single"/>
        </w:rPr>
        <w:t>天内报送发包人，发包人应当在收到申请后</w:t>
      </w:r>
      <w:r>
        <w:rPr>
          <w:rFonts w:ascii="宋体" w:hAnsi="宋体"/>
          <w:color w:val="auto"/>
          <w:highlight w:val="none"/>
          <w:u w:val="single"/>
        </w:rPr>
        <w:t>14</w:t>
      </w:r>
      <w:r>
        <w:rPr>
          <w:rFonts w:hint="eastAsia" w:ascii="宋体" w:hAnsi="宋体"/>
          <w:color w:val="auto"/>
          <w:highlight w:val="none"/>
          <w:u w:val="single"/>
        </w:rPr>
        <w:t>天内给予批准或提出修改意见，发包人逾期未予批准或提出修改意见的，视为该书面申请已获得同意；</w:t>
      </w:r>
    </w:p>
    <w:p w14:paraId="5CA89FAB">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2</w:t>
      </w:r>
      <w:r>
        <w:rPr>
          <w:rFonts w:hint="eastAsia" w:ascii="宋体" w:hAnsi="宋体"/>
          <w:color w:val="auto"/>
          <w:highlight w:val="none"/>
          <w:u w:val="single"/>
        </w:rPr>
        <w:t>）发包人认为承包人确定的供应商、分包人无法满足工程质量或合同要求的，发包人可以要求承包人重新确定暂估价项目的供应商、分包人；</w:t>
      </w:r>
    </w:p>
    <w:p w14:paraId="6D01E2DF">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3</w:t>
      </w:r>
      <w:r>
        <w:rPr>
          <w:rFonts w:hint="eastAsia" w:ascii="宋体" w:hAnsi="宋体"/>
          <w:color w:val="auto"/>
          <w:highlight w:val="none"/>
          <w:u w:val="single"/>
        </w:rPr>
        <w:t>）承包人应当在签订暂估价合同后</w:t>
      </w:r>
      <w:r>
        <w:rPr>
          <w:rFonts w:ascii="宋体" w:hAnsi="宋体"/>
          <w:color w:val="auto"/>
          <w:highlight w:val="none"/>
          <w:u w:val="single"/>
        </w:rPr>
        <w:t>7</w:t>
      </w:r>
      <w:r>
        <w:rPr>
          <w:rFonts w:hint="eastAsia" w:ascii="宋体" w:hAnsi="宋体"/>
          <w:color w:val="auto"/>
          <w:highlight w:val="none"/>
          <w:u w:val="single"/>
        </w:rPr>
        <w:t>天内，将暂估价合同副本报送发包人留存。</w:t>
      </w:r>
      <w:bookmarkStart w:id="777" w:name="_Toc20455"/>
      <w:bookmarkEnd w:id="777"/>
    </w:p>
    <w:p w14:paraId="5E31BE36">
      <w:pPr>
        <w:spacing w:line="360" w:lineRule="auto"/>
        <w:ind w:firstLine="420"/>
        <w:jc w:val="left"/>
        <w:rPr>
          <w:rFonts w:ascii="宋体" w:hAnsi="宋体"/>
          <w:color w:val="auto"/>
          <w:highlight w:val="none"/>
          <w:u w:val="single"/>
        </w:rPr>
      </w:pPr>
      <w:r>
        <w:rPr>
          <w:rFonts w:ascii="宋体" w:hAnsi="宋体"/>
          <w:b/>
          <w:bCs/>
          <w:color w:val="auto"/>
          <w:highlight w:val="none"/>
          <w:lang w:val="zh-CN"/>
        </w:rPr>
        <w:t xml:space="preserve">10.8 </w:t>
      </w:r>
      <w:r>
        <w:rPr>
          <w:rFonts w:hint="eastAsia" w:ascii="宋体" w:hAnsi="宋体"/>
          <w:b/>
          <w:bCs/>
          <w:color w:val="auto"/>
          <w:highlight w:val="none"/>
          <w:lang w:val="zh-CN"/>
        </w:rPr>
        <w:t>暂列金额</w:t>
      </w:r>
    </w:p>
    <w:p w14:paraId="509186F5">
      <w:pPr>
        <w:spacing w:line="360" w:lineRule="auto"/>
        <w:ind w:firstLine="420" w:firstLineChars="200"/>
        <w:jc w:val="left"/>
        <w:rPr>
          <w:rFonts w:ascii="宋体" w:hAnsi="宋体"/>
          <w:color w:val="auto"/>
          <w:kern w:val="0"/>
          <w:highlight w:val="none"/>
          <w:u w:val="single"/>
        </w:rPr>
      </w:pPr>
      <w:r>
        <w:rPr>
          <w:rFonts w:hint="eastAsia" w:ascii="宋体" w:hAnsi="宋体"/>
          <w:color w:val="auto"/>
          <w:kern w:val="0"/>
          <w:highlight w:val="none"/>
        </w:rPr>
        <w:t>合同当事人关于暂列金额使用的约定:</w:t>
      </w:r>
      <w:r>
        <w:rPr>
          <w:rFonts w:hint="eastAsia" w:ascii="宋体" w:hAnsi="宋体"/>
          <w:color w:val="auto"/>
          <w:kern w:val="0"/>
          <w:highlight w:val="none"/>
          <w:u w:val="single"/>
        </w:rPr>
        <w:t xml:space="preserve"> 执行通用合同条款  。</w:t>
      </w:r>
    </w:p>
    <w:p w14:paraId="3D609BE2">
      <w:pPr>
        <w:autoSpaceDE w:val="0"/>
        <w:autoSpaceDN w:val="0"/>
        <w:adjustRightInd w:val="0"/>
        <w:spacing w:line="360" w:lineRule="auto"/>
        <w:ind w:firstLine="422" w:firstLineChars="200"/>
        <w:jc w:val="left"/>
        <w:rPr>
          <w:rFonts w:ascii="宋体" w:hAnsi="宋体"/>
          <w:b/>
          <w:bCs/>
          <w:color w:val="auto"/>
          <w:highlight w:val="none"/>
          <w:lang w:val="zh-CN"/>
        </w:rPr>
      </w:pPr>
      <w:bookmarkStart w:id="778" w:name="_Toc373478393"/>
      <w:r>
        <w:rPr>
          <w:rFonts w:hint="eastAsia" w:ascii="宋体" w:hAnsi="宋体"/>
          <w:b/>
          <w:bCs/>
          <w:color w:val="auto"/>
          <w:highlight w:val="none"/>
          <w:lang w:val="zh-CN"/>
        </w:rPr>
        <w:t>价格调整</w:t>
      </w:r>
      <w:bookmarkEnd w:id="778"/>
    </w:p>
    <w:p w14:paraId="18C57630">
      <w:pPr>
        <w:keepNext/>
        <w:keepLines/>
        <w:spacing w:line="360" w:lineRule="auto"/>
        <w:outlineLvl w:val="2"/>
        <w:rPr>
          <w:rFonts w:ascii="宋体" w:hAnsi="宋体"/>
          <w:b/>
          <w:bCs/>
          <w:color w:val="auto"/>
          <w:highlight w:val="none"/>
          <w:lang w:val="zh-CN"/>
        </w:rPr>
      </w:pPr>
      <w:bookmarkStart w:id="779" w:name="_Toc297216209"/>
      <w:bookmarkEnd w:id="779"/>
      <w:bookmarkStart w:id="780" w:name="_Toc373478394"/>
      <w:bookmarkEnd w:id="780"/>
      <w:bookmarkStart w:id="781" w:name="_Toc296503201"/>
      <w:bookmarkEnd w:id="781"/>
      <w:bookmarkStart w:id="782" w:name="_Toc304295577"/>
      <w:bookmarkEnd w:id="782"/>
      <w:bookmarkStart w:id="783" w:name="_Toc297048387"/>
      <w:bookmarkEnd w:id="783"/>
      <w:bookmarkStart w:id="784" w:name="_Toc407135250"/>
      <w:bookmarkEnd w:id="784"/>
      <w:bookmarkStart w:id="785" w:name="_Toc296891029"/>
      <w:bookmarkEnd w:id="785"/>
      <w:bookmarkStart w:id="786" w:name="_Toc25985"/>
      <w:bookmarkEnd w:id="786"/>
      <w:bookmarkStart w:id="787" w:name="_Toc389065313"/>
      <w:bookmarkEnd w:id="787"/>
      <w:bookmarkStart w:id="788" w:name="_Toc312678039"/>
      <w:bookmarkEnd w:id="788"/>
      <w:bookmarkStart w:id="789" w:name="_Toc292559406"/>
      <w:bookmarkEnd w:id="789"/>
      <w:bookmarkStart w:id="790" w:name="_Toc296944540"/>
      <w:bookmarkEnd w:id="790"/>
      <w:bookmarkStart w:id="791" w:name="_Toc296347200"/>
      <w:bookmarkEnd w:id="791"/>
      <w:bookmarkStart w:id="792" w:name="_Toc297123550"/>
      <w:bookmarkEnd w:id="792"/>
      <w:bookmarkStart w:id="793" w:name="_Toc292559911"/>
      <w:bookmarkEnd w:id="793"/>
      <w:bookmarkStart w:id="794" w:name="_Toc296891241"/>
      <w:bookmarkEnd w:id="794"/>
      <w:bookmarkStart w:id="795" w:name="_Toc297120501"/>
      <w:bookmarkEnd w:id="795"/>
      <w:bookmarkStart w:id="796" w:name="_Toc296346702"/>
      <w:bookmarkEnd w:id="796"/>
      <w:bookmarkStart w:id="797" w:name="_Toc303539157"/>
      <w:bookmarkEnd w:id="797"/>
      <w:bookmarkStart w:id="798" w:name="_Toc373227747"/>
      <w:bookmarkEnd w:id="798"/>
      <w:bookmarkStart w:id="799" w:name="_Toc300935000"/>
      <w:r>
        <w:rPr>
          <w:rFonts w:ascii="宋体" w:hAnsi="宋体"/>
          <w:b/>
          <w:bCs/>
          <w:color w:val="auto"/>
          <w:highlight w:val="none"/>
          <w:lang w:val="zh-CN"/>
        </w:rPr>
        <w:t xml:space="preserve">11.1 </w:t>
      </w:r>
      <w:bookmarkEnd w:id="799"/>
      <w:r>
        <w:rPr>
          <w:rFonts w:hint="eastAsia" w:ascii="宋体" w:hAnsi="宋体"/>
          <w:b/>
          <w:bCs/>
          <w:color w:val="auto"/>
          <w:highlight w:val="none"/>
          <w:lang w:val="zh-CN"/>
        </w:rPr>
        <w:t>市场价格波动引起的调整</w:t>
      </w:r>
    </w:p>
    <w:p w14:paraId="2B27BC2A">
      <w:pPr>
        <w:spacing w:line="360" w:lineRule="auto"/>
        <w:ind w:firstLine="420" w:firstLineChars="200"/>
        <w:jc w:val="left"/>
        <w:rPr>
          <w:rFonts w:ascii="宋体" w:hAnsi="宋体" w:cs="宋体"/>
          <w:color w:val="auto"/>
          <w:highlight w:val="none"/>
        </w:rPr>
      </w:pPr>
      <w:bookmarkStart w:id="800" w:name="_Toc296347204"/>
      <w:bookmarkEnd w:id="800"/>
      <w:bookmarkStart w:id="801" w:name="_Toc296503205"/>
      <w:bookmarkEnd w:id="801"/>
      <w:bookmarkStart w:id="802" w:name="_Toc300935002"/>
      <w:bookmarkEnd w:id="802"/>
      <w:bookmarkStart w:id="803" w:name="_Toc303539159"/>
      <w:bookmarkEnd w:id="803"/>
      <w:bookmarkStart w:id="804" w:name="_Toc304295579"/>
      <w:bookmarkEnd w:id="804"/>
      <w:bookmarkStart w:id="805" w:name="_Toc297048391"/>
      <w:bookmarkEnd w:id="805"/>
      <w:bookmarkStart w:id="806" w:name="_Toc373227748"/>
      <w:bookmarkEnd w:id="806"/>
      <w:bookmarkStart w:id="807" w:name="_Toc292559410"/>
      <w:bookmarkEnd w:id="807"/>
      <w:bookmarkStart w:id="808" w:name="_Toc312678040"/>
      <w:bookmarkEnd w:id="808"/>
      <w:bookmarkStart w:id="809" w:name="_Toc373478395"/>
      <w:bookmarkEnd w:id="809"/>
      <w:bookmarkStart w:id="810" w:name="_Toc292559915"/>
      <w:bookmarkEnd w:id="810"/>
      <w:bookmarkStart w:id="811" w:name="_Toc296891245"/>
      <w:bookmarkEnd w:id="811"/>
      <w:bookmarkStart w:id="812" w:name="_Toc297123552"/>
      <w:bookmarkEnd w:id="812"/>
      <w:bookmarkStart w:id="813" w:name="_Toc407135251"/>
      <w:bookmarkEnd w:id="813"/>
      <w:bookmarkStart w:id="814" w:name="_Toc296944544"/>
      <w:bookmarkEnd w:id="814"/>
      <w:bookmarkStart w:id="815" w:name="_Toc296891033"/>
      <w:bookmarkEnd w:id="815"/>
      <w:bookmarkStart w:id="816" w:name="_Toc297120505"/>
      <w:bookmarkEnd w:id="816"/>
      <w:bookmarkStart w:id="817" w:name="_Toc297216211"/>
      <w:bookmarkEnd w:id="817"/>
      <w:bookmarkStart w:id="818" w:name="_Toc351203644"/>
      <w:bookmarkEnd w:id="818"/>
      <w:bookmarkStart w:id="819" w:name="_Toc296346706"/>
      <w:bookmarkEnd w:id="819"/>
      <w:r>
        <w:rPr>
          <w:rFonts w:hint="eastAsia" w:ascii="宋体" w:hAnsi="宋体"/>
          <w:color w:val="auto"/>
          <w:kern w:val="0"/>
          <w:highlight w:val="none"/>
        </w:rPr>
        <w:t>市场价格波动是否调整合同价格的约定：</w:t>
      </w:r>
      <w:r>
        <w:rPr>
          <w:rFonts w:hint="eastAsia" w:ascii="宋体" w:hAnsi="宋体" w:cs="宋体"/>
          <w:color w:val="auto"/>
          <w:highlight w:val="none"/>
          <w:u w:val="single"/>
        </w:rPr>
        <w:t xml:space="preserve">施工期间主要材料(钢材、水泥、商品砼、铝合金门窗、电线和电缆)平均价以施工期间《工程所在地工程造价信息》公布的信息价平均值与预算控制价采用的材料价偏差在±5%内不调整，调整超出部分仅计差额及相应的税金（分部分项工程量清单（单价清单）和图纸未含项目除外） </w:t>
      </w:r>
      <w:r>
        <w:rPr>
          <w:rFonts w:hint="eastAsia" w:ascii="宋体" w:hAnsi="宋体" w:cs="宋体"/>
          <w:color w:val="auto"/>
          <w:highlight w:val="none"/>
        </w:rPr>
        <w:t>。</w:t>
      </w:r>
    </w:p>
    <w:p w14:paraId="22358126">
      <w:pPr>
        <w:spacing w:line="360" w:lineRule="auto"/>
        <w:ind w:firstLine="420" w:firstLineChars="200"/>
        <w:jc w:val="left"/>
        <w:rPr>
          <w:rFonts w:ascii="宋体" w:hAnsi="宋体"/>
          <w:color w:val="auto"/>
          <w:highlight w:val="none"/>
        </w:rPr>
      </w:pPr>
      <w:r>
        <w:rPr>
          <w:rFonts w:hint="eastAsia" w:ascii="宋体" w:hAnsi="宋体"/>
          <w:color w:val="auto"/>
          <w:highlight w:val="none"/>
        </w:rPr>
        <w:t>因市场价格波动调整合同价格，采用以下第</w:t>
      </w:r>
      <w:r>
        <w:rPr>
          <w:rFonts w:ascii="宋体" w:hAnsi="宋体"/>
          <w:color w:val="auto"/>
          <w:highlight w:val="none"/>
          <w:u w:val="single"/>
        </w:rPr>
        <w:t>2</w:t>
      </w:r>
      <w:r>
        <w:rPr>
          <w:rFonts w:hint="eastAsia" w:ascii="宋体" w:hAnsi="宋体"/>
          <w:color w:val="auto"/>
          <w:highlight w:val="none"/>
        </w:rPr>
        <w:t>种方式对合同价格进行调整：</w:t>
      </w:r>
    </w:p>
    <w:p w14:paraId="25AAB3A5">
      <w:pPr>
        <w:spacing w:line="360" w:lineRule="auto"/>
        <w:ind w:firstLine="420" w:firstLineChars="200"/>
        <w:jc w:val="left"/>
        <w:rPr>
          <w:rFonts w:ascii="宋体" w:hAnsi="宋体"/>
          <w:color w:val="auto"/>
          <w:highlight w:val="none"/>
        </w:rPr>
      </w:pPr>
      <w:r>
        <w:rPr>
          <w:rFonts w:hint="eastAsia" w:ascii="宋体" w:hAnsi="宋体"/>
          <w:color w:val="auto"/>
          <w:highlight w:val="none"/>
        </w:rPr>
        <w:t>第</w:t>
      </w:r>
      <w:r>
        <w:rPr>
          <w:rFonts w:ascii="宋体" w:hAnsi="宋体"/>
          <w:color w:val="auto"/>
          <w:highlight w:val="none"/>
        </w:rPr>
        <w:t>1</w:t>
      </w:r>
      <w:r>
        <w:rPr>
          <w:rFonts w:hint="eastAsia" w:ascii="宋体" w:hAnsi="宋体"/>
          <w:color w:val="auto"/>
          <w:highlight w:val="none"/>
        </w:rPr>
        <w:t>种方式：采用价格指数进行价格调整。</w:t>
      </w:r>
    </w:p>
    <w:p w14:paraId="429E7E60">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关于各可调因子、定值和变值权重，以及基本价格指数及其来源的约定：；</w:t>
      </w:r>
    </w:p>
    <w:p w14:paraId="5F264BCB">
      <w:pPr>
        <w:spacing w:line="360" w:lineRule="auto"/>
        <w:ind w:firstLine="420" w:firstLineChars="200"/>
        <w:jc w:val="left"/>
        <w:rPr>
          <w:rFonts w:ascii="宋体" w:hAnsi="宋体"/>
          <w:color w:val="auto"/>
          <w:highlight w:val="none"/>
        </w:rPr>
      </w:pPr>
      <w:r>
        <w:rPr>
          <w:rFonts w:hint="eastAsia" w:ascii="宋体" w:hAnsi="宋体"/>
          <w:color w:val="auto"/>
          <w:highlight w:val="none"/>
        </w:rPr>
        <w:t>第</w:t>
      </w:r>
      <w:r>
        <w:rPr>
          <w:rFonts w:ascii="宋体" w:hAnsi="宋体"/>
          <w:color w:val="auto"/>
          <w:highlight w:val="none"/>
        </w:rPr>
        <w:t>2</w:t>
      </w:r>
      <w:r>
        <w:rPr>
          <w:rFonts w:hint="eastAsia" w:ascii="宋体" w:hAnsi="宋体"/>
          <w:color w:val="auto"/>
          <w:highlight w:val="none"/>
        </w:rPr>
        <w:t>种方式：采用造价信息进行价格调整。</w:t>
      </w:r>
    </w:p>
    <w:p w14:paraId="260748B7">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）允许调整的主要材料和设备、基准价格、风险系数、投标报价详见《承包人提供主要材料和设备一览表》（表</w:t>
      </w:r>
      <w:r>
        <w:rPr>
          <w:rFonts w:ascii="宋体" w:hAnsi="宋体"/>
          <w:color w:val="auto"/>
          <w:highlight w:val="none"/>
        </w:rPr>
        <w:t>-22</w:t>
      </w:r>
      <w:r>
        <w:rPr>
          <w:rFonts w:hint="eastAsia" w:ascii="宋体" w:hAnsi="宋体"/>
          <w:color w:val="auto"/>
          <w:highlight w:val="none"/>
        </w:rPr>
        <w:t>）</w:t>
      </w:r>
      <w:r>
        <w:rPr>
          <w:rFonts w:ascii="宋体" w:hAnsi="宋体" w:cs="Calibri"/>
          <w:color w:val="auto"/>
          <w:highlight w:val="none"/>
        </w:rPr>
        <w:t>,</w:t>
      </w:r>
      <w:r>
        <w:rPr>
          <w:rFonts w:hint="eastAsia" w:ascii="宋体" w:hAnsi="宋体"/>
          <w:color w:val="auto"/>
          <w:highlight w:val="none"/>
        </w:rPr>
        <w:t>价</w:t>
      </w:r>
      <w:r>
        <w:rPr>
          <w:rFonts w:hint="eastAsia" w:ascii="宋体" w:hAnsi="宋体" w:cs="宋体"/>
          <w:color w:val="auto"/>
          <w:highlight w:val="none"/>
        </w:rPr>
        <w:t>差</w:t>
      </w:r>
      <w:r>
        <w:rPr>
          <w:rFonts w:hint="eastAsia" w:ascii="宋体" w:hAnsi="宋体"/>
          <w:color w:val="auto"/>
          <w:highlight w:val="none"/>
        </w:rPr>
        <w:t>调整部分仅计算税金，除此表列明的材料、设备外，其余材料设备价差原则上不予调整。</w:t>
      </w:r>
    </w:p>
    <w:p w14:paraId="1DBC26D8">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）主要材料和设备确认价：</w:t>
      </w:r>
    </w:p>
    <w:p w14:paraId="085630FC">
      <w:pPr>
        <w:spacing w:line="360" w:lineRule="auto"/>
        <w:ind w:firstLine="420" w:firstLineChars="200"/>
        <w:jc w:val="left"/>
        <w:rPr>
          <w:rFonts w:ascii="宋体" w:hAnsi="宋体"/>
          <w:color w:val="auto"/>
          <w:highlight w:val="none"/>
        </w:rPr>
      </w:pPr>
      <w:r>
        <w:rPr>
          <w:rFonts w:hint="eastAsia" w:ascii="宋体" w:hAnsi="宋体"/>
          <w:color w:val="auto"/>
          <w:highlight w:val="none"/>
          <w:u w:val="single"/>
        </w:rPr>
        <w:t>按施工期间《贵港市建设工程造价信息》材料和设备信息价的加权平均价计算，《</w:t>
      </w:r>
      <w:r>
        <w:rPr>
          <w:rFonts w:hint="eastAsia" w:asciiTheme="minorEastAsia" w:hAnsiTheme="minorEastAsia" w:eastAsiaTheme="minorEastAsia"/>
          <w:color w:val="auto"/>
          <w:highlight w:val="none"/>
          <w:u w:val="single"/>
        </w:rPr>
        <w:t>贵港市建设工程造价信息》没有相应价格信息的按施工期间的《南宁市建设工程造价信息》</w:t>
      </w:r>
      <w:r>
        <w:rPr>
          <w:rFonts w:hint="eastAsia" w:ascii="宋体" w:hAnsi="宋体"/>
          <w:color w:val="auto"/>
          <w:highlight w:val="none"/>
        </w:rPr>
        <w:t>加权平均价计算</w:t>
      </w:r>
      <w:r>
        <w:rPr>
          <w:rFonts w:hint="eastAsia" w:asciiTheme="minorEastAsia" w:hAnsiTheme="minorEastAsia" w:eastAsiaTheme="minorEastAsia"/>
          <w:color w:val="auto"/>
          <w:highlight w:val="none"/>
          <w:u w:val="single"/>
        </w:rPr>
        <w:t>，《南宁市建设工程造价信息》</w:t>
      </w:r>
      <w:r>
        <w:rPr>
          <w:rFonts w:hint="eastAsia" w:ascii="宋体" w:hAnsi="宋体"/>
          <w:color w:val="auto"/>
          <w:highlight w:val="none"/>
          <w:u w:val="single"/>
        </w:rPr>
        <w:t>没有相应信息价的，由建设单位委托造价咨询单位根据当地市场行情来确定，</w:t>
      </w:r>
      <w:r>
        <w:rPr>
          <w:rFonts w:hint="eastAsia" w:asciiTheme="minorEastAsia" w:hAnsiTheme="minorEastAsia" w:eastAsiaTheme="minorEastAsia"/>
          <w:color w:val="auto"/>
          <w:highlight w:val="none"/>
          <w:u w:val="single"/>
        </w:rPr>
        <w:t>已审定的新增、减项项目综合单价结算时均不允许调整</w:t>
      </w:r>
      <w:r>
        <w:rPr>
          <w:rFonts w:hint="eastAsia" w:ascii="宋体" w:hAnsi="宋体"/>
          <w:color w:val="auto"/>
          <w:highlight w:val="none"/>
        </w:rPr>
        <w:t>。</w:t>
      </w:r>
    </w:p>
    <w:p w14:paraId="786606C3">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3</w:t>
      </w:r>
      <w:r>
        <w:rPr>
          <w:rFonts w:hint="eastAsia" w:ascii="宋体" w:hAnsi="宋体"/>
          <w:color w:val="auto"/>
          <w:highlight w:val="none"/>
        </w:rPr>
        <w:t>）价差计算方法：</w:t>
      </w:r>
    </w:p>
    <w:p w14:paraId="387043AB">
      <w:pPr>
        <w:spacing w:line="360" w:lineRule="auto"/>
        <w:ind w:firstLine="420" w:firstLineChars="200"/>
        <w:jc w:val="left"/>
        <w:rPr>
          <w:rFonts w:ascii="宋体" w:hAnsi="宋体"/>
          <w:color w:val="auto"/>
          <w:highlight w:val="none"/>
        </w:rPr>
      </w:pPr>
      <w:r>
        <w:rPr>
          <w:rFonts w:hint="eastAsia" w:ascii="宋体" w:hAnsi="宋体"/>
          <w:color w:val="auto"/>
          <w:highlight w:val="none"/>
        </w:rPr>
        <w:t>①《承包人提供主要材料和设备一览表》中载明的材料和设备投标报价低于基准价格的：合同履行期间材料和设备单价涨幅以基准价格为基础超过约定的风险范围时，或材料和设备单价跌幅以投标报价为基础超过约定的风险范围时，对其超过部分进行价差调整，价差计算公式：价格上涨价差</w:t>
      </w:r>
      <w:r>
        <w:rPr>
          <w:rFonts w:ascii="宋体" w:hAnsi="宋体" w:cs="Calibri"/>
          <w:color w:val="auto"/>
          <w:highlight w:val="none"/>
        </w:rPr>
        <w:t>=</w:t>
      </w:r>
      <w:r>
        <w:rPr>
          <w:rFonts w:hint="eastAsia" w:ascii="宋体" w:hAnsi="宋体"/>
          <w:color w:val="auto"/>
          <w:highlight w:val="none"/>
        </w:rPr>
        <w:t>确认价</w:t>
      </w:r>
      <w:r>
        <w:rPr>
          <w:rFonts w:ascii="宋体" w:hAnsi="宋体" w:cs="Calibri"/>
          <w:color w:val="auto"/>
          <w:highlight w:val="none"/>
        </w:rPr>
        <w:t>-</w:t>
      </w:r>
      <w:r>
        <w:rPr>
          <w:rFonts w:hint="eastAsia" w:ascii="宋体" w:hAnsi="宋体"/>
          <w:color w:val="auto"/>
          <w:highlight w:val="none"/>
        </w:rPr>
        <w:t>基准价</w:t>
      </w:r>
      <w:r>
        <w:rPr>
          <w:rFonts w:ascii="宋体" w:hAnsi="宋体" w:cs="Calibri"/>
          <w:color w:val="auto"/>
          <w:highlight w:val="none"/>
        </w:rPr>
        <w:t>*</w:t>
      </w:r>
      <w:r>
        <w:rPr>
          <w:rFonts w:hint="eastAsia" w:ascii="宋体" w:hAnsi="宋体"/>
          <w:color w:val="auto"/>
          <w:highlight w:val="none"/>
        </w:rPr>
        <w:t>（</w:t>
      </w:r>
      <w:r>
        <w:rPr>
          <w:rFonts w:ascii="宋体" w:hAnsi="宋体" w:cs="Calibri"/>
          <w:color w:val="auto"/>
          <w:highlight w:val="none"/>
        </w:rPr>
        <w:t>1+</w:t>
      </w:r>
      <w:r>
        <w:rPr>
          <w:rFonts w:hint="eastAsia" w:ascii="宋体" w:hAnsi="宋体"/>
          <w:color w:val="auto"/>
          <w:highlight w:val="none"/>
        </w:rPr>
        <w:t>风险系数），价格下跌价差</w:t>
      </w:r>
      <w:r>
        <w:rPr>
          <w:rFonts w:ascii="宋体" w:hAnsi="宋体" w:cs="Calibri"/>
          <w:color w:val="auto"/>
          <w:highlight w:val="none"/>
        </w:rPr>
        <w:t>=</w:t>
      </w:r>
      <w:r>
        <w:rPr>
          <w:rFonts w:hint="eastAsia" w:ascii="宋体" w:hAnsi="宋体"/>
          <w:color w:val="auto"/>
          <w:highlight w:val="none"/>
        </w:rPr>
        <w:t>确认价</w:t>
      </w:r>
      <w:r>
        <w:rPr>
          <w:rFonts w:ascii="宋体" w:hAnsi="宋体" w:cs="Calibri"/>
          <w:color w:val="auto"/>
          <w:highlight w:val="none"/>
        </w:rPr>
        <w:t>-</w:t>
      </w:r>
      <w:r>
        <w:rPr>
          <w:rFonts w:hint="eastAsia" w:ascii="宋体" w:hAnsi="宋体"/>
          <w:color w:val="auto"/>
          <w:highlight w:val="none"/>
        </w:rPr>
        <w:t>投标报价</w:t>
      </w:r>
      <w:r>
        <w:rPr>
          <w:rFonts w:ascii="宋体" w:hAnsi="宋体" w:cs="Calibri"/>
          <w:color w:val="auto"/>
          <w:highlight w:val="none"/>
        </w:rPr>
        <w:t>*</w:t>
      </w:r>
      <w:r>
        <w:rPr>
          <w:rFonts w:hint="eastAsia" w:ascii="宋体" w:hAnsi="宋体"/>
          <w:color w:val="auto"/>
          <w:highlight w:val="none"/>
        </w:rPr>
        <w:t>（</w:t>
      </w:r>
      <w:r>
        <w:rPr>
          <w:rFonts w:ascii="宋体" w:hAnsi="宋体" w:cs="Calibri"/>
          <w:color w:val="auto"/>
          <w:highlight w:val="none"/>
        </w:rPr>
        <w:t>1+</w:t>
      </w:r>
      <w:r>
        <w:rPr>
          <w:rFonts w:hint="eastAsia" w:ascii="宋体" w:hAnsi="宋体"/>
          <w:color w:val="auto"/>
          <w:highlight w:val="none"/>
        </w:rPr>
        <w:t>风险系数）。</w:t>
      </w:r>
    </w:p>
    <w:p w14:paraId="193A6C3A">
      <w:pPr>
        <w:spacing w:line="360" w:lineRule="auto"/>
        <w:ind w:firstLine="420" w:firstLineChars="200"/>
        <w:jc w:val="left"/>
        <w:rPr>
          <w:rFonts w:ascii="宋体" w:hAnsi="宋体"/>
          <w:color w:val="auto"/>
          <w:highlight w:val="none"/>
        </w:rPr>
      </w:pPr>
      <w:r>
        <w:rPr>
          <w:rFonts w:hint="eastAsia" w:ascii="宋体" w:hAnsi="宋体"/>
          <w:color w:val="auto"/>
          <w:highlight w:val="none"/>
        </w:rPr>
        <w:t>②承包人在《承包人提供主要材料和设备一览表》中载明的材料和设备投标报价高于基准价格的：合同履行期间材料和设备单价跌幅以基准价格为基础超过约定的风险范围时，或材料和设备单价涨幅以投标报价为基础超过约定的风险范围时，对其超过部分进行价差调整。价差计算公式：价格上涨价差</w:t>
      </w:r>
      <w:r>
        <w:rPr>
          <w:rFonts w:ascii="宋体" w:hAnsi="宋体" w:cs="Calibri"/>
          <w:color w:val="auto"/>
          <w:highlight w:val="none"/>
        </w:rPr>
        <w:t>=</w:t>
      </w:r>
      <w:r>
        <w:rPr>
          <w:rFonts w:hint="eastAsia" w:ascii="宋体" w:hAnsi="宋体"/>
          <w:color w:val="auto"/>
          <w:highlight w:val="none"/>
        </w:rPr>
        <w:t>确认价投标报价</w:t>
      </w:r>
      <w:r>
        <w:rPr>
          <w:rFonts w:ascii="宋体" w:hAnsi="宋体" w:cs="Calibri"/>
          <w:color w:val="auto"/>
          <w:highlight w:val="none"/>
        </w:rPr>
        <w:t>*</w:t>
      </w:r>
      <w:r>
        <w:rPr>
          <w:rFonts w:hint="eastAsia" w:ascii="宋体" w:hAnsi="宋体"/>
          <w:color w:val="auto"/>
          <w:highlight w:val="none"/>
        </w:rPr>
        <w:t>（</w:t>
      </w:r>
      <w:r>
        <w:rPr>
          <w:rFonts w:ascii="宋体" w:hAnsi="宋体" w:cs="Calibri"/>
          <w:color w:val="auto"/>
          <w:highlight w:val="none"/>
        </w:rPr>
        <w:t>1+</w:t>
      </w:r>
      <w:r>
        <w:rPr>
          <w:rFonts w:hint="eastAsia" w:ascii="宋体" w:hAnsi="宋体"/>
          <w:color w:val="auto"/>
          <w:highlight w:val="none"/>
        </w:rPr>
        <w:t>风险系数），价格下跌价差</w:t>
      </w:r>
      <w:r>
        <w:rPr>
          <w:rFonts w:ascii="宋体" w:hAnsi="宋体" w:cs="Calibri"/>
          <w:color w:val="auto"/>
          <w:highlight w:val="none"/>
        </w:rPr>
        <w:t>=</w:t>
      </w:r>
      <w:r>
        <w:rPr>
          <w:rFonts w:hint="eastAsia" w:ascii="宋体" w:hAnsi="宋体"/>
          <w:color w:val="auto"/>
          <w:highlight w:val="none"/>
        </w:rPr>
        <w:t>确认价</w:t>
      </w:r>
      <w:r>
        <w:rPr>
          <w:rFonts w:ascii="宋体" w:hAnsi="宋体" w:cs="Calibri"/>
          <w:color w:val="auto"/>
          <w:highlight w:val="none"/>
        </w:rPr>
        <w:t>-</w:t>
      </w:r>
      <w:r>
        <w:rPr>
          <w:rFonts w:hint="eastAsia" w:ascii="宋体" w:hAnsi="宋体"/>
          <w:color w:val="auto"/>
          <w:highlight w:val="none"/>
        </w:rPr>
        <w:t>基准价</w:t>
      </w:r>
      <w:r>
        <w:rPr>
          <w:rFonts w:ascii="宋体" w:hAnsi="宋体" w:cs="Calibri"/>
          <w:color w:val="auto"/>
          <w:highlight w:val="none"/>
        </w:rPr>
        <w:t>*</w:t>
      </w:r>
      <w:r>
        <w:rPr>
          <w:rFonts w:hint="eastAsia" w:ascii="宋体" w:hAnsi="宋体"/>
          <w:color w:val="auto"/>
          <w:highlight w:val="none"/>
        </w:rPr>
        <w:t>（</w:t>
      </w:r>
      <w:r>
        <w:rPr>
          <w:rFonts w:ascii="宋体" w:hAnsi="宋体" w:cs="Calibri"/>
          <w:color w:val="auto"/>
          <w:highlight w:val="none"/>
        </w:rPr>
        <w:t>1+</w:t>
      </w:r>
      <w:r>
        <w:rPr>
          <w:rFonts w:hint="eastAsia" w:ascii="宋体" w:hAnsi="宋体"/>
          <w:color w:val="auto"/>
          <w:highlight w:val="none"/>
        </w:rPr>
        <w:t>风险系数。）</w:t>
      </w:r>
    </w:p>
    <w:p w14:paraId="622050D7">
      <w:pPr>
        <w:spacing w:line="360" w:lineRule="auto"/>
        <w:ind w:firstLine="420" w:firstLineChars="200"/>
        <w:jc w:val="left"/>
        <w:rPr>
          <w:rFonts w:ascii="宋体" w:hAnsi="宋体"/>
          <w:color w:val="auto"/>
          <w:highlight w:val="none"/>
        </w:rPr>
      </w:pPr>
      <w:r>
        <w:rPr>
          <w:rFonts w:hint="eastAsia" w:ascii="宋体" w:hAnsi="宋体"/>
          <w:color w:val="auto"/>
          <w:highlight w:val="none"/>
        </w:rPr>
        <w:t>③承包人在《承包人提供主要材料和设备一览表》中载明的材料和设备单价等于基准单价的：合同履行期间材料和设备单价涨跌幅以基准单价为基础超过约定的风险范围时，对其超过部分进行价差调整。价差计算公式：上涨或下跌价差</w:t>
      </w:r>
      <w:r>
        <w:rPr>
          <w:rFonts w:ascii="宋体" w:hAnsi="宋体" w:cs="Calibri"/>
          <w:color w:val="auto"/>
          <w:highlight w:val="none"/>
        </w:rPr>
        <w:t>=</w:t>
      </w:r>
      <w:r>
        <w:rPr>
          <w:rFonts w:hint="eastAsia" w:ascii="宋体" w:hAnsi="宋体"/>
          <w:color w:val="auto"/>
          <w:highlight w:val="none"/>
        </w:rPr>
        <w:t>确认价</w:t>
      </w:r>
      <w:r>
        <w:rPr>
          <w:rFonts w:ascii="宋体" w:hAnsi="宋体" w:cs="Calibri"/>
          <w:color w:val="auto"/>
          <w:highlight w:val="none"/>
        </w:rPr>
        <w:t>-</w:t>
      </w:r>
      <w:r>
        <w:rPr>
          <w:rFonts w:hint="eastAsia" w:ascii="宋体" w:hAnsi="宋体"/>
          <w:color w:val="auto"/>
          <w:highlight w:val="none"/>
        </w:rPr>
        <w:t>基准单价</w:t>
      </w:r>
      <w:r>
        <w:rPr>
          <w:rFonts w:ascii="宋体" w:hAnsi="宋体" w:cs="Calibri"/>
          <w:color w:val="auto"/>
          <w:highlight w:val="none"/>
        </w:rPr>
        <w:t>*</w:t>
      </w:r>
      <w:r>
        <w:rPr>
          <w:rFonts w:hint="eastAsia" w:ascii="宋体" w:hAnsi="宋体"/>
          <w:color w:val="auto"/>
          <w:highlight w:val="none"/>
        </w:rPr>
        <w:t>（</w:t>
      </w:r>
      <w:r>
        <w:rPr>
          <w:rFonts w:ascii="宋体" w:hAnsi="宋体" w:cs="Calibri"/>
          <w:color w:val="auto"/>
          <w:highlight w:val="none"/>
        </w:rPr>
        <w:t>1+</w:t>
      </w:r>
      <w:r>
        <w:rPr>
          <w:rFonts w:hint="eastAsia" w:ascii="宋体" w:hAnsi="宋体"/>
          <w:color w:val="auto"/>
          <w:highlight w:val="none"/>
        </w:rPr>
        <w:t>风险系数））</w:t>
      </w:r>
    </w:p>
    <w:p w14:paraId="1C0FDAE7">
      <w:pPr>
        <w:spacing w:line="360" w:lineRule="auto"/>
        <w:ind w:firstLine="645"/>
        <w:jc w:val="left"/>
        <w:rPr>
          <w:rFonts w:ascii="宋体" w:hAnsi="宋体"/>
          <w:color w:val="auto"/>
          <w:highlight w:val="none"/>
        </w:rPr>
      </w:pPr>
      <w:r>
        <w:rPr>
          <w:rFonts w:hint="eastAsia" w:ascii="宋体" w:hAnsi="宋体"/>
          <w:color w:val="auto"/>
          <w:highlight w:val="none"/>
        </w:rPr>
        <w:t>第</w:t>
      </w:r>
      <w:r>
        <w:rPr>
          <w:rFonts w:ascii="宋体" w:hAnsi="宋体"/>
          <w:color w:val="auto"/>
          <w:highlight w:val="none"/>
        </w:rPr>
        <w:t>3</w:t>
      </w:r>
      <w:r>
        <w:rPr>
          <w:rFonts w:hint="eastAsia" w:ascii="宋体" w:hAnsi="宋体"/>
          <w:color w:val="auto"/>
          <w:highlight w:val="none"/>
        </w:rPr>
        <w:t>种方式：其他价格调整方式</w:t>
      </w:r>
      <w:r>
        <w:rPr>
          <w:rFonts w:hint="eastAsia" w:ascii="宋体" w:hAnsi="宋体"/>
          <w:color w:val="auto"/>
          <w:highlight w:val="none"/>
          <w:u w:val="single"/>
        </w:rPr>
        <w:t xml:space="preserve">   /  </w:t>
      </w:r>
      <w:r>
        <w:rPr>
          <w:rFonts w:hint="eastAsia" w:ascii="宋体" w:hAnsi="宋体"/>
          <w:color w:val="auto"/>
          <w:highlight w:val="none"/>
        </w:rPr>
        <w:t xml:space="preserve"> 。</w:t>
      </w:r>
    </w:p>
    <w:p w14:paraId="686BF604">
      <w:pPr>
        <w:keepNext/>
        <w:keepLines/>
        <w:spacing w:before="60" w:after="60" w:line="413" w:lineRule="auto"/>
        <w:outlineLvl w:val="1"/>
        <w:rPr>
          <w:rFonts w:ascii="宋体" w:hAnsi="宋体"/>
          <w:b/>
          <w:bCs/>
          <w:color w:val="auto"/>
          <w:highlight w:val="none"/>
          <w:lang w:val="zh-CN"/>
        </w:rPr>
      </w:pPr>
      <w:r>
        <w:rPr>
          <w:rFonts w:ascii="宋体" w:hAnsi="宋体"/>
          <w:b/>
          <w:bCs/>
          <w:color w:val="auto"/>
          <w:highlight w:val="none"/>
          <w:lang w:val="zh-CN"/>
        </w:rPr>
        <w:t xml:space="preserve">12. </w:t>
      </w:r>
      <w:r>
        <w:rPr>
          <w:rFonts w:hint="eastAsia" w:ascii="宋体" w:hAnsi="宋体"/>
          <w:b/>
          <w:bCs/>
          <w:color w:val="auto"/>
          <w:highlight w:val="none"/>
          <w:lang w:val="zh-CN"/>
        </w:rPr>
        <w:t>合同价格、计量与支付</w:t>
      </w:r>
    </w:p>
    <w:p w14:paraId="54C1A73B">
      <w:pPr>
        <w:keepNext/>
        <w:keepLines/>
        <w:spacing w:line="360" w:lineRule="auto"/>
        <w:outlineLvl w:val="2"/>
        <w:rPr>
          <w:rFonts w:ascii="宋体" w:hAnsi="宋体"/>
          <w:b/>
          <w:bCs/>
          <w:color w:val="auto"/>
          <w:highlight w:val="none"/>
          <w:lang w:val="zh-CN"/>
        </w:rPr>
      </w:pPr>
      <w:bookmarkStart w:id="820" w:name="_Toc303539160"/>
      <w:bookmarkEnd w:id="820"/>
      <w:bookmarkStart w:id="821" w:name="_Toc297123553"/>
      <w:bookmarkEnd w:id="821"/>
      <w:bookmarkStart w:id="822" w:name="_Toc296503206"/>
      <w:bookmarkEnd w:id="822"/>
      <w:bookmarkStart w:id="823" w:name="_Toc292559411"/>
      <w:bookmarkEnd w:id="823"/>
      <w:bookmarkStart w:id="824" w:name="_Toc297120506"/>
      <w:bookmarkEnd w:id="824"/>
      <w:bookmarkStart w:id="825" w:name="_Toc389065314"/>
      <w:bookmarkEnd w:id="825"/>
      <w:bookmarkStart w:id="826" w:name="_Toc296347205"/>
      <w:bookmarkEnd w:id="826"/>
      <w:bookmarkStart w:id="827" w:name="_Toc296346707"/>
      <w:bookmarkEnd w:id="827"/>
      <w:bookmarkStart w:id="828" w:name="_Toc296944545"/>
      <w:bookmarkEnd w:id="828"/>
      <w:bookmarkStart w:id="829" w:name="_Toc373478396"/>
      <w:bookmarkEnd w:id="829"/>
      <w:bookmarkStart w:id="830" w:name="_Toc267251461"/>
      <w:bookmarkEnd w:id="830"/>
      <w:bookmarkStart w:id="831" w:name="_Toc304295580"/>
      <w:bookmarkEnd w:id="831"/>
      <w:bookmarkStart w:id="832" w:name="_Toc5477"/>
      <w:bookmarkEnd w:id="832"/>
      <w:bookmarkStart w:id="833" w:name="_Toc312678041"/>
      <w:bookmarkEnd w:id="833"/>
      <w:bookmarkStart w:id="834" w:name="_Toc373227749"/>
      <w:bookmarkEnd w:id="834"/>
      <w:bookmarkStart w:id="835" w:name="_Toc297216212"/>
      <w:bookmarkEnd w:id="835"/>
      <w:bookmarkStart w:id="836" w:name="_Toc296891034"/>
      <w:bookmarkEnd w:id="836"/>
      <w:bookmarkStart w:id="837" w:name="_Toc296891246"/>
      <w:bookmarkEnd w:id="837"/>
      <w:bookmarkStart w:id="838" w:name="_Toc300935003"/>
      <w:bookmarkEnd w:id="838"/>
      <w:bookmarkStart w:id="839" w:name="_Toc297048392"/>
      <w:bookmarkEnd w:id="839"/>
      <w:bookmarkStart w:id="840" w:name="_Toc407135252"/>
      <w:bookmarkEnd w:id="840"/>
      <w:bookmarkStart w:id="841" w:name="_Toc292559916"/>
      <w:r>
        <w:rPr>
          <w:rFonts w:ascii="宋体" w:hAnsi="宋体"/>
          <w:b/>
          <w:bCs/>
          <w:color w:val="auto"/>
          <w:highlight w:val="none"/>
          <w:lang w:val="zh-CN"/>
        </w:rPr>
        <w:t xml:space="preserve">12.1 </w:t>
      </w:r>
      <w:bookmarkEnd w:id="841"/>
      <w:r>
        <w:rPr>
          <w:rFonts w:hint="eastAsia" w:ascii="宋体" w:hAnsi="宋体"/>
          <w:b/>
          <w:bCs/>
          <w:color w:val="auto"/>
          <w:highlight w:val="none"/>
          <w:lang w:val="zh-CN"/>
        </w:rPr>
        <w:t>合同价格形式</w:t>
      </w:r>
    </w:p>
    <w:p w14:paraId="6D47FF1F">
      <w:pPr>
        <w:spacing w:line="360" w:lineRule="auto"/>
        <w:ind w:firstLine="420" w:firstLineChars="200"/>
        <w:jc w:val="left"/>
        <w:rPr>
          <w:rFonts w:ascii="宋体" w:hAnsi="宋体"/>
          <w:color w:val="auto"/>
          <w:highlight w:val="none"/>
        </w:rPr>
      </w:pPr>
      <w:bookmarkStart w:id="842" w:name="_Toc292559412"/>
      <w:bookmarkEnd w:id="842"/>
      <w:bookmarkStart w:id="843" w:name="_Toc296347206"/>
      <w:bookmarkEnd w:id="843"/>
      <w:bookmarkStart w:id="844" w:name="_Toc296891247"/>
      <w:bookmarkEnd w:id="844"/>
      <w:bookmarkStart w:id="845" w:name="_Toc312678042"/>
      <w:bookmarkEnd w:id="845"/>
      <w:bookmarkStart w:id="846" w:name="_Toc304295581"/>
      <w:bookmarkEnd w:id="846"/>
      <w:bookmarkStart w:id="847" w:name="_Toc389065315"/>
      <w:bookmarkEnd w:id="847"/>
      <w:bookmarkStart w:id="848" w:name="_Toc296503207"/>
      <w:bookmarkEnd w:id="848"/>
      <w:bookmarkStart w:id="849" w:name="_Toc407135253"/>
      <w:bookmarkEnd w:id="849"/>
      <w:bookmarkStart w:id="850" w:name="_Toc296891035"/>
      <w:bookmarkEnd w:id="850"/>
      <w:bookmarkStart w:id="851" w:name="_Toc296944546"/>
      <w:bookmarkEnd w:id="851"/>
      <w:bookmarkStart w:id="852" w:name="_Toc303539161"/>
      <w:bookmarkEnd w:id="852"/>
      <w:bookmarkStart w:id="853" w:name="_Toc296346708"/>
      <w:bookmarkEnd w:id="853"/>
      <w:bookmarkStart w:id="854" w:name="_Toc297048393"/>
      <w:bookmarkEnd w:id="854"/>
      <w:bookmarkStart w:id="855" w:name="_Toc373478397"/>
      <w:bookmarkEnd w:id="855"/>
      <w:bookmarkStart w:id="856" w:name="_Toc297216213"/>
      <w:bookmarkEnd w:id="856"/>
      <w:bookmarkStart w:id="857" w:name="_Toc297123554"/>
      <w:bookmarkEnd w:id="857"/>
      <w:bookmarkStart w:id="858" w:name="_Toc292559917"/>
      <w:bookmarkEnd w:id="858"/>
      <w:bookmarkStart w:id="859" w:name="_Toc297120507"/>
      <w:bookmarkEnd w:id="859"/>
      <w:bookmarkStart w:id="860" w:name="_Toc300935004"/>
      <w:bookmarkEnd w:id="860"/>
      <w:bookmarkStart w:id="861" w:name="_Toc373227750"/>
      <w:r>
        <w:rPr>
          <w:rFonts w:hint="eastAsia" w:ascii="宋体" w:hAnsi="宋体"/>
          <w:color w:val="auto"/>
          <w:highlight w:val="none"/>
        </w:rPr>
        <w:t>本工程采用</w:t>
      </w:r>
      <w:bookmarkEnd w:id="861"/>
      <w:r>
        <w:rPr>
          <w:rFonts w:hint="eastAsia" w:ascii="宋体" w:hAnsi="宋体"/>
          <w:b/>
          <w:color w:val="auto"/>
          <w:highlight w:val="none"/>
          <w:u w:val="single"/>
        </w:rPr>
        <w:t>单价</w:t>
      </w:r>
      <w:r>
        <w:rPr>
          <w:rFonts w:hint="eastAsia" w:ascii="宋体" w:hAnsi="宋体"/>
          <w:color w:val="auto"/>
          <w:highlight w:val="none"/>
        </w:rPr>
        <w:t>合同价格形式，合同价格包含增值税，本工程计价时采用的增值税计税方法为：</w:t>
      </w:r>
      <w:r>
        <w:rPr>
          <w:rFonts w:hint="eastAsia" w:ascii="宋体" w:hAnsi="宋体"/>
          <w:color w:val="auto"/>
          <w:highlight w:val="none"/>
          <w:lang w:eastAsia="zh-CN"/>
        </w:rPr>
        <w:t>一般计税法</w:t>
      </w:r>
      <w:r>
        <w:rPr>
          <w:rFonts w:hint="eastAsia" w:ascii="宋体" w:hAnsi="宋体"/>
          <w:color w:val="auto"/>
          <w:highlight w:val="none"/>
        </w:rPr>
        <w:t>。</w:t>
      </w:r>
    </w:p>
    <w:p w14:paraId="677CBE36">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）单价合同。</w:t>
      </w:r>
    </w:p>
    <w:p w14:paraId="192B81E2">
      <w:pPr>
        <w:spacing w:line="360" w:lineRule="auto"/>
        <w:ind w:firstLine="420" w:firstLineChars="200"/>
        <w:jc w:val="left"/>
        <w:rPr>
          <w:rFonts w:ascii="宋体" w:hAnsi="宋体"/>
          <w:color w:val="auto"/>
          <w:highlight w:val="none"/>
        </w:rPr>
      </w:pPr>
      <w:r>
        <w:rPr>
          <w:rFonts w:hint="eastAsia" w:ascii="宋体" w:hAnsi="宋体"/>
          <w:color w:val="auto"/>
          <w:highlight w:val="none"/>
        </w:rPr>
        <w:t>采用综合单价合同方式时，工程量按建设单位、监理单位、施工单位三方确认的竣工图结算。</w:t>
      </w:r>
    </w:p>
    <w:p w14:paraId="050807EF">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综合单价包含的风险范围：</w:t>
      </w:r>
      <w:r>
        <w:rPr>
          <w:rFonts w:hint="eastAsia" w:asciiTheme="minorEastAsia" w:hAnsiTheme="minorEastAsia" w:eastAsiaTheme="minorEastAsia"/>
          <w:color w:val="auto"/>
          <w:highlight w:val="none"/>
          <w:u w:val="single"/>
        </w:rPr>
        <w:t>在合同实施期间材料、设备市场波动在约定的风险范围内综合单价不再调整，风险范围以外（超</w:t>
      </w:r>
      <w:r>
        <w:rPr>
          <w:rFonts w:hint="eastAsia" w:ascii="宋体" w:hAnsi="宋体"/>
          <w:color w:val="auto"/>
          <w:highlight w:val="none"/>
          <w:u w:val="single"/>
        </w:rPr>
        <w:t>基准价格）</w:t>
      </w:r>
      <w:r>
        <w:rPr>
          <w:rFonts w:hint="eastAsia" w:asciiTheme="minorEastAsia" w:hAnsiTheme="minorEastAsia" w:eastAsiaTheme="minorEastAsia"/>
          <w:color w:val="auto"/>
          <w:highlight w:val="none"/>
          <w:u w:val="single"/>
        </w:rPr>
        <w:t>和</w:t>
      </w:r>
      <w:r>
        <w:rPr>
          <w:rFonts w:hint="eastAsia" w:ascii="宋体" w:hAnsi="宋体"/>
          <w:color w:val="auto"/>
          <w:highlight w:val="none"/>
          <w:u w:val="single"/>
        </w:rPr>
        <w:t>发生设计变更</w:t>
      </w:r>
      <w:r>
        <w:rPr>
          <w:rFonts w:hint="eastAsia" w:asciiTheme="minorEastAsia" w:hAnsiTheme="minorEastAsia" w:eastAsiaTheme="minorEastAsia"/>
          <w:color w:val="auto"/>
          <w:highlight w:val="none"/>
          <w:u w:val="single"/>
        </w:rPr>
        <w:t>的综合单价</w:t>
      </w:r>
      <w:r>
        <w:rPr>
          <w:rFonts w:hint="eastAsia" w:ascii="宋体" w:hAnsi="宋体"/>
          <w:color w:val="auto"/>
          <w:highlight w:val="none"/>
          <w:u w:val="single"/>
        </w:rPr>
        <w:t>可作调整。</w:t>
      </w:r>
    </w:p>
    <w:p w14:paraId="7C488768">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u w:val="single"/>
        </w:rPr>
        <w:t>承包人在签订本合同时已充分考虑风险系数和范围。</w:t>
      </w:r>
    </w:p>
    <w:p w14:paraId="0338CB73">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风险范围以外合同价格的调整方法：</w:t>
      </w:r>
    </w:p>
    <w:p w14:paraId="6913E116">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①工程变更：按</w:t>
      </w:r>
      <w:r>
        <w:rPr>
          <w:rFonts w:ascii="宋体" w:hAnsi="宋体" w:cs="宋体"/>
          <w:color w:val="auto"/>
          <w:highlight w:val="none"/>
        </w:rPr>
        <w:t>10.4.1</w:t>
      </w:r>
      <w:r>
        <w:rPr>
          <w:rFonts w:hint="eastAsia" w:ascii="宋体" w:hAnsi="宋体"/>
          <w:color w:val="auto"/>
          <w:highlight w:val="none"/>
        </w:rPr>
        <w:t>变更估价原则的约定调整。</w:t>
      </w:r>
    </w:p>
    <w:p w14:paraId="40351D76">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②工程量偏差：按</w:t>
      </w:r>
      <w:r>
        <w:rPr>
          <w:rFonts w:ascii="宋体" w:hAnsi="宋体" w:cs="Calibri"/>
          <w:color w:val="auto"/>
          <w:highlight w:val="none"/>
        </w:rPr>
        <w:t>1.13</w:t>
      </w:r>
      <w:r>
        <w:rPr>
          <w:rFonts w:hint="eastAsia" w:ascii="宋体" w:hAnsi="宋体"/>
          <w:color w:val="auto"/>
          <w:highlight w:val="none"/>
        </w:rPr>
        <w:t>工程量清单错误修正的约定调整。</w:t>
      </w:r>
    </w:p>
    <w:p w14:paraId="734C75D4">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③政策性调整：按自治区住房城乡建设厅或工程所在地住房城乡建设主管部门颁布的文件执行。</w:t>
      </w:r>
    </w:p>
    <w:p w14:paraId="278846C1">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④材料价格风险：按</w:t>
      </w:r>
      <w:r>
        <w:rPr>
          <w:rFonts w:ascii="宋体" w:hAnsi="宋体" w:cs="宋体"/>
          <w:color w:val="auto"/>
          <w:highlight w:val="none"/>
        </w:rPr>
        <w:t>11.1</w:t>
      </w:r>
      <w:r>
        <w:rPr>
          <w:rFonts w:hint="eastAsia" w:ascii="宋体" w:hAnsi="宋体"/>
          <w:color w:val="auto"/>
          <w:highlight w:val="none"/>
        </w:rPr>
        <w:t>的约定调整。</w:t>
      </w:r>
    </w:p>
    <w:p w14:paraId="28B690EF">
      <w:pPr>
        <w:spacing w:line="360" w:lineRule="auto"/>
        <w:ind w:firstLine="420"/>
        <w:jc w:val="left"/>
        <w:rPr>
          <w:rFonts w:ascii="宋体" w:hAnsi="宋体" w:cs="Calibri"/>
          <w:color w:val="auto"/>
          <w:highlight w:val="none"/>
          <w:u w:val="single"/>
        </w:rPr>
      </w:pPr>
      <w:r>
        <w:rPr>
          <w:rFonts w:hint="eastAsia" w:ascii="宋体" w:hAnsi="宋体"/>
          <w:color w:val="auto"/>
          <w:highlight w:val="none"/>
        </w:rPr>
        <w:t>⑤其它：</w:t>
      </w:r>
      <w:r>
        <w:rPr>
          <w:rFonts w:hint="eastAsia" w:ascii="宋体" w:hAnsi="宋体"/>
          <w:color w:val="auto"/>
          <w:highlight w:val="none"/>
          <w:u w:val="single"/>
        </w:rPr>
        <w:t>价格调整</w:t>
      </w:r>
      <w:r>
        <w:rPr>
          <w:rFonts w:ascii="宋体" w:hAnsi="宋体"/>
          <w:color w:val="auto"/>
          <w:highlight w:val="none"/>
          <w:u w:val="single"/>
        </w:rPr>
        <w:t>A</w:t>
      </w:r>
      <w:r>
        <w:rPr>
          <w:rFonts w:hint="eastAsia" w:ascii="宋体" w:hAnsi="宋体"/>
          <w:color w:val="auto"/>
          <w:highlight w:val="none"/>
          <w:u w:val="single"/>
        </w:rPr>
        <w:t>、需变更设计或者因特殊情况造成工程内容和工程量变化需现场签证的，应当履行审批手续并经建设单位、设计单位、监理单位和施工单位等共同确认，若工程内容和工程量变化较大的，应邀请贵港市行业行政主管部门、审计机关、勘察单位和造价咨询单位参加。</w:t>
      </w:r>
      <w:r>
        <w:rPr>
          <w:rFonts w:ascii="宋体" w:hAnsi="宋体"/>
          <w:color w:val="auto"/>
          <w:highlight w:val="none"/>
          <w:u w:val="single"/>
        </w:rPr>
        <w:t>B</w:t>
      </w:r>
      <w:r>
        <w:rPr>
          <w:rFonts w:hint="eastAsia" w:ascii="宋体" w:hAnsi="宋体"/>
          <w:color w:val="auto"/>
          <w:highlight w:val="none"/>
          <w:u w:val="single"/>
        </w:rPr>
        <w:t>、根据投标人的中标综合单价及施工实际工程量进行结算。在施工过程中，若《贵港市建设工程造价信息》上发布的市场价格幅度超过基准材料价格的时，工程所用的主要材料（指：钢筋、水泥、沙、碎石、给排水管、块料、水电、装饰、商品混凝土、砖、通风、）可以调整价格。具体调整办法为：即（施工期《贵港市建设工程造价信息》发布的材料价格－投标期预算控制价套用的材料价格）×发包人确认材料数量）及相应的税金。</w:t>
      </w:r>
      <w:r>
        <w:rPr>
          <w:rFonts w:ascii="宋体" w:hAnsi="宋体"/>
          <w:color w:val="auto"/>
          <w:highlight w:val="none"/>
          <w:u w:val="single"/>
        </w:rPr>
        <w:t>C</w:t>
      </w:r>
      <w:r>
        <w:rPr>
          <w:rFonts w:hint="eastAsia" w:ascii="宋体" w:hAnsi="宋体"/>
          <w:color w:val="auto"/>
          <w:highlight w:val="none"/>
          <w:u w:val="single"/>
        </w:rPr>
        <w:t>、对于法律、法规、规章或有关政策出台导致工程税金、规费、人工费发生变化，并由自治区建设行政主管部门或其授权的自治区工程造价管理机构根据上述变化发布的政策性调整，承包人不应承担风险，应按照有关调整规定执行。</w:t>
      </w:r>
      <w:r>
        <w:rPr>
          <w:rFonts w:ascii="宋体" w:hAnsi="宋体"/>
          <w:color w:val="auto"/>
          <w:highlight w:val="none"/>
          <w:u w:val="single"/>
        </w:rPr>
        <w:t xml:space="preserve"> D</w:t>
      </w:r>
      <w:r>
        <w:rPr>
          <w:rFonts w:hint="eastAsia" w:ascii="宋体" w:hAnsi="宋体"/>
          <w:color w:val="auto"/>
          <w:highlight w:val="none"/>
          <w:u w:val="single"/>
        </w:rPr>
        <w:t>、设计变更引起的调整方法</w:t>
      </w:r>
      <w:r>
        <w:rPr>
          <w:rFonts w:ascii="宋体" w:hAnsi="宋体"/>
          <w:color w:val="auto"/>
          <w:highlight w:val="none"/>
          <w:u w:val="single"/>
        </w:rPr>
        <w:t>a</w:t>
      </w:r>
      <w:r>
        <w:rPr>
          <w:rFonts w:hint="eastAsia" w:ascii="宋体" w:hAnsi="宋体"/>
          <w:color w:val="auto"/>
          <w:highlight w:val="none"/>
          <w:u w:val="single"/>
        </w:rPr>
        <w:t>、合同中已有适用的综合单价，按合同中已有的综合单价确定。</w:t>
      </w:r>
      <w:r>
        <w:rPr>
          <w:rFonts w:ascii="宋体" w:hAnsi="宋体"/>
          <w:color w:val="auto"/>
          <w:highlight w:val="none"/>
          <w:u w:val="single"/>
        </w:rPr>
        <w:t>b</w:t>
      </w:r>
      <w:r>
        <w:rPr>
          <w:rFonts w:hint="eastAsia" w:ascii="宋体" w:hAnsi="宋体"/>
          <w:color w:val="auto"/>
          <w:highlight w:val="none"/>
          <w:u w:val="single"/>
        </w:rPr>
        <w:t>、合同中有类似的综合单价，参照类似的综合单价确定。</w:t>
      </w:r>
      <w:r>
        <w:rPr>
          <w:rFonts w:ascii="宋体" w:hAnsi="宋体"/>
          <w:color w:val="auto"/>
          <w:highlight w:val="none"/>
          <w:u w:val="single"/>
        </w:rPr>
        <w:t>c</w:t>
      </w:r>
      <w:r>
        <w:rPr>
          <w:rFonts w:hint="eastAsia" w:ascii="宋体" w:hAnsi="宋体"/>
          <w:color w:val="auto"/>
          <w:highlight w:val="none"/>
          <w:u w:val="single"/>
        </w:rPr>
        <w:t>、合同中没有适用或类似的综合单价，按</w:t>
      </w:r>
      <w:r>
        <w:rPr>
          <w:rFonts w:hint="eastAsia" w:asciiTheme="minorEastAsia" w:hAnsiTheme="minorEastAsia" w:eastAsiaTheme="minorEastAsia"/>
          <w:color w:val="auto"/>
          <w:highlight w:val="none"/>
          <w:u w:val="single"/>
        </w:rPr>
        <w:t>贵港市建设工程造价信息</w:t>
      </w:r>
      <w:r>
        <w:rPr>
          <w:rFonts w:hint="eastAsia" w:ascii="宋体" w:hAnsi="宋体"/>
          <w:color w:val="auto"/>
          <w:highlight w:val="none"/>
          <w:u w:val="single"/>
        </w:rPr>
        <w:t>确定，经发包人及有关部门审核确认并乘以下浮系数（中标价</w:t>
      </w:r>
      <w:r>
        <w:rPr>
          <w:rFonts w:ascii="宋体" w:hAnsi="宋体"/>
          <w:color w:val="auto"/>
          <w:highlight w:val="none"/>
          <w:u w:val="single"/>
        </w:rPr>
        <w:t>/</w:t>
      </w:r>
      <w:r>
        <w:rPr>
          <w:rFonts w:hint="eastAsia" w:ascii="宋体" w:hAnsi="宋体"/>
          <w:color w:val="auto"/>
          <w:highlight w:val="none"/>
          <w:u w:val="single"/>
        </w:rPr>
        <w:t>工程预算控制价）后执行。</w:t>
      </w:r>
      <w:r>
        <w:rPr>
          <w:rFonts w:ascii="宋体" w:hAnsi="宋体"/>
          <w:color w:val="auto"/>
          <w:highlight w:val="none"/>
          <w:u w:val="single"/>
        </w:rPr>
        <w:t>E</w:t>
      </w:r>
      <w:r>
        <w:rPr>
          <w:rFonts w:hint="eastAsia" w:ascii="宋体" w:hAnsi="宋体"/>
          <w:color w:val="auto"/>
          <w:highlight w:val="none"/>
          <w:u w:val="single"/>
        </w:rPr>
        <w:t>、由以上原因引起的工程措施项目费和其他项目费等按</w:t>
      </w:r>
      <w:r>
        <w:rPr>
          <w:rFonts w:ascii="宋体" w:hAnsi="宋体"/>
          <w:color w:val="auto"/>
          <w:highlight w:val="none"/>
          <w:u w:val="single"/>
        </w:rPr>
        <w:t>GB50500</w:t>
      </w:r>
      <w:r>
        <w:rPr>
          <w:rFonts w:hint="eastAsia" w:ascii="宋体" w:hAnsi="宋体"/>
          <w:color w:val="auto"/>
          <w:highlight w:val="none"/>
          <w:u w:val="single"/>
        </w:rPr>
        <w:t>－</w:t>
      </w:r>
      <w:r>
        <w:rPr>
          <w:rFonts w:ascii="宋体" w:hAnsi="宋体"/>
          <w:color w:val="auto"/>
          <w:highlight w:val="none"/>
          <w:u w:val="single"/>
        </w:rPr>
        <w:t>2013</w:t>
      </w:r>
      <w:r>
        <w:rPr>
          <w:rFonts w:hint="eastAsia" w:ascii="宋体" w:hAnsi="宋体"/>
          <w:color w:val="auto"/>
          <w:highlight w:val="none"/>
          <w:u w:val="single"/>
        </w:rPr>
        <w:t>《建设工程工程量清单计价规范广西壮族自治区实施细则》规定进行调整</w:t>
      </w:r>
      <w:r>
        <w:rPr>
          <w:rFonts w:hint="eastAsia" w:ascii="宋体" w:hAnsi="宋体"/>
          <w:color w:val="auto"/>
          <w:highlight w:val="none"/>
        </w:rPr>
        <w:t>。</w:t>
      </w:r>
    </w:p>
    <w:p w14:paraId="29703D75">
      <w:pPr>
        <w:spacing w:line="360" w:lineRule="auto"/>
        <w:ind w:firstLine="420"/>
        <w:jc w:val="left"/>
        <w:rPr>
          <w:rFonts w:ascii="宋体" w:hAnsi="宋体"/>
          <w:color w:val="auto"/>
          <w:highlight w:val="none"/>
        </w:rPr>
      </w:pPr>
      <w:r>
        <w:rPr>
          <w:rFonts w:hint="eastAsia" w:ascii="宋体" w:hAnsi="宋体"/>
          <w:color w:val="auto"/>
          <w:highlight w:val="none"/>
          <w:u w:val="single"/>
        </w:rPr>
        <w:t>⑥工程量按实际工程量，材料价格按施工期间贵港的信息价格，新增单价以造价咨询单位评审核定为准</w:t>
      </w:r>
      <w:r>
        <w:rPr>
          <w:rFonts w:hint="eastAsia" w:ascii="宋体" w:hAnsi="宋体"/>
          <w:color w:val="auto"/>
          <w:highlight w:val="none"/>
        </w:rPr>
        <w:t>。</w:t>
      </w:r>
    </w:p>
    <w:p w14:paraId="7AB222D1">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）总价合同。</w:t>
      </w:r>
    </w:p>
    <w:p w14:paraId="604CE81F">
      <w:pPr>
        <w:spacing w:line="360" w:lineRule="auto"/>
        <w:ind w:firstLine="420" w:firstLineChars="200"/>
        <w:jc w:val="left"/>
        <w:rPr>
          <w:rFonts w:ascii="宋体" w:hAnsi="宋体"/>
          <w:color w:val="auto"/>
          <w:highlight w:val="none"/>
        </w:rPr>
      </w:pPr>
      <w:r>
        <w:rPr>
          <w:rFonts w:hint="eastAsia" w:ascii="宋体" w:hAnsi="宋体"/>
          <w:color w:val="auto"/>
          <w:highlight w:val="none"/>
        </w:rPr>
        <w:t>总价包含的风险范围：</w:t>
      </w:r>
      <w:r>
        <w:rPr>
          <w:rFonts w:hint="eastAsia" w:ascii="宋体" w:hAnsi="宋体"/>
          <w:color w:val="auto"/>
          <w:highlight w:val="none"/>
          <w:u w:val="single"/>
        </w:rPr>
        <w:t>除工程设计变更、政策性调整、本工程《承包人提供主要材料和设备一览表》中约定的材料和设备价格变动风险以外，总价不做调整。工程设计没变更的，结算时不得超招标施工图对应的工程量</w:t>
      </w:r>
      <w:r>
        <w:rPr>
          <w:rFonts w:hint="eastAsia" w:ascii="宋体" w:hAnsi="宋体"/>
          <w:color w:val="auto"/>
          <w:highlight w:val="none"/>
        </w:rPr>
        <w:t>。</w:t>
      </w:r>
    </w:p>
    <w:p w14:paraId="5BF4E106">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风险范围以外合同价格的调整方法：</w:t>
      </w:r>
    </w:p>
    <w:p w14:paraId="0BF97CC0">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①工程变更：按</w:t>
      </w:r>
      <w:r>
        <w:rPr>
          <w:rFonts w:ascii="宋体" w:hAnsi="宋体" w:cs="宋体"/>
          <w:color w:val="auto"/>
          <w:highlight w:val="none"/>
        </w:rPr>
        <w:t>10.4.1</w:t>
      </w:r>
      <w:r>
        <w:rPr>
          <w:rFonts w:hint="eastAsia" w:ascii="宋体" w:hAnsi="宋体"/>
          <w:color w:val="auto"/>
          <w:highlight w:val="none"/>
        </w:rPr>
        <w:t>变更估价原则的约定调整。</w:t>
      </w:r>
    </w:p>
    <w:p w14:paraId="25A0FD20">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②政策性调整：按自治区住房城乡建设厅或工程所在地住房城乡建设主管部门颁布的文件执行。</w:t>
      </w:r>
    </w:p>
    <w:p w14:paraId="708F5E6D">
      <w:pPr>
        <w:spacing w:line="360" w:lineRule="auto"/>
        <w:ind w:firstLine="420" w:firstLineChars="200"/>
        <w:jc w:val="left"/>
        <w:rPr>
          <w:rFonts w:ascii="宋体" w:hAnsi="宋体" w:cs="宋体"/>
          <w:color w:val="auto"/>
          <w:highlight w:val="none"/>
        </w:rPr>
      </w:pPr>
      <w:r>
        <w:rPr>
          <w:rFonts w:hint="eastAsia" w:ascii="宋体" w:hAnsi="宋体"/>
          <w:color w:val="auto"/>
          <w:highlight w:val="none"/>
        </w:rPr>
        <w:t>③材料价格风险：按</w:t>
      </w:r>
      <w:r>
        <w:rPr>
          <w:rFonts w:ascii="宋体" w:hAnsi="宋体" w:cs="宋体"/>
          <w:color w:val="auto"/>
          <w:highlight w:val="none"/>
        </w:rPr>
        <w:t>11.1</w:t>
      </w:r>
      <w:r>
        <w:rPr>
          <w:rFonts w:hint="eastAsia" w:ascii="宋体" w:hAnsi="宋体"/>
          <w:color w:val="auto"/>
          <w:highlight w:val="none"/>
        </w:rPr>
        <w:t>的约定调整。</w:t>
      </w:r>
    </w:p>
    <w:p w14:paraId="6B3B3067">
      <w:pPr>
        <w:keepNext/>
        <w:keepLines/>
        <w:spacing w:line="360" w:lineRule="auto"/>
        <w:outlineLvl w:val="2"/>
        <w:rPr>
          <w:rFonts w:ascii="宋体" w:hAnsi="宋体"/>
          <w:b/>
          <w:bCs/>
          <w:color w:val="auto"/>
          <w:highlight w:val="none"/>
          <w:lang w:val="zh-CN"/>
        </w:rPr>
      </w:pPr>
      <w:bookmarkStart w:id="862" w:name="_Toc22186"/>
      <w:bookmarkEnd w:id="862"/>
      <w:r>
        <w:rPr>
          <w:rFonts w:ascii="宋体" w:hAnsi="宋体"/>
          <w:b/>
          <w:bCs/>
          <w:color w:val="auto"/>
          <w:highlight w:val="none"/>
          <w:lang w:val="zh-CN"/>
        </w:rPr>
        <w:t xml:space="preserve">12.2 </w:t>
      </w:r>
      <w:r>
        <w:rPr>
          <w:rFonts w:hint="eastAsia" w:ascii="宋体" w:hAnsi="宋体"/>
          <w:b/>
          <w:bCs/>
          <w:color w:val="auto"/>
          <w:highlight w:val="none"/>
          <w:lang w:val="zh-CN"/>
        </w:rPr>
        <w:t>预付款</w:t>
      </w:r>
    </w:p>
    <w:p w14:paraId="25599A39">
      <w:pPr>
        <w:spacing w:line="360" w:lineRule="auto"/>
        <w:ind w:firstLine="420" w:firstLineChars="200"/>
        <w:jc w:val="left"/>
        <w:rPr>
          <w:rFonts w:ascii="宋体" w:hAnsi="宋体"/>
          <w:color w:val="auto"/>
          <w:highlight w:val="none"/>
        </w:rPr>
      </w:pPr>
      <w:bookmarkStart w:id="863" w:name="_Toc373478398"/>
      <w:bookmarkEnd w:id="863"/>
      <w:bookmarkStart w:id="864" w:name="_Toc373227751"/>
      <w:bookmarkEnd w:id="864"/>
      <w:bookmarkStart w:id="865" w:name="_Toc389065316"/>
      <w:bookmarkEnd w:id="865"/>
      <w:bookmarkStart w:id="866" w:name="_Toc407135254"/>
      <w:bookmarkEnd w:id="866"/>
      <w:r>
        <w:rPr>
          <w:rFonts w:ascii="宋体" w:hAnsi="宋体"/>
          <w:color w:val="auto"/>
          <w:highlight w:val="none"/>
        </w:rPr>
        <w:t xml:space="preserve">12.2.1 </w:t>
      </w:r>
      <w:r>
        <w:rPr>
          <w:rFonts w:hint="eastAsia" w:ascii="宋体" w:hAnsi="宋体"/>
          <w:color w:val="auto"/>
          <w:highlight w:val="none"/>
        </w:rPr>
        <w:t>预付款的支付</w:t>
      </w:r>
    </w:p>
    <w:p w14:paraId="6A50B68D">
      <w:pPr>
        <w:spacing w:line="360" w:lineRule="auto"/>
        <w:ind w:firstLine="420" w:firstLineChars="200"/>
        <w:jc w:val="left"/>
        <w:rPr>
          <w:rFonts w:ascii="宋体" w:hAnsi="宋体"/>
          <w:color w:val="auto"/>
          <w:highlight w:val="none"/>
        </w:rPr>
      </w:pPr>
      <w:r>
        <w:rPr>
          <w:rFonts w:hint="eastAsia" w:ascii="宋体" w:hAnsi="宋体"/>
          <w:color w:val="auto"/>
          <w:highlight w:val="none"/>
        </w:rPr>
        <w:t>预付款支付比例或金额：</w:t>
      </w:r>
      <w:r>
        <w:rPr>
          <w:rFonts w:hint="eastAsia" w:ascii="宋体" w:hAnsi="宋体"/>
          <w:color w:val="auto"/>
          <w:highlight w:val="none"/>
          <w:u w:val="single"/>
        </w:rPr>
        <w:t>合同价款的30%</w:t>
      </w:r>
      <w:r>
        <w:rPr>
          <w:rFonts w:hint="eastAsia" w:ascii="宋体" w:hAnsi="宋体"/>
          <w:color w:val="auto"/>
          <w:highlight w:val="none"/>
        </w:rPr>
        <w:t>。</w:t>
      </w:r>
    </w:p>
    <w:p w14:paraId="05EE1025">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预付款支付期限：</w:t>
      </w:r>
      <w:r>
        <w:rPr>
          <w:rFonts w:hint="eastAsia" w:asciiTheme="minorEastAsia" w:hAnsiTheme="minorEastAsia" w:eastAsiaTheme="minorEastAsia"/>
          <w:color w:val="auto"/>
          <w:highlight w:val="none"/>
          <w:u w:val="single"/>
        </w:rPr>
        <w:t>本项目的工程</w:t>
      </w:r>
      <w:r>
        <w:rPr>
          <w:rFonts w:hint="eastAsia" w:asciiTheme="minorEastAsia" w:hAnsiTheme="minorEastAsia" w:eastAsiaTheme="minorEastAsia"/>
          <w:color w:val="auto"/>
          <w:kern w:val="0"/>
          <w:highlight w:val="none"/>
          <w:u w:val="single"/>
        </w:rPr>
        <w:t>施工</w:t>
      </w:r>
      <w:r>
        <w:rPr>
          <w:rFonts w:hint="eastAsia" w:asciiTheme="minorEastAsia" w:hAnsiTheme="minorEastAsia" w:eastAsiaTheme="minorEastAsia"/>
          <w:color w:val="auto"/>
          <w:highlight w:val="none"/>
          <w:u w:val="single"/>
        </w:rPr>
        <w:t>合同签订后，</w:t>
      </w:r>
      <w:r>
        <w:rPr>
          <w:rFonts w:hint="eastAsia" w:asciiTheme="minorEastAsia" w:hAnsiTheme="minorEastAsia" w:eastAsiaTheme="minorEastAsia"/>
          <w:color w:val="auto"/>
          <w:kern w:val="0"/>
          <w:highlight w:val="none"/>
          <w:u w:val="single"/>
        </w:rPr>
        <w:t>在具备施工条件的前提下，发包人将不迟于约定的开工日期前的7天内预付工程款</w:t>
      </w:r>
      <w:r>
        <w:rPr>
          <w:rFonts w:hint="eastAsia" w:ascii="宋体" w:hAnsi="宋体"/>
          <w:color w:val="auto"/>
          <w:highlight w:val="none"/>
          <w:u w:val="single"/>
        </w:rPr>
        <w:t>。</w:t>
      </w:r>
    </w:p>
    <w:p w14:paraId="7D1B1016">
      <w:pPr>
        <w:spacing w:line="360" w:lineRule="auto"/>
        <w:ind w:firstLine="420" w:firstLineChars="200"/>
        <w:jc w:val="left"/>
        <w:rPr>
          <w:rFonts w:ascii="宋体" w:hAnsi="宋体" w:cs="宋体"/>
          <w:color w:val="auto"/>
          <w:highlight w:val="none"/>
          <w:u w:val="single"/>
        </w:rPr>
      </w:pPr>
      <w:r>
        <w:rPr>
          <w:rFonts w:hint="eastAsia" w:ascii="宋体" w:hAnsi="宋体" w:cs="宋体"/>
          <w:color w:val="auto"/>
          <w:highlight w:val="none"/>
          <w:u w:val="single"/>
        </w:rPr>
        <w:t>预付款在承包人人员以及主要施工设备进场后，承包人向发包人提交资金使用计划，经批准后在发包人的监督下支付使用，并确保该款项用于本项目工程。</w:t>
      </w:r>
    </w:p>
    <w:p w14:paraId="7B3D5C19">
      <w:pPr>
        <w:spacing w:line="360" w:lineRule="auto"/>
        <w:ind w:firstLine="420" w:firstLineChars="200"/>
        <w:jc w:val="left"/>
        <w:rPr>
          <w:rFonts w:ascii="宋体" w:hAnsi="宋体"/>
          <w:color w:val="auto"/>
          <w:highlight w:val="none"/>
        </w:rPr>
      </w:pPr>
      <w:r>
        <w:rPr>
          <w:rFonts w:hint="eastAsia" w:ascii="宋体" w:hAnsi="宋体"/>
          <w:color w:val="auto"/>
          <w:highlight w:val="none"/>
        </w:rPr>
        <w:t>预付款扣回的方式：</w:t>
      </w:r>
      <w:r>
        <w:rPr>
          <w:rFonts w:hint="eastAsia" w:ascii="宋体" w:hAnsi="宋体" w:cs="宋体"/>
          <w:color w:val="auto"/>
          <w:spacing w:val="11"/>
          <w:highlight w:val="none"/>
          <w:u w:val="single"/>
        </w:rPr>
        <w:t>进度款达到 50%作为预付款起扣点，从此之后的每次进度款中分三次扣回，每次扣款比例为预付款的三分之一</w:t>
      </w:r>
      <w:r>
        <w:rPr>
          <w:rFonts w:hint="eastAsia" w:ascii="宋体" w:hAnsi="宋体"/>
          <w:color w:val="auto"/>
          <w:highlight w:val="none"/>
        </w:rPr>
        <w:t>。</w:t>
      </w:r>
    </w:p>
    <w:p w14:paraId="76D1ACA8">
      <w:pPr>
        <w:spacing w:line="360" w:lineRule="auto"/>
        <w:ind w:firstLine="420" w:firstLineChars="200"/>
        <w:jc w:val="left"/>
        <w:rPr>
          <w:rFonts w:ascii="宋体" w:hAnsi="宋体"/>
          <w:color w:val="auto"/>
          <w:highlight w:val="none"/>
        </w:rPr>
      </w:pPr>
      <w:r>
        <w:rPr>
          <w:rFonts w:ascii="宋体" w:hAnsi="宋体"/>
          <w:color w:val="auto"/>
          <w:highlight w:val="none"/>
        </w:rPr>
        <w:t xml:space="preserve">12.2.2 </w:t>
      </w:r>
      <w:r>
        <w:rPr>
          <w:rFonts w:hint="eastAsia" w:ascii="宋体" w:hAnsi="宋体"/>
          <w:color w:val="auto"/>
          <w:highlight w:val="none"/>
        </w:rPr>
        <w:t>预付款担保</w:t>
      </w:r>
    </w:p>
    <w:p w14:paraId="19FE43CF">
      <w:pPr>
        <w:spacing w:line="360" w:lineRule="auto"/>
        <w:ind w:firstLine="420" w:firstLineChars="200"/>
        <w:jc w:val="left"/>
        <w:rPr>
          <w:rFonts w:ascii="宋体" w:hAnsi="宋体"/>
          <w:color w:val="auto"/>
          <w:highlight w:val="none"/>
        </w:rPr>
      </w:pPr>
      <w:r>
        <w:rPr>
          <w:rFonts w:hint="eastAsia" w:ascii="宋体" w:hAnsi="宋体"/>
          <w:color w:val="auto"/>
          <w:highlight w:val="none"/>
        </w:rPr>
        <w:t>承包人提交预付款担保的期限：</w:t>
      </w:r>
      <w:r>
        <w:rPr>
          <w:rFonts w:hint="eastAsia" w:ascii="宋体" w:hAnsi="宋体"/>
          <w:color w:val="auto"/>
          <w:highlight w:val="none"/>
          <w:u w:val="single"/>
        </w:rPr>
        <w:t>无</w:t>
      </w:r>
      <w:r>
        <w:rPr>
          <w:rFonts w:hint="eastAsia" w:ascii="宋体" w:hAnsi="宋体"/>
          <w:color w:val="auto"/>
          <w:highlight w:val="none"/>
        </w:rPr>
        <w:t>。</w:t>
      </w:r>
    </w:p>
    <w:p w14:paraId="043D26A5">
      <w:pPr>
        <w:spacing w:line="360" w:lineRule="auto"/>
        <w:ind w:firstLine="420" w:firstLineChars="200"/>
        <w:jc w:val="left"/>
        <w:rPr>
          <w:rFonts w:ascii="宋体" w:hAnsi="宋体"/>
          <w:color w:val="auto"/>
          <w:highlight w:val="none"/>
        </w:rPr>
      </w:pPr>
      <w:r>
        <w:rPr>
          <w:rFonts w:hint="eastAsia" w:ascii="宋体" w:hAnsi="宋体"/>
          <w:color w:val="auto"/>
          <w:highlight w:val="none"/>
        </w:rPr>
        <w:t>预付款担保的形式为：</w:t>
      </w:r>
      <w:r>
        <w:rPr>
          <w:rFonts w:hint="eastAsia" w:ascii="宋体" w:hAnsi="宋体"/>
          <w:color w:val="auto"/>
          <w:highlight w:val="none"/>
          <w:u w:val="single"/>
        </w:rPr>
        <w:t>无</w:t>
      </w:r>
      <w:r>
        <w:rPr>
          <w:rFonts w:hint="eastAsia" w:ascii="宋体" w:hAnsi="宋体"/>
          <w:color w:val="auto"/>
          <w:highlight w:val="none"/>
        </w:rPr>
        <w:t>。</w:t>
      </w:r>
    </w:p>
    <w:p w14:paraId="57B49A1E">
      <w:pPr>
        <w:keepNext/>
        <w:keepLines/>
        <w:spacing w:line="360" w:lineRule="auto"/>
        <w:outlineLvl w:val="2"/>
        <w:rPr>
          <w:rFonts w:ascii="宋体" w:hAnsi="宋体" w:cs="宋体"/>
          <w:bCs/>
          <w:color w:val="auto"/>
          <w:highlight w:val="none"/>
          <w:lang w:val="zh-CN"/>
        </w:rPr>
      </w:pPr>
      <w:bookmarkStart w:id="867" w:name="_Toc15912"/>
      <w:bookmarkEnd w:id="867"/>
      <w:r>
        <w:rPr>
          <w:rFonts w:hint="eastAsia" w:ascii="宋体" w:hAnsi="宋体" w:cs="宋体"/>
          <w:bCs/>
          <w:color w:val="auto"/>
          <w:highlight w:val="none"/>
          <w:lang w:val="zh-CN"/>
        </w:rPr>
        <w:t>预付款担保格式见合同附件</w:t>
      </w:r>
      <w:r>
        <w:rPr>
          <w:rFonts w:ascii="宋体" w:hAnsi="宋体" w:cs="宋体"/>
          <w:bCs/>
          <w:color w:val="auto"/>
          <w:highlight w:val="none"/>
          <w:lang w:val="zh-CN"/>
        </w:rPr>
        <w:t>8</w:t>
      </w:r>
      <w:r>
        <w:rPr>
          <w:rFonts w:hint="eastAsia" w:ascii="宋体" w:hAnsi="宋体" w:cs="宋体"/>
          <w:bCs/>
          <w:color w:val="auto"/>
          <w:highlight w:val="none"/>
          <w:lang w:val="zh-CN"/>
        </w:rPr>
        <w:t>。预付款支付申请（核准）表见合同附件**</w:t>
      </w:r>
    </w:p>
    <w:p w14:paraId="19C9D552">
      <w:pPr>
        <w:keepNext/>
        <w:keepLines/>
        <w:spacing w:line="360" w:lineRule="auto"/>
        <w:outlineLvl w:val="2"/>
        <w:rPr>
          <w:rFonts w:ascii="宋体" w:hAnsi="宋体"/>
          <w:bCs/>
          <w:color w:val="auto"/>
          <w:highlight w:val="none"/>
          <w:lang w:val="zh-CN"/>
        </w:rPr>
      </w:pPr>
      <w:bookmarkStart w:id="868" w:name="_Toc4411"/>
      <w:bookmarkEnd w:id="868"/>
      <w:r>
        <w:rPr>
          <w:rFonts w:ascii="宋体" w:hAnsi="宋体"/>
          <w:bCs/>
          <w:color w:val="auto"/>
          <w:highlight w:val="none"/>
          <w:lang w:val="zh-CN"/>
        </w:rPr>
        <w:t xml:space="preserve">12.3 </w:t>
      </w:r>
      <w:r>
        <w:rPr>
          <w:rFonts w:hint="eastAsia" w:ascii="宋体" w:hAnsi="宋体"/>
          <w:bCs/>
          <w:color w:val="auto"/>
          <w:highlight w:val="none"/>
          <w:lang w:val="zh-CN"/>
        </w:rPr>
        <w:t>计量</w:t>
      </w:r>
    </w:p>
    <w:p w14:paraId="4C66B504">
      <w:pPr>
        <w:spacing w:line="360" w:lineRule="auto"/>
        <w:ind w:firstLine="420" w:firstLineChars="200"/>
        <w:jc w:val="left"/>
        <w:rPr>
          <w:rFonts w:ascii="宋体" w:hAnsi="宋体"/>
          <w:color w:val="auto"/>
          <w:highlight w:val="none"/>
        </w:rPr>
      </w:pPr>
      <w:r>
        <w:rPr>
          <w:rFonts w:ascii="宋体" w:hAnsi="宋体"/>
          <w:color w:val="auto"/>
          <w:highlight w:val="none"/>
        </w:rPr>
        <w:t xml:space="preserve">12.3.1 </w:t>
      </w:r>
      <w:r>
        <w:rPr>
          <w:rFonts w:hint="eastAsia" w:ascii="宋体" w:hAnsi="宋体"/>
          <w:color w:val="auto"/>
          <w:highlight w:val="none"/>
        </w:rPr>
        <w:t>计量原则</w:t>
      </w:r>
    </w:p>
    <w:p w14:paraId="5C2A4D6B">
      <w:pPr>
        <w:spacing w:line="360" w:lineRule="auto"/>
        <w:ind w:firstLine="420" w:firstLineChars="200"/>
        <w:jc w:val="left"/>
        <w:rPr>
          <w:rFonts w:ascii="宋体" w:hAnsi="宋体"/>
          <w:color w:val="auto"/>
          <w:highlight w:val="none"/>
        </w:rPr>
      </w:pPr>
      <w:r>
        <w:rPr>
          <w:rFonts w:hint="eastAsia" w:ascii="宋体" w:hAnsi="宋体"/>
          <w:color w:val="auto"/>
          <w:highlight w:val="none"/>
        </w:rPr>
        <w:t>工程量计算规则：</w:t>
      </w:r>
      <w:r>
        <w:rPr>
          <w:rFonts w:hint="eastAsia" w:ascii="宋体" w:hAnsi="宋体"/>
          <w:color w:val="auto"/>
          <w:highlight w:val="none"/>
          <w:u w:val="single"/>
        </w:rPr>
        <w:t>工程的计量均以《建设工程工程量清单计价规范》（</w:t>
      </w:r>
      <w:r>
        <w:rPr>
          <w:rFonts w:ascii="宋体" w:hAnsi="宋体"/>
          <w:color w:val="auto"/>
          <w:highlight w:val="none"/>
          <w:u w:val="single"/>
        </w:rPr>
        <w:t>GB50500</w:t>
      </w:r>
      <w:r>
        <w:rPr>
          <w:rFonts w:hint="eastAsia" w:ascii="宋体" w:hAnsi="宋体"/>
          <w:color w:val="auto"/>
          <w:highlight w:val="none"/>
          <w:u w:val="single"/>
        </w:rPr>
        <w:t>－</w:t>
      </w:r>
      <w:r>
        <w:rPr>
          <w:rFonts w:ascii="宋体" w:hAnsi="宋体"/>
          <w:color w:val="auto"/>
          <w:highlight w:val="none"/>
          <w:u w:val="single"/>
        </w:rPr>
        <w:t>2013</w:t>
      </w:r>
      <w:r>
        <w:rPr>
          <w:rFonts w:hint="eastAsia" w:ascii="宋体" w:hAnsi="宋体"/>
          <w:color w:val="auto"/>
          <w:highlight w:val="none"/>
          <w:u w:val="single"/>
        </w:rPr>
        <w:t>）和及其广西壮族自治区实施细则、《建设工程工程量清单计算规范》（</w:t>
      </w:r>
      <w:r>
        <w:rPr>
          <w:rFonts w:ascii="宋体" w:hAnsi="宋体"/>
          <w:color w:val="auto"/>
          <w:highlight w:val="none"/>
          <w:u w:val="single"/>
        </w:rPr>
        <w:t>GB50854~50862</w:t>
      </w:r>
      <w:r>
        <w:rPr>
          <w:rFonts w:hint="eastAsia" w:ascii="宋体" w:hAnsi="宋体"/>
          <w:color w:val="auto"/>
          <w:highlight w:val="none"/>
          <w:u w:val="single"/>
        </w:rPr>
        <w:t>－</w:t>
      </w:r>
      <w:r>
        <w:rPr>
          <w:rFonts w:ascii="宋体" w:hAnsi="宋体"/>
          <w:color w:val="auto"/>
          <w:highlight w:val="none"/>
          <w:u w:val="single"/>
        </w:rPr>
        <w:t>2013</w:t>
      </w:r>
      <w:r>
        <w:rPr>
          <w:rFonts w:hint="eastAsia" w:ascii="宋体" w:hAnsi="宋体"/>
          <w:color w:val="auto"/>
          <w:highlight w:val="none"/>
          <w:u w:val="single"/>
        </w:rPr>
        <w:t>）及其广西实施细则、本工程补充项目清单为准。</w:t>
      </w:r>
    </w:p>
    <w:p w14:paraId="6BE337F8">
      <w:pPr>
        <w:spacing w:line="360" w:lineRule="auto"/>
        <w:ind w:firstLine="420" w:firstLineChars="200"/>
        <w:jc w:val="left"/>
        <w:rPr>
          <w:rFonts w:ascii="宋体" w:hAnsi="宋体"/>
          <w:color w:val="auto"/>
          <w:highlight w:val="none"/>
        </w:rPr>
      </w:pPr>
      <w:r>
        <w:rPr>
          <w:rFonts w:ascii="宋体" w:hAnsi="宋体"/>
          <w:color w:val="auto"/>
          <w:highlight w:val="none"/>
        </w:rPr>
        <w:t xml:space="preserve">12.3.2 </w:t>
      </w:r>
      <w:r>
        <w:rPr>
          <w:rFonts w:hint="eastAsia" w:ascii="宋体" w:hAnsi="宋体"/>
          <w:color w:val="auto"/>
          <w:highlight w:val="none"/>
        </w:rPr>
        <w:t>计量周期</w:t>
      </w:r>
    </w:p>
    <w:p w14:paraId="70D8C329">
      <w:pPr>
        <w:spacing w:line="360" w:lineRule="auto"/>
        <w:ind w:firstLine="420" w:firstLineChars="200"/>
        <w:jc w:val="left"/>
        <w:rPr>
          <w:rFonts w:ascii="宋体" w:hAnsi="宋体"/>
          <w:color w:val="auto"/>
          <w:highlight w:val="none"/>
        </w:rPr>
      </w:pPr>
      <w:r>
        <w:rPr>
          <w:rFonts w:hint="eastAsia" w:ascii="宋体" w:hAnsi="宋体"/>
          <w:color w:val="auto"/>
          <w:highlight w:val="none"/>
        </w:rPr>
        <w:t>关于计量周期的约定：</w:t>
      </w:r>
      <w:r>
        <w:rPr>
          <w:rFonts w:hint="eastAsia" w:ascii="宋体" w:hAnsi="宋体"/>
          <w:color w:val="auto"/>
          <w:highlight w:val="none"/>
          <w:u w:val="single"/>
        </w:rPr>
        <w:t>每月</w:t>
      </w:r>
      <w:r>
        <w:rPr>
          <w:rFonts w:ascii="宋体" w:hAnsi="宋体"/>
          <w:color w:val="auto"/>
          <w:highlight w:val="none"/>
          <w:u w:val="single"/>
        </w:rPr>
        <w:t>25</w:t>
      </w:r>
      <w:r>
        <w:rPr>
          <w:rFonts w:hint="eastAsia" w:ascii="宋体" w:hAnsi="宋体"/>
          <w:color w:val="auto"/>
          <w:highlight w:val="none"/>
          <w:u w:val="single"/>
        </w:rPr>
        <w:t>日前</w:t>
      </w:r>
      <w:r>
        <w:rPr>
          <w:rFonts w:hint="eastAsia" w:ascii="宋体" w:hAnsi="宋体"/>
          <w:color w:val="auto"/>
          <w:highlight w:val="none"/>
        </w:rPr>
        <w:t>。</w:t>
      </w:r>
    </w:p>
    <w:p w14:paraId="11257C81">
      <w:pPr>
        <w:spacing w:line="360" w:lineRule="auto"/>
        <w:ind w:firstLine="420" w:firstLineChars="200"/>
        <w:jc w:val="left"/>
        <w:outlineLvl w:val="0"/>
        <w:rPr>
          <w:rFonts w:ascii="宋体" w:hAnsi="宋体"/>
          <w:color w:val="auto"/>
          <w:highlight w:val="none"/>
        </w:rPr>
      </w:pPr>
      <w:bookmarkStart w:id="869" w:name="_Toc9612"/>
      <w:bookmarkStart w:id="870" w:name="_Toc9441"/>
      <w:bookmarkStart w:id="871" w:name="_Toc17279"/>
      <w:bookmarkStart w:id="872" w:name="_Toc3766"/>
      <w:bookmarkStart w:id="873" w:name="_Toc22762"/>
      <w:bookmarkStart w:id="874" w:name="_Toc4094"/>
      <w:r>
        <w:rPr>
          <w:rFonts w:ascii="宋体" w:hAnsi="宋体"/>
          <w:color w:val="auto"/>
          <w:highlight w:val="none"/>
        </w:rPr>
        <w:t xml:space="preserve">12.3.3 </w:t>
      </w:r>
      <w:r>
        <w:rPr>
          <w:rFonts w:hint="eastAsia" w:ascii="宋体" w:hAnsi="宋体"/>
          <w:color w:val="auto"/>
          <w:highlight w:val="none"/>
        </w:rPr>
        <w:t>单价合同的计量</w:t>
      </w:r>
      <w:bookmarkEnd w:id="869"/>
      <w:bookmarkEnd w:id="870"/>
      <w:bookmarkEnd w:id="871"/>
      <w:bookmarkEnd w:id="872"/>
      <w:bookmarkEnd w:id="873"/>
      <w:bookmarkEnd w:id="874"/>
    </w:p>
    <w:p w14:paraId="09054642">
      <w:pPr>
        <w:spacing w:line="360" w:lineRule="auto"/>
        <w:ind w:firstLine="420" w:firstLineChars="200"/>
        <w:jc w:val="left"/>
        <w:rPr>
          <w:rFonts w:ascii="宋体" w:hAnsi="宋体"/>
          <w:color w:val="auto"/>
          <w:highlight w:val="none"/>
        </w:rPr>
      </w:pPr>
      <w:r>
        <w:rPr>
          <w:rFonts w:hint="eastAsia" w:ascii="宋体" w:hAnsi="宋体"/>
          <w:color w:val="auto"/>
          <w:highlight w:val="none"/>
        </w:rPr>
        <w:t>关于单价合同计量的约定：</w:t>
      </w:r>
    </w:p>
    <w:p w14:paraId="206C6942">
      <w:pPr>
        <w:spacing w:line="360" w:lineRule="auto"/>
        <w:ind w:firstLine="441" w:firstLineChars="21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工程量清单所列的工程量，不能作为承包人按合同履行其责任依据，实际施工中发生的工程量增加或减少并不影响承包人履行合同的责任，工程结算以完成的实际工程量为准。</w:t>
      </w:r>
    </w:p>
    <w:p w14:paraId="11A1A6D2">
      <w:pPr>
        <w:spacing w:line="360" w:lineRule="auto"/>
        <w:ind w:firstLine="443" w:firstLineChars="210"/>
        <w:rPr>
          <w:rFonts w:ascii="宋体" w:hAnsi="宋体"/>
          <w:color w:val="auto"/>
          <w:highlight w:val="none"/>
        </w:rPr>
      </w:pPr>
      <w:r>
        <w:rPr>
          <w:rFonts w:ascii="宋体" w:hAnsi="宋体"/>
          <w:b/>
          <w:color w:val="auto"/>
          <w:highlight w:val="none"/>
        </w:rPr>
        <w:t xml:space="preserve">(2) </w:t>
      </w:r>
      <w:r>
        <w:rPr>
          <w:rFonts w:hint="eastAsia" w:ascii="宋体" w:hAnsi="宋体"/>
          <w:color w:val="auto"/>
          <w:highlight w:val="none"/>
        </w:rPr>
        <w:t>除另有规定外，工程师应按照合同通过计量来核实确定已完成的工程量和价款，承包人应得到该价款扣除保留金后的金额。当工程师要对已完工的工程量进行计量时，应适时地通知承包人参加。</w:t>
      </w:r>
    </w:p>
    <w:p w14:paraId="672C911F">
      <w:pPr>
        <w:spacing w:line="360" w:lineRule="auto"/>
        <w:ind w:firstLine="420" w:firstLineChars="200"/>
        <w:jc w:val="left"/>
        <w:rPr>
          <w:rFonts w:ascii="宋体" w:hAnsi="宋体"/>
          <w:color w:val="auto"/>
          <w:highlight w:val="none"/>
        </w:rPr>
      </w:pPr>
      <w:r>
        <w:rPr>
          <w:rFonts w:ascii="宋体" w:hAnsi="宋体"/>
          <w:color w:val="auto"/>
          <w:highlight w:val="none"/>
        </w:rPr>
        <w:t xml:space="preserve">12.3.4 </w:t>
      </w:r>
      <w:r>
        <w:rPr>
          <w:rFonts w:hint="eastAsia" w:ascii="宋体" w:hAnsi="宋体"/>
          <w:color w:val="auto"/>
          <w:highlight w:val="none"/>
        </w:rPr>
        <w:t>总价合同的计量</w:t>
      </w:r>
    </w:p>
    <w:p w14:paraId="23878747">
      <w:pPr>
        <w:spacing w:line="360" w:lineRule="auto"/>
        <w:ind w:firstLine="420" w:firstLineChars="200"/>
        <w:jc w:val="left"/>
        <w:rPr>
          <w:rFonts w:asciiTheme="minorEastAsia" w:hAnsiTheme="minorEastAsia" w:eastAsiaTheme="minorEastAsia"/>
          <w:color w:val="auto"/>
          <w:highlight w:val="none"/>
        </w:rPr>
      </w:pPr>
      <w:r>
        <w:rPr>
          <w:rFonts w:hint="eastAsia" w:ascii="宋体" w:hAnsi="宋体"/>
          <w:color w:val="auto"/>
          <w:highlight w:val="none"/>
        </w:rPr>
        <w:t>关于总价合同计量约定：</w:t>
      </w:r>
      <w:r>
        <w:rPr>
          <w:rFonts w:hint="eastAsia" w:asciiTheme="minorEastAsia" w:hAnsiTheme="minorEastAsia" w:eastAsiaTheme="minorEastAsia"/>
          <w:color w:val="auto"/>
          <w:highlight w:val="none"/>
          <w:u w:val="single"/>
        </w:rPr>
        <w:t>除工程变更外, 不得超原</w:t>
      </w:r>
      <w:r>
        <w:rPr>
          <w:rFonts w:hint="eastAsia" w:ascii="宋体" w:hAnsi="宋体"/>
          <w:color w:val="auto"/>
          <w:highlight w:val="none"/>
          <w:u w:val="single"/>
        </w:rPr>
        <w:t>施工</w:t>
      </w:r>
      <w:r>
        <w:rPr>
          <w:rFonts w:hint="eastAsia" w:asciiTheme="minorEastAsia" w:hAnsiTheme="minorEastAsia" w:eastAsiaTheme="minorEastAsia"/>
          <w:color w:val="auto"/>
          <w:highlight w:val="none"/>
          <w:u w:val="single"/>
        </w:rPr>
        <w:t>图纸范围内的工程量</w:t>
      </w:r>
      <w:r>
        <w:rPr>
          <w:rFonts w:hint="eastAsia" w:ascii="宋体" w:hAnsi="宋体"/>
          <w:color w:val="auto"/>
          <w:highlight w:val="none"/>
          <w:u w:val="single"/>
        </w:rPr>
        <w:t>计量</w:t>
      </w:r>
      <w:r>
        <w:rPr>
          <w:rFonts w:hint="eastAsia" w:asciiTheme="minorEastAsia" w:hAnsiTheme="minorEastAsia" w:eastAsiaTheme="minorEastAsia"/>
          <w:color w:val="auto"/>
          <w:highlight w:val="none"/>
          <w:u w:val="single"/>
        </w:rPr>
        <w:t>。</w:t>
      </w:r>
      <w:r>
        <w:rPr>
          <w:rFonts w:hint="eastAsia" w:ascii="宋体" w:hAnsi="宋体"/>
          <w:color w:val="auto"/>
          <w:highlight w:val="none"/>
          <w:u w:val="single"/>
        </w:rPr>
        <w:t>进度款按约定支付</w:t>
      </w:r>
      <w:r>
        <w:rPr>
          <w:rFonts w:hint="eastAsia" w:ascii="宋体" w:hAnsi="宋体"/>
          <w:color w:val="auto"/>
          <w:highlight w:val="none"/>
        </w:rPr>
        <w:t xml:space="preserve">。                                                  </w:t>
      </w:r>
    </w:p>
    <w:p w14:paraId="4A2055AF">
      <w:pPr>
        <w:spacing w:line="360" w:lineRule="auto"/>
        <w:ind w:firstLine="420" w:firstLineChars="200"/>
        <w:jc w:val="left"/>
        <w:rPr>
          <w:rFonts w:ascii="宋体" w:hAnsi="宋体"/>
          <w:color w:val="auto"/>
          <w:highlight w:val="none"/>
        </w:rPr>
      </w:pPr>
      <w:r>
        <w:rPr>
          <w:rFonts w:ascii="宋体" w:hAnsi="宋体"/>
          <w:color w:val="auto"/>
          <w:highlight w:val="none"/>
        </w:rPr>
        <w:t xml:space="preserve">12.3.6 </w:t>
      </w:r>
      <w:r>
        <w:rPr>
          <w:rFonts w:hint="eastAsia" w:ascii="宋体" w:hAnsi="宋体"/>
          <w:color w:val="auto"/>
          <w:highlight w:val="none"/>
        </w:rPr>
        <w:t>其他价格形式合同的计量</w:t>
      </w:r>
    </w:p>
    <w:p w14:paraId="656B66BE">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其他价格形式的计量方式和程序：</w:t>
      </w:r>
      <w:r>
        <w:rPr>
          <w:rFonts w:hint="eastAsia" w:ascii="宋体" w:hAnsi="宋体"/>
          <w:color w:val="auto"/>
          <w:highlight w:val="none"/>
          <w:u w:val="single"/>
        </w:rPr>
        <w:t>本合同价款采用固定综合单价方式确定，材料价格超约定的风险范围时按施工期间贵港的信息价格</w:t>
      </w:r>
      <w:r>
        <w:rPr>
          <w:rFonts w:hint="eastAsia" w:ascii="宋体" w:hAnsi="宋体"/>
          <w:color w:val="auto"/>
          <w:highlight w:val="none"/>
        </w:rPr>
        <w:t>。</w:t>
      </w:r>
    </w:p>
    <w:p w14:paraId="7FBF6E27">
      <w:pPr>
        <w:keepNext/>
        <w:keepLines/>
        <w:spacing w:line="360" w:lineRule="auto"/>
        <w:outlineLvl w:val="2"/>
        <w:rPr>
          <w:rFonts w:ascii="宋体" w:hAnsi="宋体"/>
          <w:b/>
          <w:bCs/>
          <w:color w:val="auto"/>
          <w:highlight w:val="none"/>
          <w:lang w:val="zh-CN"/>
        </w:rPr>
      </w:pPr>
      <w:bookmarkStart w:id="875" w:name="_Toc373478399"/>
      <w:bookmarkEnd w:id="875"/>
      <w:bookmarkStart w:id="876" w:name="_Toc373227752"/>
      <w:bookmarkEnd w:id="876"/>
      <w:bookmarkStart w:id="877" w:name="_Toc407135255"/>
      <w:bookmarkEnd w:id="877"/>
      <w:bookmarkStart w:id="878" w:name="_Toc389065317"/>
      <w:bookmarkEnd w:id="878"/>
      <w:bookmarkStart w:id="879" w:name="_Toc6416"/>
      <w:r>
        <w:rPr>
          <w:rFonts w:ascii="宋体" w:hAnsi="宋体"/>
          <w:b/>
          <w:bCs/>
          <w:color w:val="auto"/>
          <w:highlight w:val="none"/>
          <w:lang w:val="zh-CN"/>
        </w:rPr>
        <w:t xml:space="preserve">12.4 </w:t>
      </w:r>
      <w:bookmarkEnd w:id="879"/>
      <w:r>
        <w:rPr>
          <w:rFonts w:hint="eastAsia" w:ascii="宋体" w:hAnsi="宋体"/>
          <w:b/>
          <w:bCs/>
          <w:color w:val="auto"/>
          <w:highlight w:val="none"/>
          <w:lang w:val="zh-CN"/>
        </w:rPr>
        <w:t xml:space="preserve">工程进度款支付                                                                                                                                                           </w:t>
      </w:r>
    </w:p>
    <w:p w14:paraId="0AE820B8">
      <w:pPr>
        <w:spacing w:line="360" w:lineRule="auto"/>
        <w:ind w:firstLine="420" w:firstLineChars="200"/>
        <w:jc w:val="left"/>
        <w:rPr>
          <w:rFonts w:ascii="宋体" w:hAnsi="宋体"/>
          <w:color w:val="auto"/>
          <w:highlight w:val="none"/>
        </w:rPr>
      </w:pPr>
      <w:bookmarkStart w:id="880" w:name="_Toc297123556"/>
      <w:bookmarkEnd w:id="880"/>
      <w:bookmarkStart w:id="881" w:name="_Toc303539163"/>
      <w:bookmarkEnd w:id="881"/>
      <w:bookmarkStart w:id="882" w:name="_Toc297048397"/>
      <w:bookmarkEnd w:id="882"/>
      <w:bookmarkStart w:id="883" w:name="_Toc292559424"/>
      <w:bookmarkEnd w:id="883"/>
      <w:bookmarkStart w:id="884" w:name="_Toc389065318"/>
      <w:bookmarkEnd w:id="884"/>
      <w:bookmarkStart w:id="885" w:name="_Toc297216223"/>
      <w:bookmarkEnd w:id="885"/>
      <w:bookmarkStart w:id="886" w:name="_Toc297120511"/>
      <w:bookmarkEnd w:id="886"/>
      <w:bookmarkStart w:id="887" w:name="_Toc292559921"/>
      <w:bookmarkEnd w:id="887"/>
      <w:bookmarkStart w:id="888" w:name="_Toc373227753"/>
      <w:bookmarkEnd w:id="888"/>
      <w:bookmarkStart w:id="889" w:name="_Toc304295593"/>
      <w:bookmarkEnd w:id="889"/>
      <w:bookmarkStart w:id="890" w:name="_Toc303539172"/>
      <w:bookmarkEnd w:id="890"/>
      <w:bookmarkStart w:id="891" w:name="_Toc296347218"/>
      <w:bookmarkEnd w:id="891"/>
      <w:bookmarkStart w:id="892" w:name="_Toc296891251"/>
      <w:bookmarkEnd w:id="892"/>
      <w:bookmarkStart w:id="893" w:name="_Toc300935015"/>
      <w:bookmarkEnd w:id="893"/>
      <w:bookmarkStart w:id="894" w:name="_Toc297120519"/>
      <w:bookmarkEnd w:id="894"/>
      <w:bookmarkStart w:id="895" w:name="_Toc297048405"/>
      <w:bookmarkEnd w:id="895"/>
      <w:bookmarkStart w:id="896" w:name="_Toc292559416"/>
      <w:bookmarkEnd w:id="896"/>
      <w:bookmarkStart w:id="897" w:name="_Toc373478400"/>
      <w:bookmarkEnd w:id="897"/>
      <w:bookmarkStart w:id="898" w:name="_Toc351203645"/>
      <w:bookmarkEnd w:id="898"/>
      <w:bookmarkStart w:id="899" w:name="_Toc312678053"/>
      <w:bookmarkEnd w:id="899"/>
      <w:bookmarkStart w:id="900" w:name="_Toc296944558"/>
      <w:bookmarkEnd w:id="900"/>
      <w:bookmarkStart w:id="901" w:name="_Toc296891039"/>
      <w:bookmarkEnd w:id="901"/>
      <w:bookmarkStart w:id="902" w:name="_Toc297123564"/>
      <w:bookmarkEnd w:id="902"/>
      <w:bookmarkStart w:id="903" w:name="_Toc296347210"/>
      <w:bookmarkEnd w:id="903"/>
      <w:bookmarkStart w:id="904" w:name="_Toc300935006"/>
      <w:bookmarkEnd w:id="904"/>
      <w:bookmarkStart w:id="905" w:name="_Toc296891047"/>
      <w:bookmarkEnd w:id="905"/>
      <w:bookmarkStart w:id="906" w:name="_Toc296503211"/>
      <w:bookmarkEnd w:id="906"/>
      <w:bookmarkStart w:id="907" w:name="_Toc296346712"/>
      <w:bookmarkEnd w:id="907"/>
      <w:bookmarkStart w:id="908" w:name="_Toc296944550"/>
      <w:bookmarkEnd w:id="908"/>
      <w:bookmarkStart w:id="909" w:name="_Toc407135256"/>
      <w:bookmarkEnd w:id="909"/>
      <w:bookmarkStart w:id="910" w:name="_Toc292559929"/>
      <w:bookmarkEnd w:id="910"/>
      <w:bookmarkStart w:id="911" w:name="_Toc296891259"/>
      <w:bookmarkEnd w:id="911"/>
      <w:bookmarkStart w:id="912" w:name="_Toc296346720"/>
      <w:bookmarkEnd w:id="912"/>
      <w:bookmarkStart w:id="913" w:name="_Toc297216215"/>
      <w:bookmarkEnd w:id="913"/>
      <w:bookmarkStart w:id="914" w:name="_Toc296503219"/>
      <w:r>
        <w:rPr>
          <w:rFonts w:ascii="宋体" w:hAnsi="宋体"/>
          <w:color w:val="auto"/>
          <w:highlight w:val="none"/>
        </w:rPr>
        <w:t xml:space="preserve">12.4.1 </w:t>
      </w:r>
      <w:bookmarkEnd w:id="914"/>
      <w:r>
        <w:rPr>
          <w:rFonts w:hint="eastAsia" w:ascii="宋体" w:hAnsi="宋体"/>
          <w:color w:val="auto"/>
          <w:highlight w:val="none"/>
        </w:rPr>
        <w:t>付款周期</w:t>
      </w:r>
    </w:p>
    <w:p w14:paraId="528CE14F">
      <w:pPr>
        <w:spacing w:line="500" w:lineRule="exact"/>
        <w:rPr>
          <w:rFonts w:ascii="宋体" w:hAnsi="宋体" w:cs="宋体"/>
          <w:color w:val="auto"/>
          <w:spacing w:val="11"/>
          <w:highlight w:val="none"/>
        </w:rPr>
      </w:pPr>
      <w:r>
        <w:rPr>
          <w:rFonts w:hint="eastAsia" w:ascii="宋体" w:hAnsi="宋体"/>
          <w:color w:val="auto"/>
          <w:highlight w:val="none"/>
        </w:rPr>
        <w:t>⑴</w:t>
      </w:r>
      <w:r>
        <w:rPr>
          <w:rFonts w:hint="eastAsia" w:asciiTheme="minorEastAsia" w:hAnsiTheme="minorEastAsia" w:eastAsiaTheme="minorEastAsia"/>
          <w:color w:val="auto"/>
          <w:highlight w:val="none"/>
        </w:rPr>
        <w:t>本项目</w:t>
      </w:r>
      <w:r>
        <w:rPr>
          <w:rFonts w:hint="eastAsia" w:ascii="宋体" w:hAnsi="宋体"/>
          <w:color w:val="auto"/>
          <w:highlight w:val="none"/>
        </w:rPr>
        <w:t>工程款支付方式</w:t>
      </w:r>
      <w:r>
        <w:rPr>
          <w:rFonts w:hint="eastAsia" w:ascii="宋体" w:hAnsi="宋体" w:cs="宋体"/>
          <w:color w:val="auto"/>
          <w:kern w:val="0"/>
          <w:highlight w:val="none"/>
        </w:rPr>
        <w:t>参照《建设工程价款结算暂行办法》相关规定及</w:t>
      </w:r>
      <w:r>
        <w:rPr>
          <w:rFonts w:hint="eastAsia" w:ascii="宋体" w:hAnsi="宋体"/>
          <w:color w:val="auto"/>
          <w:highlight w:val="none"/>
        </w:rPr>
        <w:t>当地政府或主管部门和</w:t>
      </w:r>
      <w:r>
        <w:rPr>
          <w:rFonts w:hint="eastAsia" w:asciiTheme="minorEastAsia" w:hAnsiTheme="minorEastAsia" w:eastAsiaTheme="minorEastAsia"/>
          <w:color w:val="auto"/>
          <w:highlight w:val="none"/>
        </w:rPr>
        <w:t>发包人上级</w:t>
      </w:r>
      <w:r>
        <w:rPr>
          <w:rFonts w:hint="eastAsia" w:ascii="宋体" w:hAnsi="宋体"/>
          <w:color w:val="auto"/>
          <w:highlight w:val="none"/>
        </w:rPr>
        <w:t>有关部门的国有投资项目结算相关文件规定执行。1)</w:t>
      </w:r>
      <w:r>
        <w:rPr>
          <w:rFonts w:hint="eastAsia" w:asciiTheme="minorEastAsia" w:hAnsiTheme="minorEastAsia" w:eastAsiaTheme="minorEastAsia"/>
          <w:color w:val="auto"/>
          <w:highlight w:val="none"/>
        </w:rPr>
        <w:t>本项目的工程</w:t>
      </w:r>
      <w:r>
        <w:rPr>
          <w:rFonts w:hint="eastAsia" w:asciiTheme="minorEastAsia" w:hAnsiTheme="minorEastAsia" w:eastAsiaTheme="minorEastAsia"/>
          <w:color w:val="auto"/>
          <w:kern w:val="0"/>
          <w:highlight w:val="none"/>
        </w:rPr>
        <w:t>施工</w:t>
      </w:r>
      <w:r>
        <w:rPr>
          <w:rFonts w:hint="eastAsia" w:asciiTheme="minorEastAsia" w:hAnsiTheme="minorEastAsia" w:eastAsiaTheme="minorEastAsia"/>
          <w:color w:val="auto"/>
          <w:highlight w:val="none"/>
        </w:rPr>
        <w:t>合同签订后，</w:t>
      </w:r>
      <w:r>
        <w:rPr>
          <w:rFonts w:hint="eastAsia" w:asciiTheme="minorEastAsia" w:hAnsiTheme="minorEastAsia" w:eastAsiaTheme="minorEastAsia"/>
          <w:color w:val="auto"/>
          <w:kern w:val="0"/>
          <w:highlight w:val="none"/>
        </w:rPr>
        <w:t>在具备施工条件的前提下，发包人将不迟于约定的开工日期前的7天内预付工程款。预付款支付比例或金额：合同价款的30%。工程款支付方式：</w:t>
      </w:r>
      <w:r>
        <w:rPr>
          <w:rFonts w:hint="eastAsia" w:ascii="宋体" w:hAnsi="宋体"/>
          <w:bCs/>
          <w:color w:val="auto"/>
          <w:highlight w:val="none"/>
          <w:lang w:val="en-US" w:eastAsia="zh-CN"/>
        </w:rPr>
        <w:t>原则上工程款按工程进度支付，</w:t>
      </w:r>
      <w:r>
        <w:rPr>
          <w:rFonts w:hint="eastAsia" w:ascii="宋体" w:hAnsi="宋体"/>
          <w:bCs/>
          <w:color w:val="auto"/>
          <w:highlight w:val="none"/>
          <w:lang w:eastAsia="zh-CN"/>
        </w:rPr>
        <w:t>合同内进度款支付限额为已完成工程量的</w:t>
      </w:r>
      <w:r>
        <w:rPr>
          <w:rFonts w:hint="eastAsia" w:ascii="宋体" w:hAnsi="宋体"/>
          <w:bCs/>
          <w:color w:val="auto"/>
          <w:highlight w:val="none"/>
        </w:rPr>
        <w:t>85%，工程完工验收达到质量要求，结算经审计部门审定后</w:t>
      </w:r>
      <w:r>
        <w:rPr>
          <w:rFonts w:hint="eastAsia" w:ascii="宋体" w:hAnsi="宋体"/>
          <w:bCs/>
          <w:color w:val="auto"/>
          <w:highlight w:val="none"/>
          <w:lang w:eastAsia="zh-CN"/>
        </w:rPr>
        <w:t>，</w:t>
      </w:r>
      <w:r>
        <w:rPr>
          <w:rFonts w:hint="eastAsia" w:ascii="宋体" w:hAnsi="宋体" w:cs="宋体"/>
          <w:b w:val="0"/>
          <w:bCs w:val="0"/>
          <w:color w:val="auto"/>
          <w:kern w:val="0"/>
          <w:sz w:val="21"/>
          <w:szCs w:val="21"/>
          <w:highlight w:val="none"/>
          <w:lang w:val="en-US" w:eastAsia="zh-CN" w:bidi="ar-SA"/>
        </w:rPr>
        <w:t>成交人向采购人支付合同总额的3%作为项目质保金后，</w:t>
      </w:r>
      <w:r>
        <w:rPr>
          <w:rFonts w:hint="eastAsia" w:ascii="宋体" w:hAnsi="宋体" w:eastAsia="宋体" w:cs="宋体"/>
          <w:b w:val="0"/>
          <w:bCs w:val="0"/>
          <w:color w:val="auto"/>
          <w:kern w:val="0"/>
          <w:sz w:val="21"/>
          <w:szCs w:val="21"/>
          <w:highlight w:val="none"/>
          <w:lang w:val="en-US" w:eastAsia="zh-CN" w:bidi="ar-SA"/>
        </w:rPr>
        <w:t>采购人向成交人支付</w:t>
      </w:r>
      <w:r>
        <w:rPr>
          <w:rFonts w:hint="eastAsia" w:ascii="宋体" w:hAnsi="宋体" w:cs="宋体"/>
          <w:b w:val="0"/>
          <w:bCs w:val="0"/>
          <w:color w:val="auto"/>
          <w:kern w:val="0"/>
          <w:sz w:val="21"/>
          <w:szCs w:val="21"/>
          <w:highlight w:val="none"/>
          <w:lang w:val="en-US" w:eastAsia="zh-CN" w:bidi="ar-SA"/>
        </w:rPr>
        <w:t>至</w:t>
      </w:r>
      <w:r>
        <w:rPr>
          <w:rFonts w:hint="eastAsia" w:ascii="宋体" w:hAnsi="宋体" w:eastAsia="宋体" w:cs="宋体"/>
          <w:b w:val="0"/>
          <w:bCs w:val="0"/>
          <w:color w:val="auto"/>
          <w:kern w:val="0"/>
          <w:sz w:val="21"/>
          <w:szCs w:val="21"/>
          <w:highlight w:val="none"/>
          <w:lang w:val="en-US" w:eastAsia="zh-CN" w:bidi="ar-SA"/>
        </w:rPr>
        <w:t>合同总金额的</w:t>
      </w:r>
      <w:r>
        <w:rPr>
          <w:rFonts w:hint="eastAsia" w:ascii="宋体" w:hAnsi="宋体" w:cs="宋体"/>
          <w:b w:val="0"/>
          <w:bCs w:val="0"/>
          <w:color w:val="auto"/>
          <w:kern w:val="0"/>
          <w:sz w:val="21"/>
          <w:szCs w:val="21"/>
          <w:highlight w:val="none"/>
          <w:lang w:val="en-US" w:eastAsia="zh-CN" w:bidi="ar-SA"/>
        </w:rPr>
        <w:t>100</w:t>
      </w:r>
      <w:r>
        <w:rPr>
          <w:rFonts w:hint="eastAsia" w:ascii="宋体" w:hAnsi="宋体" w:eastAsia="宋体" w:cs="宋体"/>
          <w:b w:val="0"/>
          <w:bCs w:val="0"/>
          <w:color w:val="auto"/>
          <w:kern w:val="0"/>
          <w:sz w:val="21"/>
          <w:szCs w:val="21"/>
          <w:highlight w:val="none"/>
          <w:lang w:val="en-US" w:eastAsia="zh-CN" w:bidi="ar-SA"/>
        </w:rPr>
        <w:t>%，</w:t>
      </w:r>
      <w:r>
        <w:rPr>
          <w:rFonts w:hint="eastAsia" w:ascii="宋体" w:hAnsi="宋体"/>
          <w:bCs/>
          <w:color w:val="auto"/>
          <w:highlight w:val="none"/>
        </w:rPr>
        <w:t>待工程质量保修期满，经发包人、承包人及监理单位三方验收合格后，无息拨付给承包人</w:t>
      </w:r>
      <w:r>
        <w:rPr>
          <w:rFonts w:hint="eastAsia" w:ascii="宋体" w:hAnsi="宋体"/>
          <w:bCs/>
          <w:color w:val="auto"/>
          <w:highlight w:val="none"/>
          <w:lang w:eastAsia="zh-CN"/>
        </w:rPr>
        <w:t>。</w:t>
      </w:r>
      <w:r>
        <w:rPr>
          <w:rFonts w:hint="eastAsia" w:ascii="宋体" w:hAnsi="宋体" w:cs="宋体"/>
          <w:color w:val="auto"/>
          <w:kern w:val="0"/>
          <w:sz w:val="21"/>
          <w:highlight w:val="none"/>
          <w:u w:val="none"/>
          <w:lang w:val="en-US" w:eastAsia="zh-CN"/>
        </w:rPr>
        <w:t>（注：工程款项拨付时间以财政实际拨付为准。</w:t>
      </w:r>
      <w:r>
        <w:rPr>
          <w:rFonts w:hint="eastAsia" w:ascii="宋体" w:hAnsi="宋体" w:cs="宋体"/>
          <w:color w:val="auto"/>
          <w:kern w:val="0"/>
          <w:sz w:val="21"/>
          <w:highlight w:val="none"/>
          <w:u w:val="none"/>
          <w:lang w:val="zh-CN" w:eastAsia="zh-CN"/>
        </w:rPr>
        <w:t>）</w:t>
      </w:r>
    </w:p>
    <w:p w14:paraId="56F57C8F">
      <w:pPr>
        <w:spacing w:line="360" w:lineRule="auto"/>
        <w:ind w:firstLine="420"/>
        <w:rPr>
          <w:rFonts w:ascii="宋体" w:hAnsi="宋体"/>
          <w:color w:val="auto"/>
          <w:highlight w:val="none"/>
          <w:u w:val="single"/>
        </w:rPr>
      </w:pPr>
      <w:r>
        <w:rPr>
          <w:rFonts w:hint="eastAsia" w:ascii="宋体" w:hAnsi="宋体"/>
          <w:color w:val="auto"/>
          <w:highlight w:val="none"/>
          <w:u w:val="single"/>
        </w:rPr>
        <w:t>⑵合同约定的工程质量缺陷责任期（1年）满后由承包人向发包人提出返还保证金的申请，发包人在接到承包人返还保证金申请后，于</w:t>
      </w:r>
      <w:r>
        <w:rPr>
          <w:rFonts w:ascii="宋体" w:hAnsi="宋体"/>
          <w:color w:val="auto"/>
          <w:highlight w:val="none"/>
          <w:u w:val="single"/>
        </w:rPr>
        <w:t>14</w:t>
      </w:r>
      <w:r>
        <w:rPr>
          <w:rFonts w:hint="eastAsia" w:ascii="宋体" w:hAnsi="宋体"/>
          <w:color w:val="auto"/>
          <w:highlight w:val="none"/>
          <w:u w:val="single"/>
        </w:rPr>
        <w:t>天内会同承包人按照合同约定的内容进行核实。如无异议，发包人在核实后30天内将保证金</w:t>
      </w:r>
      <w:r>
        <w:rPr>
          <w:rFonts w:hint="eastAsia" w:cs="Arial" w:asciiTheme="minorEastAsia" w:hAnsiTheme="minorEastAsia" w:eastAsiaTheme="minorEastAsia"/>
          <w:color w:val="auto"/>
          <w:highlight w:val="none"/>
          <w:u w:val="single"/>
        </w:rPr>
        <w:t>(无息)</w:t>
      </w:r>
      <w:r>
        <w:rPr>
          <w:rFonts w:hint="eastAsia" w:ascii="宋体" w:hAnsi="宋体"/>
          <w:color w:val="auto"/>
          <w:highlight w:val="none"/>
          <w:u w:val="single"/>
        </w:rPr>
        <w:t>返还承包人，逾期未返还的，依法承担违约责任。发包人在接到承包人返还保证金申请后</w:t>
      </w:r>
      <w:r>
        <w:rPr>
          <w:rFonts w:ascii="宋体" w:hAnsi="宋体"/>
          <w:color w:val="auto"/>
          <w:highlight w:val="none"/>
          <w:u w:val="single"/>
        </w:rPr>
        <w:t>14</w:t>
      </w:r>
      <w:r>
        <w:rPr>
          <w:rFonts w:hint="eastAsia" w:ascii="宋体" w:hAnsi="宋体"/>
          <w:color w:val="auto"/>
          <w:highlight w:val="none"/>
          <w:u w:val="single"/>
        </w:rPr>
        <w:t>天内不予答复，经催告后</w:t>
      </w:r>
      <w:r>
        <w:rPr>
          <w:rFonts w:ascii="宋体" w:hAnsi="宋体"/>
          <w:color w:val="auto"/>
          <w:highlight w:val="none"/>
          <w:u w:val="single"/>
        </w:rPr>
        <w:t>14</w:t>
      </w:r>
      <w:r>
        <w:rPr>
          <w:rFonts w:hint="eastAsia" w:ascii="宋体" w:hAnsi="宋体"/>
          <w:color w:val="auto"/>
          <w:highlight w:val="none"/>
          <w:u w:val="single"/>
        </w:rPr>
        <w:t>天内仍不予答复，视同认可承包人的返还保证金申请。</w:t>
      </w:r>
    </w:p>
    <w:p w14:paraId="24E8F029">
      <w:pPr>
        <w:spacing w:line="360" w:lineRule="auto"/>
        <w:ind w:firstLine="420"/>
        <w:rPr>
          <w:rFonts w:ascii="宋体" w:hAnsi="宋体"/>
          <w:color w:val="auto"/>
          <w:highlight w:val="none"/>
          <w:u w:val="single"/>
        </w:rPr>
      </w:pPr>
      <w:r>
        <w:rPr>
          <w:rFonts w:ascii="宋体" w:hAnsi="宋体"/>
          <w:color w:val="auto"/>
          <w:highlight w:val="none"/>
          <w:u w:val="single"/>
        </w:rPr>
        <w:t>2</w:t>
      </w:r>
      <w:r>
        <w:rPr>
          <w:rFonts w:hint="eastAsia" w:ascii="宋体" w:hAnsi="宋体"/>
          <w:color w:val="auto"/>
          <w:highlight w:val="none"/>
          <w:u w:val="single"/>
        </w:rPr>
        <w:t>、工程竣工验收合格</w:t>
      </w:r>
      <w:r>
        <w:rPr>
          <w:rFonts w:ascii="宋体" w:hAnsi="宋体"/>
          <w:color w:val="auto"/>
          <w:highlight w:val="none"/>
          <w:u w:val="single"/>
        </w:rPr>
        <w:t>,</w:t>
      </w:r>
      <w:r>
        <w:rPr>
          <w:rFonts w:hint="eastAsia" w:ascii="宋体" w:hAnsi="宋体"/>
          <w:color w:val="auto"/>
          <w:highlight w:val="none"/>
          <w:u w:val="single"/>
        </w:rPr>
        <w:t>工程结算手续完善，保质期结束后余款</w:t>
      </w:r>
      <w:r>
        <w:rPr>
          <w:rFonts w:ascii="宋体" w:hAnsi="宋体"/>
          <w:color w:val="auto"/>
          <w:highlight w:val="none"/>
          <w:u w:val="single"/>
        </w:rPr>
        <w:t>30</w:t>
      </w:r>
      <w:r>
        <w:rPr>
          <w:rFonts w:hint="eastAsia" w:ascii="宋体" w:hAnsi="宋体"/>
          <w:color w:val="auto"/>
          <w:highlight w:val="none"/>
          <w:u w:val="single"/>
        </w:rPr>
        <w:t>天内全部付清。</w:t>
      </w:r>
    </w:p>
    <w:p w14:paraId="0AFF5B66">
      <w:pPr>
        <w:spacing w:line="360" w:lineRule="auto"/>
        <w:ind w:firstLine="420"/>
        <w:jc w:val="left"/>
        <w:rPr>
          <w:rFonts w:ascii="宋体" w:hAnsi="宋体"/>
          <w:color w:val="auto"/>
          <w:highlight w:val="none"/>
        </w:rPr>
      </w:pPr>
      <w:r>
        <w:rPr>
          <w:rFonts w:ascii="宋体" w:hAnsi="宋体"/>
          <w:color w:val="auto"/>
          <w:highlight w:val="none"/>
          <w:u w:val="single"/>
        </w:rPr>
        <w:t>3</w:t>
      </w:r>
      <w:r>
        <w:rPr>
          <w:rFonts w:hint="eastAsia" w:ascii="宋体" w:hAnsi="宋体"/>
          <w:color w:val="auto"/>
          <w:highlight w:val="none"/>
          <w:u w:val="single"/>
        </w:rPr>
        <w:t>、支付方式：银行转账方式。施工单位必须就核准的工程进度款提供税务机关开出的完税发票</w:t>
      </w:r>
      <w:r>
        <w:rPr>
          <w:rFonts w:hint="eastAsia" w:ascii="宋体" w:hAnsi="宋体"/>
          <w:color w:val="auto"/>
          <w:highlight w:val="none"/>
        </w:rPr>
        <w:t>。</w:t>
      </w:r>
    </w:p>
    <w:p w14:paraId="4D291B0D">
      <w:pPr>
        <w:spacing w:line="360" w:lineRule="auto"/>
        <w:ind w:firstLine="420" w:firstLineChars="200"/>
        <w:jc w:val="left"/>
        <w:rPr>
          <w:rFonts w:ascii="宋体" w:hAnsi="宋体"/>
          <w:color w:val="auto"/>
          <w:highlight w:val="none"/>
        </w:rPr>
      </w:pPr>
      <w:r>
        <w:rPr>
          <w:rFonts w:ascii="宋体" w:hAnsi="宋体"/>
          <w:color w:val="auto"/>
          <w:highlight w:val="none"/>
        </w:rPr>
        <w:t xml:space="preserve">12.4.2 </w:t>
      </w:r>
      <w:r>
        <w:rPr>
          <w:rFonts w:hint="eastAsia" w:ascii="宋体" w:hAnsi="宋体"/>
          <w:color w:val="auto"/>
          <w:highlight w:val="none"/>
        </w:rPr>
        <w:t>进度付款申请单的编制</w:t>
      </w:r>
    </w:p>
    <w:p w14:paraId="55645BCA">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关于进度付款申请单编制的约定：</w:t>
      </w:r>
      <w:r>
        <w:rPr>
          <w:rFonts w:hint="eastAsia" w:ascii="宋体" w:hAnsi="宋体"/>
          <w:color w:val="auto"/>
          <w:highlight w:val="none"/>
          <w:u w:val="single"/>
        </w:rPr>
        <w:t>每月</w:t>
      </w:r>
      <w:r>
        <w:rPr>
          <w:rFonts w:ascii="宋体" w:hAnsi="宋体"/>
          <w:color w:val="auto"/>
          <w:highlight w:val="none"/>
          <w:u w:val="single"/>
        </w:rPr>
        <w:t>25</w:t>
      </w:r>
      <w:r>
        <w:rPr>
          <w:rFonts w:hint="eastAsia" w:ascii="宋体" w:hAnsi="宋体"/>
          <w:color w:val="auto"/>
          <w:highlight w:val="none"/>
          <w:u w:val="single"/>
        </w:rPr>
        <w:t>日前</w:t>
      </w:r>
      <w:r>
        <w:rPr>
          <w:rFonts w:hint="eastAsia" w:ascii="宋体" w:hAnsi="宋体"/>
          <w:color w:val="auto"/>
          <w:highlight w:val="none"/>
        </w:rPr>
        <w:t>。</w:t>
      </w:r>
    </w:p>
    <w:p w14:paraId="78ACFBDC">
      <w:pPr>
        <w:spacing w:line="360" w:lineRule="auto"/>
        <w:ind w:firstLine="420" w:firstLineChars="200"/>
        <w:jc w:val="left"/>
        <w:rPr>
          <w:rFonts w:ascii="宋体" w:hAnsi="宋体"/>
          <w:color w:val="auto"/>
          <w:highlight w:val="none"/>
        </w:rPr>
      </w:pPr>
      <w:r>
        <w:rPr>
          <w:rFonts w:ascii="宋体" w:hAnsi="宋体"/>
          <w:color w:val="auto"/>
          <w:highlight w:val="none"/>
        </w:rPr>
        <w:t xml:space="preserve">12.4.3 </w:t>
      </w:r>
      <w:r>
        <w:rPr>
          <w:rFonts w:hint="eastAsia" w:ascii="宋体" w:hAnsi="宋体"/>
          <w:color w:val="auto"/>
          <w:highlight w:val="none"/>
        </w:rPr>
        <w:t>进度付款申请单的提交</w:t>
      </w:r>
    </w:p>
    <w:p w14:paraId="1C0FA493">
      <w:pPr>
        <w:spacing w:line="360" w:lineRule="auto"/>
        <w:ind w:firstLine="42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）单价合同进度付款申请单提交的约定：</w:t>
      </w:r>
      <w:r>
        <w:rPr>
          <w:rFonts w:hint="eastAsia" w:ascii="宋体" w:hAnsi="宋体"/>
          <w:color w:val="auto"/>
          <w:highlight w:val="none"/>
          <w:u w:val="single"/>
        </w:rPr>
        <w:t>/</w:t>
      </w:r>
      <w:r>
        <w:rPr>
          <w:rFonts w:hint="eastAsia" w:ascii="宋体" w:hAnsi="宋体"/>
          <w:color w:val="auto"/>
          <w:highlight w:val="none"/>
        </w:rPr>
        <w:t>。</w:t>
      </w:r>
    </w:p>
    <w:p w14:paraId="49EAD027">
      <w:pPr>
        <w:spacing w:line="360" w:lineRule="auto"/>
        <w:ind w:firstLine="42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）总价合同进度付款申请单提交的约定：</w:t>
      </w:r>
      <w:r>
        <w:rPr>
          <w:rFonts w:hint="eastAsia" w:ascii="宋体" w:hAnsi="宋体"/>
          <w:color w:val="auto"/>
          <w:highlight w:val="none"/>
          <w:u w:val="single"/>
        </w:rPr>
        <w:t>承包人应在每个计量周期到期后的14天内向发包人提交已完工程进度款支付申请一式四份，详细说明此周期自己认为有权得到的款额。</w:t>
      </w:r>
    </w:p>
    <w:p w14:paraId="3BBE752A">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3</w:t>
      </w:r>
      <w:r>
        <w:rPr>
          <w:rFonts w:hint="eastAsia" w:ascii="宋体" w:hAnsi="宋体"/>
          <w:color w:val="auto"/>
          <w:highlight w:val="none"/>
        </w:rPr>
        <w:t>）其他价格形式合同进度付款申请单提交的约定：</w:t>
      </w:r>
      <w:r>
        <w:rPr>
          <w:rFonts w:hint="eastAsia" w:ascii="宋体" w:hAnsi="宋体"/>
          <w:color w:val="auto"/>
          <w:highlight w:val="none"/>
          <w:u w:val="single"/>
        </w:rPr>
        <w:t>每月</w:t>
      </w:r>
      <w:r>
        <w:rPr>
          <w:rFonts w:ascii="宋体" w:hAnsi="宋体"/>
          <w:color w:val="auto"/>
          <w:highlight w:val="none"/>
          <w:u w:val="single"/>
        </w:rPr>
        <w:t>25</w:t>
      </w:r>
      <w:r>
        <w:rPr>
          <w:rFonts w:hint="eastAsia" w:ascii="宋体" w:hAnsi="宋体"/>
          <w:color w:val="auto"/>
          <w:highlight w:val="none"/>
          <w:u w:val="single"/>
        </w:rPr>
        <w:t>日前</w:t>
      </w:r>
      <w:r>
        <w:rPr>
          <w:rFonts w:hint="eastAsia" w:ascii="宋体" w:hAnsi="宋体"/>
          <w:color w:val="auto"/>
          <w:highlight w:val="none"/>
        </w:rPr>
        <w:t>。</w:t>
      </w:r>
    </w:p>
    <w:p w14:paraId="698BDCEF">
      <w:pPr>
        <w:spacing w:line="360" w:lineRule="auto"/>
        <w:ind w:firstLine="420" w:firstLineChars="200"/>
        <w:jc w:val="left"/>
        <w:rPr>
          <w:rFonts w:ascii="宋体" w:hAnsi="宋体"/>
          <w:color w:val="auto"/>
          <w:highlight w:val="none"/>
        </w:rPr>
      </w:pPr>
      <w:r>
        <w:rPr>
          <w:rFonts w:ascii="宋体" w:hAnsi="宋体"/>
          <w:color w:val="auto"/>
          <w:highlight w:val="none"/>
        </w:rPr>
        <w:t xml:space="preserve">12.4.4 </w:t>
      </w:r>
      <w:r>
        <w:rPr>
          <w:rFonts w:hint="eastAsia" w:ascii="宋体" w:hAnsi="宋体"/>
          <w:color w:val="auto"/>
          <w:highlight w:val="none"/>
        </w:rPr>
        <w:t>进度款审核和支付</w:t>
      </w:r>
    </w:p>
    <w:p w14:paraId="38B709A9">
      <w:pPr>
        <w:spacing w:line="360" w:lineRule="auto"/>
        <w:ind w:firstLine="42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）监理人审查并报送发包人的期限：</w:t>
      </w:r>
      <w:r>
        <w:rPr>
          <w:rFonts w:hint="eastAsia" w:ascii="宋体" w:hAnsi="宋体"/>
          <w:color w:val="auto"/>
          <w:highlight w:val="none"/>
          <w:u w:val="single"/>
        </w:rPr>
        <w:t>监理人应在收到承包人进度付款申请单以及相关资料后</w:t>
      </w:r>
      <w:r>
        <w:rPr>
          <w:rFonts w:ascii="宋体" w:hAnsi="宋体"/>
          <w:color w:val="auto"/>
          <w:highlight w:val="none"/>
          <w:u w:val="single"/>
        </w:rPr>
        <w:t>7</w:t>
      </w:r>
      <w:r>
        <w:rPr>
          <w:rFonts w:hint="eastAsia" w:ascii="宋体" w:hAnsi="宋体"/>
          <w:color w:val="auto"/>
          <w:highlight w:val="none"/>
          <w:u w:val="single"/>
        </w:rPr>
        <w:t>天内完成审查并报送发包人</w:t>
      </w:r>
      <w:r>
        <w:rPr>
          <w:rFonts w:hint="eastAsia" w:ascii="宋体" w:hAnsi="宋体"/>
          <w:color w:val="auto"/>
          <w:highlight w:val="none"/>
        </w:rPr>
        <w:t>。</w:t>
      </w:r>
    </w:p>
    <w:p w14:paraId="47B3123B">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发包人完成审批并签发进度款支付证书的期限：</w:t>
      </w:r>
      <w:r>
        <w:rPr>
          <w:rFonts w:hint="eastAsia" w:ascii="宋体" w:hAnsi="宋体"/>
          <w:color w:val="auto"/>
          <w:highlight w:val="none"/>
          <w:u w:val="single"/>
        </w:rPr>
        <w:t>发包人应在收到后</w:t>
      </w:r>
      <w:r>
        <w:rPr>
          <w:rFonts w:ascii="宋体" w:hAnsi="宋体"/>
          <w:color w:val="auto"/>
          <w:highlight w:val="none"/>
          <w:u w:val="single"/>
        </w:rPr>
        <w:t>7</w:t>
      </w:r>
      <w:r>
        <w:rPr>
          <w:rFonts w:hint="eastAsia" w:ascii="宋体" w:hAnsi="宋体"/>
          <w:color w:val="auto"/>
          <w:highlight w:val="none"/>
          <w:u w:val="single"/>
        </w:rPr>
        <w:t>天内完成审批并签发进度款支付证书，发包人逾期未完成审批且未提出异议的，视为已签发进度款支付证书</w:t>
      </w:r>
      <w:r>
        <w:rPr>
          <w:rFonts w:hint="eastAsia" w:ascii="宋体" w:hAnsi="宋体"/>
          <w:color w:val="auto"/>
          <w:highlight w:val="none"/>
        </w:rPr>
        <w:t>。</w:t>
      </w:r>
    </w:p>
    <w:p w14:paraId="73CCB07F">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）发包人支付进度款的期限：</w:t>
      </w:r>
      <w:r>
        <w:rPr>
          <w:rFonts w:hint="eastAsia" w:ascii="宋体" w:hAnsi="宋体"/>
          <w:color w:val="auto"/>
          <w:highlight w:val="none"/>
          <w:u w:val="single"/>
        </w:rPr>
        <w:t>收到承包人进度支付申请单以及相关资料后</w:t>
      </w:r>
      <w:r>
        <w:rPr>
          <w:rFonts w:ascii="宋体" w:hAnsi="宋体"/>
          <w:color w:val="auto"/>
          <w:highlight w:val="none"/>
          <w:u w:val="single"/>
        </w:rPr>
        <w:t>7</w:t>
      </w:r>
      <w:r>
        <w:rPr>
          <w:rFonts w:hint="eastAsia" w:ascii="宋体" w:hAnsi="宋体"/>
          <w:color w:val="auto"/>
          <w:highlight w:val="none"/>
          <w:u w:val="single"/>
        </w:rPr>
        <w:t>天内</w:t>
      </w:r>
      <w:r>
        <w:rPr>
          <w:rFonts w:hint="eastAsia" w:ascii="宋体" w:hAnsi="宋体"/>
          <w:color w:val="auto"/>
          <w:highlight w:val="none"/>
        </w:rPr>
        <w:t>。</w:t>
      </w:r>
    </w:p>
    <w:p w14:paraId="289C2939">
      <w:pPr>
        <w:spacing w:line="360" w:lineRule="auto"/>
        <w:ind w:firstLine="525" w:firstLineChars="250"/>
        <w:jc w:val="left"/>
        <w:rPr>
          <w:rFonts w:ascii="宋体" w:hAnsi="宋体"/>
          <w:color w:val="auto"/>
          <w:highlight w:val="none"/>
        </w:rPr>
      </w:pPr>
      <w:r>
        <w:rPr>
          <w:rFonts w:hint="eastAsia" w:ascii="宋体" w:hAnsi="宋体"/>
          <w:color w:val="auto"/>
          <w:highlight w:val="none"/>
        </w:rPr>
        <w:t>发包人逾期支付进度款的违约金的计算方式：</w:t>
      </w:r>
      <w:r>
        <w:rPr>
          <w:rFonts w:hint="eastAsia" w:ascii="宋体" w:hAnsi="宋体"/>
          <w:color w:val="auto"/>
          <w:highlight w:val="none"/>
          <w:u w:val="single"/>
        </w:rPr>
        <w:t>按《通用合同条款》</w:t>
      </w:r>
      <w:r>
        <w:rPr>
          <w:rFonts w:ascii="宋体" w:hAnsi="宋体"/>
          <w:color w:val="auto"/>
          <w:highlight w:val="none"/>
          <w:u w:val="single"/>
        </w:rPr>
        <w:t>12.4.4</w:t>
      </w:r>
      <w:r>
        <w:rPr>
          <w:rFonts w:hint="eastAsia" w:ascii="宋体" w:hAnsi="宋体"/>
          <w:color w:val="auto"/>
          <w:highlight w:val="none"/>
          <w:u w:val="single"/>
        </w:rPr>
        <w:t>条执行</w:t>
      </w:r>
      <w:r>
        <w:rPr>
          <w:rFonts w:hint="eastAsia" w:ascii="宋体" w:hAnsi="宋体"/>
          <w:color w:val="auto"/>
          <w:highlight w:val="none"/>
        </w:rPr>
        <w:t>。</w:t>
      </w:r>
    </w:p>
    <w:p w14:paraId="0B603A91">
      <w:pPr>
        <w:spacing w:line="360" w:lineRule="auto"/>
        <w:ind w:firstLine="630" w:firstLineChars="300"/>
        <w:rPr>
          <w:rFonts w:ascii="宋体" w:hAnsi="宋体" w:cs="宋体"/>
          <w:color w:val="auto"/>
          <w:highlight w:val="none"/>
        </w:rPr>
      </w:pPr>
      <w:r>
        <w:rPr>
          <w:rFonts w:hint="eastAsia" w:ascii="宋体" w:hAnsi="宋体"/>
          <w:color w:val="auto"/>
          <w:highlight w:val="none"/>
        </w:rPr>
        <w:t>进度款支付方式：</w:t>
      </w:r>
      <w:r>
        <w:rPr>
          <w:rFonts w:hint="eastAsia" w:ascii="宋体" w:hAnsi="宋体"/>
          <w:color w:val="auto"/>
          <w:highlight w:val="none"/>
          <w:u w:val="single"/>
        </w:rPr>
        <w:t>银行转账</w:t>
      </w:r>
      <w:r>
        <w:rPr>
          <w:rFonts w:hint="eastAsia" w:ascii="宋体" w:hAnsi="宋体"/>
          <w:color w:val="auto"/>
          <w:highlight w:val="none"/>
        </w:rPr>
        <w:t>。进度款支付申请（核准）表见合同附件</w:t>
      </w:r>
      <w:r>
        <w:rPr>
          <w:rFonts w:ascii="宋体" w:hAnsi="宋体"/>
          <w:color w:val="auto"/>
          <w:highlight w:val="none"/>
        </w:rPr>
        <w:t>11</w:t>
      </w:r>
      <w:r>
        <w:rPr>
          <w:rFonts w:hint="eastAsia" w:ascii="宋体" w:hAnsi="宋体"/>
          <w:color w:val="auto"/>
          <w:highlight w:val="none"/>
        </w:rPr>
        <w:t>。</w:t>
      </w:r>
    </w:p>
    <w:p w14:paraId="0C258A20">
      <w:pPr>
        <w:spacing w:line="360" w:lineRule="auto"/>
        <w:ind w:firstLine="525" w:firstLineChars="25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3</w:t>
      </w:r>
      <w:r>
        <w:rPr>
          <w:rFonts w:hint="eastAsia" w:ascii="宋体" w:hAnsi="宋体"/>
          <w:color w:val="auto"/>
          <w:highlight w:val="none"/>
        </w:rPr>
        <w:t>）农民工工资支付</w:t>
      </w:r>
    </w:p>
    <w:p w14:paraId="6B6F3A12">
      <w:pPr>
        <w:autoSpaceDE w:val="0"/>
        <w:autoSpaceDN w:val="0"/>
        <w:adjustRightInd w:val="0"/>
        <w:spacing w:line="360" w:lineRule="auto"/>
        <w:ind w:firstLine="420" w:firstLineChars="200"/>
        <w:jc w:val="left"/>
        <w:rPr>
          <w:rFonts w:ascii="宋体" w:hAnsi="宋体"/>
          <w:color w:val="auto"/>
          <w:highlight w:val="none"/>
        </w:rPr>
      </w:pPr>
      <w:r>
        <w:rPr>
          <w:rFonts w:ascii="宋体" w:hAnsi="宋体"/>
          <w:color w:val="auto"/>
          <w:kern w:val="0"/>
          <w:highlight w:val="none"/>
        </w:rPr>
        <w:t>1</w:t>
      </w:r>
      <w:r>
        <w:rPr>
          <w:rFonts w:hint="eastAsia" w:ascii="宋体" w:hAnsi="宋体"/>
          <w:color w:val="auto"/>
          <w:kern w:val="0"/>
          <w:highlight w:val="none"/>
        </w:rPr>
        <w:t>）农民工工资应与其它工程进度款分帐管理。农民工工资必须按时足额支付，农民工费用拨付周期不得超过</w:t>
      </w:r>
      <w:r>
        <w:rPr>
          <w:rFonts w:ascii="宋体" w:hAnsi="宋体" w:cs="Calibri"/>
          <w:color w:val="auto"/>
          <w:kern w:val="0"/>
          <w:highlight w:val="none"/>
        </w:rPr>
        <w:t>1</w:t>
      </w:r>
      <w:r>
        <w:rPr>
          <w:rFonts w:hint="eastAsia" w:ascii="宋体" w:hAnsi="宋体"/>
          <w:color w:val="auto"/>
          <w:kern w:val="0"/>
          <w:highlight w:val="none"/>
        </w:rPr>
        <w:t>个月，最</w:t>
      </w:r>
      <w:r>
        <w:rPr>
          <w:rFonts w:hint="eastAsia" w:ascii="宋体" w:hAnsi="宋体" w:cs="宋体"/>
          <w:color w:val="auto"/>
          <w:kern w:val="0"/>
          <w:highlight w:val="none"/>
        </w:rPr>
        <w:t>少每月支付一次</w:t>
      </w:r>
      <w:r>
        <w:rPr>
          <w:rFonts w:hint="eastAsia" w:ascii="宋体" w:hAnsi="宋体"/>
          <w:color w:val="auto"/>
          <w:kern w:val="0"/>
          <w:highlight w:val="none"/>
        </w:rPr>
        <w:t>，</w:t>
      </w:r>
      <w:r>
        <w:rPr>
          <w:rFonts w:hint="eastAsia" w:ascii="宋体" w:hAnsi="宋体" w:cs="宋体"/>
          <w:color w:val="auto"/>
          <w:kern w:val="0"/>
          <w:highlight w:val="none"/>
        </w:rPr>
        <w:t>无工程款申请的月份</w:t>
      </w:r>
      <w:r>
        <w:rPr>
          <w:rFonts w:hint="eastAsia" w:ascii="宋体" w:hAnsi="宋体"/>
          <w:color w:val="auto"/>
          <w:kern w:val="0"/>
          <w:highlight w:val="none"/>
        </w:rPr>
        <w:t>，</w:t>
      </w:r>
      <w:r>
        <w:rPr>
          <w:rFonts w:hint="eastAsia" w:ascii="宋体" w:hAnsi="宋体" w:cs="宋体"/>
          <w:color w:val="auto"/>
          <w:kern w:val="0"/>
          <w:highlight w:val="none"/>
        </w:rPr>
        <w:t>承包人单独上</w:t>
      </w:r>
      <w:r>
        <w:rPr>
          <w:rFonts w:hint="eastAsia" w:ascii="宋体" w:hAnsi="宋体"/>
          <w:color w:val="auto"/>
          <w:kern w:val="0"/>
          <w:highlight w:val="none"/>
        </w:rPr>
        <w:t>报</w:t>
      </w:r>
      <w:r>
        <w:rPr>
          <w:rFonts w:hint="eastAsia" w:ascii="宋体" w:hAnsi="宋体" w:cs="宋体"/>
          <w:color w:val="auto"/>
          <w:kern w:val="0"/>
          <w:highlight w:val="none"/>
        </w:rPr>
        <w:t>农</w:t>
      </w:r>
      <w:r>
        <w:rPr>
          <w:rFonts w:hint="eastAsia" w:ascii="宋体" w:hAnsi="宋体"/>
          <w:color w:val="auto"/>
          <w:kern w:val="0"/>
          <w:highlight w:val="none"/>
        </w:rPr>
        <w:t>民</w:t>
      </w:r>
      <w:r>
        <w:rPr>
          <w:rFonts w:hint="eastAsia" w:ascii="宋体" w:hAnsi="宋体" w:cs="宋体"/>
          <w:color w:val="auto"/>
          <w:kern w:val="0"/>
          <w:highlight w:val="none"/>
        </w:rPr>
        <w:t>工工资</w:t>
      </w:r>
      <w:r>
        <w:rPr>
          <w:rFonts w:hint="eastAsia" w:ascii="宋体" w:hAnsi="宋体"/>
          <w:color w:val="auto"/>
          <w:kern w:val="0"/>
          <w:highlight w:val="none"/>
        </w:rPr>
        <w:t>申请；承包人向发包人申请工程进度款时必须把工人工资部分单独列明，如果未单独列明，监理单位不得签支付证书等支付工程款的手续，发包人单位不得审批和支付工程款。承包人必须把工程款分帐出来的农民工工资转入工人工资账户，转入账户环节必须有银行流水凭证。</w:t>
      </w:r>
    </w:p>
    <w:p w14:paraId="08843B07">
      <w:pPr>
        <w:spacing w:line="360" w:lineRule="auto"/>
        <w:ind w:firstLine="525" w:firstLineChars="25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hint="eastAsia" w:ascii="宋体" w:hAnsi="宋体"/>
          <w:color w:val="auto"/>
          <w:kern w:val="0"/>
          <w:highlight w:val="none"/>
        </w:rPr>
        <w:t>农民工工资使用要求：专款专用，除发放工人工资外，不得用于其他用途。</w:t>
      </w:r>
    </w:p>
    <w:p w14:paraId="438C35CA">
      <w:pPr>
        <w:autoSpaceDE w:val="0"/>
        <w:autoSpaceDN w:val="0"/>
        <w:adjustRightInd w:val="0"/>
        <w:spacing w:line="360" w:lineRule="auto"/>
        <w:ind w:firstLine="420" w:firstLineChars="200"/>
        <w:jc w:val="left"/>
        <w:rPr>
          <w:rFonts w:ascii="宋体" w:hAnsi="宋体" w:cs="宋体"/>
          <w:color w:val="auto"/>
          <w:kern w:val="0"/>
          <w:highlight w:val="none"/>
        </w:rPr>
      </w:pPr>
      <w:r>
        <w:rPr>
          <w:rFonts w:hint="eastAsia" w:ascii="宋体" w:hAnsi="宋体"/>
          <w:color w:val="auto"/>
          <w:kern w:val="0"/>
          <w:highlight w:val="none"/>
        </w:rPr>
        <w:t>3）承包人将农民工工资</w:t>
      </w:r>
      <w:r>
        <w:rPr>
          <w:rFonts w:hint="eastAsia" w:ascii="宋体" w:hAnsi="宋体" w:cs="宋体"/>
          <w:color w:val="auto"/>
          <w:kern w:val="0"/>
          <w:highlight w:val="none"/>
        </w:rPr>
        <w:t>支付</w:t>
      </w:r>
      <w:r>
        <w:rPr>
          <w:rFonts w:hint="eastAsia" w:ascii="宋体" w:hAnsi="宋体"/>
          <w:color w:val="auto"/>
          <w:kern w:val="0"/>
          <w:highlight w:val="none"/>
        </w:rPr>
        <w:t>情况定期报告发包人和监理单位，并提供相应的材料接受建设行政主管部门和劳动保障行政主管部门对此事项监管。</w:t>
      </w:r>
    </w:p>
    <w:p w14:paraId="7076CF06">
      <w:pPr>
        <w:spacing w:line="360" w:lineRule="auto"/>
        <w:jc w:val="left"/>
        <w:rPr>
          <w:rFonts w:ascii="宋体" w:hAnsi="宋体"/>
          <w:color w:val="auto"/>
          <w:highlight w:val="none"/>
        </w:rPr>
      </w:pPr>
      <w:r>
        <w:rPr>
          <w:rFonts w:ascii="宋体" w:hAnsi="宋体"/>
          <w:color w:val="auto"/>
          <w:highlight w:val="none"/>
        </w:rPr>
        <w:t xml:space="preserve">12.4.6 </w:t>
      </w:r>
      <w:r>
        <w:rPr>
          <w:rFonts w:hint="eastAsia" w:ascii="宋体" w:hAnsi="宋体"/>
          <w:color w:val="auto"/>
          <w:highlight w:val="none"/>
        </w:rPr>
        <w:t>支付分解表的编制</w:t>
      </w:r>
    </w:p>
    <w:p w14:paraId="5DE58488">
      <w:pPr>
        <w:spacing w:line="360" w:lineRule="auto"/>
        <w:ind w:firstLine="525" w:firstLineChars="25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）总价合同支付分解表的编制与审批：</w:t>
      </w:r>
      <w:r>
        <w:rPr>
          <w:rFonts w:hint="eastAsia" w:ascii="宋体" w:hAnsi="宋体"/>
          <w:color w:val="auto"/>
          <w:highlight w:val="none"/>
          <w:u w:val="single"/>
        </w:rPr>
        <w:t>总价合同支付分分解表在招标完成后由发包人和承包人共同编制，发包人审批，并作为本合同内容，具体详见合同附件**。</w:t>
      </w:r>
    </w:p>
    <w:p w14:paraId="0427CF35">
      <w:pPr>
        <w:spacing w:line="360" w:lineRule="auto"/>
        <w:ind w:firstLine="525" w:firstLineChars="250"/>
        <w:jc w:val="left"/>
        <w:rPr>
          <w:rFonts w:ascii="宋体" w:hAnsi="宋体"/>
          <w:color w:val="auto"/>
          <w:highlight w:val="none"/>
          <w:u w:val="singl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）单价合同的总价项目支付分解表的编制与审批：总价项目不采用支付分解表的方式计算，而按《建设工程工程量清单计价规范（</w:t>
      </w:r>
      <w:r>
        <w:rPr>
          <w:rFonts w:ascii="宋体" w:hAnsi="宋体"/>
          <w:color w:val="auto"/>
          <w:highlight w:val="none"/>
        </w:rPr>
        <w:t>GB50500-2013</w:t>
      </w:r>
      <w:r>
        <w:rPr>
          <w:rFonts w:hint="eastAsia" w:ascii="宋体" w:hAnsi="宋体"/>
          <w:color w:val="auto"/>
          <w:highlight w:val="none"/>
        </w:rPr>
        <w:t>）广西壮族自治区实施细则》的规定执行。</w:t>
      </w:r>
    </w:p>
    <w:p w14:paraId="64547305">
      <w:pPr>
        <w:keepNext/>
        <w:keepLines/>
        <w:spacing w:before="60" w:after="60" w:line="413" w:lineRule="auto"/>
        <w:outlineLvl w:val="1"/>
        <w:rPr>
          <w:rFonts w:ascii="宋体" w:hAnsi="宋体"/>
          <w:b/>
          <w:bCs/>
          <w:color w:val="auto"/>
          <w:highlight w:val="none"/>
          <w:lang w:val="zh-CN"/>
        </w:rPr>
      </w:pPr>
      <w:bookmarkStart w:id="915" w:name="_Toc25945"/>
      <w:bookmarkEnd w:id="915"/>
      <w:r>
        <w:rPr>
          <w:rFonts w:ascii="宋体" w:hAnsi="宋体"/>
          <w:b/>
          <w:bCs/>
          <w:color w:val="auto"/>
          <w:highlight w:val="none"/>
          <w:lang w:val="zh-CN"/>
        </w:rPr>
        <w:t xml:space="preserve">13. </w:t>
      </w:r>
      <w:r>
        <w:rPr>
          <w:rFonts w:hint="eastAsia" w:ascii="宋体" w:hAnsi="宋体"/>
          <w:b/>
          <w:bCs/>
          <w:color w:val="auto"/>
          <w:highlight w:val="none"/>
          <w:lang w:val="zh-CN"/>
        </w:rPr>
        <w:t>验收和工程试车</w:t>
      </w:r>
    </w:p>
    <w:p w14:paraId="0789B1EA">
      <w:pPr>
        <w:keepNext/>
        <w:keepLines/>
        <w:spacing w:line="360" w:lineRule="auto"/>
        <w:outlineLvl w:val="2"/>
        <w:rPr>
          <w:rFonts w:ascii="宋体" w:hAnsi="宋体"/>
          <w:b/>
          <w:bCs/>
          <w:color w:val="auto"/>
          <w:highlight w:val="none"/>
          <w:lang w:val="zh-CN"/>
        </w:rPr>
      </w:pPr>
      <w:bookmarkStart w:id="916" w:name="_Toc373478401"/>
      <w:bookmarkEnd w:id="916"/>
      <w:bookmarkStart w:id="917" w:name="_Toc373227754"/>
      <w:bookmarkEnd w:id="917"/>
      <w:bookmarkStart w:id="918" w:name="_Toc389065319"/>
      <w:bookmarkEnd w:id="918"/>
      <w:bookmarkStart w:id="919" w:name="_Toc407135257"/>
      <w:bookmarkEnd w:id="919"/>
      <w:bookmarkStart w:id="920" w:name="_Toc24659"/>
      <w:bookmarkEnd w:id="920"/>
      <w:r>
        <w:rPr>
          <w:rFonts w:ascii="宋体" w:hAnsi="宋体"/>
          <w:b/>
          <w:bCs/>
          <w:color w:val="auto"/>
          <w:highlight w:val="none"/>
          <w:lang w:val="zh-CN"/>
        </w:rPr>
        <w:t xml:space="preserve">13.1 </w:t>
      </w:r>
      <w:r>
        <w:rPr>
          <w:rFonts w:hint="eastAsia" w:ascii="宋体" w:hAnsi="宋体"/>
          <w:b/>
          <w:bCs/>
          <w:color w:val="auto"/>
          <w:highlight w:val="none"/>
          <w:lang w:val="zh-CN"/>
        </w:rPr>
        <w:t>分部分项工程验收</w:t>
      </w:r>
    </w:p>
    <w:p w14:paraId="39B053C4">
      <w:pPr>
        <w:spacing w:line="360" w:lineRule="auto"/>
        <w:ind w:firstLine="420" w:firstLineChars="200"/>
        <w:jc w:val="left"/>
        <w:rPr>
          <w:rFonts w:ascii="宋体" w:hAnsi="宋体"/>
          <w:color w:val="auto"/>
          <w:highlight w:val="none"/>
        </w:rPr>
      </w:pPr>
      <w:r>
        <w:rPr>
          <w:rFonts w:ascii="宋体" w:hAnsi="宋体"/>
          <w:color w:val="auto"/>
          <w:highlight w:val="none"/>
        </w:rPr>
        <w:t>13.1.2</w:t>
      </w:r>
      <w:r>
        <w:rPr>
          <w:rFonts w:hint="eastAsia" w:ascii="宋体" w:hAnsi="宋体"/>
          <w:color w:val="auto"/>
          <w:highlight w:val="none"/>
        </w:rPr>
        <w:t>监理人不能按时进行验收时，应提前</w:t>
      </w:r>
      <w:r>
        <w:rPr>
          <w:rFonts w:ascii="宋体" w:hAnsi="宋体"/>
          <w:color w:val="auto"/>
          <w:highlight w:val="none"/>
          <w:u w:val="single"/>
        </w:rPr>
        <w:t xml:space="preserve">   24    </w:t>
      </w:r>
      <w:r>
        <w:rPr>
          <w:rFonts w:hint="eastAsia" w:ascii="宋体" w:hAnsi="宋体"/>
          <w:color w:val="auto"/>
          <w:highlight w:val="none"/>
        </w:rPr>
        <w:t>小时提交书面延期要求。</w:t>
      </w:r>
    </w:p>
    <w:p w14:paraId="7FD534B5">
      <w:pPr>
        <w:spacing w:line="360" w:lineRule="auto"/>
        <w:ind w:firstLine="420" w:firstLineChars="200"/>
        <w:jc w:val="left"/>
        <w:rPr>
          <w:rFonts w:ascii="宋体" w:hAnsi="宋体"/>
          <w:b/>
          <w:bCs/>
          <w:color w:val="auto"/>
          <w:highlight w:val="none"/>
        </w:rPr>
      </w:pPr>
      <w:r>
        <w:rPr>
          <w:rFonts w:hint="eastAsia" w:ascii="宋体" w:hAnsi="宋体"/>
          <w:color w:val="auto"/>
          <w:highlight w:val="none"/>
        </w:rPr>
        <w:t>关于延期最长不得超过：</w:t>
      </w:r>
      <w:r>
        <w:rPr>
          <w:rFonts w:ascii="宋体" w:hAnsi="宋体"/>
          <w:color w:val="auto"/>
          <w:highlight w:val="none"/>
          <w:u w:val="single"/>
        </w:rPr>
        <w:t xml:space="preserve">   48      </w:t>
      </w:r>
      <w:r>
        <w:rPr>
          <w:rFonts w:hint="eastAsia" w:ascii="宋体" w:hAnsi="宋体"/>
          <w:color w:val="auto"/>
          <w:highlight w:val="none"/>
        </w:rPr>
        <w:t>小时。</w:t>
      </w:r>
    </w:p>
    <w:p w14:paraId="2455F2CD">
      <w:pPr>
        <w:keepNext/>
        <w:keepLines/>
        <w:spacing w:line="360" w:lineRule="auto"/>
        <w:outlineLvl w:val="2"/>
        <w:rPr>
          <w:rFonts w:ascii="宋体" w:hAnsi="宋体"/>
          <w:b/>
          <w:bCs/>
          <w:color w:val="auto"/>
          <w:highlight w:val="none"/>
          <w:lang w:val="zh-CN"/>
        </w:rPr>
      </w:pPr>
      <w:bookmarkStart w:id="921" w:name="_Toc303539173"/>
      <w:bookmarkEnd w:id="921"/>
      <w:bookmarkStart w:id="922" w:name="_Toc296346724"/>
      <w:bookmarkEnd w:id="922"/>
      <w:bookmarkStart w:id="923" w:name="_Toc296347222"/>
      <w:bookmarkEnd w:id="923"/>
      <w:bookmarkStart w:id="924" w:name="_Toc267251473"/>
      <w:bookmarkEnd w:id="924"/>
      <w:bookmarkStart w:id="925" w:name="_Toc373478402"/>
      <w:bookmarkEnd w:id="925"/>
      <w:bookmarkStart w:id="926" w:name="_Toc296891263"/>
      <w:bookmarkEnd w:id="926"/>
      <w:bookmarkStart w:id="927" w:name="_Toc297120523"/>
      <w:bookmarkEnd w:id="927"/>
      <w:bookmarkStart w:id="928" w:name="_Toc407135258"/>
      <w:bookmarkEnd w:id="928"/>
      <w:bookmarkStart w:id="929" w:name="_Toc304295596"/>
      <w:bookmarkEnd w:id="929"/>
      <w:bookmarkStart w:id="930" w:name="_Toc292559428"/>
      <w:bookmarkEnd w:id="930"/>
      <w:bookmarkStart w:id="931" w:name="_Toc28246"/>
      <w:bookmarkEnd w:id="931"/>
      <w:bookmarkStart w:id="932" w:name="_Toc296944562"/>
      <w:bookmarkEnd w:id="932"/>
      <w:bookmarkStart w:id="933" w:name="_Toc389065320"/>
      <w:bookmarkEnd w:id="933"/>
      <w:bookmarkStart w:id="934" w:name="_Toc292559933"/>
      <w:bookmarkEnd w:id="934"/>
      <w:bookmarkStart w:id="935" w:name="_Toc267251474"/>
      <w:bookmarkEnd w:id="935"/>
      <w:bookmarkStart w:id="936" w:name="_Toc300935016"/>
      <w:bookmarkEnd w:id="936"/>
      <w:bookmarkStart w:id="937" w:name="_Toc297123565"/>
      <w:bookmarkEnd w:id="937"/>
      <w:bookmarkStart w:id="938" w:name="_Toc267251471"/>
      <w:bookmarkEnd w:id="938"/>
      <w:bookmarkStart w:id="939" w:name="_Toc297048409"/>
      <w:bookmarkEnd w:id="939"/>
      <w:bookmarkStart w:id="940" w:name="_Toc267251470"/>
      <w:bookmarkEnd w:id="940"/>
      <w:bookmarkStart w:id="941" w:name="_Toc297216224"/>
      <w:bookmarkEnd w:id="941"/>
      <w:bookmarkStart w:id="942" w:name="_Toc312678056"/>
      <w:bookmarkEnd w:id="942"/>
      <w:bookmarkStart w:id="943" w:name="_Toc267251475"/>
      <w:bookmarkEnd w:id="943"/>
      <w:bookmarkStart w:id="944" w:name="_Toc296891051"/>
      <w:bookmarkEnd w:id="944"/>
      <w:bookmarkStart w:id="945" w:name="_Toc296503223"/>
      <w:bookmarkEnd w:id="945"/>
      <w:bookmarkStart w:id="946" w:name="_Toc373227755"/>
      <w:bookmarkEnd w:id="946"/>
      <w:bookmarkStart w:id="947" w:name="_Toc267251472"/>
      <w:bookmarkEnd w:id="947"/>
      <w:bookmarkStart w:id="948" w:name="_Toc267251476"/>
      <w:r>
        <w:rPr>
          <w:rFonts w:ascii="宋体" w:hAnsi="宋体"/>
          <w:b/>
          <w:bCs/>
          <w:color w:val="auto"/>
          <w:highlight w:val="none"/>
          <w:lang w:val="zh-CN"/>
        </w:rPr>
        <w:t xml:space="preserve">13.2 </w:t>
      </w:r>
      <w:bookmarkEnd w:id="948"/>
      <w:r>
        <w:rPr>
          <w:rFonts w:hint="eastAsia" w:ascii="宋体" w:hAnsi="宋体"/>
          <w:b/>
          <w:bCs/>
          <w:color w:val="auto"/>
          <w:highlight w:val="none"/>
          <w:lang w:val="zh-CN"/>
        </w:rPr>
        <w:t>竣工验收</w:t>
      </w:r>
    </w:p>
    <w:p w14:paraId="139F7302">
      <w:pPr>
        <w:spacing w:line="360" w:lineRule="auto"/>
        <w:ind w:firstLine="420" w:firstLineChars="200"/>
        <w:jc w:val="left"/>
        <w:rPr>
          <w:rFonts w:ascii="宋体" w:hAnsi="宋体"/>
          <w:color w:val="auto"/>
          <w:highlight w:val="none"/>
        </w:rPr>
      </w:pPr>
      <w:bookmarkStart w:id="949" w:name="_Toc280868706"/>
      <w:bookmarkEnd w:id="949"/>
      <w:bookmarkStart w:id="950" w:name="_Toc280868704"/>
      <w:bookmarkEnd w:id="950"/>
      <w:bookmarkStart w:id="951" w:name="_Toc280868707"/>
      <w:bookmarkEnd w:id="951"/>
      <w:bookmarkStart w:id="952" w:name="_Toc280868705"/>
      <w:bookmarkEnd w:id="952"/>
      <w:bookmarkStart w:id="953" w:name="_Toc280868709"/>
      <w:bookmarkEnd w:id="953"/>
      <w:bookmarkStart w:id="954" w:name="_Toc280868708"/>
      <w:bookmarkEnd w:id="954"/>
      <w:r>
        <w:rPr>
          <w:rFonts w:ascii="宋体" w:hAnsi="宋体"/>
          <w:color w:val="auto"/>
          <w:highlight w:val="none"/>
        </w:rPr>
        <w:t>13.2.1</w:t>
      </w:r>
      <w:r>
        <w:rPr>
          <w:rFonts w:hint="eastAsia" w:ascii="宋体" w:hAnsi="宋体"/>
          <w:color w:val="auto"/>
          <w:highlight w:val="none"/>
        </w:rPr>
        <w:t>竣工验收条件</w:t>
      </w:r>
    </w:p>
    <w:p w14:paraId="7AF1CC17">
      <w:pPr>
        <w:spacing w:line="360" w:lineRule="auto"/>
        <w:ind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3</w:t>
      </w:r>
      <w:r>
        <w:rPr>
          <w:rFonts w:hint="eastAsia" w:ascii="宋体" w:hAnsi="宋体"/>
          <w:color w:val="auto"/>
          <w:highlight w:val="none"/>
        </w:rPr>
        <w:t>）承包人负责整理和提交的竣工验收资料应当符合工程所在地建设行政主管部门、</w:t>
      </w:r>
      <w:r>
        <w:rPr>
          <w:rFonts w:ascii="宋体" w:hAnsi="宋体"/>
          <w:color w:val="auto"/>
          <w:highlight w:val="none"/>
        </w:rPr>
        <w:t xml:space="preserve"> (</w:t>
      </w:r>
      <w:r>
        <w:rPr>
          <w:rFonts w:hint="eastAsia" w:ascii="宋体" w:hAnsi="宋体"/>
          <w:color w:val="auto"/>
          <w:highlight w:val="none"/>
        </w:rPr>
        <w:t>或</w:t>
      </w:r>
      <w:r>
        <w:rPr>
          <w:rFonts w:ascii="宋体" w:hAnsi="宋体"/>
          <w:color w:val="auto"/>
          <w:highlight w:val="none"/>
        </w:rPr>
        <w:t>)</w:t>
      </w:r>
      <w:r>
        <w:rPr>
          <w:rFonts w:hint="eastAsia" w:ascii="宋体" w:hAnsi="宋体"/>
          <w:color w:val="auto"/>
          <w:highlight w:val="none"/>
        </w:rPr>
        <w:t>城市建设档案管理机构和发包人上级相关部门有关施工资料的要求，具体内容包括：</w:t>
      </w:r>
      <w:r>
        <w:rPr>
          <w:rFonts w:hint="eastAsia" w:ascii="宋体" w:hAnsi="宋体"/>
          <w:color w:val="auto"/>
          <w:highlight w:val="none"/>
          <w:u w:val="single"/>
        </w:rPr>
        <w:t>按通用条款第</w:t>
      </w:r>
      <w:r>
        <w:rPr>
          <w:rFonts w:ascii="宋体" w:hAnsi="宋体"/>
          <w:color w:val="auto"/>
          <w:highlight w:val="none"/>
          <w:u w:val="single"/>
        </w:rPr>
        <w:t>13.2.1</w:t>
      </w:r>
      <w:r>
        <w:rPr>
          <w:rFonts w:hint="eastAsia" w:ascii="宋体" w:hAnsi="宋体"/>
          <w:color w:val="auto"/>
          <w:highlight w:val="none"/>
          <w:u w:val="single"/>
        </w:rPr>
        <w:t>款执行并满足发包人要求</w:t>
      </w:r>
      <w:r>
        <w:rPr>
          <w:rFonts w:hint="eastAsia" w:ascii="宋体" w:hAnsi="宋体"/>
          <w:color w:val="auto"/>
          <w:highlight w:val="none"/>
        </w:rPr>
        <w:t>。</w:t>
      </w:r>
    </w:p>
    <w:p w14:paraId="332D5697">
      <w:pPr>
        <w:spacing w:line="360" w:lineRule="auto"/>
        <w:ind w:firstLine="420" w:firstLineChars="200"/>
        <w:rPr>
          <w:rFonts w:ascii="宋体" w:hAnsi="宋体"/>
          <w:color w:val="auto"/>
          <w:highlight w:val="none"/>
        </w:rPr>
      </w:pPr>
      <w:r>
        <w:rPr>
          <w:rFonts w:hint="eastAsia" w:ascii="宋体" w:hAnsi="宋体"/>
          <w:color w:val="auto"/>
          <w:highlight w:val="none"/>
        </w:rPr>
        <w:t>竣工验收资料的份数：</w:t>
      </w:r>
      <w:r>
        <w:rPr>
          <w:rFonts w:hint="eastAsia" w:ascii="宋体" w:hAnsi="宋体" w:cs="宋体"/>
          <w:color w:val="auto"/>
          <w:kern w:val="0"/>
          <w:szCs w:val="20"/>
          <w:highlight w:val="none"/>
          <w:u w:val="single"/>
        </w:rPr>
        <w:t>一式叁份全套竣工资料（含竣工图）</w:t>
      </w:r>
      <w:r>
        <w:rPr>
          <w:rFonts w:hint="eastAsia" w:ascii="宋体" w:hAnsi="宋体"/>
          <w:color w:val="auto"/>
          <w:highlight w:val="none"/>
        </w:rPr>
        <w:t>。</w:t>
      </w:r>
    </w:p>
    <w:p w14:paraId="7C603935">
      <w:pPr>
        <w:spacing w:line="360" w:lineRule="auto"/>
        <w:ind w:firstLine="420" w:firstLineChars="200"/>
        <w:jc w:val="left"/>
        <w:rPr>
          <w:rFonts w:ascii="宋体" w:hAnsi="宋体"/>
          <w:color w:val="auto"/>
          <w:highlight w:val="none"/>
        </w:rPr>
      </w:pPr>
      <w:r>
        <w:rPr>
          <w:rFonts w:hint="eastAsia" w:ascii="宋体" w:hAnsi="宋体"/>
          <w:color w:val="auto"/>
          <w:highlight w:val="none"/>
        </w:rPr>
        <w:t>承包人提供竣工图的约定：</w:t>
      </w:r>
      <w:r>
        <w:rPr>
          <w:rFonts w:hint="eastAsia" w:ascii="宋体" w:hAnsi="宋体"/>
          <w:color w:val="auto"/>
          <w:highlight w:val="none"/>
          <w:u w:val="single"/>
        </w:rPr>
        <w:t>竣工验收正式通过后</w:t>
      </w:r>
      <w:r>
        <w:rPr>
          <w:rFonts w:ascii="宋体" w:hAnsi="宋体"/>
          <w:color w:val="auto"/>
          <w:highlight w:val="none"/>
          <w:u w:val="single"/>
        </w:rPr>
        <w:t>5</w:t>
      </w:r>
      <w:r>
        <w:rPr>
          <w:rFonts w:hint="eastAsia" w:ascii="宋体" w:hAnsi="宋体"/>
          <w:color w:val="auto"/>
          <w:highlight w:val="none"/>
          <w:u w:val="single"/>
        </w:rPr>
        <w:t>天（工程造价在</w:t>
      </w:r>
      <w:r>
        <w:rPr>
          <w:rFonts w:ascii="宋体" w:hAnsi="宋体"/>
          <w:color w:val="auto"/>
          <w:highlight w:val="none"/>
          <w:u w:val="single"/>
        </w:rPr>
        <w:t>500</w:t>
      </w:r>
      <w:r>
        <w:rPr>
          <w:rFonts w:hint="eastAsia" w:ascii="宋体" w:hAnsi="宋体"/>
          <w:color w:val="auto"/>
          <w:highlight w:val="none"/>
          <w:u w:val="single"/>
        </w:rPr>
        <w:t>万元以下含</w:t>
      </w:r>
      <w:r>
        <w:rPr>
          <w:rFonts w:ascii="宋体" w:hAnsi="宋体"/>
          <w:color w:val="auto"/>
          <w:highlight w:val="none"/>
          <w:u w:val="single"/>
        </w:rPr>
        <w:t>500</w:t>
      </w:r>
      <w:r>
        <w:rPr>
          <w:rFonts w:hint="eastAsia" w:ascii="宋体" w:hAnsi="宋体"/>
          <w:color w:val="auto"/>
          <w:highlight w:val="none"/>
          <w:u w:val="single"/>
        </w:rPr>
        <w:t>万元）、</w:t>
      </w:r>
      <w:r>
        <w:rPr>
          <w:rFonts w:ascii="宋体" w:hAnsi="宋体"/>
          <w:color w:val="auto"/>
          <w:highlight w:val="none"/>
          <w:u w:val="single"/>
        </w:rPr>
        <w:t>10</w:t>
      </w:r>
      <w:r>
        <w:rPr>
          <w:rFonts w:hint="eastAsia" w:ascii="宋体" w:hAnsi="宋体"/>
          <w:color w:val="auto"/>
          <w:highlight w:val="none"/>
          <w:u w:val="single"/>
        </w:rPr>
        <w:t>天（工程造价在</w:t>
      </w:r>
      <w:r>
        <w:rPr>
          <w:rFonts w:ascii="宋体" w:hAnsi="宋体"/>
          <w:color w:val="auto"/>
          <w:highlight w:val="none"/>
          <w:u w:val="single"/>
        </w:rPr>
        <w:t>500</w:t>
      </w:r>
      <w:r>
        <w:rPr>
          <w:rFonts w:hint="eastAsia" w:ascii="宋体" w:hAnsi="宋体"/>
          <w:color w:val="auto"/>
          <w:highlight w:val="none"/>
          <w:u w:val="single"/>
        </w:rPr>
        <w:t>万元至</w:t>
      </w:r>
      <w:r>
        <w:rPr>
          <w:rFonts w:ascii="宋体" w:hAnsi="宋体"/>
          <w:color w:val="auto"/>
          <w:highlight w:val="none"/>
          <w:u w:val="single"/>
        </w:rPr>
        <w:t>1000</w:t>
      </w:r>
      <w:r>
        <w:rPr>
          <w:rFonts w:hint="eastAsia" w:ascii="宋体" w:hAnsi="宋体"/>
          <w:color w:val="auto"/>
          <w:highlight w:val="none"/>
          <w:u w:val="single"/>
        </w:rPr>
        <w:t>万元之间含</w:t>
      </w:r>
      <w:r>
        <w:rPr>
          <w:rFonts w:ascii="宋体" w:hAnsi="宋体"/>
          <w:color w:val="auto"/>
          <w:highlight w:val="none"/>
          <w:u w:val="single"/>
        </w:rPr>
        <w:t>1000</w:t>
      </w:r>
      <w:r>
        <w:rPr>
          <w:rFonts w:hint="eastAsia" w:ascii="宋体" w:hAnsi="宋体"/>
          <w:color w:val="auto"/>
          <w:highlight w:val="none"/>
          <w:u w:val="single"/>
        </w:rPr>
        <w:t>万元）、</w:t>
      </w:r>
      <w:r>
        <w:rPr>
          <w:rFonts w:ascii="宋体" w:hAnsi="宋体"/>
          <w:color w:val="auto"/>
          <w:highlight w:val="none"/>
          <w:u w:val="single"/>
        </w:rPr>
        <w:t>15</w:t>
      </w:r>
      <w:r>
        <w:rPr>
          <w:rFonts w:hint="eastAsia" w:ascii="宋体" w:hAnsi="宋体"/>
          <w:color w:val="auto"/>
          <w:highlight w:val="none"/>
          <w:u w:val="single"/>
        </w:rPr>
        <w:t>天（工程造价在</w:t>
      </w:r>
      <w:r>
        <w:rPr>
          <w:rFonts w:ascii="宋体" w:hAnsi="宋体"/>
          <w:color w:val="auto"/>
          <w:highlight w:val="none"/>
          <w:u w:val="single"/>
        </w:rPr>
        <w:t>1000</w:t>
      </w:r>
      <w:r>
        <w:rPr>
          <w:rFonts w:hint="eastAsia" w:ascii="宋体" w:hAnsi="宋体"/>
          <w:color w:val="auto"/>
          <w:highlight w:val="none"/>
          <w:u w:val="single"/>
        </w:rPr>
        <w:t>万元以上），</w:t>
      </w:r>
      <w:r>
        <w:rPr>
          <w:rFonts w:hint="eastAsia" w:ascii="宋体" w:hAnsi="宋体" w:cs="宋体"/>
          <w:color w:val="auto"/>
          <w:spacing w:val="11"/>
          <w:highlight w:val="none"/>
          <w:u w:val="single"/>
        </w:rPr>
        <w:t>提供竣工图的数量分别为2套、4套、6套</w:t>
      </w:r>
      <w:r>
        <w:rPr>
          <w:rFonts w:hint="eastAsia" w:ascii="宋体" w:hAnsi="宋体"/>
          <w:color w:val="auto"/>
          <w:highlight w:val="none"/>
          <w:u w:val="single"/>
        </w:rPr>
        <w:t>。</w:t>
      </w:r>
    </w:p>
    <w:p w14:paraId="0CBA3BF1">
      <w:pPr>
        <w:spacing w:line="360" w:lineRule="auto"/>
        <w:ind w:firstLine="420" w:firstLineChars="200"/>
        <w:jc w:val="left"/>
        <w:rPr>
          <w:rFonts w:ascii="宋体" w:hAnsi="宋体"/>
          <w:color w:val="auto"/>
          <w:highlight w:val="none"/>
        </w:rPr>
      </w:pPr>
      <w:r>
        <w:rPr>
          <w:rFonts w:ascii="宋体" w:hAnsi="宋体"/>
          <w:color w:val="auto"/>
          <w:highlight w:val="none"/>
        </w:rPr>
        <w:t>13.2.2</w:t>
      </w:r>
      <w:r>
        <w:rPr>
          <w:rFonts w:hint="eastAsia" w:ascii="宋体" w:hAnsi="宋体"/>
          <w:color w:val="auto"/>
          <w:highlight w:val="none"/>
        </w:rPr>
        <w:t>竣工验收程序</w:t>
      </w:r>
    </w:p>
    <w:p w14:paraId="57FBA5B4">
      <w:pPr>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关于竣工验收程序的约定：</w:t>
      </w:r>
      <w:r>
        <w:rPr>
          <w:rFonts w:hint="eastAsia" w:ascii="宋体" w:hAnsi="宋体"/>
          <w:color w:val="auto"/>
          <w:highlight w:val="none"/>
          <w:u w:val="single"/>
        </w:rPr>
        <w:t>按工程所在地建设行政主管部门、城市建设档案管理机构</w:t>
      </w:r>
      <w:r>
        <w:rPr>
          <w:rFonts w:hint="eastAsia" w:ascii="宋体" w:hAnsi="宋体"/>
          <w:color w:val="auto"/>
          <w:highlight w:val="none"/>
        </w:rPr>
        <w:t>和</w:t>
      </w:r>
      <w:r>
        <w:rPr>
          <w:rFonts w:hint="eastAsia" w:ascii="宋体" w:hAnsi="宋体"/>
          <w:color w:val="auto"/>
          <w:highlight w:val="none"/>
          <w:u w:val="single"/>
        </w:rPr>
        <w:t>发包人上级相关部门有关验收程序的要求进行</w:t>
      </w:r>
      <w:r>
        <w:rPr>
          <w:rFonts w:hint="eastAsia" w:ascii="宋体" w:hAnsi="宋体"/>
          <w:color w:val="auto"/>
          <w:highlight w:val="none"/>
        </w:rPr>
        <w:t>。</w:t>
      </w:r>
    </w:p>
    <w:p w14:paraId="0BE64928">
      <w:pPr>
        <w:spacing w:line="360" w:lineRule="auto"/>
        <w:ind w:firstLine="420" w:firstLineChars="200"/>
        <w:jc w:val="left"/>
        <w:rPr>
          <w:rFonts w:ascii="宋体" w:hAnsi="宋体"/>
          <w:color w:val="auto"/>
          <w:highlight w:val="none"/>
        </w:rPr>
      </w:pPr>
      <w:r>
        <w:rPr>
          <w:rFonts w:hint="eastAsia" w:ascii="宋体" w:hAnsi="宋体"/>
          <w:color w:val="auto"/>
          <w:kern w:val="0"/>
          <w:highlight w:val="none"/>
        </w:rPr>
        <w:t>发包人不按照本项约定组织竣工验收、颁发工程接收证书的违约金的计算方法：</w:t>
      </w:r>
      <w:r>
        <w:rPr>
          <w:rFonts w:hint="eastAsia" w:ascii="宋体" w:hAnsi="宋体"/>
          <w:color w:val="auto"/>
          <w:highlight w:val="none"/>
          <w:u w:val="single"/>
        </w:rPr>
        <w:t>按工程所在地建设行政主管部门和城市建设档案管理机构有关验收程序的要求进行</w:t>
      </w:r>
      <w:r>
        <w:rPr>
          <w:rFonts w:hint="eastAsia" w:ascii="宋体" w:hAnsi="宋体"/>
          <w:color w:val="auto"/>
          <w:highlight w:val="none"/>
        </w:rPr>
        <w:t>。</w:t>
      </w:r>
    </w:p>
    <w:p w14:paraId="08177110">
      <w:pPr>
        <w:spacing w:line="360" w:lineRule="auto"/>
        <w:ind w:firstLine="420" w:firstLineChars="200"/>
        <w:jc w:val="left"/>
        <w:rPr>
          <w:rFonts w:ascii="宋体" w:hAnsi="宋体"/>
          <w:color w:val="auto"/>
          <w:highlight w:val="none"/>
        </w:rPr>
      </w:pPr>
      <w:r>
        <w:rPr>
          <w:rFonts w:ascii="宋体" w:hAnsi="宋体"/>
          <w:color w:val="auto"/>
          <w:highlight w:val="none"/>
        </w:rPr>
        <w:t>13.2.5</w:t>
      </w:r>
      <w:r>
        <w:rPr>
          <w:rFonts w:hint="eastAsia" w:ascii="宋体" w:hAnsi="宋体"/>
          <w:color w:val="auto"/>
          <w:highlight w:val="none"/>
        </w:rPr>
        <w:t>移交、接收全部与部分工程</w:t>
      </w:r>
    </w:p>
    <w:p w14:paraId="2EBE0062">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承包人向发包人移交工程的期限：</w:t>
      </w:r>
      <w:r>
        <w:rPr>
          <w:rFonts w:hint="eastAsia" w:ascii="宋体" w:hAnsi="宋体"/>
          <w:bCs/>
          <w:color w:val="auto"/>
          <w:highlight w:val="none"/>
          <w:u w:val="single"/>
        </w:rPr>
        <w:t>颁发工程接收证书后</w:t>
      </w:r>
      <w:r>
        <w:rPr>
          <w:rFonts w:ascii="宋体" w:hAnsi="宋体"/>
          <w:bCs/>
          <w:color w:val="auto"/>
          <w:highlight w:val="none"/>
          <w:u w:val="single"/>
        </w:rPr>
        <w:t>14</w:t>
      </w:r>
      <w:r>
        <w:rPr>
          <w:rFonts w:hint="eastAsia" w:ascii="宋体" w:hAnsi="宋体"/>
          <w:bCs/>
          <w:color w:val="auto"/>
          <w:highlight w:val="none"/>
          <w:u w:val="single"/>
        </w:rPr>
        <w:t>天内完成工程的移交</w:t>
      </w:r>
      <w:r>
        <w:rPr>
          <w:rFonts w:hint="eastAsia" w:ascii="宋体" w:hAnsi="宋体"/>
          <w:color w:val="auto"/>
          <w:highlight w:val="none"/>
        </w:rPr>
        <w:t>。</w:t>
      </w:r>
    </w:p>
    <w:p w14:paraId="2A0B8696">
      <w:pPr>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发包人未按本合同约定接收全部或部分工程的，违约金的计算方法为：</w:t>
      </w:r>
      <w:r>
        <w:rPr>
          <w:rFonts w:hint="eastAsia" w:ascii="宋体" w:hAnsi="宋体"/>
          <w:color w:val="auto"/>
          <w:highlight w:val="none"/>
          <w:u w:val="single"/>
        </w:rPr>
        <w:t>按《通用合同条款》</w:t>
      </w:r>
      <w:r>
        <w:rPr>
          <w:rFonts w:ascii="宋体" w:hAnsi="宋体"/>
          <w:color w:val="auto"/>
          <w:highlight w:val="none"/>
          <w:u w:val="single"/>
        </w:rPr>
        <w:t>13.2.5</w:t>
      </w:r>
      <w:r>
        <w:rPr>
          <w:rFonts w:hint="eastAsia" w:ascii="宋体" w:hAnsi="宋体"/>
          <w:color w:val="auto"/>
          <w:highlight w:val="none"/>
          <w:u w:val="single"/>
        </w:rPr>
        <w:t>条执行</w:t>
      </w:r>
      <w:r>
        <w:rPr>
          <w:rFonts w:hint="eastAsia" w:ascii="宋体" w:hAnsi="宋体"/>
          <w:color w:val="auto"/>
          <w:highlight w:val="none"/>
        </w:rPr>
        <w:t>。</w:t>
      </w:r>
    </w:p>
    <w:p w14:paraId="75F65E0A">
      <w:pPr>
        <w:spacing w:line="360" w:lineRule="auto"/>
        <w:ind w:firstLine="420" w:firstLineChars="200"/>
        <w:jc w:val="left"/>
        <w:rPr>
          <w:rFonts w:ascii="宋体" w:hAnsi="宋体" w:cs="宋体"/>
          <w:color w:val="auto"/>
          <w:highlight w:val="none"/>
          <w:u w:val="single"/>
        </w:rPr>
      </w:pPr>
      <w:r>
        <w:rPr>
          <w:rFonts w:hint="eastAsia" w:ascii="宋体" w:hAnsi="宋体"/>
          <w:color w:val="auto"/>
          <w:highlight w:val="none"/>
        </w:rPr>
        <w:t>承包人未按时移交工程的，违约金的计算方法为：</w:t>
      </w:r>
      <w:r>
        <w:rPr>
          <w:rFonts w:hint="eastAsia" w:ascii="宋体" w:hAnsi="宋体"/>
          <w:color w:val="auto"/>
          <w:highlight w:val="none"/>
          <w:u w:val="single"/>
        </w:rPr>
        <w:t>因承包人原因未按时移交工程的，承包人应采取措施确保相关工程的正常使用，承包人应承担工程照管、成品保护、保管等与工程有关的各项费用，且每延误一天，扣除3</w:t>
      </w:r>
      <w:r>
        <w:rPr>
          <w:rFonts w:ascii="宋体" w:hAnsi="宋体"/>
          <w:color w:val="auto"/>
          <w:highlight w:val="none"/>
          <w:u w:val="single"/>
        </w:rPr>
        <w:t>0</w:t>
      </w:r>
      <w:r>
        <w:rPr>
          <w:rFonts w:hint="eastAsia" w:ascii="宋体" w:hAnsi="宋体"/>
          <w:color w:val="auto"/>
          <w:highlight w:val="none"/>
          <w:u w:val="single"/>
        </w:rPr>
        <w:t>0元</w:t>
      </w:r>
      <w:r>
        <w:rPr>
          <w:rFonts w:ascii="宋体" w:hAnsi="宋体"/>
          <w:color w:val="auto"/>
          <w:highlight w:val="none"/>
          <w:u w:val="single"/>
        </w:rPr>
        <w:t>/</w:t>
      </w:r>
      <w:r>
        <w:rPr>
          <w:rFonts w:hint="eastAsia" w:ascii="宋体" w:hAnsi="宋体"/>
          <w:color w:val="auto"/>
          <w:highlight w:val="none"/>
          <w:u w:val="single"/>
        </w:rPr>
        <w:t>天，</w:t>
      </w:r>
      <w:r>
        <w:rPr>
          <w:rFonts w:hint="eastAsia" w:ascii="宋体" w:hAnsi="宋体" w:cs="宋体"/>
          <w:color w:val="auto"/>
          <w:highlight w:val="none"/>
          <w:u w:val="single"/>
        </w:rPr>
        <w:t>但违约金最高限额不超过合同价的1%。</w:t>
      </w:r>
    </w:p>
    <w:p w14:paraId="144F15F1">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w:t>
      </w:r>
    </w:p>
    <w:p w14:paraId="3AF29BF4">
      <w:pPr>
        <w:keepNext/>
        <w:keepLines/>
        <w:spacing w:line="360" w:lineRule="auto"/>
        <w:outlineLvl w:val="2"/>
        <w:rPr>
          <w:rFonts w:ascii="宋体" w:hAnsi="宋体"/>
          <w:b/>
          <w:bCs/>
          <w:color w:val="auto"/>
          <w:highlight w:val="none"/>
          <w:lang w:val="zh-CN"/>
        </w:rPr>
      </w:pPr>
      <w:bookmarkStart w:id="955" w:name="_Toc11306"/>
      <w:bookmarkEnd w:id="955"/>
      <w:bookmarkStart w:id="956" w:name="_Toc373227756"/>
      <w:bookmarkEnd w:id="956"/>
      <w:bookmarkStart w:id="957" w:name="_Toc407135259"/>
      <w:bookmarkEnd w:id="957"/>
      <w:bookmarkStart w:id="958" w:name="_Toc373478403"/>
      <w:bookmarkEnd w:id="958"/>
      <w:bookmarkStart w:id="959" w:name="_Toc389065321"/>
      <w:r>
        <w:rPr>
          <w:rFonts w:ascii="宋体" w:hAnsi="宋体"/>
          <w:b/>
          <w:bCs/>
          <w:color w:val="auto"/>
          <w:highlight w:val="none"/>
          <w:lang w:val="zh-CN"/>
        </w:rPr>
        <w:t xml:space="preserve">13.3 </w:t>
      </w:r>
      <w:bookmarkEnd w:id="959"/>
      <w:r>
        <w:rPr>
          <w:rFonts w:hint="eastAsia" w:ascii="宋体" w:hAnsi="宋体"/>
          <w:b/>
          <w:bCs/>
          <w:color w:val="auto"/>
          <w:highlight w:val="none"/>
          <w:lang w:val="zh-CN"/>
        </w:rPr>
        <w:t>工程试车</w:t>
      </w:r>
    </w:p>
    <w:p w14:paraId="3D9309D8">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13.3.1 </w:t>
      </w:r>
      <w:r>
        <w:rPr>
          <w:rFonts w:hint="eastAsia" w:ascii="宋体" w:hAnsi="宋体"/>
          <w:color w:val="auto"/>
          <w:kern w:val="0"/>
          <w:highlight w:val="none"/>
        </w:rPr>
        <w:t>试车程序</w:t>
      </w:r>
    </w:p>
    <w:p w14:paraId="05E7E875">
      <w:pPr>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工程试车内容：</w:t>
      </w:r>
      <w:r>
        <w:rPr>
          <w:rFonts w:hint="eastAsia" w:ascii="宋体" w:hAnsi="宋体"/>
          <w:color w:val="auto"/>
          <w:highlight w:val="none"/>
          <w:u w:val="single"/>
        </w:rPr>
        <w:t>按设计图纸要求</w:t>
      </w:r>
      <w:r>
        <w:rPr>
          <w:rFonts w:hint="eastAsia" w:ascii="宋体" w:hAnsi="宋体"/>
          <w:color w:val="auto"/>
          <w:highlight w:val="none"/>
        </w:rPr>
        <w:t>。</w:t>
      </w:r>
    </w:p>
    <w:p w14:paraId="1042279E">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）单机无负荷试车费用由</w:t>
      </w:r>
      <w:r>
        <w:rPr>
          <w:rFonts w:hint="eastAsia" w:ascii="宋体" w:hAnsi="宋体"/>
          <w:color w:val="auto"/>
          <w:highlight w:val="none"/>
          <w:u w:val="single"/>
        </w:rPr>
        <w:t>承包人</w:t>
      </w:r>
      <w:r>
        <w:rPr>
          <w:rFonts w:hint="eastAsia" w:ascii="宋体" w:hAnsi="宋体"/>
          <w:color w:val="auto"/>
          <w:kern w:val="0"/>
          <w:highlight w:val="none"/>
        </w:rPr>
        <w:t>承担；</w:t>
      </w:r>
    </w:p>
    <w:p w14:paraId="2D3EA6CB">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）无负荷联动试车费用由</w:t>
      </w:r>
      <w:r>
        <w:rPr>
          <w:rFonts w:hint="eastAsia" w:ascii="宋体" w:hAnsi="宋体"/>
          <w:color w:val="auto"/>
          <w:highlight w:val="none"/>
          <w:u w:val="single"/>
        </w:rPr>
        <w:t>承包人</w:t>
      </w:r>
      <w:r>
        <w:rPr>
          <w:rFonts w:hint="eastAsia" w:ascii="宋体" w:hAnsi="宋体"/>
          <w:color w:val="auto"/>
          <w:kern w:val="0"/>
          <w:highlight w:val="none"/>
        </w:rPr>
        <w:t>承担。</w:t>
      </w:r>
    </w:p>
    <w:p w14:paraId="01515A4C">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13.3.3 </w:t>
      </w:r>
      <w:r>
        <w:rPr>
          <w:rFonts w:hint="eastAsia" w:ascii="宋体" w:hAnsi="宋体"/>
          <w:color w:val="auto"/>
          <w:kern w:val="0"/>
          <w:highlight w:val="none"/>
        </w:rPr>
        <w:t>投料试车</w:t>
      </w:r>
    </w:p>
    <w:p w14:paraId="1401E958">
      <w:pPr>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关于投料试车相关事项的约定：</w:t>
      </w:r>
      <w:r>
        <w:rPr>
          <w:rFonts w:hint="eastAsia" w:ascii="宋体" w:hAnsi="宋体"/>
          <w:color w:val="auto"/>
          <w:highlight w:val="none"/>
          <w:u w:val="single"/>
        </w:rPr>
        <w:t>按设计图纸要求</w:t>
      </w:r>
      <w:r>
        <w:rPr>
          <w:rFonts w:hint="eastAsia" w:ascii="宋体" w:hAnsi="宋体"/>
          <w:color w:val="auto"/>
          <w:highlight w:val="none"/>
        </w:rPr>
        <w:t>。</w:t>
      </w:r>
    </w:p>
    <w:p w14:paraId="101A10E5">
      <w:pPr>
        <w:keepNext/>
        <w:keepLines/>
        <w:spacing w:line="360" w:lineRule="auto"/>
        <w:outlineLvl w:val="2"/>
        <w:rPr>
          <w:rFonts w:ascii="宋体" w:hAnsi="宋体"/>
          <w:b/>
          <w:bCs/>
          <w:color w:val="auto"/>
          <w:highlight w:val="none"/>
          <w:lang w:val="zh-CN"/>
        </w:rPr>
      </w:pPr>
      <w:bookmarkStart w:id="960" w:name="_Toc19721"/>
      <w:bookmarkEnd w:id="960"/>
      <w:bookmarkStart w:id="961" w:name="_Toc407135260"/>
      <w:bookmarkEnd w:id="961"/>
      <w:bookmarkStart w:id="962" w:name="_Toc373227757"/>
      <w:bookmarkEnd w:id="962"/>
      <w:bookmarkStart w:id="963" w:name="_Toc373478404"/>
      <w:bookmarkEnd w:id="963"/>
      <w:bookmarkStart w:id="964" w:name="_Toc389065322"/>
      <w:r>
        <w:rPr>
          <w:rFonts w:ascii="宋体" w:hAnsi="宋体"/>
          <w:b/>
          <w:bCs/>
          <w:color w:val="auto"/>
          <w:highlight w:val="none"/>
          <w:lang w:val="zh-CN"/>
        </w:rPr>
        <w:t xml:space="preserve">13.6 </w:t>
      </w:r>
      <w:bookmarkEnd w:id="964"/>
      <w:r>
        <w:rPr>
          <w:rFonts w:hint="eastAsia" w:ascii="宋体" w:hAnsi="宋体"/>
          <w:b/>
          <w:bCs/>
          <w:color w:val="auto"/>
          <w:highlight w:val="none"/>
          <w:lang w:val="zh-CN"/>
        </w:rPr>
        <w:t>竣工退场</w:t>
      </w:r>
    </w:p>
    <w:p w14:paraId="44DDDE3C">
      <w:pPr>
        <w:spacing w:line="360" w:lineRule="auto"/>
        <w:ind w:firstLine="420" w:firstLineChars="200"/>
        <w:jc w:val="left"/>
        <w:outlineLvl w:val="0"/>
        <w:rPr>
          <w:rFonts w:ascii="宋体" w:hAnsi="宋体"/>
          <w:color w:val="auto"/>
          <w:kern w:val="0"/>
          <w:highlight w:val="none"/>
        </w:rPr>
      </w:pPr>
      <w:bookmarkStart w:id="965" w:name="_Toc2310"/>
      <w:bookmarkStart w:id="966" w:name="_Toc16975"/>
      <w:bookmarkStart w:id="967" w:name="_Toc22155"/>
      <w:bookmarkStart w:id="968" w:name="_Toc915"/>
      <w:bookmarkStart w:id="969" w:name="_Toc23676"/>
      <w:bookmarkStart w:id="970" w:name="_Toc3047"/>
      <w:r>
        <w:rPr>
          <w:rFonts w:ascii="宋体" w:hAnsi="宋体"/>
          <w:color w:val="auto"/>
          <w:kern w:val="0"/>
          <w:highlight w:val="none"/>
        </w:rPr>
        <w:t xml:space="preserve">13.6.1 </w:t>
      </w:r>
      <w:r>
        <w:rPr>
          <w:rFonts w:hint="eastAsia" w:ascii="宋体" w:hAnsi="宋体"/>
          <w:color w:val="auto"/>
          <w:kern w:val="0"/>
          <w:highlight w:val="none"/>
        </w:rPr>
        <w:t>竣工退场</w:t>
      </w:r>
      <w:bookmarkEnd w:id="965"/>
      <w:bookmarkEnd w:id="966"/>
      <w:bookmarkEnd w:id="967"/>
      <w:bookmarkEnd w:id="968"/>
      <w:bookmarkEnd w:id="969"/>
      <w:bookmarkEnd w:id="970"/>
    </w:p>
    <w:p w14:paraId="6CA44F7F">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承包人完成竣工退场的期限：</w:t>
      </w:r>
      <w:r>
        <w:rPr>
          <w:rFonts w:hint="eastAsia" w:ascii="宋体" w:hAnsi="宋体"/>
          <w:color w:val="auto"/>
          <w:highlight w:val="none"/>
          <w:u w:val="single"/>
        </w:rPr>
        <w:t>颁发工程接收证书后</w:t>
      </w:r>
      <w:r>
        <w:rPr>
          <w:rFonts w:ascii="宋体" w:hAnsi="宋体"/>
          <w:color w:val="auto"/>
          <w:highlight w:val="none"/>
          <w:u w:val="single"/>
        </w:rPr>
        <w:t>14</w:t>
      </w:r>
      <w:r>
        <w:rPr>
          <w:rFonts w:hint="eastAsia" w:ascii="宋体" w:hAnsi="宋体"/>
          <w:color w:val="auto"/>
          <w:highlight w:val="none"/>
          <w:u w:val="single"/>
        </w:rPr>
        <w:t>天内完成工程的移交</w:t>
      </w:r>
      <w:r>
        <w:rPr>
          <w:rFonts w:hint="eastAsia" w:ascii="宋体" w:hAnsi="宋体"/>
          <w:color w:val="auto"/>
          <w:kern w:val="0"/>
          <w:highlight w:val="none"/>
        </w:rPr>
        <w:t>。</w:t>
      </w:r>
    </w:p>
    <w:p w14:paraId="5308530D">
      <w:pPr>
        <w:keepNext/>
        <w:keepLines/>
        <w:spacing w:before="60" w:after="60" w:line="413" w:lineRule="auto"/>
        <w:outlineLvl w:val="1"/>
        <w:rPr>
          <w:rFonts w:ascii="宋体" w:hAnsi="宋体"/>
          <w:b/>
          <w:bCs/>
          <w:color w:val="auto"/>
          <w:highlight w:val="none"/>
          <w:lang w:val="zh-CN"/>
        </w:rPr>
      </w:pPr>
      <w:bookmarkStart w:id="971" w:name="_Toc25989"/>
      <w:bookmarkEnd w:id="971"/>
      <w:bookmarkStart w:id="972" w:name="_Toc373478405"/>
      <w:bookmarkEnd w:id="972"/>
      <w:bookmarkStart w:id="973" w:name="_Toc389065323"/>
      <w:bookmarkEnd w:id="973"/>
      <w:bookmarkStart w:id="974" w:name="_Toc351203646"/>
      <w:bookmarkEnd w:id="974"/>
      <w:bookmarkStart w:id="975" w:name="_Toc373227758"/>
      <w:bookmarkEnd w:id="975"/>
      <w:bookmarkStart w:id="976" w:name="_Toc407135261"/>
      <w:r>
        <w:rPr>
          <w:rFonts w:ascii="宋体" w:hAnsi="宋体"/>
          <w:b/>
          <w:bCs/>
          <w:color w:val="auto"/>
          <w:highlight w:val="none"/>
          <w:lang w:val="zh-CN"/>
        </w:rPr>
        <w:t xml:space="preserve">14. </w:t>
      </w:r>
      <w:bookmarkEnd w:id="976"/>
      <w:r>
        <w:rPr>
          <w:rFonts w:hint="eastAsia" w:ascii="宋体" w:hAnsi="宋体"/>
          <w:b/>
          <w:bCs/>
          <w:color w:val="auto"/>
          <w:highlight w:val="none"/>
          <w:lang w:val="zh-CN"/>
        </w:rPr>
        <w:t>竣工结算</w:t>
      </w:r>
    </w:p>
    <w:p w14:paraId="1B720002">
      <w:pPr>
        <w:keepNext/>
        <w:keepLines/>
        <w:spacing w:line="360" w:lineRule="auto"/>
        <w:outlineLvl w:val="2"/>
        <w:rPr>
          <w:rFonts w:ascii="宋体" w:hAnsi="宋体"/>
          <w:b/>
          <w:bCs/>
          <w:color w:val="auto"/>
          <w:highlight w:val="none"/>
          <w:lang w:val="zh-CN"/>
        </w:rPr>
      </w:pPr>
      <w:bookmarkStart w:id="977" w:name="_Toc19510"/>
      <w:bookmarkEnd w:id="977"/>
      <w:bookmarkStart w:id="978" w:name="_Toc407135262"/>
      <w:bookmarkEnd w:id="978"/>
      <w:bookmarkStart w:id="979" w:name="_Toc373227759"/>
      <w:bookmarkEnd w:id="979"/>
      <w:bookmarkStart w:id="980" w:name="_Toc389065324"/>
      <w:bookmarkEnd w:id="980"/>
      <w:bookmarkStart w:id="981" w:name="_Toc373478406"/>
      <w:r>
        <w:rPr>
          <w:rFonts w:ascii="宋体" w:hAnsi="宋体"/>
          <w:b/>
          <w:bCs/>
          <w:color w:val="auto"/>
          <w:highlight w:val="none"/>
          <w:lang w:val="zh-CN"/>
        </w:rPr>
        <w:t xml:space="preserve">14.1 </w:t>
      </w:r>
      <w:bookmarkEnd w:id="981"/>
      <w:r>
        <w:rPr>
          <w:rFonts w:hint="eastAsia" w:ascii="宋体" w:hAnsi="宋体"/>
          <w:b/>
          <w:bCs/>
          <w:color w:val="auto"/>
          <w:highlight w:val="none"/>
          <w:lang w:val="zh-CN"/>
        </w:rPr>
        <w:t>竣工付款申请</w:t>
      </w:r>
    </w:p>
    <w:p w14:paraId="425AFF47">
      <w:pPr>
        <w:spacing w:line="360" w:lineRule="auto"/>
        <w:ind w:firstLine="420" w:firstLineChars="200"/>
        <w:jc w:val="left"/>
        <w:rPr>
          <w:rFonts w:ascii="宋体" w:hAnsi="宋体"/>
          <w:color w:val="auto"/>
          <w:highlight w:val="none"/>
        </w:rPr>
      </w:pPr>
      <w:r>
        <w:rPr>
          <w:rFonts w:hint="eastAsia" w:ascii="宋体" w:hAnsi="宋体"/>
          <w:color w:val="auto"/>
          <w:highlight w:val="none"/>
        </w:rPr>
        <w:t>承包人提交竣工付款申请单的期限：</w:t>
      </w:r>
      <w:r>
        <w:rPr>
          <w:rFonts w:hint="eastAsia" w:ascii="宋体" w:hAnsi="宋体"/>
          <w:color w:val="auto"/>
          <w:highlight w:val="none"/>
          <w:u w:val="single"/>
        </w:rPr>
        <w:t>竣工结算参照《贵港市市本级政府投资项目管理暂行办法》贵政办（</w:t>
      </w:r>
      <w:r>
        <w:rPr>
          <w:rFonts w:ascii="宋体" w:hAnsi="宋体"/>
          <w:color w:val="auto"/>
          <w:highlight w:val="none"/>
          <w:u w:val="single"/>
        </w:rPr>
        <w:t>2014</w:t>
      </w:r>
      <w:r>
        <w:rPr>
          <w:rFonts w:hint="eastAsia" w:ascii="宋体" w:hAnsi="宋体"/>
          <w:color w:val="auto"/>
          <w:highlight w:val="none"/>
          <w:u w:val="single"/>
        </w:rPr>
        <w:t>）</w:t>
      </w:r>
      <w:r>
        <w:rPr>
          <w:rFonts w:ascii="宋体" w:hAnsi="宋体"/>
          <w:color w:val="auto"/>
          <w:highlight w:val="none"/>
          <w:u w:val="single"/>
        </w:rPr>
        <w:t>3</w:t>
      </w:r>
      <w:r>
        <w:rPr>
          <w:rFonts w:hint="eastAsia" w:ascii="宋体" w:hAnsi="宋体"/>
          <w:color w:val="auto"/>
          <w:highlight w:val="none"/>
          <w:u w:val="single"/>
        </w:rPr>
        <w:t>号文及贵政办发【</w:t>
      </w:r>
      <w:r>
        <w:rPr>
          <w:rFonts w:ascii="宋体" w:hAnsi="宋体"/>
          <w:color w:val="auto"/>
          <w:highlight w:val="none"/>
          <w:u w:val="single"/>
        </w:rPr>
        <w:t>2016</w:t>
      </w:r>
      <w:r>
        <w:rPr>
          <w:rFonts w:hint="eastAsia" w:ascii="宋体" w:hAnsi="宋体"/>
          <w:color w:val="auto"/>
          <w:highlight w:val="none"/>
          <w:u w:val="single"/>
        </w:rPr>
        <w:t>】</w:t>
      </w:r>
      <w:r>
        <w:rPr>
          <w:rFonts w:ascii="宋体" w:hAnsi="宋体"/>
          <w:color w:val="auto"/>
          <w:highlight w:val="none"/>
          <w:u w:val="single"/>
        </w:rPr>
        <w:t>32</w:t>
      </w:r>
      <w:r>
        <w:rPr>
          <w:rFonts w:hint="eastAsia" w:ascii="宋体" w:hAnsi="宋体"/>
          <w:color w:val="auto"/>
          <w:highlight w:val="none"/>
          <w:u w:val="single"/>
        </w:rPr>
        <w:t>号规定执行，在工程竣工验收合格后</w:t>
      </w:r>
      <w:r>
        <w:rPr>
          <w:rFonts w:ascii="宋体" w:hAnsi="宋体"/>
          <w:color w:val="auto"/>
          <w:highlight w:val="none"/>
          <w:u w:val="single"/>
        </w:rPr>
        <w:t>28</w:t>
      </w:r>
      <w:r>
        <w:rPr>
          <w:rFonts w:hint="eastAsia" w:ascii="宋体" w:hAnsi="宋体"/>
          <w:color w:val="auto"/>
          <w:highlight w:val="none"/>
          <w:u w:val="single"/>
        </w:rPr>
        <w:t>天内向发包人和监理人提交竣工结算申请单及相关材料。无正当理由延期或经发包人催促</w:t>
      </w:r>
      <w:r>
        <w:rPr>
          <w:rFonts w:ascii="宋体" w:hAnsi="宋体"/>
          <w:color w:val="auto"/>
          <w:highlight w:val="none"/>
          <w:u w:val="single"/>
        </w:rPr>
        <w:t>14</w:t>
      </w:r>
      <w:r>
        <w:rPr>
          <w:rFonts w:hint="eastAsia" w:ascii="宋体" w:hAnsi="宋体"/>
          <w:color w:val="auto"/>
          <w:highlight w:val="none"/>
          <w:u w:val="single"/>
        </w:rPr>
        <w:t>天内仍未提供或明确答复的，发包人有权根据已有资料进行结算审核，责任由承包人自负。承包人应及时提供竣工结算过程中所需补充的资料</w:t>
      </w:r>
      <w:r>
        <w:rPr>
          <w:rFonts w:hint="eastAsia" w:ascii="宋体" w:hAnsi="宋体"/>
          <w:color w:val="auto"/>
          <w:highlight w:val="none"/>
        </w:rPr>
        <w:t>。</w:t>
      </w:r>
    </w:p>
    <w:p w14:paraId="7B60E2E2">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竣工付款申请单应包括的内容：</w:t>
      </w:r>
      <w:r>
        <w:rPr>
          <w:rFonts w:hint="eastAsia" w:ascii="宋体" w:hAnsi="宋体"/>
          <w:color w:val="auto"/>
          <w:highlight w:val="none"/>
          <w:u w:val="single"/>
        </w:rPr>
        <w:t>竣工付款申请单须符合贵港市人民政府相关文件规定，竣工付款申请单编制内容按发包人工程款支付管理规定执行</w:t>
      </w:r>
      <w:r>
        <w:rPr>
          <w:rFonts w:hint="eastAsia" w:ascii="宋体" w:hAnsi="宋体"/>
          <w:color w:val="auto"/>
          <w:highlight w:val="none"/>
        </w:rPr>
        <w:t>。竣工结算款支付申请（核准）表见合同附件**。</w:t>
      </w:r>
    </w:p>
    <w:p w14:paraId="18D4E4C4">
      <w:pPr>
        <w:keepNext/>
        <w:keepLines/>
        <w:spacing w:line="360" w:lineRule="auto"/>
        <w:outlineLvl w:val="2"/>
        <w:rPr>
          <w:rFonts w:ascii="宋体" w:hAnsi="宋体"/>
          <w:b/>
          <w:bCs/>
          <w:color w:val="auto"/>
          <w:highlight w:val="none"/>
          <w:lang w:val="zh-CN"/>
        </w:rPr>
      </w:pPr>
      <w:bookmarkStart w:id="982" w:name="_Toc373478407"/>
      <w:r>
        <w:rPr>
          <w:rFonts w:ascii="宋体" w:hAnsi="宋体"/>
          <w:b/>
          <w:bCs/>
          <w:color w:val="auto"/>
          <w:highlight w:val="none"/>
          <w:lang w:val="zh-CN"/>
        </w:rPr>
        <w:t xml:space="preserve">14.2 </w:t>
      </w:r>
      <w:bookmarkEnd w:id="982"/>
      <w:r>
        <w:rPr>
          <w:rFonts w:hint="eastAsia" w:ascii="宋体" w:hAnsi="宋体"/>
          <w:b/>
          <w:bCs/>
          <w:color w:val="auto"/>
          <w:highlight w:val="none"/>
          <w:lang w:val="zh-CN"/>
        </w:rPr>
        <w:t>竣工结算审核</w:t>
      </w:r>
    </w:p>
    <w:p w14:paraId="09807493">
      <w:pPr>
        <w:spacing w:line="360" w:lineRule="auto"/>
        <w:ind w:firstLine="420" w:firstLineChars="200"/>
        <w:jc w:val="left"/>
        <w:rPr>
          <w:rFonts w:ascii="宋体" w:hAnsi="宋体"/>
          <w:color w:val="auto"/>
          <w:highlight w:val="none"/>
        </w:rPr>
      </w:pPr>
      <w:r>
        <w:rPr>
          <w:rFonts w:hint="eastAsia" w:ascii="宋体" w:hAnsi="宋体"/>
          <w:color w:val="auto"/>
          <w:highlight w:val="none"/>
        </w:rPr>
        <w:t>发包人审批竣工付款申请单的期限：</w:t>
      </w:r>
    </w:p>
    <w:tbl>
      <w:tblPr>
        <w:tblStyle w:val="4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5967"/>
      </w:tblGrid>
      <w:tr w14:paraId="247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7C9A585F">
            <w:pPr>
              <w:spacing w:line="360" w:lineRule="auto"/>
              <w:rPr>
                <w:rFonts w:ascii="宋体" w:hAnsi="宋体"/>
                <w:color w:val="auto"/>
                <w:highlight w:val="none"/>
              </w:rPr>
            </w:pPr>
          </w:p>
        </w:tc>
        <w:tc>
          <w:tcPr>
            <w:tcW w:w="2466" w:type="dxa"/>
            <w:tcBorders>
              <w:left w:val="nil"/>
            </w:tcBorders>
            <w:vAlign w:val="center"/>
          </w:tcPr>
          <w:p w14:paraId="1B919D9D">
            <w:pPr>
              <w:spacing w:line="360" w:lineRule="auto"/>
              <w:ind w:firstLine="27" w:firstLineChars="13"/>
              <w:jc w:val="center"/>
              <w:rPr>
                <w:rFonts w:ascii="宋体" w:hAnsi="宋体"/>
                <w:color w:val="auto"/>
                <w:highlight w:val="none"/>
              </w:rPr>
            </w:pPr>
            <w:r>
              <w:rPr>
                <w:rFonts w:hint="eastAsia" w:ascii="宋体" w:hAnsi="宋体"/>
                <w:color w:val="auto"/>
                <w:highlight w:val="none"/>
              </w:rPr>
              <w:t>工程竣工结算报告金额</w:t>
            </w:r>
          </w:p>
        </w:tc>
        <w:tc>
          <w:tcPr>
            <w:tcW w:w="5967" w:type="dxa"/>
            <w:tcBorders>
              <w:left w:val="nil"/>
            </w:tcBorders>
            <w:vAlign w:val="center"/>
          </w:tcPr>
          <w:p w14:paraId="0BE5EE64">
            <w:pPr>
              <w:spacing w:line="360" w:lineRule="auto"/>
              <w:ind w:firstLine="441" w:firstLineChars="210"/>
              <w:jc w:val="center"/>
              <w:rPr>
                <w:rFonts w:ascii="宋体" w:hAnsi="宋体"/>
                <w:color w:val="auto"/>
                <w:highlight w:val="none"/>
              </w:rPr>
            </w:pPr>
            <w:r>
              <w:rPr>
                <w:rFonts w:hint="eastAsia" w:ascii="宋体" w:hAnsi="宋体"/>
                <w:color w:val="auto"/>
                <w:highlight w:val="none"/>
              </w:rPr>
              <w:t>发包人审查时间</w:t>
            </w:r>
          </w:p>
        </w:tc>
      </w:tr>
      <w:tr w14:paraId="058C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4B5C1F55">
            <w:pPr>
              <w:spacing w:line="360" w:lineRule="auto"/>
              <w:jc w:val="center"/>
              <w:rPr>
                <w:rFonts w:ascii="宋体" w:hAnsi="宋体"/>
                <w:color w:val="auto"/>
                <w:highlight w:val="none"/>
              </w:rPr>
            </w:pPr>
            <w:r>
              <w:rPr>
                <w:rFonts w:ascii="宋体" w:hAnsi="宋体"/>
                <w:color w:val="auto"/>
                <w:highlight w:val="none"/>
              </w:rPr>
              <w:t>1</w:t>
            </w:r>
          </w:p>
        </w:tc>
        <w:tc>
          <w:tcPr>
            <w:tcW w:w="2466" w:type="dxa"/>
            <w:tcBorders>
              <w:left w:val="nil"/>
            </w:tcBorders>
            <w:vAlign w:val="center"/>
          </w:tcPr>
          <w:p w14:paraId="038A8E6F">
            <w:pPr>
              <w:spacing w:line="360" w:lineRule="auto"/>
              <w:ind w:firstLine="27" w:firstLineChars="13"/>
              <w:jc w:val="center"/>
              <w:rPr>
                <w:rFonts w:ascii="宋体" w:hAnsi="宋体"/>
                <w:color w:val="auto"/>
                <w:highlight w:val="none"/>
              </w:rPr>
            </w:pPr>
            <w:r>
              <w:rPr>
                <w:rFonts w:ascii="宋体" w:hAnsi="宋体"/>
                <w:color w:val="auto"/>
                <w:highlight w:val="none"/>
              </w:rPr>
              <w:t>500</w:t>
            </w:r>
            <w:r>
              <w:rPr>
                <w:rFonts w:hint="eastAsia" w:ascii="宋体" w:hAnsi="宋体"/>
                <w:color w:val="auto"/>
                <w:highlight w:val="none"/>
              </w:rPr>
              <w:t>万元以下</w:t>
            </w:r>
          </w:p>
        </w:tc>
        <w:tc>
          <w:tcPr>
            <w:tcW w:w="5967" w:type="dxa"/>
            <w:tcBorders>
              <w:left w:val="nil"/>
            </w:tcBorders>
            <w:vAlign w:val="center"/>
          </w:tcPr>
          <w:p w14:paraId="15440A49">
            <w:pPr>
              <w:spacing w:line="360" w:lineRule="auto"/>
              <w:ind w:firstLine="441" w:firstLineChars="210"/>
              <w:jc w:val="center"/>
              <w:rPr>
                <w:rFonts w:ascii="宋体" w:hAnsi="宋体"/>
                <w:color w:val="auto"/>
                <w:highlight w:val="none"/>
              </w:rPr>
            </w:pPr>
            <w:r>
              <w:rPr>
                <w:rFonts w:hint="eastAsia" w:ascii="宋体" w:hAnsi="宋体"/>
                <w:color w:val="auto"/>
                <w:highlight w:val="none"/>
              </w:rPr>
              <w:t>从接到竣工结算报告和完整的竣工结算资料之日起</w:t>
            </w:r>
            <w:r>
              <w:rPr>
                <w:rFonts w:ascii="宋体" w:hAnsi="宋体"/>
                <w:color w:val="auto"/>
                <w:highlight w:val="none"/>
              </w:rPr>
              <w:t>20</w:t>
            </w:r>
            <w:r>
              <w:rPr>
                <w:rFonts w:hint="eastAsia" w:ascii="宋体" w:hAnsi="宋体"/>
                <w:color w:val="auto"/>
                <w:highlight w:val="none"/>
              </w:rPr>
              <w:t>天</w:t>
            </w:r>
          </w:p>
        </w:tc>
      </w:tr>
      <w:tr w14:paraId="017F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08F5EA08">
            <w:pPr>
              <w:spacing w:line="360" w:lineRule="auto"/>
              <w:jc w:val="center"/>
              <w:rPr>
                <w:rFonts w:ascii="宋体" w:hAnsi="宋体"/>
                <w:color w:val="auto"/>
                <w:highlight w:val="none"/>
              </w:rPr>
            </w:pPr>
            <w:r>
              <w:rPr>
                <w:rFonts w:ascii="宋体" w:hAnsi="宋体"/>
                <w:color w:val="auto"/>
                <w:highlight w:val="none"/>
              </w:rPr>
              <w:t>2</w:t>
            </w:r>
          </w:p>
        </w:tc>
        <w:tc>
          <w:tcPr>
            <w:tcW w:w="2466" w:type="dxa"/>
            <w:tcBorders>
              <w:left w:val="nil"/>
            </w:tcBorders>
            <w:vAlign w:val="center"/>
          </w:tcPr>
          <w:p w14:paraId="37DB71AA">
            <w:pPr>
              <w:spacing w:line="360" w:lineRule="auto"/>
              <w:ind w:firstLine="27" w:firstLineChars="13"/>
              <w:jc w:val="center"/>
              <w:rPr>
                <w:rFonts w:ascii="宋体" w:hAnsi="宋体"/>
                <w:color w:val="auto"/>
                <w:highlight w:val="none"/>
              </w:rPr>
            </w:pPr>
            <w:r>
              <w:rPr>
                <w:rFonts w:ascii="宋体" w:hAnsi="宋体"/>
                <w:color w:val="auto"/>
                <w:highlight w:val="none"/>
              </w:rPr>
              <w:t>500</w:t>
            </w:r>
            <w:r>
              <w:rPr>
                <w:rFonts w:hint="eastAsia" w:ascii="宋体" w:hAnsi="宋体"/>
                <w:color w:val="auto"/>
                <w:highlight w:val="none"/>
              </w:rPr>
              <w:t>万元</w:t>
            </w:r>
            <w:r>
              <w:rPr>
                <w:rFonts w:ascii="宋体" w:hAnsi="宋体"/>
                <w:color w:val="auto"/>
                <w:highlight w:val="none"/>
              </w:rPr>
              <w:t>-2000</w:t>
            </w:r>
            <w:r>
              <w:rPr>
                <w:rFonts w:hint="eastAsia" w:ascii="宋体" w:hAnsi="宋体"/>
                <w:color w:val="auto"/>
                <w:highlight w:val="none"/>
              </w:rPr>
              <w:t>万元</w:t>
            </w:r>
          </w:p>
        </w:tc>
        <w:tc>
          <w:tcPr>
            <w:tcW w:w="5967" w:type="dxa"/>
            <w:tcBorders>
              <w:left w:val="nil"/>
            </w:tcBorders>
            <w:vAlign w:val="center"/>
          </w:tcPr>
          <w:p w14:paraId="0AD82D64">
            <w:pPr>
              <w:spacing w:line="360" w:lineRule="auto"/>
              <w:ind w:firstLine="441" w:firstLineChars="210"/>
              <w:jc w:val="center"/>
              <w:rPr>
                <w:rFonts w:ascii="宋体" w:hAnsi="宋体"/>
                <w:color w:val="auto"/>
                <w:highlight w:val="none"/>
              </w:rPr>
            </w:pPr>
            <w:r>
              <w:rPr>
                <w:rFonts w:hint="eastAsia" w:ascii="宋体" w:hAnsi="宋体"/>
                <w:color w:val="auto"/>
                <w:highlight w:val="none"/>
              </w:rPr>
              <w:t>从接到竣工结算报告和完整的竣工结算资料之日起</w:t>
            </w:r>
            <w:r>
              <w:rPr>
                <w:rFonts w:ascii="宋体" w:hAnsi="宋体"/>
                <w:color w:val="auto"/>
                <w:highlight w:val="none"/>
              </w:rPr>
              <w:t>30</w:t>
            </w:r>
            <w:r>
              <w:rPr>
                <w:rFonts w:hint="eastAsia" w:ascii="宋体" w:hAnsi="宋体"/>
                <w:color w:val="auto"/>
                <w:highlight w:val="none"/>
              </w:rPr>
              <w:t>天</w:t>
            </w:r>
          </w:p>
        </w:tc>
      </w:tr>
      <w:tr w14:paraId="3431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78CE0B3A">
            <w:pPr>
              <w:spacing w:line="360" w:lineRule="auto"/>
              <w:jc w:val="center"/>
              <w:rPr>
                <w:rFonts w:ascii="宋体" w:hAnsi="宋体"/>
                <w:color w:val="auto"/>
                <w:highlight w:val="none"/>
              </w:rPr>
            </w:pPr>
            <w:r>
              <w:rPr>
                <w:rFonts w:ascii="宋体" w:hAnsi="宋体"/>
                <w:color w:val="auto"/>
                <w:highlight w:val="none"/>
              </w:rPr>
              <w:t>3</w:t>
            </w:r>
          </w:p>
        </w:tc>
        <w:tc>
          <w:tcPr>
            <w:tcW w:w="2466" w:type="dxa"/>
            <w:tcBorders>
              <w:left w:val="nil"/>
            </w:tcBorders>
            <w:vAlign w:val="center"/>
          </w:tcPr>
          <w:p w14:paraId="45B3C418">
            <w:pPr>
              <w:spacing w:line="360" w:lineRule="auto"/>
              <w:ind w:firstLine="27" w:firstLineChars="13"/>
              <w:jc w:val="center"/>
              <w:rPr>
                <w:rFonts w:ascii="宋体" w:hAnsi="宋体"/>
                <w:color w:val="auto"/>
                <w:highlight w:val="none"/>
              </w:rPr>
            </w:pPr>
            <w:r>
              <w:rPr>
                <w:rFonts w:ascii="宋体" w:hAnsi="宋体"/>
                <w:color w:val="auto"/>
                <w:highlight w:val="none"/>
              </w:rPr>
              <w:t>2000</w:t>
            </w:r>
            <w:r>
              <w:rPr>
                <w:rFonts w:hint="eastAsia" w:ascii="宋体" w:hAnsi="宋体"/>
                <w:color w:val="auto"/>
                <w:highlight w:val="none"/>
              </w:rPr>
              <w:t>万元</w:t>
            </w:r>
            <w:r>
              <w:rPr>
                <w:rFonts w:ascii="宋体" w:hAnsi="宋体"/>
                <w:color w:val="auto"/>
                <w:highlight w:val="none"/>
              </w:rPr>
              <w:t>-5000</w:t>
            </w:r>
            <w:r>
              <w:rPr>
                <w:rFonts w:hint="eastAsia" w:ascii="宋体" w:hAnsi="宋体"/>
                <w:color w:val="auto"/>
                <w:highlight w:val="none"/>
              </w:rPr>
              <w:t>万元</w:t>
            </w:r>
          </w:p>
        </w:tc>
        <w:tc>
          <w:tcPr>
            <w:tcW w:w="5967" w:type="dxa"/>
            <w:tcBorders>
              <w:left w:val="nil"/>
            </w:tcBorders>
            <w:vAlign w:val="center"/>
          </w:tcPr>
          <w:p w14:paraId="42B3E657">
            <w:pPr>
              <w:spacing w:line="360" w:lineRule="auto"/>
              <w:ind w:firstLine="441" w:firstLineChars="210"/>
              <w:jc w:val="center"/>
              <w:rPr>
                <w:rFonts w:ascii="宋体" w:hAnsi="宋体"/>
                <w:color w:val="auto"/>
                <w:highlight w:val="none"/>
              </w:rPr>
            </w:pPr>
            <w:r>
              <w:rPr>
                <w:rFonts w:hint="eastAsia" w:ascii="宋体" w:hAnsi="宋体"/>
                <w:color w:val="auto"/>
                <w:highlight w:val="none"/>
              </w:rPr>
              <w:t>从接到竣工结算报告和完整的竣工结算资料之日起</w:t>
            </w:r>
            <w:r>
              <w:rPr>
                <w:rFonts w:ascii="宋体" w:hAnsi="宋体"/>
                <w:color w:val="auto"/>
                <w:highlight w:val="none"/>
              </w:rPr>
              <w:t>45</w:t>
            </w:r>
            <w:r>
              <w:rPr>
                <w:rFonts w:hint="eastAsia" w:ascii="宋体" w:hAnsi="宋体"/>
                <w:color w:val="auto"/>
                <w:highlight w:val="none"/>
              </w:rPr>
              <w:t>天</w:t>
            </w:r>
          </w:p>
        </w:tc>
      </w:tr>
      <w:tr w14:paraId="209E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3A2BEDD8">
            <w:pPr>
              <w:spacing w:line="360" w:lineRule="auto"/>
              <w:jc w:val="center"/>
              <w:rPr>
                <w:rFonts w:ascii="宋体" w:hAnsi="宋体"/>
                <w:color w:val="auto"/>
                <w:highlight w:val="none"/>
              </w:rPr>
            </w:pPr>
            <w:r>
              <w:rPr>
                <w:rFonts w:ascii="宋体" w:hAnsi="宋体"/>
                <w:color w:val="auto"/>
                <w:highlight w:val="none"/>
              </w:rPr>
              <w:t>4</w:t>
            </w:r>
          </w:p>
        </w:tc>
        <w:tc>
          <w:tcPr>
            <w:tcW w:w="2466" w:type="dxa"/>
            <w:tcBorders>
              <w:left w:val="nil"/>
            </w:tcBorders>
            <w:vAlign w:val="center"/>
          </w:tcPr>
          <w:p w14:paraId="7BFA7421">
            <w:pPr>
              <w:spacing w:line="360" w:lineRule="auto"/>
              <w:ind w:firstLine="27" w:firstLineChars="13"/>
              <w:jc w:val="center"/>
              <w:rPr>
                <w:rFonts w:ascii="宋体" w:hAnsi="宋体"/>
                <w:color w:val="auto"/>
                <w:highlight w:val="none"/>
              </w:rPr>
            </w:pPr>
            <w:r>
              <w:rPr>
                <w:rFonts w:ascii="宋体" w:hAnsi="宋体"/>
                <w:color w:val="auto"/>
                <w:highlight w:val="none"/>
              </w:rPr>
              <w:t>5000</w:t>
            </w:r>
            <w:r>
              <w:rPr>
                <w:rFonts w:hint="eastAsia" w:ascii="宋体" w:hAnsi="宋体"/>
                <w:color w:val="auto"/>
                <w:highlight w:val="none"/>
              </w:rPr>
              <w:t>万元以上</w:t>
            </w:r>
          </w:p>
        </w:tc>
        <w:tc>
          <w:tcPr>
            <w:tcW w:w="5967" w:type="dxa"/>
            <w:tcBorders>
              <w:left w:val="nil"/>
            </w:tcBorders>
            <w:vAlign w:val="center"/>
          </w:tcPr>
          <w:p w14:paraId="43E18305">
            <w:pPr>
              <w:spacing w:line="360" w:lineRule="auto"/>
              <w:ind w:firstLine="441" w:firstLineChars="210"/>
              <w:jc w:val="center"/>
              <w:rPr>
                <w:rFonts w:ascii="宋体" w:hAnsi="宋体"/>
                <w:color w:val="auto"/>
                <w:highlight w:val="none"/>
              </w:rPr>
            </w:pPr>
            <w:r>
              <w:rPr>
                <w:rFonts w:hint="eastAsia" w:ascii="宋体" w:hAnsi="宋体"/>
                <w:color w:val="auto"/>
                <w:highlight w:val="none"/>
              </w:rPr>
              <w:t>从接到竣工结算报告和完整的竣工结算资料之日起</w:t>
            </w:r>
            <w:r>
              <w:rPr>
                <w:rFonts w:ascii="宋体" w:hAnsi="宋体"/>
                <w:color w:val="auto"/>
                <w:highlight w:val="none"/>
              </w:rPr>
              <w:t>60</w:t>
            </w:r>
            <w:r>
              <w:rPr>
                <w:rFonts w:hint="eastAsia" w:ascii="宋体" w:hAnsi="宋体"/>
                <w:color w:val="auto"/>
                <w:highlight w:val="none"/>
              </w:rPr>
              <w:t>天</w:t>
            </w:r>
          </w:p>
        </w:tc>
      </w:tr>
      <w:tr w14:paraId="68A6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14:paraId="369458B3">
            <w:pPr>
              <w:spacing w:line="360" w:lineRule="auto"/>
              <w:jc w:val="center"/>
              <w:rPr>
                <w:rFonts w:ascii="宋体" w:hAnsi="宋体"/>
                <w:color w:val="auto"/>
                <w:highlight w:val="none"/>
              </w:rPr>
            </w:pPr>
            <w:r>
              <w:rPr>
                <w:rFonts w:ascii="宋体" w:hAnsi="宋体"/>
                <w:color w:val="auto"/>
                <w:highlight w:val="none"/>
              </w:rPr>
              <w:t>5</w:t>
            </w:r>
          </w:p>
        </w:tc>
        <w:tc>
          <w:tcPr>
            <w:tcW w:w="2466" w:type="dxa"/>
            <w:tcBorders>
              <w:left w:val="nil"/>
            </w:tcBorders>
            <w:vAlign w:val="center"/>
          </w:tcPr>
          <w:p w14:paraId="60DEBB9B">
            <w:pPr>
              <w:spacing w:line="360" w:lineRule="auto"/>
              <w:ind w:firstLine="27" w:firstLineChars="13"/>
              <w:jc w:val="center"/>
              <w:rPr>
                <w:rFonts w:ascii="宋体" w:hAnsi="宋体"/>
                <w:color w:val="auto"/>
                <w:highlight w:val="none"/>
              </w:rPr>
            </w:pPr>
            <w:r>
              <w:rPr>
                <w:rFonts w:ascii="宋体" w:hAnsi="宋体"/>
                <w:color w:val="auto"/>
                <w:highlight w:val="none"/>
              </w:rPr>
              <w:t>5000</w:t>
            </w:r>
            <w:r>
              <w:rPr>
                <w:rFonts w:hint="eastAsia" w:ascii="宋体" w:hAnsi="宋体"/>
                <w:color w:val="auto"/>
                <w:highlight w:val="none"/>
              </w:rPr>
              <w:t>万以上每增加</w:t>
            </w:r>
            <w:r>
              <w:rPr>
                <w:rFonts w:ascii="宋体" w:hAnsi="宋体"/>
                <w:color w:val="auto"/>
                <w:highlight w:val="none"/>
              </w:rPr>
              <w:t>0.5</w:t>
            </w:r>
            <w:r>
              <w:rPr>
                <w:rFonts w:hint="eastAsia" w:ascii="宋体" w:hAnsi="宋体"/>
                <w:color w:val="auto"/>
                <w:highlight w:val="none"/>
              </w:rPr>
              <w:t>亿</w:t>
            </w:r>
            <w:r>
              <w:rPr>
                <w:rFonts w:ascii="宋体" w:hAnsi="宋体"/>
                <w:color w:val="auto"/>
                <w:highlight w:val="none"/>
              </w:rPr>
              <w:t>(</w:t>
            </w:r>
            <w:r>
              <w:rPr>
                <w:rFonts w:hint="eastAsia" w:ascii="宋体" w:hAnsi="宋体"/>
                <w:color w:val="auto"/>
                <w:highlight w:val="none"/>
              </w:rPr>
              <w:t>不足</w:t>
            </w:r>
            <w:r>
              <w:rPr>
                <w:rFonts w:ascii="宋体" w:hAnsi="宋体"/>
                <w:color w:val="auto"/>
                <w:highlight w:val="none"/>
              </w:rPr>
              <w:t>0.5</w:t>
            </w:r>
            <w:r>
              <w:rPr>
                <w:rFonts w:hint="eastAsia" w:ascii="宋体" w:hAnsi="宋体"/>
                <w:color w:val="auto"/>
                <w:highlight w:val="none"/>
              </w:rPr>
              <w:t>亿不增加</w:t>
            </w:r>
            <w:r>
              <w:rPr>
                <w:rFonts w:ascii="宋体" w:hAnsi="宋体"/>
                <w:color w:val="auto"/>
                <w:highlight w:val="none"/>
              </w:rPr>
              <w:t>)</w:t>
            </w:r>
          </w:p>
        </w:tc>
        <w:tc>
          <w:tcPr>
            <w:tcW w:w="5967" w:type="dxa"/>
            <w:tcBorders>
              <w:left w:val="nil"/>
            </w:tcBorders>
            <w:vAlign w:val="center"/>
          </w:tcPr>
          <w:p w14:paraId="001CB184">
            <w:pPr>
              <w:spacing w:line="360" w:lineRule="auto"/>
              <w:ind w:firstLine="441" w:firstLineChars="210"/>
              <w:jc w:val="center"/>
              <w:rPr>
                <w:rFonts w:ascii="宋体" w:hAnsi="宋体"/>
                <w:color w:val="auto"/>
                <w:highlight w:val="none"/>
              </w:rPr>
            </w:pPr>
            <w:r>
              <w:rPr>
                <w:rFonts w:hint="eastAsia" w:ascii="宋体" w:hAnsi="宋体"/>
                <w:color w:val="auto"/>
                <w:highlight w:val="none"/>
              </w:rPr>
              <w:t>增加</w:t>
            </w:r>
            <w:r>
              <w:rPr>
                <w:rFonts w:ascii="宋体" w:hAnsi="宋体"/>
                <w:color w:val="auto"/>
                <w:highlight w:val="none"/>
              </w:rPr>
              <w:t>10</w:t>
            </w:r>
            <w:r>
              <w:rPr>
                <w:rFonts w:hint="eastAsia" w:ascii="宋体" w:hAnsi="宋体"/>
                <w:color w:val="auto"/>
                <w:highlight w:val="none"/>
              </w:rPr>
              <w:t>天</w:t>
            </w:r>
          </w:p>
        </w:tc>
      </w:tr>
    </w:tbl>
    <w:p w14:paraId="54B379F7">
      <w:pPr>
        <w:spacing w:line="360" w:lineRule="auto"/>
        <w:ind w:firstLine="420" w:firstLineChars="200"/>
        <w:jc w:val="left"/>
        <w:rPr>
          <w:rFonts w:ascii="宋体" w:hAnsi="宋体"/>
          <w:color w:val="auto"/>
          <w:highlight w:val="none"/>
        </w:rPr>
      </w:pPr>
      <w:r>
        <w:rPr>
          <w:rFonts w:hint="eastAsia" w:ascii="宋体" w:hAnsi="宋体"/>
          <w:color w:val="auto"/>
          <w:highlight w:val="none"/>
        </w:rPr>
        <w:t>备注：因承包人提供的结算资料不完整而需要补充或承包人不按时对账耽误时间时，审查时间应相应顺延。</w:t>
      </w:r>
    </w:p>
    <w:p w14:paraId="22EB256D">
      <w:pPr>
        <w:spacing w:line="400" w:lineRule="exact"/>
        <w:ind w:firstLine="411" w:firstLineChars="196"/>
        <w:rPr>
          <w:rFonts w:asciiTheme="majorEastAsia" w:hAnsiTheme="majorEastAsia" w:eastAsiaTheme="majorEastAsia"/>
          <w:color w:val="auto"/>
          <w:highlight w:val="none"/>
          <w:u w:val="single"/>
        </w:rPr>
      </w:pPr>
      <w:r>
        <w:rPr>
          <w:rFonts w:hint="eastAsia" w:ascii="宋体" w:hAnsi="宋体"/>
          <w:color w:val="auto"/>
          <w:highlight w:val="none"/>
        </w:rPr>
        <w:t>竣工结算审核和</w:t>
      </w:r>
      <w:r>
        <w:rPr>
          <w:rStyle w:val="248"/>
          <w:rFonts w:asciiTheme="minorEastAsia" w:hAnsiTheme="minorEastAsia" w:eastAsiaTheme="minorEastAsia"/>
          <w:color w:val="auto"/>
          <w:highlight w:val="none"/>
        </w:rPr>
        <w:t>结</w:t>
      </w:r>
      <w:r>
        <w:rPr>
          <w:rStyle w:val="248"/>
          <w:rFonts w:asciiTheme="minorEastAsia" w:hAnsiTheme="minorEastAsia" w:eastAsiaTheme="minorEastAsia"/>
          <w:color w:val="auto"/>
          <w:highlight w:val="none"/>
          <w:u w:val="single"/>
        </w:rPr>
        <w:t>算</w:t>
      </w:r>
      <w:r>
        <w:rPr>
          <w:rFonts w:hint="eastAsia" w:ascii="宋体" w:hAnsi="宋体"/>
          <w:color w:val="auto"/>
          <w:highlight w:val="none"/>
        </w:rPr>
        <w:t>约定：</w:t>
      </w:r>
      <w:r>
        <w:rPr>
          <w:rFonts w:hint="eastAsia" w:asciiTheme="minorEastAsia" w:hAnsiTheme="minorEastAsia" w:eastAsiaTheme="minorEastAsia"/>
          <w:color w:val="auto"/>
          <w:kern w:val="0"/>
          <w:highlight w:val="none"/>
          <w:u w:val="single"/>
        </w:rPr>
        <w:t xml:space="preserve"> 1、</w:t>
      </w:r>
      <w:r>
        <w:rPr>
          <w:rFonts w:hint="eastAsia" w:ascii="宋体" w:hAnsi="宋体"/>
          <w:color w:val="auto"/>
          <w:highlight w:val="none"/>
          <w:u w:val="single"/>
        </w:rPr>
        <w:t>工程竣工验收报告通过后</w:t>
      </w:r>
      <w:r>
        <w:rPr>
          <w:rFonts w:ascii="宋体" w:hAnsi="宋体"/>
          <w:color w:val="auto"/>
          <w:highlight w:val="none"/>
          <w:u w:val="single"/>
        </w:rPr>
        <w:t>30</w:t>
      </w:r>
      <w:r>
        <w:rPr>
          <w:rFonts w:hint="eastAsia" w:ascii="宋体" w:hAnsi="宋体"/>
          <w:color w:val="auto"/>
          <w:highlight w:val="none"/>
          <w:u w:val="single"/>
        </w:rPr>
        <w:t>天内，承包人向发包人递交竣工验收合格资料及完整的结算资料和报告，</w:t>
      </w:r>
      <w:r>
        <w:rPr>
          <w:rFonts w:asciiTheme="minorEastAsia" w:hAnsiTheme="minorEastAsia" w:eastAsiaTheme="minorEastAsia"/>
          <w:color w:val="auto"/>
          <w:kern w:val="0"/>
          <w:highlight w:val="none"/>
          <w:u w:val="single"/>
        </w:rPr>
        <w:t>监理人</w:t>
      </w:r>
      <w:r>
        <w:rPr>
          <w:rFonts w:hint="eastAsia" w:asciiTheme="minorEastAsia" w:hAnsiTheme="minorEastAsia" w:eastAsiaTheme="minorEastAsia"/>
          <w:color w:val="auto"/>
          <w:kern w:val="0"/>
          <w:highlight w:val="none"/>
          <w:u w:val="single"/>
        </w:rPr>
        <w:t>和发包人应在竣工结算书文件核对期限内核对。2.</w:t>
      </w:r>
      <w:r>
        <w:rPr>
          <w:rFonts w:hint="eastAsia" w:ascii="宋体" w:hAnsi="宋体" w:cs="宋体"/>
          <w:color w:val="auto"/>
          <w:kern w:val="0"/>
          <w:highlight w:val="none"/>
          <w:u w:val="single"/>
        </w:rPr>
        <w:t xml:space="preserve"> 国有资金投资工程的发包方，应当委托具有相应资质的工程造价咨询企业对竣工结算文件进行审核</w:t>
      </w:r>
      <w:r>
        <w:rPr>
          <w:rFonts w:hint="eastAsia" w:asciiTheme="minorEastAsia" w:hAnsiTheme="minorEastAsia" w:eastAsiaTheme="minorEastAsia"/>
          <w:color w:val="auto"/>
          <w:kern w:val="0"/>
          <w:highlight w:val="none"/>
          <w:u w:val="single"/>
        </w:rPr>
        <w:t>，并以审核结果作为</w:t>
      </w:r>
      <w:r>
        <w:rPr>
          <w:rFonts w:hint="eastAsia" w:asciiTheme="minorEastAsia" w:hAnsiTheme="minorEastAsia" w:eastAsiaTheme="minorEastAsia"/>
          <w:color w:val="auto"/>
          <w:highlight w:val="none"/>
          <w:u w:val="single"/>
        </w:rPr>
        <w:t>发包人送审计部门审计</w:t>
      </w:r>
      <w:r>
        <w:rPr>
          <w:rStyle w:val="248"/>
          <w:rFonts w:asciiTheme="minorEastAsia" w:hAnsiTheme="minorEastAsia" w:eastAsiaTheme="minorEastAsia"/>
          <w:color w:val="auto"/>
          <w:highlight w:val="none"/>
          <w:u w:val="single"/>
        </w:rPr>
        <w:t>依据</w:t>
      </w:r>
      <w:r>
        <w:rPr>
          <w:rFonts w:hint="eastAsia" w:asciiTheme="minorEastAsia" w:hAnsiTheme="minorEastAsia" w:eastAsiaTheme="minorEastAsia"/>
          <w:color w:val="auto"/>
          <w:kern w:val="0"/>
          <w:highlight w:val="none"/>
          <w:u w:val="single"/>
        </w:rPr>
        <w:t>。2以</w:t>
      </w:r>
      <w:r>
        <w:rPr>
          <w:rFonts w:hint="eastAsia" w:asciiTheme="minorEastAsia" w:hAnsiTheme="minorEastAsia" w:eastAsiaTheme="minorEastAsia"/>
          <w:color w:val="auto"/>
          <w:highlight w:val="none"/>
          <w:u w:val="single"/>
        </w:rPr>
        <w:t>审计部的</w:t>
      </w:r>
      <w:r>
        <w:rPr>
          <w:rStyle w:val="248"/>
          <w:rFonts w:asciiTheme="minorEastAsia" w:hAnsiTheme="minorEastAsia" w:eastAsiaTheme="minorEastAsia"/>
          <w:color w:val="auto"/>
          <w:highlight w:val="none"/>
          <w:u w:val="single"/>
        </w:rPr>
        <w:t>审计结论作为</w:t>
      </w:r>
      <w:r>
        <w:rPr>
          <w:rStyle w:val="248"/>
          <w:rFonts w:hint="eastAsia" w:asciiTheme="minorEastAsia" w:hAnsiTheme="minorEastAsia" w:eastAsiaTheme="minorEastAsia"/>
          <w:color w:val="auto"/>
          <w:highlight w:val="none"/>
          <w:u w:val="single"/>
        </w:rPr>
        <w:t>本工程</w:t>
      </w:r>
      <w:r>
        <w:rPr>
          <w:rStyle w:val="248"/>
          <w:rFonts w:asciiTheme="minorEastAsia" w:hAnsiTheme="minorEastAsia" w:eastAsiaTheme="minorEastAsia"/>
          <w:color w:val="auto"/>
          <w:highlight w:val="none"/>
          <w:u w:val="single"/>
        </w:rPr>
        <w:t>结算</w:t>
      </w:r>
      <w:r>
        <w:rPr>
          <w:rStyle w:val="248"/>
          <w:rFonts w:hint="eastAsia" w:asciiTheme="minorEastAsia" w:hAnsiTheme="minorEastAsia" w:eastAsiaTheme="minorEastAsia"/>
          <w:color w:val="auto"/>
          <w:highlight w:val="none"/>
          <w:u w:val="single"/>
        </w:rPr>
        <w:t>的</w:t>
      </w:r>
      <w:r>
        <w:rPr>
          <w:rStyle w:val="248"/>
          <w:rFonts w:asciiTheme="minorEastAsia" w:hAnsiTheme="minorEastAsia" w:eastAsiaTheme="minorEastAsia"/>
          <w:color w:val="auto"/>
          <w:highlight w:val="none"/>
          <w:u w:val="single"/>
        </w:rPr>
        <w:t>依据</w:t>
      </w:r>
      <w:r>
        <w:rPr>
          <w:rStyle w:val="248"/>
          <w:rFonts w:hint="eastAsia" w:asciiTheme="minorEastAsia" w:hAnsiTheme="minorEastAsia" w:eastAsiaTheme="minorEastAsia"/>
          <w:color w:val="auto"/>
          <w:highlight w:val="none"/>
          <w:u w:val="single"/>
        </w:rPr>
        <w:t>。</w:t>
      </w:r>
    </w:p>
    <w:p w14:paraId="6D37F50A">
      <w:pPr>
        <w:ind w:firstLine="420" w:firstLineChars="200"/>
        <w:rPr>
          <w:rFonts w:cs="宋体"/>
          <w:color w:val="auto"/>
          <w:kern w:val="0"/>
          <w:sz w:val="24"/>
          <w:highlight w:val="none"/>
          <w:u w:val="single"/>
        </w:rPr>
      </w:pPr>
      <w:r>
        <w:rPr>
          <w:rFonts w:hint="eastAsia"/>
          <w:color w:val="auto"/>
          <w:highlight w:val="none"/>
          <w:u w:val="single"/>
        </w:rPr>
        <w:t>除以上约定外，还需符合《</w:t>
      </w:r>
      <w:r>
        <w:rPr>
          <w:rFonts w:hint="eastAsia" w:cs="宋体"/>
          <w:bCs/>
          <w:color w:val="auto"/>
          <w:kern w:val="0"/>
          <w:highlight w:val="none"/>
          <w:u w:val="single"/>
        </w:rPr>
        <w:t>建设工程价款结算暂行办法》《建筑工程施工发包与承包计价管理办法》和</w:t>
      </w:r>
      <w:r>
        <w:rPr>
          <w:rFonts w:hint="eastAsia"/>
          <w:color w:val="auto"/>
          <w:highlight w:val="none"/>
          <w:u w:val="single"/>
        </w:rPr>
        <w:t>当地政府或主管部门</w:t>
      </w:r>
      <w:r>
        <w:rPr>
          <w:rFonts w:hint="eastAsia" w:ascii="宋体" w:hAnsi="宋体"/>
          <w:color w:val="auto"/>
          <w:highlight w:val="none"/>
          <w:u w:val="single"/>
        </w:rPr>
        <w:t>和</w:t>
      </w:r>
      <w:r>
        <w:rPr>
          <w:rFonts w:hint="eastAsia" w:asciiTheme="minorEastAsia" w:hAnsiTheme="minorEastAsia" w:eastAsiaTheme="minorEastAsia"/>
          <w:color w:val="auto"/>
          <w:highlight w:val="none"/>
          <w:u w:val="single"/>
        </w:rPr>
        <w:t>发包人上级</w:t>
      </w:r>
      <w:r>
        <w:rPr>
          <w:rFonts w:hint="eastAsia"/>
          <w:color w:val="auto"/>
          <w:highlight w:val="none"/>
          <w:u w:val="single"/>
        </w:rPr>
        <w:t>有关部门的国有投资项目结算</w:t>
      </w:r>
      <w:r>
        <w:rPr>
          <w:rFonts w:hint="eastAsia" w:ascii="宋体" w:hAnsi="宋体"/>
          <w:color w:val="auto"/>
          <w:highlight w:val="none"/>
          <w:u w:val="single"/>
        </w:rPr>
        <w:t>和</w:t>
      </w:r>
      <w:r>
        <w:rPr>
          <w:rFonts w:hint="eastAsia"/>
          <w:color w:val="auto"/>
          <w:highlight w:val="none"/>
          <w:u w:val="single"/>
        </w:rPr>
        <w:t>审核的相关管理规定。</w:t>
      </w:r>
    </w:p>
    <w:p w14:paraId="532B22B7">
      <w:pPr>
        <w:keepNext/>
        <w:keepLines/>
        <w:spacing w:line="360" w:lineRule="auto"/>
        <w:ind w:firstLine="105" w:firstLineChars="50"/>
        <w:rPr>
          <w:rFonts w:ascii="宋体" w:hAnsi="宋体"/>
          <w:color w:val="auto"/>
          <w:highlight w:val="none"/>
          <w:u w:val="single"/>
        </w:rPr>
      </w:pPr>
      <w:bookmarkStart w:id="983" w:name="_Toc373227761"/>
      <w:bookmarkEnd w:id="983"/>
      <w:bookmarkStart w:id="984" w:name="_Toc26858"/>
      <w:bookmarkEnd w:id="984"/>
      <w:bookmarkStart w:id="985" w:name="_Toc373478408"/>
      <w:bookmarkEnd w:id="985"/>
      <w:bookmarkStart w:id="986" w:name="_Toc407135264"/>
      <w:bookmarkEnd w:id="986"/>
      <w:bookmarkStart w:id="987" w:name="_Toc389065326"/>
    </w:p>
    <w:p w14:paraId="6AC382FE">
      <w:pPr>
        <w:keepNext/>
        <w:keepLines/>
        <w:spacing w:line="360" w:lineRule="auto"/>
        <w:ind w:firstLine="105" w:firstLineChars="50"/>
        <w:outlineLvl w:val="2"/>
        <w:rPr>
          <w:rFonts w:ascii="宋体" w:hAnsi="宋体"/>
          <w:b/>
          <w:bCs/>
          <w:color w:val="auto"/>
          <w:highlight w:val="none"/>
          <w:lang w:val="zh-CN"/>
        </w:rPr>
      </w:pPr>
      <w:r>
        <w:rPr>
          <w:rFonts w:ascii="宋体" w:hAnsi="宋体"/>
          <w:b/>
          <w:bCs/>
          <w:color w:val="auto"/>
          <w:highlight w:val="none"/>
          <w:lang w:val="zh-CN"/>
        </w:rPr>
        <w:t xml:space="preserve">14.4 </w:t>
      </w:r>
      <w:bookmarkEnd w:id="987"/>
      <w:r>
        <w:rPr>
          <w:rFonts w:hint="eastAsia" w:ascii="宋体" w:hAnsi="宋体"/>
          <w:b/>
          <w:bCs/>
          <w:color w:val="auto"/>
          <w:highlight w:val="none"/>
          <w:lang w:val="zh-CN"/>
        </w:rPr>
        <w:t xml:space="preserve">最终结清                                                               </w:t>
      </w:r>
    </w:p>
    <w:p w14:paraId="6E8559FE">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14.4.1 </w:t>
      </w:r>
      <w:r>
        <w:rPr>
          <w:rFonts w:hint="eastAsia" w:ascii="宋体" w:hAnsi="宋体"/>
          <w:color w:val="auto"/>
          <w:kern w:val="0"/>
          <w:highlight w:val="none"/>
        </w:rPr>
        <w:t>最终结清申请单</w:t>
      </w:r>
    </w:p>
    <w:p w14:paraId="1B111FA1">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承包人提交最终结清申请单的份数：</w:t>
      </w:r>
      <w:r>
        <w:rPr>
          <w:rFonts w:hint="eastAsia" w:ascii="宋体" w:hAnsi="宋体"/>
          <w:color w:val="auto"/>
          <w:highlight w:val="none"/>
          <w:u w:val="single"/>
        </w:rPr>
        <w:t>最终结清申请单须符合工程所在地相关文件规定，提交份数按发包人工程款支付管理规定执行</w:t>
      </w:r>
      <w:r>
        <w:rPr>
          <w:rFonts w:hint="eastAsia" w:ascii="宋体" w:hAnsi="宋体"/>
          <w:color w:val="auto"/>
          <w:highlight w:val="none"/>
        </w:rPr>
        <w:t>。</w:t>
      </w:r>
    </w:p>
    <w:p w14:paraId="01C2774C">
      <w:pPr>
        <w:spacing w:line="360" w:lineRule="auto"/>
        <w:ind w:firstLine="420" w:firstLineChars="200"/>
        <w:jc w:val="left"/>
        <w:rPr>
          <w:rFonts w:ascii="宋体" w:hAnsi="宋体"/>
          <w:color w:val="auto"/>
          <w:highlight w:val="none"/>
        </w:rPr>
      </w:pPr>
      <w:r>
        <w:rPr>
          <w:rFonts w:hint="eastAsia" w:ascii="宋体" w:hAnsi="宋体"/>
          <w:color w:val="auto"/>
          <w:kern w:val="0"/>
          <w:highlight w:val="none"/>
        </w:rPr>
        <w:t>承包人提交最终结算申请单的期限：</w:t>
      </w:r>
      <w:r>
        <w:rPr>
          <w:rFonts w:hint="eastAsia" w:ascii="宋体" w:hAnsi="宋体"/>
          <w:color w:val="auto"/>
          <w:highlight w:val="none"/>
          <w:u w:val="single"/>
        </w:rPr>
        <w:t>缺陷责任期终止证书颁发后</w:t>
      </w:r>
      <w:r>
        <w:rPr>
          <w:rFonts w:ascii="宋体" w:hAnsi="宋体"/>
          <w:color w:val="auto"/>
          <w:highlight w:val="none"/>
          <w:u w:val="single"/>
        </w:rPr>
        <w:t>7</w:t>
      </w:r>
      <w:r>
        <w:rPr>
          <w:rFonts w:hint="eastAsia" w:ascii="宋体" w:hAnsi="宋体"/>
          <w:color w:val="auto"/>
          <w:highlight w:val="none"/>
          <w:u w:val="single"/>
        </w:rPr>
        <w:t>天内</w:t>
      </w:r>
      <w:r>
        <w:rPr>
          <w:rFonts w:hint="eastAsia" w:ascii="宋体" w:hAnsi="宋体"/>
          <w:color w:val="auto"/>
          <w:highlight w:val="none"/>
        </w:rPr>
        <w:t>。</w:t>
      </w:r>
    </w:p>
    <w:p w14:paraId="48D3756A">
      <w:pPr>
        <w:spacing w:line="360" w:lineRule="auto"/>
        <w:ind w:firstLine="420" w:firstLineChars="200"/>
        <w:jc w:val="left"/>
        <w:rPr>
          <w:rFonts w:ascii="宋体" w:hAnsi="宋体"/>
          <w:color w:val="auto"/>
          <w:highlight w:val="none"/>
        </w:rPr>
      </w:pPr>
      <w:r>
        <w:rPr>
          <w:rFonts w:hint="eastAsia" w:ascii="宋体" w:hAnsi="宋体"/>
          <w:color w:val="auto"/>
          <w:highlight w:val="none"/>
        </w:rPr>
        <w:t>最终结算款支付申请（核准）表见合同附件**。</w:t>
      </w:r>
    </w:p>
    <w:p w14:paraId="672D4719">
      <w:pPr>
        <w:spacing w:line="360" w:lineRule="auto"/>
        <w:ind w:firstLine="420" w:firstLineChars="200"/>
        <w:jc w:val="left"/>
        <w:rPr>
          <w:rFonts w:ascii="宋体" w:hAnsi="宋体"/>
          <w:color w:val="auto"/>
          <w:highlight w:val="none"/>
        </w:rPr>
      </w:pPr>
      <w:r>
        <w:rPr>
          <w:rFonts w:ascii="宋体" w:hAnsi="宋体"/>
          <w:color w:val="auto"/>
          <w:highlight w:val="none"/>
        </w:rPr>
        <w:t xml:space="preserve">14.4.2 </w:t>
      </w:r>
      <w:r>
        <w:rPr>
          <w:rFonts w:hint="eastAsia" w:ascii="宋体" w:hAnsi="宋体"/>
          <w:color w:val="auto"/>
          <w:highlight w:val="none"/>
        </w:rPr>
        <w:t>最终结清证书和支付</w:t>
      </w:r>
    </w:p>
    <w:p w14:paraId="2A88864C">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）发包人完成最终结清申请单的审批并颁发最终结清证书的期限：</w:t>
      </w:r>
      <w:r>
        <w:rPr>
          <w:rFonts w:hint="eastAsia" w:ascii="宋体" w:hAnsi="宋体"/>
          <w:color w:val="auto"/>
          <w:highlight w:val="none"/>
          <w:u w:val="single"/>
        </w:rPr>
        <w:t>收到承包人提交的最终结清申请单和完整的证明材料后</w:t>
      </w:r>
      <w:r>
        <w:rPr>
          <w:rFonts w:ascii="宋体" w:hAnsi="宋体"/>
          <w:color w:val="auto"/>
          <w:highlight w:val="none"/>
          <w:u w:val="single"/>
        </w:rPr>
        <w:t>28</w:t>
      </w:r>
      <w:r>
        <w:rPr>
          <w:rFonts w:hint="eastAsia" w:ascii="宋体" w:hAnsi="宋体"/>
          <w:color w:val="auto"/>
          <w:highlight w:val="none"/>
          <w:u w:val="single"/>
        </w:rPr>
        <w:t>天内</w:t>
      </w:r>
      <w:r>
        <w:rPr>
          <w:rFonts w:hint="eastAsia" w:ascii="宋体" w:hAnsi="宋体"/>
          <w:color w:val="auto"/>
          <w:highlight w:val="none"/>
        </w:rPr>
        <w:t>。</w:t>
      </w:r>
    </w:p>
    <w:p w14:paraId="650F197A">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）发包人完成支付的期限：</w:t>
      </w:r>
      <w:r>
        <w:rPr>
          <w:rFonts w:hint="eastAsia" w:ascii="宋体" w:hAnsi="宋体"/>
          <w:color w:val="auto"/>
          <w:highlight w:val="none"/>
          <w:u w:val="single"/>
        </w:rPr>
        <w:t>发包人签发颁发最终结清证书后30天</w:t>
      </w:r>
      <w:r>
        <w:rPr>
          <w:rFonts w:hint="eastAsia" w:ascii="宋体" w:hAnsi="宋体"/>
          <w:color w:val="auto"/>
          <w:highlight w:val="none"/>
        </w:rPr>
        <w:t>。</w:t>
      </w:r>
    </w:p>
    <w:p w14:paraId="0FE6436C">
      <w:pPr>
        <w:keepNext/>
        <w:keepLines/>
        <w:spacing w:before="60" w:after="60" w:line="413" w:lineRule="auto"/>
        <w:outlineLvl w:val="1"/>
        <w:rPr>
          <w:rFonts w:ascii="宋体" w:hAnsi="宋体"/>
          <w:b/>
          <w:bCs/>
          <w:color w:val="auto"/>
          <w:highlight w:val="none"/>
          <w:lang w:val="zh-CN"/>
        </w:rPr>
      </w:pPr>
      <w:bookmarkStart w:id="988" w:name="_Toc267251496"/>
      <w:r>
        <w:rPr>
          <w:rFonts w:ascii="宋体" w:hAnsi="宋体"/>
          <w:b/>
          <w:bCs/>
          <w:color w:val="auto"/>
          <w:highlight w:val="none"/>
          <w:lang w:val="zh-CN"/>
        </w:rPr>
        <w:t xml:space="preserve">15. </w:t>
      </w:r>
      <w:bookmarkEnd w:id="988"/>
      <w:r>
        <w:rPr>
          <w:rFonts w:hint="eastAsia" w:ascii="宋体" w:hAnsi="宋体"/>
          <w:b/>
          <w:bCs/>
          <w:color w:val="auto"/>
          <w:highlight w:val="none"/>
          <w:lang w:val="zh-CN"/>
        </w:rPr>
        <w:t>缺陷责任期与保修</w:t>
      </w:r>
    </w:p>
    <w:p w14:paraId="2E1C7534">
      <w:pPr>
        <w:keepNext/>
        <w:keepLines/>
        <w:spacing w:line="360" w:lineRule="auto"/>
        <w:outlineLvl w:val="2"/>
        <w:rPr>
          <w:rFonts w:ascii="宋体" w:hAnsi="宋体"/>
          <w:b/>
          <w:bCs/>
          <w:color w:val="auto"/>
          <w:highlight w:val="none"/>
          <w:lang w:val="zh-CN"/>
        </w:rPr>
      </w:pPr>
      <w:bookmarkStart w:id="989" w:name="_Toc407135266"/>
      <w:bookmarkEnd w:id="989"/>
      <w:bookmarkStart w:id="990" w:name="_Toc26391"/>
      <w:bookmarkEnd w:id="990"/>
      <w:bookmarkStart w:id="991" w:name="_Toc373478410"/>
      <w:bookmarkEnd w:id="991"/>
      <w:bookmarkStart w:id="992" w:name="_Toc373227763"/>
      <w:bookmarkEnd w:id="992"/>
      <w:bookmarkStart w:id="993" w:name="_Toc389065328"/>
      <w:r>
        <w:rPr>
          <w:rFonts w:ascii="宋体" w:hAnsi="宋体"/>
          <w:b/>
          <w:bCs/>
          <w:color w:val="auto"/>
          <w:highlight w:val="none"/>
          <w:lang w:val="zh-CN"/>
        </w:rPr>
        <w:t xml:space="preserve">15.2 </w:t>
      </w:r>
      <w:bookmarkEnd w:id="993"/>
      <w:r>
        <w:rPr>
          <w:rFonts w:hint="eastAsia" w:ascii="宋体" w:hAnsi="宋体"/>
          <w:b/>
          <w:bCs/>
          <w:color w:val="auto"/>
          <w:highlight w:val="none"/>
          <w:lang w:val="zh-CN"/>
        </w:rPr>
        <w:t>缺陷责任期</w:t>
      </w:r>
    </w:p>
    <w:p w14:paraId="1321D4AE">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缺陷责任期的具体期限：</w:t>
      </w:r>
      <w:r>
        <w:rPr>
          <w:rFonts w:hint="eastAsia" w:ascii="宋体" w:hAnsi="宋体"/>
          <w:color w:val="auto"/>
          <w:highlight w:val="none"/>
          <w:u w:val="single"/>
        </w:rPr>
        <w:t>本工程缺陷责任期为一年，以竣工验收合格之日起计算。如工程质量不能满足竣工验收要求的，承包人整改后至竣工验收合格之日起计算</w:t>
      </w:r>
      <w:r>
        <w:rPr>
          <w:rFonts w:hint="eastAsia" w:ascii="宋体" w:hAnsi="宋体"/>
          <w:color w:val="auto"/>
          <w:highlight w:val="none"/>
        </w:rPr>
        <w:t>。</w:t>
      </w:r>
    </w:p>
    <w:p w14:paraId="7926B0F7">
      <w:pPr>
        <w:keepNext/>
        <w:keepLines/>
        <w:spacing w:line="360" w:lineRule="auto"/>
        <w:outlineLvl w:val="2"/>
        <w:rPr>
          <w:rFonts w:ascii="宋体" w:hAnsi="宋体"/>
          <w:b/>
          <w:bCs/>
          <w:color w:val="auto"/>
          <w:highlight w:val="none"/>
          <w:lang w:val="zh-CN"/>
        </w:rPr>
      </w:pPr>
      <w:bookmarkStart w:id="994" w:name="_Toc373478411"/>
      <w:bookmarkEnd w:id="994"/>
      <w:bookmarkStart w:id="995" w:name="_Toc373227764"/>
      <w:bookmarkEnd w:id="995"/>
      <w:bookmarkStart w:id="996" w:name="_Toc389065329"/>
      <w:bookmarkEnd w:id="996"/>
      <w:bookmarkStart w:id="997" w:name="_Toc407135267"/>
      <w:bookmarkEnd w:id="997"/>
      <w:bookmarkStart w:id="998" w:name="_Toc7852"/>
      <w:r>
        <w:rPr>
          <w:rFonts w:ascii="宋体" w:hAnsi="宋体"/>
          <w:b/>
          <w:bCs/>
          <w:color w:val="auto"/>
          <w:highlight w:val="none"/>
          <w:lang w:val="zh-CN"/>
        </w:rPr>
        <w:t xml:space="preserve">15.3 </w:t>
      </w:r>
      <w:bookmarkEnd w:id="998"/>
      <w:r>
        <w:rPr>
          <w:rFonts w:hint="eastAsia" w:ascii="宋体" w:hAnsi="宋体"/>
          <w:b/>
          <w:bCs/>
          <w:color w:val="auto"/>
          <w:highlight w:val="none"/>
          <w:lang w:val="zh-CN"/>
        </w:rPr>
        <w:t>质量保证金</w:t>
      </w:r>
    </w:p>
    <w:p w14:paraId="55A6EC75">
      <w:pPr>
        <w:spacing w:line="360" w:lineRule="auto"/>
        <w:ind w:firstLine="420" w:firstLineChars="200"/>
        <w:jc w:val="left"/>
        <w:rPr>
          <w:rFonts w:ascii="宋体" w:hAnsi="宋体"/>
          <w:color w:val="auto"/>
          <w:highlight w:val="none"/>
        </w:rPr>
      </w:pPr>
      <w:r>
        <w:rPr>
          <w:rFonts w:hint="eastAsia" w:ascii="宋体" w:hAnsi="宋体"/>
          <w:color w:val="auto"/>
          <w:highlight w:val="none"/>
        </w:rPr>
        <w:t>关于是否扣留质量保证金的约定：</w:t>
      </w:r>
      <w:r>
        <w:rPr>
          <w:rFonts w:hint="eastAsia" w:ascii="宋体" w:hAnsi="宋体"/>
          <w:color w:val="auto"/>
          <w:highlight w:val="none"/>
          <w:u w:val="single"/>
        </w:rPr>
        <w:t>是</w:t>
      </w:r>
      <w:r>
        <w:rPr>
          <w:rFonts w:hint="eastAsia" w:ascii="宋体" w:hAnsi="宋体"/>
          <w:color w:val="auto"/>
          <w:highlight w:val="none"/>
        </w:rPr>
        <w:t>。</w:t>
      </w:r>
    </w:p>
    <w:p w14:paraId="04B64BC5">
      <w:pPr>
        <w:spacing w:line="360" w:lineRule="auto"/>
        <w:ind w:firstLine="420" w:firstLineChars="200"/>
        <w:jc w:val="left"/>
        <w:rPr>
          <w:rFonts w:ascii="宋体" w:hAnsi="宋体"/>
          <w:color w:val="auto"/>
          <w:highlight w:val="none"/>
        </w:rPr>
      </w:pPr>
      <w:r>
        <w:rPr>
          <w:rFonts w:hint="eastAsia" w:ascii="宋体" w:hAnsi="宋体"/>
          <w:color w:val="auto"/>
          <w:highlight w:val="none"/>
        </w:rPr>
        <w:t>在工程项目竣工前，承包人按专用合同条款第</w:t>
      </w:r>
      <w:r>
        <w:rPr>
          <w:rFonts w:ascii="宋体" w:hAnsi="宋体"/>
          <w:color w:val="auto"/>
          <w:highlight w:val="none"/>
        </w:rPr>
        <w:t>3.7</w:t>
      </w:r>
      <w:r>
        <w:rPr>
          <w:rFonts w:hint="eastAsia" w:ascii="宋体" w:hAnsi="宋体"/>
          <w:color w:val="auto"/>
          <w:highlight w:val="none"/>
        </w:rPr>
        <w:t>条提供履约担保的，发包人不得同时预留工程质量保证金。</w:t>
      </w:r>
    </w:p>
    <w:p w14:paraId="31CFE03F">
      <w:pPr>
        <w:spacing w:line="360" w:lineRule="auto"/>
        <w:ind w:firstLine="420" w:firstLineChars="200"/>
        <w:jc w:val="left"/>
        <w:outlineLvl w:val="0"/>
        <w:rPr>
          <w:rFonts w:ascii="宋体" w:hAnsi="宋体"/>
          <w:color w:val="auto"/>
          <w:highlight w:val="none"/>
        </w:rPr>
      </w:pPr>
      <w:bookmarkStart w:id="999" w:name="_Toc20214"/>
      <w:bookmarkStart w:id="1000" w:name="_Toc11152"/>
      <w:bookmarkStart w:id="1001" w:name="_Toc2174"/>
      <w:bookmarkStart w:id="1002" w:name="_Toc21114"/>
      <w:bookmarkStart w:id="1003" w:name="_Toc7835"/>
      <w:bookmarkStart w:id="1004" w:name="_Toc19931"/>
      <w:r>
        <w:rPr>
          <w:rFonts w:ascii="宋体" w:hAnsi="宋体"/>
          <w:color w:val="auto"/>
          <w:highlight w:val="none"/>
        </w:rPr>
        <w:t xml:space="preserve">15.3.1 </w:t>
      </w:r>
      <w:r>
        <w:rPr>
          <w:rFonts w:hint="eastAsia" w:ascii="宋体" w:hAnsi="宋体"/>
          <w:color w:val="auto"/>
          <w:highlight w:val="none"/>
        </w:rPr>
        <w:t>承包人提供质量保证金的方式</w:t>
      </w:r>
      <w:bookmarkEnd w:id="999"/>
      <w:bookmarkEnd w:id="1000"/>
      <w:bookmarkEnd w:id="1001"/>
      <w:bookmarkEnd w:id="1002"/>
      <w:bookmarkEnd w:id="1003"/>
      <w:bookmarkEnd w:id="1004"/>
    </w:p>
    <w:p w14:paraId="70A2606D">
      <w:pPr>
        <w:spacing w:line="360" w:lineRule="auto"/>
        <w:ind w:firstLine="420" w:firstLineChars="200"/>
        <w:jc w:val="left"/>
        <w:rPr>
          <w:rFonts w:ascii="宋体" w:hAnsi="宋体"/>
          <w:color w:val="auto"/>
          <w:highlight w:val="none"/>
        </w:rPr>
      </w:pPr>
      <w:r>
        <w:rPr>
          <w:rFonts w:hint="eastAsia" w:ascii="宋体" w:hAnsi="宋体"/>
          <w:color w:val="auto"/>
          <w:highlight w:val="none"/>
        </w:rPr>
        <w:t>质量保证金采用以下第</w:t>
      </w:r>
      <w:r>
        <w:rPr>
          <w:rFonts w:hint="eastAsia" w:ascii="宋体" w:hAnsi="宋体"/>
          <w:color w:val="auto"/>
          <w:highlight w:val="none"/>
          <w:u w:val="single"/>
        </w:rPr>
        <w:t>（2）</w:t>
      </w:r>
      <w:r>
        <w:rPr>
          <w:rFonts w:hint="eastAsia" w:ascii="宋体" w:hAnsi="宋体"/>
          <w:color w:val="auto"/>
          <w:highlight w:val="none"/>
        </w:rPr>
        <w:t>种方式：</w:t>
      </w:r>
    </w:p>
    <w:p w14:paraId="1756920D">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）质量保证金保函，保证金额为：；</w:t>
      </w:r>
    </w:p>
    <w:p w14:paraId="22DDC845">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w:t>
      </w:r>
      <w:r>
        <w:rPr>
          <w:rFonts w:hint="eastAsia" w:ascii="宋体" w:hAnsi="宋体"/>
          <w:color w:val="auto"/>
          <w:highlight w:val="none"/>
        </w:rPr>
        <w:t>发包人按工程价款结算总额的</w:t>
      </w:r>
      <w:r>
        <w:rPr>
          <w:rFonts w:ascii="宋体" w:hAnsi="宋体"/>
          <w:color w:val="auto"/>
          <w:highlight w:val="none"/>
          <w:u w:val="single"/>
        </w:rPr>
        <w:t xml:space="preserve"> 3  </w:t>
      </w:r>
      <w:r>
        <w:rPr>
          <w:rFonts w:ascii="宋体" w:hAnsi="宋体"/>
          <w:color w:val="auto"/>
          <w:highlight w:val="none"/>
        </w:rPr>
        <w:t>%</w:t>
      </w:r>
      <w:r>
        <w:rPr>
          <w:rFonts w:hint="eastAsia" w:ascii="宋体" w:hAnsi="宋体"/>
          <w:color w:val="auto"/>
          <w:highlight w:val="none"/>
        </w:rPr>
        <w:t>（不得超过</w:t>
      </w:r>
      <w:r>
        <w:rPr>
          <w:rFonts w:ascii="宋体" w:hAnsi="宋体"/>
          <w:color w:val="auto"/>
          <w:highlight w:val="none"/>
        </w:rPr>
        <w:t>3%</w:t>
      </w:r>
      <w:r>
        <w:rPr>
          <w:rFonts w:hint="eastAsia" w:ascii="宋体" w:hAnsi="宋体"/>
          <w:color w:val="auto"/>
          <w:highlight w:val="none"/>
        </w:rPr>
        <w:t>）预留工程质量保证金，待缺陷责任期满后返还，是否付息及利息计算方式为：</w:t>
      </w:r>
      <w:r>
        <w:rPr>
          <w:rFonts w:hint="eastAsia" w:ascii="宋体" w:hAnsi="宋体"/>
          <w:color w:val="auto"/>
          <w:highlight w:val="none"/>
          <w:u w:val="single"/>
        </w:rPr>
        <w:t>否</w:t>
      </w:r>
      <w:r>
        <w:rPr>
          <w:rFonts w:hint="eastAsia" w:ascii="宋体" w:hAnsi="宋体"/>
          <w:color w:val="auto"/>
          <w:kern w:val="0"/>
          <w:highlight w:val="none"/>
        </w:rPr>
        <w:t>；</w:t>
      </w:r>
    </w:p>
    <w:p w14:paraId="0FCA5569">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）其他方式：</w:t>
      </w:r>
      <w:r>
        <w:rPr>
          <w:rFonts w:hint="eastAsia" w:ascii="宋体" w:hAnsi="宋体"/>
          <w:color w:val="auto"/>
          <w:kern w:val="0"/>
          <w:highlight w:val="none"/>
          <w:u w:val="single"/>
        </w:rPr>
        <w:t xml:space="preserve">      无         </w:t>
      </w:r>
      <w:r>
        <w:rPr>
          <w:rFonts w:hint="eastAsia" w:ascii="宋体" w:hAnsi="宋体"/>
          <w:color w:val="auto"/>
          <w:highlight w:val="none"/>
        </w:rPr>
        <w:t>。</w:t>
      </w:r>
    </w:p>
    <w:p w14:paraId="3E2BA06D">
      <w:pPr>
        <w:spacing w:line="360" w:lineRule="auto"/>
        <w:ind w:firstLine="420" w:firstLineChars="200"/>
        <w:jc w:val="left"/>
        <w:rPr>
          <w:rFonts w:ascii="宋体" w:hAnsi="宋体"/>
          <w:color w:val="auto"/>
          <w:highlight w:val="none"/>
        </w:rPr>
      </w:pPr>
      <w:r>
        <w:rPr>
          <w:rFonts w:ascii="宋体" w:hAnsi="宋体"/>
          <w:color w:val="auto"/>
          <w:highlight w:val="none"/>
        </w:rPr>
        <w:t xml:space="preserve">15.3.2 </w:t>
      </w:r>
      <w:r>
        <w:rPr>
          <w:rFonts w:hint="eastAsia" w:ascii="宋体" w:hAnsi="宋体"/>
          <w:color w:val="auto"/>
          <w:highlight w:val="none"/>
        </w:rPr>
        <w:t>质量保证金的扣留</w:t>
      </w:r>
    </w:p>
    <w:p w14:paraId="3430C339">
      <w:pPr>
        <w:spacing w:line="360" w:lineRule="auto"/>
        <w:ind w:firstLine="420" w:firstLineChars="200"/>
        <w:jc w:val="left"/>
        <w:rPr>
          <w:rFonts w:ascii="宋体" w:hAnsi="宋体"/>
          <w:color w:val="auto"/>
          <w:highlight w:val="none"/>
        </w:rPr>
      </w:pPr>
      <w:r>
        <w:rPr>
          <w:rFonts w:hint="eastAsia" w:ascii="宋体" w:hAnsi="宋体"/>
          <w:color w:val="auto"/>
          <w:highlight w:val="none"/>
        </w:rPr>
        <w:t>质量保证金的扣留采取以下第</w:t>
      </w:r>
      <w:r>
        <w:rPr>
          <w:rFonts w:hint="eastAsia" w:ascii="宋体" w:hAnsi="宋体"/>
          <w:color w:val="auto"/>
          <w:highlight w:val="none"/>
          <w:u w:val="single"/>
        </w:rPr>
        <w:t>（2）</w:t>
      </w:r>
      <w:r>
        <w:rPr>
          <w:rFonts w:hint="eastAsia" w:ascii="宋体" w:hAnsi="宋体"/>
          <w:color w:val="auto"/>
          <w:highlight w:val="none"/>
        </w:rPr>
        <w:t>种方式：</w:t>
      </w:r>
    </w:p>
    <w:p w14:paraId="6D6757FA">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）在</w:t>
      </w:r>
      <w:r>
        <w:rPr>
          <w:rFonts w:hint="eastAsia" w:ascii="宋体" w:hAnsi="宋体" w:cs="宋体"/>
          <w:color w:val="auto"/>
          <w:kern w:val="0"/>
          <w:highlight w:val="none"/>
        </w:rPr>
        <w:t>不缴纳履</w:t>
      </w:r>
      <w:r>
        <w:rPr>
          <w:rFonts w:hint="eastAsia" w:ascii="宋体" w:hAnsi="宋体"/>
          <w:color w:val="auto"/>
          <w:kern w:val="0"/>
          <w:highlight w:val="none"/>
        </w:rPr>
        <w:t>保</w:t>
      </w:r>
      <w:r>
        <w:rPr>
          <w:rFonts w:hint="eastAsia" w:ascii="宋体" w:hAnsi="宋体" w:cs="宋体"/>
          <w:color w:val="auto"/>
          <w:kern w:val="0"/>
          <w:highlight w:val="none"/>
        </w:rPr>
        <w:t>证金情况下</w:t>
      </w:r>
      <w:r>
        <w:rPr>
          <w:rFonts w:hint="eastAsia" w:ascii="宋体" w:hAnsi="宋体"/>
          <w:color w:val="auto"/>
          <w:kern w:val="0"/>
          <w:highlight w:val="none"/>
        </w:rPr>
        <w:t>，按支付工程进度款时逐次扣留，质量保证金的计算基数不包括预付款的支付、扣回以及价格调整的金额；</w:t>
      </w:r>
    </w:p>
    <w:p w14:paraId="30E235C3">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）工程竣工结算时，一次性扣留质量保证金，质保</w:t>
      </w:r>
      <w:r>
        <w:rPr>
          <w:rFonts w:hint="eastAsia" w:ascii="宋体" w:hAnsi="宋体" w:cs="宋体"/>
          <w:color w:val="auto"/>
          <w:kern w:val="0"/>
          <w:highlight w:val="none"/>
        </w:rPr>
        <w:t>金不得高</w:t>
      </w:r>
      <w:r>
        <w:rPr>
          <w:rFonts w:hint="eastAsia" w:ascii="宋体" w:hAnsi="宋体"/>
          <w:color w:val="auto"/>
          <w:kern w:val="0"/>
          <w:highlight w:val="none"/>
        </w:rPr>
        <w:t>于</w:t>
      </w:r>
      <w:r>
        <w:rPr>
          <w:rFonts w:hint="eastAsia" w:ascii="宋体" w:hAnsi="宋体" w:cs="宋体"/>
          <w:color w:val="auto"/>
          <w:kern w:val="0"/>
          <w:highlight w:val="none"/>
        </w:rPr>
        <w:t>工程价款结算总额的</w:t>
      </w:r>
      <w:r>
        <w:rPr>
          <w:rFonts w:ascii="宋体" w:hAnsi="宋体"/>
          <w:color w:val="auto"/>
          <w:kern w:val="0"/>
          <w:highlight w:val="none"/>
        </w:rPr>
        <w:t>3</w:t>
      </w:r>
      <w:r>
        <w:rPr>
          <w:rFonts w:ascii="宋体" w:hAnsi="宋体" w:cs="宋体"/>
          <w:color w:val="auto"/>
          <w:kern w:val="0"/>
          <w:highlight w:val="none"/>
        </w:rPr>
        <w:t>%</w:t>
      </w:r>
      <w:r>
        <w:rPr>
          <w:rFonts w:hint="eastAsia" w:ascii="宋体" w:hAnsi="宋体"/>
          <w:color w:val="auto"/>
          <w:kern w:val="0"/>
          <w:highlight w:val="none"/>
        </w:rPr>
        <w:t>；</w:t>
      </w:r>
    </w:p>
    <w:p w14:paraId="20C9B803">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）其他扣留方式</w:t>
      </w:r>
      <w:r>
        <w:rPr>
          <w:rFonts w:ascii="宋体" w:hAnsi="宋体"/>
          <w:color w:val="auto"/>
          <w:kern w:val="0"/>
          <w:highlight w:val="none"/>
        </w:rPr>
        <w:t>:</w:t>
      </w:r>
      <w:r>
        <w:rPr>
          <w:rFonts w:hint="eastAsia" w:ascii="宋体" w:hAnsi="宋体"/>
          <w:color w:val="auto"/>
          <w:kern w:val="0"/>
          <w:highlight w:val="none"/>
          <w:u w:val="single"/>
        </w:rPr>
        <w:t>无</w:t>
      </w:r>
      <w:r>
        <w:rPr>
          <w:rFonts w:hint="eastAsia" w:ascii="宋体" w:hAnsi="宋体"/>
          <w:color w:val="auto"/>
          <w:kern w:val="0"/>
          <w:highlight w:val="none"/>
        </w:rPr>
        <w:t>。</w:t>
      </w:r>
    </w:p>
    <w:p w14:paraId="05687C85">
      <w:pPr>
        <w:spacing w:line="360" w:lineRule="auto"/>
        <w:ind w:firstLine="420" w:firstLineChars="200"/>
        <w:jc w:val="left"/>
        <w:rPr>
          <w:rFonts w:ascii="宋体" w:hAnsi="宋体"/>
          <w:color w:val="auto"/>
          <w:kern w:val="0"/>
          <w:highlight w:val="none"/>
          <w:u w:val="single"/>
        </w:rPr>
      </w:pPr>
      <w:r>
        <w:rPr>
          <w:rFonts w:hint="eastAsia" w:ascii="宋体" w:hAnsi="宋体"/>
          <w:color w:val="auto"/>
          <w:highlight w:val="none"/>
        </w:rPr>
        <w:t>关于质量保证金的补充约定：</w:t>
      </w:r>
      <w:r>
        <w:rPr>
          <w:rFonts w:hint="eastAsia" w:ascii="宋体" w:hAnsi="宋体"/>
          <w:color w:val="auto"/>
          <w:kern w:val="0"/>
          <w:highlight w:val="none"/>
          <w:u w:val="single"/>
        </w:rPr>
        <w:t>无</w:t>
      </w:r>
      <w:r>
        <w:rPr>
          <w:rFonts w:hint="eastAsia" w:ascii="宋体" w:hAnsi="宋体"/>
          <w:color w:val="auto"/>
          <w:kern w:val="0"/>
          <w:highlight w:val="none"/>
        </w:rPr>
        <w:t>。</w:t>
      </w:r>
    </w:p>
    <w:p w14:paraId="4512EAA7">
      <w:pPr>
        <w:keepNext/>
        <w:keepLines/>
        <w:spacing w:line="360" w:lineRule="auto"/>
        <w:outlineLvl w:val="2"/>
        <w:rPr>
          <w:rFonts w:ascii="宋体" w:hAnsi="宋体"/>
          <w:b/>
          <w:bCs/>
          <w:color w:val="auto"/>
          <w:highlight w:val="none"/>
          <w:lang w:val="zh-CN"/>
        </w:rPr>
      </w:pPr>
      <w:bookmarkStart w:id="1005" w:name="_Toc407135268"/>
      <w:bookmarkEnd w:id="1005"/>
      <w:bookmarkStart w:id="1006" w:name="_Toc389065330"/>
      <w:bookmarkEnd w:id="1006"/>
      <w:bookmarkStart w:id="1007" w:name="_Toc7093"/>
      <w:bookmarkEnd w:id="1007"/>
      <w:bookmarkStart w:id="1008" w:name="_Toc373227765"/>
      <w:bookmarkEnd w:id="1008"/>
      <w:bookmarkStart w:id="1009" w:name="_Toc373478412"/>
      <w:r>
        <w:rPr>
          <w:rFonts w:ascii="宋体" w:hAnsi="宋体"/>
          <w:b/>
          <w:bCs/>
          <w:color w:val="auto"/>
          <w:highlight w:val="none"/>
          <w:lang w:val="zh-CN"/>
        </w:rPr>
        <w:t xml:space="preserve">15.4 </w:t>
      </w:r>
      <w:bookmarkEnd w:id="1009"/>
      <w:r>
        <w:rPr>
          <w:rFonts w:hint="eastAsia" w:ascii="宋体" w:hAnsi="宋体"/>
          <w:b/>
          <w:bCs/>
          <w:color w:val="auto"/>
          <w:highlight w:val="none"/>
          <w:lang w:val="zh-CN"/>
        </w:rPr>
        <w:t>保修</w:t>
      </w:r>
    </w:p>
    <w:p w14:paraId="7BC13A00">
      <w:pPr>
        <w:spacing w:line="360" w:lineRule="auto"/>
        <w:ind w:firstLine="409" w:firstLineChars="195"/>
        <w:jc w:val="left"/>
        <w:outlineLvl w:val="0"/>
        <w:rPr>
          <w:rFonts w:ascii="宋体" w:hAnsi="宋体"/>
          <w:color w:val="auto"/>
          <w:highlight w:val="none"/>
        </w:rPr>
      </w:pPr>
      <w:bookmarkStart w:id="1010" w:name="_Toc22875"/>
      <w:bookmarkStart w:id="1011" w:name="_Toc30656"/>
      <w:bookmarkStart w:id="1012" w:name="_Toc31451"/>
      <w:bookmarkStart w:id="1013" w:name="_Toc11765"/>
      <w:bookmarkStart w:id="1014" w:name="_Toc9459"/>
      <w:bookmarkStart w:id="1015" w:name="_Toc10786"/>
      <w:r>
        <w:rPr>
          <w:rFonts w:ascii="宋体" w:hAnsi="宋体"/>
          <w:color w:val="auto"/>
          <w:highlight w:val="none"/>
        </w:rPr>
        <w:t xml:space="preserve">15.4.1 </w:t>
      </w:r>
      <w:r>
        <w:rPr>
          <w:rFonts w:hint="eastAsia" w:ascii="宋体" w:hAnsi="宋体"/>
          <w:color w:val="auto"/>
          <w:highlight w:val="none"/>
        </w:rPr>
        <w:t>保修责任</w:t>
      </w:r>
      <w:bookmarkEnd w:id="1010"/>
      <w:bookmarkEnd w:id="1011"/>
      <w:bookmarkEnd w:id="1012"/>
      <w:bookmarkEnd w:id="1013"/>
      <w:bookmarkEnd w:id="1014"/>
      <w:bookmarkEnd w:id="1015"/>
    </w:p>
    <w:p w14:paraId="2ACE0172">
      <w:pPr>
        <w:spacing w:line="360" w:lineRule="auto"/>
        <w:ind w:firstLine="409" w:firstLineChars="195"/>
        <w:jc w:val="left"/>
        <w:rPr>
          <w:rFonts w:ascii="宋体" w:hAnsi="宋体"/>
          <w:color w:val="auto"/>
          <w:kern w:val="0"/>
          <w:highlight w:val="none"/>
        </w:rPr>
      </w:pPr>
      <w:r>
        <w:rPr>
          <w:rFonts w:hint="eastAsia" w:ascii="宋体" w:hAnsi="宋体"/>
          <w:color w:val="auto"/>
          <w:highlight w:val="none"/>
        </w:rPr>
        <w:t>工程保修期为：</w:t>
      </w:r>
      <w:r>
        <w:rPr>
          <w:rFonts w:hint="eastAsia" w:ascii="宋体" w:hAnsi="宋体"/>
          <w:b/>
          <w:bCs/>
          <w:color w:val="auto"/>
          <w:kern w:val="0"/>
          <w:highlight w:val="none"/>
          <w:u w:val="single"/>
        </w:rPr>
        <w:t>见附件：工程质量保修书</w:t>
      </w:r>
      <w:r>
        <w:rPr>
          <w:rFonts w:hint="eastAsia" w:ascii="宋体" w:hAnsi="宋体"/>
          <w:color w:val="auto"/>
          <w:kern w:val="0"/>
          <w:highlight w:val="none"/>
        </w:rPr>
        <w:t>。</w:t>
      </w:r>
    </w:p>
    <w:p w14:paraId="5BD8B092">
      <w:pPr>
        <w:spacing w:line="360" w:lineRule="auto"/>
        <w:ind w:firstLine="409" w:firstLineChars="195"/>
        <w:jc w:val="left"/>
        <w:rPr>
          <w:rFonts w:ascii="宋体" w:hAnsi="宋体"/>
          <w:color w:val="auto"/>
          <w:kern w:val="0"/>
          <w:highlight w:val="none"/>
          <w:u w:val="single"/>
        </w:rPr>
      </w:pPr>
      <w:r>
        <w:rPr>
          <w:rFonts w:hint="eastAsia" w:ascii="宋体" w:hAnsi="宋体"/>
          <w:color w:val="auto"/>
          <w:highlight w:val="none"/>
        </w:rPr>
        <w:t>工程保修书具体内容见合同附件*。</w:t>
      </w:r>
    </w:p>
    <w:p w14:paraId="278669AD">
      <w:pPr>
        <w:spacing w:line="360" w:lineRule="auto"/>
        <w:ind w:firstLine="409" w:firstLineChars="195"/>
        <w:jc w:val="left"/>
        <w:rPr>
          <w:rFonts w:ascii="宋体" w:hAnsi="宋体"/>
          <w:color w:val="auto"/>
          <w:highlight w:val="none"/>
        </w:rPr>
      </w:pPr>
      <w:r>
        <w:rPr>
          <w:rFonts w:ascii="宋体" w:hAnsi="宋体"/>
          <w:color w:val="auto"/>
          <w:highlight w:val="none"/>
        </w:rPr>
        <w:t xml:space="preserve">15.4.3 </w:t>
      </w:r>
      <w:r>
        <w:rPr>
          <w:rFonts w:hint="eastAsia" w:ascii="宋体" w:hAnsi="宋体"/>
          <w:color w:val="auto"/>
          <w:highlight w:val="none"/>
        </w:rPr>
        <w:t>修复通知</w:t>
      </w:r>
    </w:p>
    <w:p w14:paraId="166523B7">
      <w:pPr>
        <w:spacing w:line="360" w:lineRule="auto"/>
        <w:ind w:firstLine="409" w:firstLineChars="195"/>
        <w:jc w:val="left"/>
        <w:rPr>
          <w:rFonts w:ascii="宋体" w:hAnsi="宋体"/>
          <w:color w:val="auto"/>
          <w:kern w:val="0"/>
          <w:highlight w:val="none"/>
          <w:u w:val="single"/>
        </w:rPr>
      </w:pPr>
      <w:r>
        <w:rPr>
          <w:rFonts w:hint="eastAsia" w:ascii="宋体" w:hAnsi="宋体"/>
          <w:color w:val="auto"/>
          <w:kern w:val="0"/>
          <w:highlight w:val="none"/>
        </w:rPr>
        <w:t>承包人收到保修通知并到达工程现场的合理时间：</w:t>
      </w:r>
      <w:r>
        <w:rPr>
          <w:rFonts w:ascii="宋体" w:hAnsi="宋体"/>
          <w:color w:val="auto"/>
          <w:kern w:val="0"/>
          <w:highlight w:val="none"/>
          <w:u w:val="single"/>
        </w:rPr>
        <w:t xml:space="preserve">  24</w:t>
      </w:r>
      <w:r>
        <w:rPr>
          <w:rFonts w:hint="eastAsia" w:ascii="宋体" w:hAnsi="宋体"/>
          <w:color w:val="auto"/>
          <w:kern w:val="0"/>
          <w:highlight w:val="none"/>
          <w:u w:val="single"/>
        </w:rPr>
        <w:t>小时内</w:t>
      </w:r>
      <w:r>
        <w:rPr>
          <w:rFonts w:hint="eastAsia" w:ascii="宋体" w:hAnsi="宋体"/>
          <w:color w:val="auto"/>
          <w:kern w:val="0"/>
          <w:highlight w:val="none"/>
        </w:rPr>
        <w:t>。</w:t>
      </w:r>
    </w:p>
    <w:p w14:paraId="2C3E5C47">
      <w:pPr>
        <w:keepNext/>
        <w:keepLines/>
        <w:spacing w:before="60" w:after="60" w:line="413" w:lineRule="auto"/>
        <w:outlineLvl w:val="1"/>
        <w:rPr>
          <w:rFonts w:ascii="宋体" w:hAnsi="宋体"/>
          <w:b/>
          <w:bCs/>
          <w:color w:val="auto"/>
          <w:highlight w:val="none"/>
          <w:lang w:val="zh-CN"/>
        </w:rPr>
      </w:pPr>
      <w:bookmarkStart w:id="1016" w:name="_Toc280868717"/>
      <w:bookmarkEnd w:id="1016"/>
      <w:bookmarkStart w:id="1017" w:name="_Toc280868718"/>
      <w:bookmarkEnd w:id="1017"/>
      <w:bookmarkStart w:id="1018" w:name="_Toc20847"/>
      <w:bookmarkEnd w:id="1018"/>
      <w:bookmarkStart w:id="1019" w:name="_Toc351203648"/>
      <w:bookmarkEnd w:id="1019"/>
      <w:bookmarkStart w:id="1020" w:name="_Toc389065331"/>
      <w:bookmarkEnd w:id="1020"/>
      <w:bookmarkStart w:id="1021" w:name="_Toc407135269"/>
      <w:bookmarkEnd w:id="1021"/>
      <w:bookmarkStart w:id="1022" w:name="_Toc373227766"/>
      <w:bookmarkEnd w:id="1022"/>
      <w:bookmarkStart w:id="1023" w:name="_Toc373478413"/>
      <w:r>
        <w:rPr>
          <w:rFonts w:ascii="宋体" w:hAnsi="宋体"/>
          <w:b/>
          <w:bCs/>
          <w:color w:val="auto"/>
          <w:highlight w:val="none"/>
          <w:lang w:val="zh-CN"/>
        </w:rPr>
        <w:t xml:space="preserve">16. </w:t>
      </w:r>
      <w:bookmarkEnd w:id="1023"/>
      <w:r>
        <w:rPr>
          <w:rFonts w:hint="eastAsia" w:ascii="宋体" w:hAnsi="宋体"/>
          <w:b/>
          <w:bCs/>
          <w:color w:val="auto"/>
          <w:highlight w:val="none"/>
          <w:lang w:val="zh-CN"/>
        </w:rPr>
        <w:t>违约</w:t>
      </w:r>
    </w:p>
    <w:p w14:paraId="23F83B9D">
      <w:pPr>
        <w:keepNext/>
        <w:keepLines/>
        <w:spacing w:line="360" w:lineRule="auto"/>
        <w:outlineLvl w:val="2"/>
        <w:rPr>
          <w:rFonts w:ascii="宋体" w:hAnsi="宋体"/>
          <w:b/>
          <w:bCs/>
          <w:color w:val="auto"/>
          <w:highlight w:val="none"/>
          <w:lang w:val="zh-CN"/>
        </w:rPr>
      </w:pPr>
      <w:bookmarkStart w:id="1024" w:name="_Toc373227767"/>
      <w:bookmarkEnd w:id="1024"/>
      <w:bookmarkStart w:id="1025" w:name="_Toc8492"/>
      <w:bookmarkEnd w:id="1025"/>
      <w:bookmarkStart w:id="1026" w:name="_Toc389065332"/>
      <w:bookmarkEnd w:id="1026"/>
      <w:bookmarkStart w:id="1027" w:name="_Toc373478414"/>
      <w:bookmarkEnd w:id="1027"/>
      <w:bookmarkStart w:id="1028" w:name="_Toc407135270"/>
      <w:r>
        <w:rPr>
          <w:rFonts w:ascii="宋体" w:hAnsi="宋体"/>
          <w:b/>
          <w:bCs/>
          <w:color w:val="auto"/>
          <w:highlight w:val="none"/>
          <w:lang w:val="zh-CN"/>
        </w:rPr>
        <w:t xml:space="preserve">16.1 </w:t>
      </w:r>
      <w:bookmarkEnd w:id="1028"/>
      <w:r>
        <w:rPr>
          <w:rFonts w:hint="eastAsia" w:ascii="宋体" w:hAnsi="宋体"/>
          <w:b/>
          <w:bCs/>
          <w:color w:val="auto"/>
          <w:highlight w:val="none"/>
          <w:lang w:val="zh-CN"/>
        </w:rPr>
        <w:t>发包人违约</w:t>
      </w:r>
    </w:p>
    <w:p w14:paraId="68B7AE89">
      <w:pPr>
        <w:spacing w:line="360" w:lineRule="auto"/>
        <w:ind w:firstLine="420" w:firstLineChars="200"/>
        <w:jc w:val="left"/>
        <w:rPr>
          <w:rFonts w:ascii="宋体" w:hAnsi="宋体"/>
          <w:color w:val="auto"/>
          <w:highlight w:val="none"/>
        </w:rPr>
      </w:pPr>
      <w:r>
        <w:rPr>
          <w:rFonts w:ascii="宋体" w:hAnsi="宋体"/>
          <w:color w:val="auto"/>
          <w:highlight w:val="none"/>
        </w:rPr>
        <w:t>16.1.1</w:t>
      </w:r>
      <w:r>
        <w:rPr>
          <w:rFonts w:hint="eastAsia" w:ascii="宋体" w:hAnsi="宋体"/>
          <w:color w:val="auto"/>
          <w:highlight w:val="none"/>
        </w:rPr>
        <w:t>发包人违约的情形</w:t>
      </w:r>
    </w:p>
    <w:p w14:paraId="3B22A8A4">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发包人违约的其他情形：</w:t>
      </w:r>
      <w:r>
        <w:rPr>
          <w:rFonts w:hint="eastAsia" w:ascii="宋体" w:hAnsi="宋体"/>
          <w:color w:val="auto"/>
          <w:kern w:val="0"/>
          <w:highlight w:val="none"/>
          <w:u w:val="single"/>
        </w:rPr>
        <w:t>按《通用合同条款》执行</w:t>
      </w:r>
      <w:r>
        <w:rPr>
          <w:rFonts w:hint="eastAsia" w:ascii="宋体" w:hAnsi="宋体"/>
          <w:color w:val="auto"/>
          <w:kern w:val="0"/>
          <w:highlight w:val="none"/>
        </w:rPr>
        <w:t>。</w:t>
      </w:r>
    </w:p>
    <w:p w14:paraId="421F20E2">
      <w:pPr>
        <w:spacing w:line="360" w:lineRule="auto"/>
        <w:ind w:firstLine="420" w:firstLineChars="200"/>
        <w:jc w:val="left"/>
        <w:outlineLvl w:val="0"/>
        <w:rPr>
          <w:rFonts w:ascii="宋体" w:hAnsi="宋体"/>
          <w:color w:val="auto"/>
          <w:kern w:val="0"/>
          <w:highlight w:val="none"/>
        </w:rPr>
      </w:pPr>
      <w:bookmarkStart w:id="1029" w:name="_Toc8754"/>
      <w:bookmarkStart w:id="1030" w:name="_Toc18903"/>
      <w:bookmarkStart w:id="1031" w:name="_Toc32453"/>
      <w:bookmarkStart w:id="1032" w:name="_Toc16294"/>
      <w:bookmarkStart w:id="1033" w:name="_Toc21665"/>
      <w:bookmarkStart w:id="1034" w:name="_Toc11137"/>
      <w:r>
        <w:rPr>
          <w:rFonts w:ascii="宋体" w:hAnsi="宋体"/>
          <w:color w:val="auto"/>
          <w:kern w:val="0"/>
          <w:highlight w:val="none"/>
        </w:rPr>
        <w:t xml:space="preserve">16.1.2 </w:t>
      </w:r>
      <w:r>
        <w:rPr>
          <w:rFonts w:hint="eastAsia" w:ascii="宋体" w:hAnsi="宋体"/>
          <w:color w:val="auto"/>
          <w:kern w:val="0"/>
          <w:highlight w:val="none"/>
        </w:rPr>
        <w:t>发包人违约的责任</w:t>
      </w:r>
      <w:bookmarkEnd w:id="1029"/>
      <w:bookmarkEnd w:id="1030"/>
      <w:bookmarkEnd w:id="1031"/>
      <w:bookmarkEnd w:id="1032"/>
      <w:bookmarkEnd w:id="1033"/>
      <w:bookmarkEnd w:id="1034"/>
    </w:p>
    <w:p w14:paraId="5120E789">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发包人违约责任的承担方式和计算方法：</w:t>
      </w:r>
    </w:p>
    <w:p w14:paraId="2004F51B">
      <w:pPr>
        <w:spacing w:line="360" w:lineRule="auto"/>
        <w:ind w:firstLine="420" w:firstLineChars="200"/>
        <w:jc w:val="left"/>
        <w:rPr>
          <w:rFonts w:ascii="宋体" w:hAnsi="宋体"/>
          <w:color w:val="auto"/>
          <w:kern w:val="0"/>
          <w:highlight w:val="none"/>
          <w:u w:val="singl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）因发包人原因未能在计划开工日期前</w:t>
      </w:r>
      <w:r>
        <w:rPr>
          <w:rFonts w:ascii="宋体" w:hAnsi="宋体"/>
          <w:color w:val="auto"/>
          <w:kern w:val="0"/>
          <w:highlight w:val="none"/>
        </w:rPr>
        <w:t>7</w:t>
      </w:r>
      <w:r>
        <w:rPr>
          <w:rFonts w:hint="eastAsia" w:ascii="宋体" w:hAnsi="宋体"/>
          <w:color w:val="auto"/>
          <w:kern w:val="0"/>
          <w:highlight w:val="none"/>
        </w:rPr>
        <w:t>天内下达开工通知的违约责任：</w:t>
      </w:r>
      <w:r>
        <w:rPr>
          <w:rFonts w:hint="eastAsia" w:ascii="宋体" w:hAnsi="宋体"/>
          <w:color w:val="auto"/>
          <w:highlight w:val="none"/>
          <w:u w:val="single"/>
        </w:rPr>
        <w:t>承包人可以顺延工程日期</w:t>
      </w:r>
      <w:r>
        <w:rPr>
          <w:rFonts w:hint="eastAsia" w:ascii="宋体" w:hAnsi="宋体"/>
          <w:color w:val="auto"/>
          <w:kern w:val="0"/>
          <w:highlight w:val="none"/>
        </w:rPr>
        <w:t>。</w:t>
      </w:r>
    </w:p>
    <w:p w14:paraId="0DBEFD93">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）因发包人原因未能按合同约定支付合同价款的违约责任：</w:t>
      </w:r>
      <w:r>
        <w:rPr>
          <w:rFonts w:ascii="宋体" w:hAnsi="宋体"/>
          <w:color w:val="auto"/>
          <w:kern w:val="0"/>
          <w:highlight w:val="none"/>
          <w:u w:val="single"/>
        </w:rPr>
        <w:t xml:space="preserve">     /       </w:t>
      </w:r>
      <w:r>
        <w:rPr>
          <w:rFonts w:hint="eastAsia" w:ascii="宋体" w:hAnsi="宋体"/>
          <w:color w:val="auto"/>
          <w:kern w:val="0"/>
          <w:highlight w:val="none"/>
        </w:rPr>
        <w:t>。</w:t>
      </w:r>
    </w:p>
    <w:p w14:paraId="075F003E">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）发包人违反第</w:t>
      </w:r>
      <w:r>
        <w:rPr>
          <w:rFonts w:ascii="宋体" w:hAnsi="宋体"/>
          <w:color w:val="auto"/>
          <w:kern w:val="0"/>
          <w:highlight w:val="none"/>
        </w:rPr>
        <w:t>10.1</w:t>
      </w:r>
      <w:r>
        <w:rPr>
          <w:rFonts w:hint="eastAsia" w:ascii="宋体" w:hAnsi="宋体"/>
          <w:color w:val="auto"/>
          <w:kern w:val="0"/>
          <w:highlight w:val="none"/>
        </w:rPr>
        <w:t>款〔变更的范围〕第（</w:t>
      </w:r>
      <w:r>
        <w:rPr>
          <w:rFonts w:ascii="宋体" w:hAnsi="宋体"/>
          <w:color w:val="auto"/>
          <w:kern w:val="0"/>
          <w:highlight w:val="none"/>
        </w:rPr>
        <w:t>2</w:t>
      </w:r>
      <w:r>
        <w:rPr>
          <w:rFonts w:hint="eastAsia" w:ascii="宋体" w:hAnsi="宋体"/>
          <w:color w:val="auto"/>
          <w:kern w:val="0"/>
          <w:highlight w:val="none"/>
        </w:rPr>
        <w:t>）项约定，自行实施被取消的工作或转由他人实施的违约责任：</w:t>
      </w:r>
      <w:r>
        <w:rPr>
          <w:rFonts w:hint="eastAsia" w:ascii="宋体" w:hAnsi="宋体"/>
          <w:color w:val="auto"/>
          <w:kern w:val="0"/>
          <w:highlight w:val="none"/>
          <w:u w:val="single"/>
        </w:rPr>
        <w:t>发包人按变更工程造价的</w:t>
      </w:r>
      <w:r>
        <w:rPr>
          <w:rFonts w:ascii="宋体" w:hAnsi="宋体"/>
          <w:color w:val="auto"/>
          <w:kern w:val="0"/>
          <w:highlight w:val="none"/>
          <w:u w:val="single"/>
        </w:rPr>
        <w:t>5%</w:t>
      </w:r>
      <w:r>
        <w:rPr>
          <w:rFonts w:hint="eastAsia" w:ascii="宋体" w:hAnsi="宋体"/>
          <w:color w:val="auto"/>
          <w:kern w:val="0"/>
          <w:highlight w:val="none"/>
          <w:u w:val="single"/>
        </w:rPr>
        <w:t>赔偿承包人的经济损失，发包人自行实施的工作或转由他人实施的工作不符合国家合格质量标准的，由发包人承担因此造成的经济损失</w:t>
      </w:r>
      <w:r>
        <w:rPr>
          <w:rFonts w:hint="eastAsia" w:ascii="宋体" w:hAnsi="宋体"/>
          <w:color w:val="auto"/>
          <w:kern w:val="0"/>
          <w:highlight w:val="none"/>
        </w:rPr>
        <w:t>。</w:t>
      </w:r>
    </w:p>
    <w:p w14:paraId="101FCCFD">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4</w:t>
      </w:r>
      <w:r>
        <w:rPr>
          <w:rFonts w:hint="eastAsia" w:ascii="宋体" w:hAnsi="宋体"/>
          <w:color w:val="auto"/>
          <w:kern w:val="0"/>
          <w:highlight w:val="none"/>
        </w:rPr>
        <w:t>）发包人提供的材料、工程设备的规格、数量或质量不符合合同约定，或因发包人原因导致交货日期延误或交货地点变更等情况的违约责任：</w:t>
      </w:r>
      <w:r>
        <w:rPr>
          <w:rFonts w:hint="eastAsia" w:ascii="宋体" w:hAnsi="宋体"/>
          <w:color w:val="auto"/>
          <w:highlight w:val="none"/>
          <w:u w:val="single"/>
        </w:rPr>
        <w:t>承包人可以顺延工程日期</w:t>
      </w:r>
      <w:r>
        <w:rPr>
          <w:rFonts w:hint="eastAsia" w:ascii="宋体" w:hAnsi="宋体"/>
          <w:color w:val="auto"/>
          <w:kern w:val="0"/>
          <w:highlight w:val="none"/>
        </w:rPr>
        <w:t>。</w:t>
      </w:r>
    </w:p>
    <w:p w14:paraId="05A2BD5D">
      <w:pPr>
        <w:spacing w:line="360" w:lineRule="auto"/>
        <w:ind w:firstLine="420" w:firstLineChars="200"/>
        <w:jc w:val="left"/>
        <w:rPr>
          <w:rFonts w:ascii="宋体" w:hAnsi="宋体"/>
          <w:color w:val="auto"/>
          <w:kern w:val="0"/>
          <w:highlight w:val="none"/>
          <w:u w:val="single"/>
        </w:rPr>
      </w:pPr>
      <w:r>
        <w:rPr>
          <w:rFonts w:hint="eastAsia" w:ascii="宋体" w:hAnsi="宋体"/>
          <w:color w:val="auto"/>
          <w:kern w:val="0"/>
          <w:highlight w:val="none"/>
        </w:rPr>
        <w:t>（</w:t>
      </w:r>
      <w:r>
        <w:rPr>
          <w:rFonts w:ascii="宋体" w:hAnsi="宋体"/>
          <w:color w:val="auto"/>
          <w:kern w:val="0"/>
          <w:highlight w:val="none"/>
        </w:rPr>
        <w:t>5</w:t>
      </w:r>
      <w:r>
        <w:rPr>
          <w:rFonts w:hint="eastAsia" w:ascii="宋体" w:hAnsi="宋体"/>
          <w:color w:val="auto"/>
          <w:kern w:val="0"/>
          <w:highlight w:val="none"/>
        </w:rPr>
        <w:t>）因发包人违反合同约定造成暂停施工的违约责任：</w:t>
      </w:r>
      <w:r>
        <w:rPr>
          <w:rFonts w:hint="eastAsia" w:ascii="宋体" w:hAnsi="宋体"/>
          <w:color w:val="auto"/>
          <w:highlight w:val="none"/>
          <w:u w:val="single"/>
        </w:rPr>
        <w:t>承包人可以顺延工程日期</w:t>
      </w:r>
      <w:r>
        <w:rPr>
          <w:rFonts w:hint="eastAsia" w:ascii="宋体" w:hAnsi="宋体"/>
          <w:color w:val="auto"/>
          <w:kern w:val="0"/>
          <w:highlight w:val="none"/>
        </w:rPr>
        <w:t>。</w:t>
      </w:r>
    </w:p>
    <w:p w14:paraId="4E4BDEA1">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6</w:t>
      </w:r>
      <w:r>
        <w:rPr>
          <w:rFonts w:hint="eastAsia" w:ascii="宋体" w:hAnsi="宋体"/>
          <w:color w:val="auto"/>
          <w:kern w:val="0"/>
          <w:highlight w:val="none"/>
        </w:rPr>
        <w:t>）发包人无正当理由没有在约定期限内发出复工指示，导致承包人无法复工的违约责任：</w:t>
      </w:r>
      <w:r>
        <w:rPr>
          <w:rFonts w:hint="eastAsia" w:ascii="宋体" w:hAnsi="宋体"/>
          <w:color w:val="auto"/>
          <w:highlight w:val="none"/>
          <w:u w:val="single"/>
        </w:rPr>
        <w:t>承包人可以顺延工程日期</w:t>
      </w:r>
      <w:r>
        <w:rPr>
          <w:rFonts w:hint="eastAsia" w:ascii="宋体" w:hAnsi="宋体"/>
          <w:color w:val="auto"/>
          <w:kern w:val="0"/>
          <w:highlight w:val="none"/>
        </w:rPr>
        <w:t>。</w:t>
      </w:r>
    </w:p>
    <w:p w14:paraId="43F4250A">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7</w:t>
      </w:r>
      <w:r>
        <w:rPr>
          <w:rFonts w:hint="eastAsia" w:ascii="宋体" w:hAnsi="宋体"/>
          <w:color w:val="auto"/>
          <w:kern w:val="0"/>
          <w:highlight w:val="none"/>
        </w:rPr>
        <w:t>）其他：</w:t>
      </w:r>
      <w:r>
        <w:rPr>
          <w:rFonts w:hint="eastAsia" w:ascii="宋体" w:hAnsi="宋体"/>
          <w:color w:val="auto"/>
          <w:kern w:val="0"/>
          <w:highlight w:val="none"/>
          <w:u w:val="single"/>
        </w:rPr>
        <w:t>按《通用合同条款》执行</w:t>
      </w:r>
      <w:r>
        <w:rPr>
          <w:rFonts w:hint="eastAsia" w:ascii="宋体" w:hAnsi="宋体"/>
          <w:color w:val="auto"/>
          <w:kern w:val="0"/>
          <w:highlight w:val="none"/>
        </w:rPr>
        <w:t>。</w:t>
      </w:r>
    </w:p>
    <w:p w14:paraId="307E447C">
      <w:pPr>
        <w:spacing w:line="360" w:lineRule="auto"/>
        <w:ind w:firstLine="420" w:firstLineChars="200"/>
        <w:jc w:val="left"/>
        <w:rPr>
          <w:rFonts w:ascii="宋体" w:hAnsi="宋体"/>
          <w:color w:val="auto"/>
          <w:highlight w:val="none"/>
        </w:rPr>
      </w:pPr>
      <w:r>
        <w:rPr>
          <w:rFonts w:ascii="宋体" w:hAnsi="宋体"/>
          <w:color w:val="auto"/>
          <w:highlight w:val="none"/>
        </w:rPr>
        <w:t xml:space="preserve">16.1.3 </w:t>
      </w:r>
      <w:r>
        <w:rPr>
          <w:rFonts w:hint="eastAsia" w:ascii="宋体" w:hAnsi="宋体"/>
          <w:color w:val="auto"/>
          <w:highlight w:val="none"/>
        </w:rPr>
        <w:t>因发包人违约解除合同</w:t>
      </w:r>
    </w:p>
    <w:p w14:paraId="00230AA9">
      <w:pPr>
        <w:autoSpaceDE w:val="0"/>
        <w:autoSpaceDN w:val="0"/>
        <w:adjustRightIn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承包人按</w:t>
      </w:r>
      <w:r>
        <w:rPr>
          <w:rFonts w:ascii="宋体" w:hAnsi="宋体"/>
          <w:color w:val="auto"/>
          <w:kern w:val="0"/>
          <w:highlight w:val="none"/>
        </w:rPr>
        <w:t>16.1.1</w:t>
      </w:r>
      <w:r>
        <w:rPr>
          <w:rFonts w:hint="eastAsia" w:ascii="宋体" w:hAnsi="宋体"/>
          <w:color w:val="auto"/>
          <w:kern w:val="0"/>
          <w:highlight w:val="none"/>
        </w:rPr>
        <w:t>项〔发包人违约的情形〕约定暂停施工满</w:t>
      </w:r>
      <w:r>
        <w:rPr>
          <w:rFonts w:ascii="宋体" w:hAnsi="宋体"/>
          <w:color w:val="auto"/>
          <w:kern w:val="0"/>
          <w:highlight w:val="none"/>
          <w:u w:val="single"/>
        </w:rPr>
        <w:t xml:space="preserve">  90  </w:t>
      </w:r>
      <w:r>
        <w:rPr>
          <w:rFonts w:hint="eastAsia" w:ascii="宋体" w:hAnsi="宋体"/>
          <w:color w:val="auto"/>
          <w:kern w:val="0"/>
          <w:highlight w:val="none"/>
        </w:rPr>
        <w:t>天后发包人仍不纠正其违约行为并致使合同目的不能实现的，承包人有权解除合同。</w:t>
      </w:r>
    </w:p>
    <w:p w14:paraId="361DE723">
      <w:pPr>
        <w:keepNext/>
        <w:keepLines/>
        <w:spacing w:line="360" w:lineRule="auto"/>
        <w:outlineLvl w:val="2"/>
        <w:rPr>
          <w:rFonts w:ascii="宋体" w:hAnsi="宋体"/>
          <w:b/>
          <w:bCs/>
          <w:color w:val="auto"/>
          <w:highlight w:val="none"/>
          <w:lang w:val="zh-CN"/>
        </w:rPr>
      </w:pPr>
      <w:bookmarkStart w:id="1035" w:name="_Toc373227768"/>
      <w:bookmarkEnd w:id="1035"/>
      <w:bookmarkStart w:id="1036" w:name="_Toc389065333"/>
      <w:bookmarkEnd w:id="1036"/>
      <w:bookmarkStart w:id="1037" w:name="_Toc14566"/>
      <w:bookmarkEnd w:id="1037"/>
      <w:bookmarkStart w:id="1038" w:name="_Toc407135271"/>
      <w:bookmarkEnd w:id="1038"/>
      <w:bookmarkStart w:id="1039" w:name="_Toc373478415"/>
      <w:r>
        <w:rPr>
          <w:rFonts w:ascii="宋体" w:hAnsi="宋体"/>
          <w:b/>
          <w:bCs/>
          <w:color w:val="auto"/>
          <w:highlight w:val="none"/>
          <w:lang w:val="zh-CN"/>
        </w:rPr>
        <w:t xml:space="preserve">16.2 </w:t>
      </w:r>
      <w:bookmarkEnd w:id="1039"/>
      <w:r>
        <w:rPr>
          <w:rFonts w:hint="eastAsia" w:ascii="宋体" w:hAnsi="宋体"/>
          <w:b/>
          <w:bCs/>
          <w:color w:val="auto"/>
          <w:highlight w:val="none"/>
          <w:lang w:val="zh-CN"/>
        </w:rPr>
        <w:t>承包人违约</w:t>
      </w:r>
    </w:p>
    <w:p w14:paraId="5E41FCE3">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16.2.1 </w:t>
      </w:r>
      <w:r>
        <w:rPr>
          <w:rFonts w:hint="eastAsia" w:ascii="宋体" w:hAnsi="宋体"/>
          <w:color w:val="auto"/>
          <w:kern w:val="0"/>
          <w:highlight w:val="none"/>
        </w:rPr>
        <w:t>承包人违约的情形</w:t>
      </w:r>
    </w:p>
    <w:p w14:paraId="17987800">
      <w:pPr>
        <w:spacing w:line="360" w:lineRule="auto"/>
        <w:ind w:firstLine="420" w:firstLineChars="200"/>
        <w:jc w:val="left"/>
        <w:rPr>
          <w:rFonts w:ascii="宋体" w:hAnsi="宋体"/>
          <w:color w:val="auto"/>
          <w:kern w:val="0"/>
          <w:highlight w:val="none"/>
          <w:u w:val="single"/>
        </w:rPr>
      </w:pPr>
      <w:r>
        <w:rPr>
          <w:rFonts w:hint="eastAsia" w:ascii="宋体" w:hAnsi="宋体"/>
          <w:color w:val="auto"/>
          <w:kern w:val="0"/>
          <w:highlight w:val="none"/>
        </w:rPr>
        <w:t>承包人违约的其他情形：</w:t>
      </w:r>
      <w:r>
        <w:rPr>
          <w:rFonts w:hint="eastAsia" w:ascii="宋体" w:hAnsi="宋体"/>
          <w:color w:val="auto"/>
          <w:kern w:val="0"/>
          <w:highlight w:val="none"/>
          <w:u w:val="single"/>
        </w:rPr>
        <w:t>按《通用合同条款》</w:t>
      </w:r>
      <w:r>
        <w:rPr>
          <w:rFonts w:ascii="宋体" w:hAnsi="宋体"/>
          <w:color w:val="auto"/>
          <w:kern w:val="0"/>
          <w:highlight w:val="none"/>
          <w:u w:val="single"/>
        </w:rPr>
        <w:t>16.2.1</w:t>
      </w:r>
      <w:r>
        <w:rPr>
          <w:rFonts w:hint="eastAsia" w:ascii="宋体" w:hAnsi="宋体"/>
          <w:color w:val="auto"/>
          <w:kern w:val="0"/>
          <w:highlight w:val="none"/>
          <w:u w:val="single"/>
        </w:rPr>
        <w:t>条执行</w:t>
      </w:r>
      <w:r>
        <w:rPr>
          <w:rFonts w:hint="eastAsia" w:ascii="宋体" w:hAnsi="宋体"/>
          <w:color w:val="auto"/>
          <w:kern w:val="0"/>
          <w:highlight w:val="none"/>
        </w:rPr>
        <w:t>。</w:t>
      </w:r>
    </w:p>
    <w:p w14:paraId="25E5E040">
      <w:pPr>
        <w:spacing w:line="360" w:lineRule="auto"/>
        <w:ind w:firstLine="420" w:firstLineChars="200"/>
        <w:jc w:val="left"/>
        <w:outlineLvl w:val="0"/>
        <w:rPr>
          <w:rFonts w:ascii="宋体" w:hAnsi="宋体"/>
          <w:color w:val="auto"/>
          <w:kern w:val="0"/>
          <w:highlight w:val="none"/>
        </w:rPr>
      </w:pPr>
      <w:bookmarkStart w:id="1040" w:name="_Toc1275"/>
      <w:bookmarkStart w:id="1041" w:name="_Toc18224"/>
      <w:bookmarkStart w:id="1042" w:name="_Toc24709"/>
      <w:bookmarkStart w:id="1043" w:name="_Toc31762"/>
      <w:bookmarkStart w:id="1044" w:name="_Toc8947"/>
      <w:bookmarkStart w:id="1045" w:name="_Toc26336"/>
      <w:r>
        <w:rPr>
          <w:rFonts w:ascii="宋体" w:hAnsi="宋体"/>
          <w:color w:val="auto"/>
          <w:kern w:val="0"/>
          <w:highlight w:val="none"/>
        </w:rPr>
        <w:t>16.2.2</w:t>
      </w:r>
      <w:r>
        <w:rPr>
          <w:rFonts w:hint="eastAsia" w:ascii="宋体" w:hAnsi="宋体"/>
          <w:color w:val="auto"/>
          <w:kern w:val="0"/>
          <w:highlight w:val="none"/>
        </w:rPr>
        <w:t>承包人违约的责任</w:t>
      </w:r>
      <w:bookmarkEnd w:id="1040"/>
      <w:bookmarkEnd w:id="1041"/>
      <w:bookmarkEnd w:id="1042"/>
      <w:bookmarkEnd w:id="1043"/>
      <w:bookmarkEnd w:id="1044"/>
      <w:bookmarkEnd w:id="1045"/>
    </w:p>
    <w:p w14:paraId="383D8324">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承包人违约责任的承担方式和计算方法：</w:t>
      </w:r>
    </w:p>
    <w:p w14:paraId="1C9D054E">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1</w:t>
      </w:r>
      <w:r>
        <w:rPr>
          <w:rFonts w:hint="eastAsia" w:ascii="宋体" w:hAnsi="宋体"/>
          <w:color w:val="auto"/>
          <w:kern w:val="0"/>
          <w:highlight w:val="none"/>
        </w:rPr>
        <w:t>）承包人有本合同通用条款第</w:t>
      </w:r>
      <w:r>
        <w:rPr>
          <w:rFonts w:ascii="宋体" w:hAnsi="宋体"/>
          <w:color w:val="auto"/>
          <w:kern w:val="0"/>
          <w:highlight w:val="none"/>
        </w:rPr>
        <w:t>16.2.1</w:t>
      </w: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）条内容情形的，承包人无条件返工处理，修复至工程质量要求并承担相关费用，并在发包人规定的时间内完成返工，否则发包人有权扣罚该</w:t>
      </w:r>
      <w:r>
        <w:rPr>
          <w:rFonts w:ascii="宋体" w:hAnsi="宋体"/>
          <w:color w:val="auto"/>
          <w:kern w:val="0"/>
          <w:highlight w:val="none"/>
        </w:rPr>
        <w:t>10%</w:t>
      </w:r>
      <w:r>
        <w:rPr>
          <w:rFonts w:hint="eastAsia" w:ascii="宋体" w:hAnsi="宋体"/>
          <w:color w:val="auto"/>
          <w:kern w:val="0"/>
          <w:highlight w:val="none"/>
        </w:rPr>
        <w:t>的工程款作为处罚。</w:t>
      </w:r>
    </w:p>
    <w:p w14:paraId="7A6F7335">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2</w:t>
      </w:r>
      <w:r>
        <w:rPr>
          <w:rFonts w:hint="eastAsia" w:ascii="宋体" w:hAnsi="宋体"/>
          <w:color w:val="auto"/>
          <w:kern w:val="0"/>
          <w:highlight w:val="none"/>
        </w:rPr>
        <w:t>）承包人有本合同通用条款第</w:t>
      </w:r>
      <w:r>
        <w:rPr>
          <w:rFonts w:ascii="宋体" w:hAnsi="宋体"/>
          <w:color w:val="auto"/>
          <w:kern w:val="0"/>
          <w:highlight w:val="none"/>
        </w:rPr>
        <w:t>16.2.1</w:t>
      </w:r>
      <w:r>
        <w:rPr>
          <w:rFonts w:hint="eastAsia" w:ascii="宋体" w:hAnsi="宋体"/>
          <w:color w:val="auto"/>
          <w:kern w:val="0"/>
          <w:highlight w:val="none"/>
        </w:rPr>
        <w:t>（</w:t>
      </w:r>
      <w:r>
        <w:rPr>
          <w:rFonts w:ascii="宋体" w:hAnsi="宋体"/>
          <w:color w:val="auto"/>
          <w:kern w:val="0"/>
          <w:highlight w:val="none"/>
        </w:rPr>
        <w:t>6</w:t>
      </w:r>
      <w:r>
        <w:rPr>
          <w:rFonts w:hint="eastAsia" w:ascii="宋体" w:hAnsi="宋体"/>
          <w:color w:val="auto"/>
          <w:kern w:val="0"/>
          <w:highlight w:val="none"/>
        </w:rPr>
        <w:t>）条情形的，或经监理人检验认为修复质量不合格而承包人拒绝再进行修补的，发包人将扣除承包人全部质量保证金。</w:t>
      </w:r>
    </w:p>
    <w:p w14:paraId="5C07B7DF">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3</w:t>
      </w:r>
      <w:r>
        <w:rPr>
          <w:rFonts w:hint="eastAsia" w:ascii="宋体" w:hAnsi="宋体"/>
          <w:color w:val="auto"/>
          <w:kern w:val="0"/>
          <w:highlight w:val="none"/>
        </w:rPr>
        <w:t>）承包人有本专用合同条款</w:t>
      </w:r>
      <w:r>
        <w:rPr>
          <w:rFonts w:ascii="宋体" w:hAnsi="宋体"/>
          <w:color w:val="auto"/>
          <w:kern w:val="0"/>
          <w:highlight w:val="none"/>
        </w:rPr>
        <w:t>3.2</w:t>
      </w:r>
      <w:r>
        <w:rPr>
          <w:rFonts w:hint="eastAsia" w:ascii="宋体" w:hAnsi="宋体"/>
          <w:color w:val="auto"/>
          <w:kern w:val="0"/>
          <w:highlight w:val="none"/>
        </w:rPr>
        <w:t>、</w:t>
      </w:r>
      <w:r>
        <w:rPr>
          <w:rFonts w:ascii="宋体" w:hAnsi="宋体"/>
          <w:color w:val="auto"/>
          <w:kern w:val="0"/>
          <w:highlight w:val="none"/>
        </w:rPr>
        <w:t>3.3</w:t>
      </w:r>
      <w:r>
        <w:rPr>
          <w:rFonts w:hint="eastAsia" w:ascii="宋体" w:hAnsi="宋体"/>
          <w:color w:val="auto"/>
          <w:kern w:val="0"/>
          <w:highlight w:val="none"/>
        </w:rPr>
        <w:t>条违约责任的，发包人有权扣除承包人的违约金。违约金金额均在承包人的计量支付款内扣除。监理人预先下发含有罚款意向的指令，如承包人不及时采取措施纠正，则在指令下达后十五天下发罚款通知书（不再陈述罚款理由）。承包人在合同期内，完成合同规定的全部工程，且质量合格，在本工程施工竣工验收后十五天内可申请返还全部或部分罚款，返还金额由监理人审核，发包人批准。罚款金额返还时不包括银行利息。</w:t>
      </w:r>
    </w:p>
    <w:p w14:paraId="52D76B8A">
      <w:pPr>
        <w:spacing w:line="360" w:lineRule="auto"/>
        <w:ind w:firstLine="420" w:firstLineChars="200"/>
        <w:jc w:val="left"/>
        <w:rPr>
          <w:rFonts w:ascii="宋体" w:hAnsi="宋体"/>
          <w:color w:val="auto"/>
          <w:highlight w:val="none"/>
        </w:rPr>
      </w:pPr>
      <w:r>
        <w:rPr>
          <w:rFonts w:ascii="宋体" w:hAnsi="宋体"/>
          <w:color w:val="auto"/>
          <w:highlight w:val="none"/>
        </w:rPr>
        <w:t xml:space="preserve">16.2.3 </w:t>
      </w:r>
      <w:r>
        <w:rPr>
          <w:rFonts w:hint="eastAsia" w:ascii="宋体" w:hAnsi="宋体"/>
          <w:color w:val="auto"/>
          <w:highlight w:val="none"/>
        </w:rPr>
        <w:t>因承包人违约解除合同</w:t>
      </w:r>
    </w:p>
    <w:p w14:paraId="1DFC157A">
      <w:pPr>
        <w:spacing w:line="360" w:lineRule="auto"/>
        <w:ind w:firstLine="420" w:firstLineChars="200"/>
        <w:jc w:val="left"/>
        <w:rPr>
          <w:rFonts w:ascii="宋体" w:hAnsi="宋体"/>
          <w:color w:val="auto"/>
          <w:kern w:val="0"/>
          <w:highlight w:val="none"/>
          <w:u w:val="single"/>
        </w:rPr>
      </w:pPr>
      <w:r>
        <w:rPr>
          <w:rFonts w:hint="eastAsia" w:ascii="宋体" w:hAnsi="宋体"/>
          <w:color w:val="auto"/>
          <w:kern w:val="0"/>
          <w:highlight w:val="none"/>
        </w:rPr>
        <w:t>关于承包人违约解除合同的特别约定：</w:t>
      </w:r>
      <w:r>
        <w:rPr>
          <w:rFonts w:hint="eastAsia" w:ascii="宋体" w:hAnsi="宋体"/>
          <w:color w:val="auto"/>
          <w:kern w:val="0"/>
          <w:highlight w:val="none"/>
          <w:u w:val="single"/>
        </w:rPr>
        <w:t>承包人有违反以下情况之一的，发包人有权解除合同，</w:t>
      </w:r>
      <w:r>
        <w:rPr>
          <w:rFonts w:hint="eastAsia" w:asciiTheme="minorEastAsia" w:hAnsiTheme="minorEastAsia" w:eastAsiaTheme="minorEastAsia"/>
          <w:color w:val="auto"/>
          <w:highlight w:val="none"/>
          <w:u w:val="single"/>
        </w:rPr>
        <w:t>对工程造成的损失由</w:t>
      </w:r>
      <w:r>
        <w:rPr>
          <w:rFonts w:hint="eastAsia" w:asciiTheme="minorEastAsia" w:hAnsiTheme="minorEastAsia" w:eastAsiaTheme="minorEastAsia"/>
          <w:color w:val="auto"/>
          <w:kern w:val="0"/>
          <w:highlight w:val="none"/>
          <w:u w:val="single"/>
        </w:rPr>
        <w:t>承包人</w:t>
      </w:r>
      <w:r>
        <w:rPr>
          <w:rFonts w:hint="eastAsia" w:asciiTheme="minorEastAsia" w:hAnsiTheme="minorEastAsia" w:eastAsiaTheme="minorEastAsia"/>
          <w:color w:val="auto"/>
          <w:highlight w:val="none"/>
          <w:u w:val="single"/>
        </w:rPr>
        <w:t>负责</w:t>
      </w:r>
      <w:r>
        <w:rPr>
          <w:rFonts w:hint="eastAsia" w:ascii="宋体" w:hAnsi="宋体"/>
          <w:color w:val="auto"/>
          <w:kern w:val="0"/>
          <w:highlight w:val="none"/>
          <w:u w:val="single"/>
        </w:rPr>
        <w:t>。</w:t>
      </w:r>
    </w:p>
    <w:p w14:paraId="52D801FD">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(1)</w:t>
      </w:r>
      <w:r>
        <w:rPr>
          <w:rFonts w:hint="eastAsia" w:ascii="宋体" w:hAnsi="宋体"/>
          <w:color w:val="auto"/>
          <w:kern w:val="0"/>
          <w:highlight w:val="none"/>
        </w:rPr>
        <w:t>承包人无正当理由不按开工通知的要求及时进场组织施工和不按签订协议书时商定的进度计划有效地开展施工准备，造成工期延误的；</w:t>
      </w:r>
    </w:p>
    <w:p w14:paraId="5466D7D1">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承包人违反本合同通用条款第</w:t>
      </w:r>
      <w:r>
        <w:rPr>
          <w:rFonts w:ascii="宋体" w:hAnsi="宋体"/>
          <w:color w:val="auto"/>
          <w:kern w:val="0"/>
          <w:highlight w:val="none"/>
        </w:rPr>
        <w:t>3.5</w:t>
      </w:r>
      <w:r>
        <w:rPr>
          <w:rFonts w:hint="eastAsia" w:ascii="宋体" w:hAnsi="宋体"/>
          <w:color w:val="auto"/>
          <w:kern w:val="0"/>
          <w:highlight w:val="none"/>
        </w:rPr>
        <w:t>条规定私自将合同或合同的任何部分或任何权利转让给其他人，或私自将工程或工程的一部分分包出去的；</w:t>
      </w:r>
    </w:p>
    <w:p w14:paraId="715209BC">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(3)</w:t>
      </w:r>
      <w:r>
        <w:rPr>
          <w:rFonts w:hint="eastAsia" w:ascii="宋体" w:hAnsi="宋体"/>
          <w:color w:val="auto"/>
          <w:kern w:val="0"/>
          <w:highlight w:val="none"/>
        </w:rPr>
        <w:t>未经监理人批准，承包人私自将已按投标文件承诺进入工地的工程设备、施工设备、临时工程或材料撤离工地的；</w:t>
      </w:r>
    </w:p>
    <w:p w14:paraId="6F5B0CE0">
      <w:pPr>
        <w:spacing w:line="360" w:lineRule="auto"/>
        <w:ind w:firstLine="420" w:firstLineChars="200"/>
        <w:jc w:val="left"/>
        <w:rPr>
          <w:rFonts w:ascii="宋体" w:hAnsi="宋体"/>
          <w:color w:val="auto"/>
          <w:kern w:val="0"/>
          <w:highlight w:val="none"/>
        </w:rPr>
      </w:pPr>
      <w:r>
        <w:rPr>
          <w:rFonts w:ascii="宋体" w:hAnsi="宋体"/>
          <w:color w:val="auto"/>
          <w:kern w:val="0"/>
          <w:highlight w:val="none"/>
        </w:rPr>
        <w:t>(4)</w:t>
      </w:r>
      <w:r>
        <w:rPr>
          <w:rFonts w:hint="eastAsia" w:ascii="宋体" w:hAnsi="宋体"/>
          <w:color w:val="auto"/>
          <w:kern w:val="0"/>
          <w:highlight w:val="none"/>
        </w:rPr>
        <w:t>由于承包人原因拒绝按合同进度计划及时完成合同规定的工程，而又未采取有效措施赶上进度，造成工期严重延误的；</w:t>
      </w:r>
    </w:p>
    <w:p w14:paraId="1E55C6AC">
      <w:pPr>
        <w:spacing w:line="360" w:lineRule="auto"/>
        <w:ind w:firstLine="420" w:firstLineChars="200"/>
        <w:rPr>
          <w:rFonts w:ascii="宋体" w:hAnsi="宋体"/>
          <w:color w:val="auto"/>
          <w:kern w:val="0"/>
          <w:highlight w:val="none"/>
        </w:rPr>
      </w:pPr>
      <w:r>
        <w:rPr>
          <w:rFonts w:ascii="宋体" w:hAnsi="宋体"/>
          <w:color w:val="auto"/>
          <w:kern w:val="0"/>
          <w:highlight w:val="none"/>
        </w:rPr>
        <w:t>(5)</w:t>
      </w:r>
      <w:r>
        <w:rPr>
          <w:rFonts w:hint="eastAsia" w:ascii="宋体" w:hAnsi="宋体"/>
          <w:color w:val="auto"/>
          <w:kern w:val="0"/>
          <w:highlight w:val="none"/>
        </w:rPr>
        <w:t>承包人否认合同有效或拒绝履行合同规定的承包人义务，或由于法律、财务等原因导致承包人无法继续履行或实质上已停止履行合同的义务的；</w:t>
      </w:r>
    </w:p>
    <w:p w14:paraId="7D3CF7E1">
      <w:pPr>
        <w:spacing w:line="360" w:lineRule="auto"/>
        <w:ind w:firstLine="420" w:firstLineChars="200"/>
        <w:rPr>
          <w:rFonts w:ascii="宋体" w:hAnsi="宋体"/>
          <w:color w:val="auto"/>
          <w:kern w:val="0"/>
          <w:highlight w:val="none"/>
        </w:rPr>
      </w:pPr>
      <w:r>
        <w:rPr>
          <w:rFonts w:ascii="宋体" w:hAnsi="宋体"/>
          <w:color w:val="auto"/>
          <w:kern w:val="0"/>
          <w:highlight w:val="none"/>
        </w:rPr>
        <w:t>(6)</w:t>
      </w:r>
      <w:r>
        <w:rPr>
          <w:rFonts w:hint="eastAsia" w:ascii="宋体" w:hAnsi="宋体"/>
          <w:color w:val="auto"/>
          <w:kern w:val="0"/>
          <w:highlight w:val="none"/>
        </w:rPr>
        <w:t>合同签订</w:t>
      </w:r>
      <w:r>
        <w:rPr>
          <w:rFonts w:hint="eastAsia" w:ascii="宋体" w:hAnsi="宋体"/>
          <w:color w:val="auto"/>
          <w:highlight w:val="none"/>
        </w:rPr>
        <w:t>且具备法定开工条件后</w:t>
      </w:r>
      <w:r>
        <w:rPr>
          <w:rFonts w:hint="eastAsia" w:ascii="宋体" w:hAnsi="宋体"/>
          <w:color w:val="auto"/>
          <w:kern w:val="0"/>
          <w:highlight w:val="none"/>
        </w:rPr>
        <w:t>之日起十五日内，承包人无法按合同规定及投标文件的承诺进场经监理工程师认可的该</w:t>
      </w:r>
      <w:r>
        <w:rPr>
          <w:rFonts w:hint="eastAsia" w:ascii="宋体" w:hAnsi="宋体" w:cs="宋体"/>
          <w:color w:val="auto"/>
          <w:kern w:val="0"/>
          <w:highlight w:val="none"/>
        </w:rPr>
        <w:t>施工</w:t>
      </w:r>
      <w:r>
        <w:rPr>
          <w:rFonts w:hint="eastAsia" w:ascii="宋体" w:hAnsi="宋体"/>
          <w:color w:val="auto"/>
          <w:kern w:val="0"/>
          <w:highlight w:val="none"/>
        </w:rPr>
        <w:t>阶段</w:t>
      </w:r>
      <w:r>
        <w:rPr>
          <w:rFonts w:hint="eastAsia" w:ascii="宋体" w:hAnsi="宋体" w:cs="宋体"/>
          <w:color w:val="auto"/>
          <w:kern w:val="0"/>
          <w:highlight w:val="none"/>
        </w:rPr>
        <w:t>应有的</w:t>
      </w:r>
      <w:r>
        <w:rPr>
          <w:rFonts w:hint="eastAsia" w:ascii="宋体" w:hAnsi="宋体"/>
          <w:color w:val="auto"/>
          <w:kern w:val="0"/>
          <w:highlight w:val="none"/>
        </w:rPr>
        <w:t>全部人员的。</w:t>
      </w:r>
    </w:p>
    <w:p w14:paraId="64D3BD7C">
      <w:pPr>
        <w:spacing w:line="360" w:lineRule="auto"/>
        <w:ind w:firstLine="420" w:firstLineChars="200"/>
        <w:jc w:val="left"/>
        <w:rPr>
          <w:rFonts w:asciiTheme="minorEastAsia" w:hAnsiTheme="minorEastAsia" w:eastAsiaTheme="minorEastAsia"/>
          <w:color w:val="auto"/>
          <w:highlight w:val="none"/>
        </w:rPr>
      </w:pPr>
      <w:r>
        <w:rPr>
          <w:rFonts w:hint="eastAsia" w:ascii="宋体" w:hAnsi="宋体"/>
          <w:color w:val="auto"/>
          <w:kern w:val="0"/>
          <w:highlight w:val="none"/>
        </w:rPr>
        <w:t>（7）</w:t>
      </w:r>
      <w:r>
        <w:rPr>
          <w:rFonts w:hint="eastAsia" w:asciiTheme="minorEastAsia" w:hAnsiTheme="minorEastAsia" w:eastAsiaTheme="minorEastAsia"/>
          <w:color w:val="auto"/>
          <w:highlight w:val="none"/>
        </w:rPr>
        <w:t>工程所用材料、设备等须符合施工图及照设计说明和</w:t>
      </w:r>
      <w:r>
        <w:rPr>
          <w:rFonts w:hint="eastAsia" w:ascii="宋体" w:hAnsi="宋体"/>
          <w:color w:val="auto"/>
          <w:highlight w:val="none"/>
        </w:rPr>
        <w:t>招标文件要求，</w:t>
      </w:r>
      <w:r>
        <w:rPr>
          <w:rFonts w:hint="eastAsia" w:asciiTheme="minorEastAsia" w:hAnsiTheme="minorEastAsia" w:eastAsiaTheme="minorEastAsia"/>
          <w:color w:val="auto"/>
          <w:kern w:val="0"/>
          <w:highlight w:val="none"/>
        </w:rPr>
        <w:t>因承包人</w:t>
      </w:r>
      <w:r>
        <w:rPr>
          <w:rFonts w:hint="eastAsia" w:asciiTheme="minorEastAsia" w:hAnsiTheme="minorEastAsia" w:eastAsiaTheme="minorEastAsia"/>
          <w:color w:val="auto"/>
          <w:highlight w:val="none"/>
        </w:rPr>
        <w:t>采购</w:t>
      </w:r>
      <w:r>
        <w:rPr>
          <w:rFonts w:hint="eastAsia" w:asciiTheme="minorEastAsia" w:hAnsiTheme="minorEastAsia" w:eastAsiaTheme="minorEastAsia"/>
          <w:color w:val="auto"/>
          <w:kern w:val="0"/>
          <w:highlight w:val="none"/>
        </w:rPr>
        <w:t>的材料、工程设备的规格、数量或质量不符合合同约定的，</w:t>
      </w:r>
      <w:r>
        <w:rPr>
          <w:rFonts w:hint="eastAsia" w:asciiTheme="minorEastAsia" w:hAnsiTheme="minorEastAsia" w:eastAsiaTheme="minorEastAsia"/>
          <w:color w:val="auto"/>
          <w:highlight w:val="none"/>
        </w:rPr>
        <w:t>禁止使用。如已使用,对工程造成的损失由</w:t>
      </w:r>
      <w:r>
        <w:rPr>
          <w:rFonts w:hint="eastAsia" w:asciiTheme="minorEastAsia" w:hAnsiTheme="minorEastAsia" w:eastAsiaTheme="minorEastAsia"/>
          <w:color w:val="auto"/>
          <w:kern w:val="0"/>
          <w:highlight w:val="none"/>
        </w:rPr>
        <w:t>承包人</w:t>
      </w:r>
      <w:r>
        <w:rPr>
          <w:rFonts w:hint="eastAsia" w:asciiTheme="minorEastAsia" w:hAnsiTheme="minorEastAsia" w:eastAsiaTheme="minorEastAsia"/>
          <w:color w:val="auto"/>
          <w:highlight w:val="none"/>
        </w:rPr>
        <w:t>负责。如</w:t>
      </w:r>
      <w:r>
        <w:rPr>
          <w:rFonts w:hint="eastAsia" w:asciiTheme="minorEastAsia" w:hAnsiTheme="minorEastAsia" w:eastAsiaTheme="minorEastAsia"/>
          <w:color w:val="auto"/>
          <w:kern w:val="0"/>
          <w:highlight w:val="none"/>
        </w:rPr>
        <w:t>承包人</w:t>
      </w:r>
      <w:r>
        <w:rPr>
          <w:rFonts w:hint="eastAsia" w:asciiTheme="minorEastAsia" w:hAnsiTheme="minorEastAsia" w:eastAsiaTheme="minorEastAsia"/>
          <w:color w:val="auto"/>
          <w:highlight w:val="none"/>
        </w:rPr>
        <w:t>使用的材料、设备系伪劣商品的应按材料、设备价款的双倍补偿给</w:t>
      </w:r>
      <w:r>
        <w:rPr>
          <w:rFonts w:hint="eastAsia" w:asciiTheme="minorEastAsia" w:hAnsiTheme="minorEastAsia" w:eastAsiaTheme="minorEastAsia"/>
          <w:color w:val="auto"/>
          <w:kern w:val="0"/>
          <w:highlight w:val="none"/>
        </w:rPr>
        <w:t>发包人外，发包人有权立即解除合同</w:t>
      </w:r>
      <w:r>
        <w:rPr>
          <w:rFonts w:hint="eastAsia" w:asciiTheme="minorEastAsia" w:hAnsiTheme="minorEastAsia" w:eastAsiaTheme="minorEastAsia"/>
          <w:color w:val="auto"/>
          <w:highlight w:val="none"/>
        </w:rPr>
        <w:t>。</w:t>
      </w:r>
    </w:p>
    <w:p w14:paraId="108D5132">
      <w:pPr>
        <w:spacing w:line="360" w:lineRule="auto"/>
        <w:ind w:firstLine="420" w:firstLineChars="200"/>
        <w:rPr>
          <w:rFonts w:asciiTheme="minorEastAsia" w:hAnsiTheme="minorEastAsia" w:eastAsiaTheme="minorEastAsia"/>
          <w:color w:val="auto"/>
          <w:kern w:val="0"/>
          <w:highlight w:val="none"/>
        </w:rPr>
      </w:pPr>
      <w:r>
        <w:rPr>
          <w:rFonts w:hint="eastAsia" w:ascii="宋体" w:hAnsi="宋体"/>
          <w:color w:val="auto"/>
          <w:kern w:val="0"/>
          <w:highlight w:val="none"/>
        </w:rPr>
        <w:t>（8）</w:t>
      </w:r>
      <w:r>
        <w:rPr>
          <w:rFonts w:hint="eastAsia" w:asciiTheme="minorEastAsia" w:hAnsiTheme="minorEastAsia" w:eastAsiaTheme="minorEastAsia"/>
          <w:color w:val="auto"/>
          <w:kern w:val="0"/>
          <w:highlight w:val="none"/>
        </w:rPr>
        <w:t>在合同执行过程中,承包人如果用行贿、送礼或其他不正当手段企图影响或已经影响了发包人代表或监理人员行为并获得超出合同规定以外的额外费用,则发包人除按有关规定严肃处理当事人(含发包人人员和监理人员)外,承包人对上述行为造成的工程损害、发包人的经济损失等,承包人应负一切责任,并予赔偿,发包人有权终止合同。</w:t>
      </w:r>
    </w:p>
    <w:p w14:paraId="74CD53EC">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承包人违约</w:t>
      </w:r>
      <w:r>
        <w:rPr>
          <w:rFonts w:hint="eastAsia" w:asciiTheme="minorEastAsia" w:hAnsiTheme="minorEastAsia" w:eastAsiaTheme="minorEastAsia"/>
          <w:color w:val="auto"/>
          <w:kern w:val="0"/>
          <w:highlight w:val="none"/>
        </w:rPr>
        <w:t>终止</w:t>
      </w:r>
      <w:r>
        <w:rPr>
          <w:rFonts w:hint="eastAsia" w:ascii="宋体" w:hAnsi="宋体"/>
          <w:color w:val="auto"/>
          <w:kern w:val="0"/>
          <w:highlight w:val="none"/>
        </w:rPr>
        <w:t>合同后，发包人</w:t>
      </w:r>
      <w:r>
        <w:rPr>
          <w:rFonts w:hint="eastAsia" w:asciiTheme="minorEastAsia" w:hAnsiTheme="minorEastAsia" w:eastAsiaTheme="minorEastAsia"/>
          <w:color w:val="auto"/>
          <w:kern w:val="0"/>
          <w:highlight w:val="none"/>
        </w:rPr>
        <w:t>有权</w:t>
      </w:r>
      <w:r>
        <w:rPr>
          <w:rFonts w:hint="eastAsia" w:ascii="宋体" w:hAnsi="宋体"/>
          <w:color w:val="auto"/>
          <w:kern w:val="0"/>
          <w:highlight w:val="none"/>
        </w:rPr>
        <w:t>继续使用承包人在施工现场的材料、设备、临时工程、承包人文件和由承包人或以其名义编制的其他文件的费用承担方式：</w:t>
      </w:r>
      <w:r>
        <w:rPr>
          <w:rFonts w:hint="eastAsia" w:ascii="宋体" w:hAnsi="宋体"/>
          <w:color w:val="auto"/>
          <w:kern w:val="0"/>
          <w:highlight w:val="none"/>
          <w:u w:val="single"/>
        </w:rPr>
        <w:t>由承包人承担相应费用</w:t>
      </w:r>
      <w:r>
        <w:rPr>
          <w:rFonts w:hint="eastAsia" w:ascii="宋体" w:hAnsi="宋体"/>
          <w:color w:val="auto"/>
          <w:kern w:val="0"/>
          <w:highlight w:val="none"/>
        </w:rPr>
        <w:t>。</w:t>
      </w:r>
    </w:p>
    <w:p w14:paraId="2B573CC6">
      <w:pPr>
        <w:keepNext/>
        <w:keepLines/>
        <w:spacing w:before="60" w:after="60" w:line="413" w:lineRule="auto"/>
        <w:outlineLvl w:val="1"/>
        <w:rPr>
          <w:rFonts w:ascii="宋体" w:hAnsi="宋体"/>
          <w:b/>
          <w:bCs/>
          <w:color w:val="auto"/>
          <w:highlight w:val="none"/>
          <w:lang w:val="zh-CN"/>
        </w:rPr>
      </w:pPr>
      <w:bookmarkStart w:id="1046" w:name="_Toc351203649"/>
      <w:bookmarkEnd w:id="1046"/>
      <w:bookmarkStart w:id="1047" w:name="_Toc407135272"/>
      <w:bookmarkEnd w:id="1047"/>
      <w:bookmarkStart w:id="1048" w:name="_Toc373227769"/>
      <w:bookmarkEnd w:id="1048"/>
      <w:bookmarkStart w:id="1049" w:name="_Toc4056"/>
      <w:bookmarkEnd w:id="1049"/>
      <w:bookmarkStart w:id="1050" w:name="_Toc373478416"/>
      <w:bookmarkEnd w:id="1050"/>
      <w:bookmarkStart w:id="1051" w:name="_Toc389065334"/>
      <w:r>
        <w:rPr>
          <w:rFonts w:ascii="宋体" w:hAnsi="宋体"/>
          <w:b/>
          <w:bCs/>
          <w:color w:val="auto"/>
          <w:highlight w:val="none"/>
          <w:lang w:val="zh-CN"/>
        </w:rPr>
        <w:t xml:space="preserve">17. </w:t>
      </w:r>
      <w:bookmarkEnd w:id="1051"/>
      <w:r>
        <w:rPr>
          <w:rFonts w:hint="eastAsia" w:ascii="宋体" w:hAnsi="宋体"/>
          <w:b/>
          <w:bCs/>
          <w:color w:val="auto"/>
          <w:highlight w:val="none"/>
          <w:lang w:val="zh-CN"/>
        </w:rPr>
        <w:t>不可抗力</w:t>
      </w:r>
    </w:p>
    <w:p w14:paraId="4C4FBC71">
      <w:pPr>
        <w:keepNext/>
        <w:keepLines/>
        <w:spacing w:line="360" w:lineRule="auto"/>
        <w:outlineLvl w:val="2"/>
        <w:rPr>
          <w:rFonts w:ascii="宋体" w:hAnsi="宋体"/>
          <w:b/>
          <w:bCs/>
          <w:color w:val="auto"/>
          <w:highlight w:val="none"/>
          <w:lang w:val="zh-CN"/>
        </w:rPr>
      </w:pPr>
      <w:bookmarkStart w:id="1052" w:name="_Toc373478417"/>
      <w:bookmarkEnd w:id="1052"/>
      <w:bookmarkStart w:id="1053" w:name="_Toc373227770"/>
      <w:bookmarkEnd w:id="1053"/>
      <w:bookmarkStart w:id="1054" w:name="_Toc22482"/>
      <w:bookmarkEnd w:id="1054"/>
      <w:bookmarkStart w:id="1055" w:name="_Toc389065335"/>
      <w:bookmarkEnd w:id="1055"/>
      <w:bookmarkStart w:id="1056" w:name="_Toc407135273"/>
      <w:r>
        <w:rPr>
          <w:rFonts w:ascii="宋体" w:hAnsi="宋体"/>
          <w:b/>
          <w:bCs/>
          <w:color w:val="auto"/>
          <w:highlight w:val="none"/>
          <w:lang w:val="zh-CN"/>
        </w:rPr>
        <w:t xml:space="preserve">17.1 </w:t>
      </w:r>
      <w:bookmarkEnd w:id="1056"/>
      <w:r>
        <w:rPr>
          <w:rFonts w:hint="eastAsia" w:ascii="宋体" w:hAnsi="宋体"/>
          <w:b/>
          <w:bCs/>
          <w:color w:val="auto"/>
          <w:highlight w:val="none"/>
          <w:lang w:val="zh-CN"/>
        </w:rPr>
        <w:t>不可抗力的确认</w:t>
      </w:r>
    </w:p>
    <w:p w14:paraId="115D0D73">
      <w:pPr>
        <w:spacing w:line="360" w:lineRule="auto"/>
        <w:ind w:firstLine="420" w:firstLineChars="200"/>
        <w:jc w:val="left"/>
        <w:rPr>
          <w:rFonts w:ascii="宋体" w:hAnsi="宋体"/>
          <w:color w:val="auto"/>
          <w:kern w:val="0"/>
          <w:highlight w:val="none"/>
          <w:u w:val="single"/>
        </w:rPr>
      </w:pPr>
      <w:r>
        <w:rPr>
          <w:rFonts w:hint="eastAsia" w:ascii="宋体" w:hAnsi="宋体"/>
          <w:color w:val="auto"/>
          <w:highlight w:val="none"/>
        </w:rPr>
        <w:t>除通用合同条款约定的不可抗力事件之外，视为不可抗力的其他情形：</w:t>
      </w:r>
      <w:r>
        <w:rPr>
          <w:rFonts w:hint="eastAsia" w:ascii="宋体" w:hAnsi="宋体"/>
          <w:color w:val="auto"/>
          <w:kern w:val="0"/>
          <w:highlight w:val="none"/>
          <w:u w:val="single"/>
        </w:rPr>
        <w:t>战争、离子辐射或放射性污染、</w:t>
      </w:r>
      <w:r>
        <w:rPr>
          <w:rFonts w:ascii="宋体" w:hAnsi="宋体"/>
          <w:color w:val="auto"/>
          <w:kern w:val="0"/>
          <w:highlight w:val="none"/>
          <w:u w:val="single"/>
        </w:rPr>
        <w:t>6</w:t>
      </w:r>
      <w:r>
        <w:rPr>
          <w:rFonts w:hint="eastAsia" w:ascii="宋体" w:hAnsi="宋体"/>
          <w:color w:val="auto"/>
          <w:kern w:val="0"/>
          <w:highlight w:val="none"/>
          <w:u w:val="single"/>
        </w:rPr>
        <w:t>级以上地震及国家确认的不可抗力事项</w:t>
      </w:r>
      <w:r>
        <w:rPr>
          <w:rFonts w:hint="eastAsia" w:ascii="宋体" w:hAnsi="宋体"/>
          <w:color w:val="auto"/>
          <w:kern w:val="0"/>
          <w:highlight w:val="none"/>
        </w:rPr>
        <w:t>。</w:t>
      </w:r>
    </w:p>
    <w:p w14:paraId="5E341851">
      <w:pPr>
        <w:keepNext/>
        <w:keepLines/>
        <w:spacing w:line="360" w:lineRule="auto"/>
        <w:outlineLvl w:val="2"/>
        <w:rPr>
          <w:rFonts w:ascii="宋体" w:hAnsi="宋体"/>
          <w:b/>
          <w:bCs/>
          <w:color w:val="auto"/>
          <w:highlight w:val="none"/>
          <w:lang w:val="zh-CN"/>
        </w:rPr>
      </w:pPr>
      <w:bookmarkStart w:id="1057" w:name="_Toc373478418"/>
      <w:bookmarkEnd w:id="1057"/>
      <w:bookmarkStart w:id="1058" w:name="_Toc407135274"/>
      <w:bookmarkEnd w:id="1058"/>
      <w:bookmarkStart w:id="1059" w:name="_Toc389065336"/>
      <w:bookmarkEnd w:id="1059"/>
      <w:bookmarkStart w:id="1060" w:name="_Toc373227771"/>
      <w:bookmarkEnd w:id="1060"/>
      <w:bookmarkStart w:id="1061" w:name="_Toc25572"/>
      <w:r>
        <w:rPr>
          <w:rFonts w:ascii="宋体" w:hAnsi="宋体"/>
          <w:b/>
          <w:bCs/>
          <w:color w:val="auto"/>
          <w:highlight w:val="none"/>
          <w:lang w:val="zh-CN"/>
        </w:rPr>
        <w:t xml:space="preserve">17.4 </w:t>
      </w:r>
      <w:bookmarkEnd w:id="1061"/>
      <w:r>
        <w:rPr>
          <w:rFonts w:hint="eastAsia" w:ascii="宋体" w:hAnsi="宋体"/>
          <w:b/>
          <w:bCs/>
          <w:color w:val="auto"/>
          <w:highlight w:val="none"/>
          <w:lang w:val="zh-CN"/>
        </w:rPr>
        <w:t>因不可抗力解除合同</w:t>
      </w:r>
    </w:p>
    <w:p w14:paraId="592ED476">
      <w:pPr>
        <w:spacing w:line="360" w:lineRule="auto"/>
        <w:ind w:firstLine="420" w:firstLineChars="200"/>
        <w:jc w:val="left"/>
        <w:rPr>
          <w:rFonts w:ascii="宋体" w:hAnsi="宋体"/>
          <w:color w:val="auto"/>
          <w:highlight w:val="none"/>
        </w:rPr>
      </w:pPr>
      <w:r>
        <w:rPr>
          <w:rFonts w:hint="eastAsia" w:ascii="宋体" w:hAnsi="宋体"/>
          <w:color w:val="auto"/>
          <w:highlight w:val="none"/>
        </w:rPr>
        <w:t>合同解除后，发包人应在商定或确定发包人应支付款项后</w:t>
      </w:r>
      <w:r>
        <w:rPr>
          <w:rFonts w:ascii="宋体" w:hAnsi="宋体"/>
          <w:color w:val="auto"/>
          <w:highlight w:val="none"/>
          <w:u w:val="single"/>
        </w:rPr>
        <w:t xml:space="preserve">  28  </w:t>
      </w:r>
      <w:r>
        <w:rPr>
          <w:rFonts w:hint="eastAsia" w:ascii="宋体" w:hAnsi="宋体"/>
          <w:color w:val="auto"/>
          <w:highlight w:val="none"/>
        </w:rPr>
        <w:t>天内完成款项的支付。</w:t>
      </w:r>
    </w:p>
    <w:p w14:paraId="09539B36">
      <w:pPr>
        <w:keepNext/>
        <w:keepLines/>
        <w:spacing w:before="60" w:after="60" w:line="413" w:lineRule="auto"/>
        <w:outlineLvl w:val="1"/>
        <w:rPr>
          <w:rFonts w:ascii="宋体" w:hAnsi="宋体"/>
          <w:b/>
          <w:bCs/>
          <w:color w:val="auto"/>
          <w:highlight w:val="none"/>
          <w:lang w:val="zh-CN"/>
        </w:rPr>
      </w:pPr>
      <w:bookmarkStart w:id="1062" w:name="_Toc407135275"/>
      <w:bookmarkEnd w:id="1062"/>
      <w:bookmarkStart w:id="1063" w:name="_Toc389065337"/>
      <w:bookmarkEnd w:id="1063"/>
      <w:bookmarkStart w:id="1064" w:name="_Toc29790"/>
      <w:bookmarkEnd w:id="1064"/>
      <w:bookmarkStart w:id="1065" w:name="_Toc373478419"/>
      <w:bookmarkEnd w:id="1065"/>
      <w:bookmarkStart w:id="1066" w:name="_Toc373227772"/>
      <w:bookmarkEnd w:id="1066"/>
      <w:bookmarkStart w:id="1067" w:name="_Toc351203650"/>
      <w:r>
        <w:rPr>
          <w:rFonts w:ascii="宋体" w:hAnsi="宋体"/>
          <w:b/>
          <w:bCs/>
          <w:color w:val="auto"/>
          <w:highlight w:val="none"/>
          <w:lang w:val="zh-CN"/>
        </w:rPr>
        <w:t xml:space="preserve">18. </w:t>
      </w:r>
      <w:bookmarkEnd w:id="1067"/>
      <w:r>
        <w:rPr>
          <w:rFonts w:hint="eastAsia" w:ascii="宋体" w:hAnsi="宋体"/>
          <w:b/>
          <w:bCs/>
          <w:color w:val="auto"/>
          <w:highlight w:val="none"/>
          <w:lang w:val="zh-CN"/>
        </w:rPr>
        <w:t>保险</w:t>
      </w:r>
    </w:p>
    <w:p w14:paraId="2DD84F85">
      <w:pPr>
        <w:keepNext/>
        <w:keepLines/>
        <w:spacing w:line="360" w:lineRule="auto"/>
        <w:outlineLvl w:val="2"/>
        <w:rPr>
          <w:rFonts w:ascii="宋体" w:hAnsi="宋体"/>
          <w:b/>
          <w:bCs/>
          <w:color w:val="auto"/>
          <w:highlight w:val="none"/>
          <w:lang w:val="zh-CN"/>
        </w:rPr>
      </w:pPr>
      <w:bookmarkStart w:id="1068" w:name="_Toc373478420"/>
      <w:bookmarkEnd w:id="1068"/>
      <w:bookmarkStart w:id="1069" w:name="_Toc17107"/>
      <w:bookmarkEnd w:id="1069"/>
      <w:bookmarkStart w:id="1070" w:name="_Toc373227773"/>
      <w:bookmarkEnd w:id="1070"/>
      <w:bookmarkStart w:id="1071" w:name="_Toc389065338"/>
      <w:bookmarkEnd w:id="1071"/>
      <w:bookmarkStart w:id="1072" w:name="_Toc407135276"/>
      <w:r>
        <w:rPr>
          <w:rFonts w:ascii="宋体" w:hAnsi="宋体"/>
          <w:b/>
          <w:bCs/>
          <w:color w:val="auto"/>
          <w:highlight w:val="none"/>
          <w:lang w:val="zh-CN"/>
        </w:rPr>
        <w:t xml:space="preserve">18.1 </w:t>
      </w:r>
      <w:bookmarkEnd w:id="1072"/>
      <w:r>
        <w:rPr>
          <w:rFonts w:hint="eastAsia" w:ascii="宋体" w:hAnsi="宋体"/>
          <w:b/>
          <w:bCs/>
          <w:color w:val="auto"/>
          <w:highlight w:val="none"/>
          <w:lang w:val="zh-CN"/>
        </w:rPr>
        <w:t>工程保险</w:t>
      </w:r>
    </w:p>
    <w:p w14:paraId="290857AE">
      <w:pPr>
        <w:spacing w:line="360" w:lineRule="auto"/>
        <w:ind w:firstLine="420" w:firstLineChars="200"/>
        <w:jc w:val="left"/>
        <w:rPr>
          <w:rFonts w:ascii="宋体" w:hAnsi="宋体"/>
          <w:color w:val="auto"/>
          <w:highlight w:val="none"/>
        </w:rPr>
      </w:pPr>
      <w:r>
        <w:rPr>
          <w:rFonts w:hint="eastAsia" w:ascii="宋体" w:hAnsi="宋体"/>
          <w:color w:val="auto"/>
          <w:highlight w:val="none"/>
        </w:rPr>
        <w:t>关于工程保险的特别约定：</w:t>
      </w:r>
      <w:r>
        <w:rPr>
          <w:rFonts w:hint="eastAsia" w:ascii="宋体" w:hAnsi="宋体"/>
          <w:color w:val="auto"/>
          <w:kern w:val="0"/>
          <w:highlight w:val="none"/>
          <w:u w:val="single"/>
        </w:rPr>
        <w:t>由承包人投保建筑工程一切险或安装工程一切险并承担相应费用</w:t>
      </w:r>
      <w:r>
        <w:rPr>
          <w:rFonts w:hint="eastAsia" w:ascii="宋体" w:hAnsi="宋体"/>
          <w:color w:val="auto"/>
          <w:kern w:val="0"/>
          <w:highlight w:val="none"/>
        </w:rPr>
        <w:t>。</w:t>
      </w:r>
    </w:p>
    <w:p w14:paraId="02C738D1">
      <w:pPr>
        <w:keepNext/>
        <w:keepLines/>
        <w:spacing w:line="360" w:lineRule="auto"/>
        <w:outlineLvl w:val="2"/>
        <w:rPr>
          <w:rFonts w:ascii="宋体" w:hAnsi="宋体"/>
          <w:b/>
          <w:bCs/>
          <w:color w:val="auto"/>
          <w:highlight w:val="none"/>
          <w:lang w:val="zh-CN"/>
        </w:rPr>
      </w:pPr>
      <w:bookmarkStart w:id="1073" w:name="_Toc373227774"/>
      <w:bookmarkEnd w:id="1073"/>
      <w:bookmarkStart w:id="1074" w:name="_Toc15864"/>
      <w:bookmarkEnd w:id="1074"/>
      <w:bookmarkStart w:id="1075" w:name="_Toc389065339"/>
      <w:bookmarkEnd w:id="1075"/>
      <w:bookmarkStart w:id="1076" w:name="_Toc373478421"/>
      <w:bookmarkEnd w:id="1076"/>
      <w:bookmarkStart w:id="1077" w:name="_Toc407135277"/>
      <w:r>
        <w:rPr>
          <w:rFonts w:ascii="宋体" w:hAnsi="宋体"/>
          <w:b/>
          <w:bCs/>
          <w:color w:val="auto"/>
          <w:highlight w:val="none"/>
          <w:lang w:val="zh-CN"/>
        </w:rPr>
        <w:t xml:space="preserve">18.3 </w:t>
      </w:r>
      <w:bookmarkEnd w:id="1077"/>
      <w:r>
        <w:rPr>
          <w:rFonts w:hint="eastAsia" w:ascii="宋体" w:hAnsi="宋体"/>
          <w:b/>
          <w:bCs/>
          <w:color w:val="auto"/>
          <w:highlight w:val="none"/>
          <w:lang w:val="zh-CN"/>
        </w:rPr>
        <w:t>其他保险</w:t>
      </w:r>
    </w:p>
    <w:p w14:paraId="4C62C32B">
      <w:pPr>
        <w:spacing w:line="360" w:lineRule="auto"/>
        <w:ind w:firstLine="420" w:firstLineChars="200"/>
        <w:jc w:val="left"/>
        <w:rPr>
          <w:rFonts w:ascii="宋体" w:hAnsi="宋体"/>
          <w:color w:val="auto"/>
          <w:kern w:val="0"/>
          <w:highlight w:val="none"/>
        </w:rPr>
      </w:pPr>
      <w:r>
        <w:rPr>
          <w:rFonts w:hint="eastAsia" w:ascii="宋体" w:hAnsi="宋体"/>
          <w:color w:val="auto"/>
          <w:highlight w:val="none"/>
        </w:rPr>
        <w:t>关于其他保险的约定：</w:t>
      </w:r>
      <w:r>
        <w:rPr>
          <w:rFonts w:hint="eastAsia" w:ascii="宋体" w:hAnsi="宋体"/>
          <w:color w:val="auto"/>
          <w:kern w:val="0"/>
          <w:highlight w:val="none"/>
          <w:u w:val="single"/>
        </w:rPr>
        <w:t>承包人为其施工现场的全部人员办理意外伤害保险并支付保险费，包括其员工及为履行合同聘请的第三方的人员</w:t>
      </w:r>
      <w:r>
        <w:rPr>
          <w:rFonts w:hint="eastAsia" w:ascii="宋体" w:hAnsi="宋体"/>
          <w:color w:val="auto"/>
          <w:highlight w:val="none"/>
        </w:rPr>
        <w:t>。</w:t>
      </w:r>
    </w:p>
    <w:p w14:paraId="0C3D3EAD">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承包人是否应为其施工设备等办理财产保险：</w:t>
      </w:r>
      <w:r>
        <w:rPr>
          <w:rFonts w:hint="eastAsia" w:ascii="宋体" w:hAnsi="宋体"/>
          <w:color w:val="auto"/>
          <w:highlight w:val="none"/>
          <w:u w:val="single"/>
        </w:rPr>
        <w:t>是</w:t>
      </w:r>
      <w:r>
        <w:rPr>
          <w:rFonts w:hint="eastAsia" w:ascii="宋体" w:hAnsi="宋体"/>
          <w:color w:val="auto"/>
          <w:highlight w:val="none"/>
        </w:rPr>
        <w:t>。</w:t>
      </w:r>
    </w:p>
    <w:p w14:paraId="1C5A1259">
      <w:pPr>
        <w:keepNext/>
        <w:keepLines/>
        <w:spacing w:line="360" w:lineRule="auto"/>
        <w:outlineLvl w:val="2"/>
        <w:rPr>
          <w:rFonts w:ascii="宋体" w:hAnsi="宋体"/>
          <w:b/>
          <w:bCs/>
          <w:color w:val="auto"/>
          <w:highlight w:val="none"/>
          <w:lang w:val="zh-CN"/>
        </w:rPr>
      </w:pPr>
      <w:bookmarkStart w:id="1078" w:name="_Toc9836"/>
      <w:bookmarkEnd w:id="1078"/>
      <w:bookmarkStart w:id="1079" w:name="_Toc373227775"/>
      <w:bookmarkEnd w:id="1079"/>
      <w:bookmarkStart w:id="1080" w:name="_Toc373478422"/>
      <w:bookmarkEnd w:id="1080"/>
      <w:bookmarkStart w:id="1081" w:name="_Toc407135278"/>
      <w:bookmarkEnd w:id="1081"/>
      <w:bookmarkStart w:id="1082" w:name="_Toc389065340"/>
      <w:r>
        <w:rPr>
          <w:rFonts w:ascii="宋体" w:hAnsi="宋体"/>
          <w:b/>
          <w:bCs/>
          <w:color w:val="auto"/>
          <w:highlight w:val="none"/>
          <w:lang w:val="zh-CN"/>
        </w:rPr>
        <w:t xml:space="preserve">18.7 </w:t>
      </w:r>
      <w:bookmarkEnd w:id="1082"/>
      <w:r>
        <w:rPr>
          <w:rFonts w:hint="eastAsia" w:ascii="宋体" w:hAnsi="宋体"/>
          <w:b/>
          <w:bCs/>
          <w:color w:val="auto"/>
          <w:highlight w:val="none"/>
          <w:lang w:val="zh-CN"/>
        </w:rPr>
        <w:t>通知义务</w:t>
      </w:r>
    </w:p>
    <w:p w14:paraId="54DD7917">
      <w:pPr>
        <w:spacing w:line="360" w:lineRule="auto"/>
        <w:ind w:firstLine="420" w:firstLineChars="200"/>
        <w:jc w:val="left"/>
        <w:rPr>
          <w:rFonts w:ascii="宋体" w:hAnsi="宋体"/>
          <w:color w:val="auto"/>
          <w:highlight w:val="none"/>
          <w:u w:val="single"/>
        </w:rPr>
      </w:pPr>
      <w:r>
        <w:rPr>
          <w:rFonts w:hint="eastAsia" w:ascii="宋体" w:hAnsi="宋体"/>
          <w:color w:val="auto"/>
          <w:kern w:val="0"/>
          <w:highlight w:val="none"/>
        </w:rPr>
        <w:t>关于变更保险合同时的通知义务的约定：</w:t>
      </w:r>
      <w:r>
        <w:rPr>
          <w:rFonts w:hint="eastAsia" w:ascii="宋体" w:hAnsi="宋体"/>
          <w:color w:val="auto"/>
          <w:highlight w:val="none"/>
          <w:u w:val="single"/>
        </w:rPr>
        <w:t>由承包人书面通知发包人和监理人</w:t>
      </w:r>
      <w:r>
        <w:rPr>
          <w:rFonts w:hint="eastAsia" w:ascii="宋体" w:hAnsi="宋体"/>
          <w:color w:val="auto"/>
          <w:highlight w:val="none"/>
        </w:rPr>
        <w:t>。</w:t>
      </w:r>
    </w:p>
    <w:p w14:paraId="53E81E2E">
      <w:pPr>
        <w:keepNext/>
        <w:keepLines/>
        <w:spacing w:before="60" w:after="60" w:line="413" w:lineRule="auto"/>
        <w:outlineLvl w:val="1"/>
        <w:rPr>
          <w:rFonts w:ascii="宋体" w:hAnsi="宋体"/>
          <w:b/>
          <w:bCs/>
          <w:color w:val="auto"/>
          <w:highlight w:val="none"/>
          <w:lang w:val="zh-CN"/>
        </w:rPr>
      </w:pPr>
      <w:bookmarkStart w:id="1083" w:name="_Toc389065341"/>
      <w:bookmarkEnd w:id="1083"/>
      <w:bookmarkStart w:id="1084" w:name="_Toc373227776"/>
      <w:bookmarkEnd w:id="1084"/>
      <w:bookmarkStart w:id="1085" w:name="_Toc373478423"/>
      <w:bookmarkEnd w:id="1085"/>
      <w:bookmarkStart w:id="1086" w:name="_Toc407135279"/>
      <w:bookmarkEnd w:id="1086"/>
      <w:bookmarkStart w:id="1087" w:name="_Toc351203651"/>
      <w:bookmarkEnd w:id="1087"/>
      <w:bookmarkStart w:id="1088" w:name="_Toc30490"/>
      <w:bookmarkEnd w:id="1088"/>
      <w:r>
        <w:rPr>
          <w:rFonts w:ascii="宋体" w:hAnsi="宋体"/>
          <w:b/>
          <w:bCs/>
          <w:color w:val="auto"/>
          <w:highlight w:val="none"/>
          <w:lang w:val="zh-CN"/>
        </w:rPr>
        <w:t xml:space="preserve">20. </w:t>
      </w:r>
      <w:r>
        <w:rPr>
          <w:rFonts w:hint="eastAsia" w:ascii="宋体" w:hAnsi="宋体"/>
          <w:b/>
          <w:bCs/>
          <w:color w:val="auto"/>
          <w:highlight w:val="none"/>
          <w:lang w:val="zh-CN"/>
        </w:rPr>
        <w:t>争议解决</w:t>
      </w:r>
    </w:p>
    <w:p w14:paraId="6F2D0BC3">
      <w:pPr>
        <w:keepNext/>
        <w:keepLines/>
        <w:spacing w:line="360" w:lineRule="auto"/>
        <w:outlineLvl w:val="2"/>
        <w:rPr>
          <w:rFonts w:ascii="宋体" w:hAnsi="宋体"/>
          <w:b/>
          <w:bCs/>
          <w:color w:val="auto"/>
          <w:highlight w:val="none"/>
          <w:lang w:val="zh-CN"/>
        </w:rPr>
      </w:pPr>
      <w:bookmarkStart w:id="1089" w:name="_Toc24546"/>
      <w:bookmarkEnd w:id="1089"/>
      <w:bookmarkStart w:id="1090" w:name="_Toc373227777"/>
      <w:bookmarkEnd w:id="1090"/>
      <w:bookmarkStart w:id="1091" w:name="_Toc389065342"/>
      <w:bookmarkEnd w:id="1091"/>
      <w:bookmarkStart w:id="1092" w:name="_Toc373478424"/>
      <w:bookmarkEnd w:id="1092"/>
      <w:bookmarkStart w:id="1093" w:name="_Toc407135280"/>
      <w:r>
        <w:rPr>
          <w:rFonts w:ascii="宋体" w:hAnsi="宋体"/>
          <w:b/>
          <w:bCs/>
          <w:color w:val="auto"/>
          <w:highlight w:val="none"/>
          <w:lang w:val="zh-CN"/>
        </w:rPr>
        <w:t xml:space="preserve">20.3 </w:t>
      </w:r>
      <w:bookmarkEnd w:id="1093"/>
      <w:r>
        <w:rPr>
          <w:rFonts w:hint="eastAsia" w:ascii="宋体" w:hAnsi="宋体"/>
          <w:b/>
          <w:bCs/>
          <w:color w:val="auto"/>
          <w:highlight w:val="none"/>
          <w:lang w:val="zh-CN"/>
        </w:rPr>
        <w:t>争议评审</w:t>
      </w:r>
    </w:p>
    <w:p w14:paraId="2247B521">
      <w:pPr>
        <w:spacing w:line="360" w:lineRule="auto"/>
        <w:ind w:left="149" w:leftChars="71" w:firstLine="315" w:firstLineChars="150"/>
        <w:jc w:val="left"/>
        <w:rPr>
          <w:rFonts w:ascii="宋体" w:hAnsi="宋体"/>
          <w:color w:val="auto"/>
          <w:highlight w:val="none"/>
          <w:u w:val="single"/>
        </w:rPr>
      </w:pPr>
      <w:r>
        <w:rPr>
          <w:rFonts w:hint="eastAsia" w:ascii="宋体" w:hAnsi="宋体"/>
          <w:color w:val="auto"/>
          <w:highlight w:val="none"/>
        </w:rPr>
        <w:t>合同当事人是否同意将工程争议提交争议评审小组决定：</w:t>
      </w:r>
      <w:r>
        <w:rPr>
          <w:rFonts w:hint="eastAsia" w:ascii="宋体" w:hAnsi="宋体"/>
          <w:color w:val="auto"/>
          <w:highlight w:val="none"/>
          <w:u w:val="single"/>
        </w:rPr>
        <w:t>不同意</w:t>
      </w:r>
      <w:r>
        <w:rPr>
          <w:rFonts w:hint="eastAsia" w:ascii="宋体" w:hAnsi="宋体"/>
          <w:color w:val="auto"/>
          <w:highlight w:val="none"/>
        </w:rPr>
        <w:t>。</w:t>
      </w:r>
    </w:p>
    <w:p w14:paraId="2872B69B">
      <w:pPr>
        <w:spacing w:line="360" w:lineRule="auto"/>
        <w:ind w:firstLine="420" w:firstLineChars="200"/>
        <w:jc w:val="left"/>
        <w:outlineLvl w:val="0"/>
        <w:rPr>
          <w:rFonts w:ascii="宋体" w:hAnsi="宋体"/>
          <w:color w:val="auto"/>
          <w:highlight w:val="none"/>
        </w:rPr>
      </w:pPr>
      <w:bookmarkStart w:id="1094" w:name="_Toc15032"/>
      <w:bookmarkStart w:id="1095" w:name="_Toc17388"/>
      <w:bookmarkStart w:id="1096" w:name="_Toc21594"/>
      <w:bookmarkStart w:id="1097" w:name="_Toc1671"/>
      <w:bookmarkStart w:id="1098" w:name="_Toc5652"/>
      <w:bookmarkStart w:id="1099" w:name="_Toc19774"/>
      <w:r>
        <w:rPr>
          <w:rFonts w:ascii="宋体" w:hAnsi="宋体"/>
          <w:color w:val="auto"/>
          <w:highlight w:val="none"/>
        </w:rPr>
        <w:t xml:space="preserve">20.3.1 </w:t>
      </w:r>
      <w:r>
        <w:rPr>
          <w:rFonts w:hint="eastAsia" w:ascii="宋体" w:hAnsi="宋体"/>
          <w:color w:val="auto"/>
          <w:highlight w:val="none"/>
        </w:rPr>
        <w:t>争议评审小组的确定</w:t>
      </w:r>
      <w:bookmarkEnd w:id="1094"/>
      <w:bookmarkEnd w:id="1095"/>
      <w:bookmarkEnd w:id="1096"/>
      <w:bookmarkEnd w:id="1097"/>
      <w:bookmarkEnd w:id="1098"/>
      <w:bookmarkEnd w:id="1099"/>
    </w:p>
    <w:p w14:paraId="38030117">
      <w:pPr>
        <w:spacing w:line="360" w:lineRule="auto"/>
        <w:ind w:firstLine="420" w:firstLineChars="200"/>
        <w:jc w:val="left"/>
        <w:rPr>
          <w:rFonts w:ascii="宋体" w:hAnsi="宋体"/>
          <w:color w:val="auto"/>
          <w:highlight w:val="none"/>
          <w:u w:val="single"/>
        </w:rPr>
      </w:pPr>
      <w:r>
        <w:rPr>
          <w:rFonts w:hint="eastAsia" w:ascii="宋体" w:hAnsi="宋体"/>
          <w:color w:val="auto"/>
          <w:highlight w:val="none"/>
        </w:rPr>
        <w:t>争议评审小组成员的确定：</w:t>
      </w:r>
      <w:r>
        <w:rPr>
          <w:rFonts w:ascii="宋体" w:hAnsi="宋体"/>
          <w:color w:val="auto"/>
          <w:highlight w:val="none"/>
          <w:u w:val="single"/>
        </w:rPr>
        <w:t xml:space="preserve">    /  </w:t>
      </w:r>
      <w:r>
        <w:rPr>
          <w:rFonts w:hint="eastAsia" w:ascii="宋体" w:hAnsi="宋体"/>
          <w:color w:val="auto"/>
          <w:highlight w:val="none"/>
        </w:rPr>
        <w:t>。</w:t>
      </w:r>
    </w:p>
    <w:p w14:paraId="265594F8">
      <w:pPr>
        <w:spacing w:line="360" w:lineRule="auto"/>
        <w:ind w:firstLine="420" w:firstLineChars="200"/>
        <w:jc w:val="left"/>
        <w:rPr>
          <w:rFonts w:ascii="宋体" w:hAnsi="宋体"/>
          <w:color w:val="auto"/>
          <w:highlight w:val="none"/>
        </w:rPr>
      </w:pPr>
      <w:r>
        <w:rPr>
          <w:rFonts w:hint="eastAsia" w:ascii="宋体" w:hAnsi="宋体"/>
          <w:color w:val="auto"/>
          <w:highlight w:val="none"/>
        </w:rPr>
        <w:t>选定争议评审员的期限：</w:t>
      </w:r>
      <w:r>
        <w:rPr>
          <w:rFonts w:ascii="宋体" w:hAnsi="宋体"/>
          <w:color w:val="auto"/>
          <w:highlight w:val="none"/>
          <w:u w:val="single"/>
        </w:rPr>
        <w:t xml:space="preserve">      /  </w:t>
      </w:r>
      <w:r>
        <w:rPr>
          <w:rFonts w:hint="eastAsia" w:ascii="宋体" w:hAnsi="宋体"/>
          <w:color w:val="auto"/>
          <w:highlight w:val="none"/>
        </w:rPr>
        <w:t>。</w:t>
      </w:r>
    </w:p>
    <w:p w14:paraId="51EEA158">
      <w:pPr>
        <w:spacing w:line="360" w:lineRule="auto"/>
        <w:ind w:firstLine="420" w:firstLineChars="200"/>
        <w:jc w:val="left"/>
        <w:rPr>
          <w:rFonts w:ascii="宋体" w:hAnsi="宋体"/>
          <w:color w:val="auto"/>
          <w:highlight w:val="none"/>
        </w:rPr>
      </w:pPr>
      <w:r>
        <w:rPr>
          <w:rFonts w:hint="eastAsia" w:ascii="宋体" w:hAnsi="宋体"/>
          <w:color w:val="auto"/>
          <w:highlight w:val="none"/>
        </w:rPr>
        <w:t>争议评审小组成员的报酬承担方式：</w:t>
      </w:r>
      <w:r>
        <w:rPr>
          <w:rFonts w:ascii="宋体" w:hAnsi="宋体"/>
          <w:color w:val="auto"/>
          <w:highlight w:val="none"/>
          <w:u w:val="single"/>
        </w:rPr>
        <w:t xml:space="preserve">      /        </w:t>
      </w:r>
      <w:r>
        <w:rPr>
          <w:rFonts w:hint="eastAsia" w:ascii="宋体" w:hAnsi="宋体"/>
          <w:color w:val="auto"/>
          <w:highlight w:val="none"/>
        </w:rPr>
        <w:t>。</w:t>
      </w:r>
    </w:p>
    <w:p w14:paraId="277C52CE">
      <w:pPr>
        <w:spacing w:line="360" w:lineRule="auto"/>
        <w:ind w:firstLine="420" w:firstLineChars="200"/>
        <w:jc w:val="left"/>
        <w:rPr>
          <w:rFonts w:ascii="宋体" w:hAnsi="宋体"/>
          <w:color w:val="auto"/>
          <w:highlight w:val="none"/>
        </w:rPr>
      </w:pPr>
      <w:r>
        <w:rPr>
          <w:rFonts w:hint="eastAsia" w:ascii="宋体" w:hAnsi="宋体"/>
          <w:color w:val="auto"/>
          <w:highlight w:val="none"/>
        </w:rPr>
        <w:t>其他事项的约定：</w:t>
      </w:r>
      <w:r>
        <w:rPr>
          <w:rFonts w:ascii="宋体" w:hAnsi="宋体"/>
          <w:color w:val="auto"/>
          <w:highlight w:val="none"/>
          <w:u w:val="single"/>
        </w:rPr>
        <w:t xml:space="preserve">          /         </w:t>
      </w:r>
      <w:r>
        <w:rPr>
          <w:rFonts w:hint="eastAsia" w:ascii="宋体" w:hAnsi="宋体"/>
          <w:color w:val="auto"/>
          <w:highlight w:val="none"/>
        </w:rPr>
        <w:t>。</w:t>
      </w:r>
    </w:p>
    <w:p w14:paraId="48EC0A46">
      <w:pPr>
        <w:autoSpaceDE w:val="0"/>
        <w:autoSpaceDN w:val="0"/>
        <w:adjustRightInd w:val="0"/>
        <w:spacing w:line="360" w:lineRule="auto"/>
        <w:ind w:firstLine="420" w:firstLineChars="200"/>
        <w:jc w:val="left"/>
        <w:rPr>
          <w:rFonts w:ascii="宋体" w:hAnsi="宋体"/>
          <w:color w:val="auto"/>
          <w:kern w:val="0"/>
          <w:highlight w:val="none"/>
        </w:rPr>
      </w:pPr>
      <w:r>
        <w:rPr>
          <w:rFonts w:ascii="宋体" w:hAnsi="宋体"/>
          <w:color w:val="auto"/>
          <w:kern w:val="0"/>
          <w:highlight w:val="none"/>
        </w:rPr>
        <w:t xml:space="preserve">20.3.2 </w:t>
      </w:r>
      <w:r>
        <w:rPr>
          <w:rFonts w:hint="eastAsia" w:ascii="宋体" w:hAnsi="宋体"/>
          <w:color w:val="auto"/>
          <w:kern w:val="0"/>
          <w:highlight w:val="none"/>
        </w:rPr>
        <w:t>争议评审小组的决定</w:t>
      </w:r>
    </w:p>
    <w:p w14:paraId="0C32532D">
      <w:pPr>
        <w:spacing w:line="360" w:lineRule="auto"/>
        <w:ind w:firstLine="420" w:firstLineChars="200"/>
        <w:jc w:val="left"/>
        <w:rPr>
          <w:rFonts w:ascii="宋体" w:hAnsi="宋体"/>
          <w:color w:val="auto"/>
          <w:highlight w:val="none"/>
        </w:rPr>
      </w:pPr>
      <w:r>
        <w:rPr>
          <w:rFonts w:hint="eastAsia" w:ascii="宋体" w:hAnsi="宋体"/>
          <w:color w:val="auto"/>
          <w:highlight w:val="none"/>
        </w:rPr>
        <w:t>合同当事人关于本项的约定：</w:t>
      </w:r>
      <w:r>
        <w:rPr>
          <w:rFonts w:ascii="宋体" w:hAnsi="宋体"/>
          <w:color w:val="auto"/>
          <w:highlight w:val="none"/>
          <w:u w:val="single"/>
        </w:rPr>
        <w:t xml:space="preserve">    /      </w:t>
      </w:r>
      <w:r>
        <w:rPr>
          <w:rFonts w:hint="eastAsia" w:ascii="宋体" w:hAnsi="宋体"/>
          <w:color w:val="auto"/>
          <w:highlight w:val="none"/>
        </w:rPr>
        <w:t>。</w:t>
      </w:r>
    </w:p>
    <w:p w14:paraId="38DCF79D">
      <w:pPr>
        <w:keepNext/>
        <w:keepLines/>
        <w:spacing w:line="360" w:lineRule="auto"/>
        <w:outlineLvl w:val="2"/>
        <w:rPr>
          <w:rFonts w:ascii="宋体" w:hAnsi="宋体"/>
          <w:b/>
          <w:bCs/>
          <w:color w:val="auto"/>
          <w:highlight w:val="none"/>
          <w:lang w:val="zh-CN"/>
        </w:rPr>
      </w:pPr>
      <w:bookmarkStart w:id="1100" w:name="_Toc373478425"/>
      <w:bookmarkEnd w:id="1100"/>
      <w:bookmarkStart w:id="1101" w:name="_Toc389065343"/>
      <w:bookmarkEnd w:id="1101"/>
      <w:bookmarkStart w:id="1102" w:name="_Toc407135281"/>
      <w:bookmarkEnd w:id="1102"/>
      <w:bookmarkStart w:id="1103" w:name="_Toc373227778"/>
      <w:bookmarkEnd w:id="1103"/>
      <w:bookmarkStart w:id="1104" w:name="_Toc27200"/>
      <w:r>
        <w:rPr>
          <w:rFonts w:ascii="宋体" w:hAnsi="宋体"/>
          <w:b/>
          <w:bCs/>
          <w:color w:val="auto"/>
          <w:highlight w:val="none"/>
          <w:lang w:val="zh-CN"/>
        </w:rPr>
        <w:t xml:space="preserve">20.4 </w:t>
      </w:r>
      <w:bookmarkEnd w:id="1104"/>
      <w:r>
        <w:rPr>
          <w:rFonts w:hint="eastAsia" w:ascii="宋体" w:hAnsi="宋体"/>
          <w:b/>
          <w:bCs/>
          <w:color w:val="auto"/>
          <w:highlight w:val="none"/>
          <w:lang w:val="zh-CN"/>
        </w:rPr>
        <w:t>仲裁或诉讼</w:t>
      </w:r>
    </w:p>
    <w:p w14:paraId="17B22CD4">
      <w:pPr>
        <w:spacing w:line="360" w:lineRule="auto"/>
        <w:ind w:firstLine="420" w:firstLineChars="200"/>
        <w:rPr>
          <w:rFonts w:ascii="宋体" w:hAnsi="宋体"/>
          <w:color w:val="auto"/>
          <w:highlight w:val="none"/>
        </w:rPr>
      </w:pPr>
      <w:r>
        <w:rPr>
          <w:rFonts w:hint="eastAsia" w:ascii="宋体" w:hAnsi="宋体"/>
          <w:color w:val="auto"/>
          <w:highlight w:val="none"/>
        </w:rPr>
        <w:t>因合同及合同有关事项发生的争议，按下列第</w:t>
      </w:r>
      <w:r>
        <w:rPr>
          <w:rFonts w:ascii="宋体" w:hAnsi="宋体"/>
          <w:color w:val="auto"/>
          <w:highlight w:val="none"/>
          <w:u w:val="single"/>
        </w:rPr>
        <w:t xml:space="preserve">  2   </w:t>
      </w:r>
      <w:r>
        <w:rPr>
          <w:rFonts w:hint="eastAsia" w:ascii="宋体" w:hAnsi="宋体"/>
          <w:color w:val="auto"/>
          <w:highlight w:val="none"/>
        </w:rPr>
        <w:t>种方式解决：</w:t>
      </w:r>
    </w:p>
    <w:p w14:paraId="7908C8D4">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）提请仲裁委员会按照该会仲裁规则进行仲裁，仲裁裁决是终局的，对合同双方均有约束力。</w:t>
      </w:r>
    </w:p>
    <w:p w14:paraId="0427BC5E">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）向</w:t>
      </w:r>
      <w:r>
        <w:rPr>
          <w:rFonts w:hint="eastAsia" w:ascii="宋体" w:hAnsi="宋体"/>
          <w:color w:val="auto"/>
          <w:highlight w:val="none"/>
          <w:u w:val="single"/>
        </w:rPr>
        <w:t>工程所在地</w:t>
      </w:r>
      <w:r>
        <w:rPr>
          <w:rFonts w:hint="eastAsia" w:ascii="宋体" w:hAnsi="宋体"/>
          <w:color w:val="auto"/>
          <w:highlight w:val="none"/>
        </w:rPr>
        <w:t>人民法院起诉。</w:t>
      </w:r>
    </w:p>
    <w:p w14:paraId="4575283F">
      <w:pPr>
        <w:keepNext/>
        <w:keepLines/>
        <w:spacing w:line="360" w:lineRule="auto"/>
        <w:outlineLvl w:val="2"/>
        <w:rPr>
          <w:rFonts w:ascii="宋体" w:hAnsi="宋体"/>
          <w:b/>
          <w:bCs/>
          <w:color w:val="auto"/>
          <w:highlight w:val="none"/>
          <w:lang w:val="zh-CN"/>
        </w:rPr>
      </w:pPr>
      <w:r>
        <w:rPr>
          <w:rFonts w:ascii="宋体" w:hAnsi="宋体"/>
          <w:b/>
          <w:bCs/>
          <w:color w:val="auto"/>
          <w:highlight w:val="none"/>
          <w:lang w:val="zh-CN"/>
        </w:rPr>
        <w:t xml:space="preserve">21 </w:t>
      </w:r>
      <w:r>
        <w:rPr>
          <w:rFonts w:hint="eastAsia" w:ascii="宋体" w:hAnsi="宋体" w:cs="黑体"/>
          <w:b/>
          <w:bCs/>
          <w:color w:val="auto"/>
          <w:highlight w:val="none"/>
          <w:lang w:val="zh-CN"/>
        </w:rPr>
        <w:t>补充协议</w:t>
      </w:r>
    </w:p>
    <w:p w14:paraId="4C96453E">
      <w:pPr>
        <w:spacing w:line="360" w:lineRule="auto"/>
        <w:ind w:firstLine="315" w:firstLineChars="150"/>
        <w:jc w:val="left"/>
        <w:rPr>
          <w:rFonts w:asciiTheme="minorEastAsia" w:hAnsiTheme="minorEastAsia" w:eastAsiaTheme="minorEastAsia"/>
          <w:color w:val="auto"/>
          <w:highlight w:val="none"/>
        </w:rPr>
      </w:pPr>
      <w:bookmarkStart w:id="1105" w:name="_Toc16067021"/>
      <w:bookmarkEnd w:id="1105"/>
      <w:bookmarkStart w:id="1106" w:name="_Toc351203652"/>
      <w:r>
        <w:rPr>
          <w:rFonts w:ascii="宋体" w:hAnsi="宋体"/>
          <w:color w:val="auto"/>
          <w:highlight w:val="none"/>
        </w:rPr>
        <w:t xml:space="preserve">21.1 </w:t>
      </w:r>
      <w:r>
        <w:rPr>
          <w:rFonts w:hint="eastAsia" w:ascii="宋体" w:hAnsi="宋体"/>
          <w:color w:val="auto"/>
          <w:highlight w:val="none"/>
        </w:rPr>
        <w:t>凡进入本工程禁止使用童工。</w:t>
      </w:r>
      <w:bookmarkEnd w:id="1106"/>
      <w:r>
        <w:rPr>
          <w:rFonts w:hint="eastAsia" w:cs="Arial" w:asciiTheme="minorEastAsia" w:hAnsiTheme="minorEastAsia" w:eastAsiaTheme="minorEastAsia"/>
          <w:color w:val="auto"/>
          <w:highlight w:val="none"/>
        </w:rPr>
        <w:t>禁止施工人员将施工现场作为生活场所用电、火炉烧水、煮饭。</w:t>
      </w:r>
    </w:p>
    <w:p w14:paraId="495470CE">
      <w:pPr>
        <w:spacing w:line="360" w:lineRule="auto"/>
        <w:ind w:firstLine="315" w:firstLineChars="150"/>
        <w:jc w:val="left"/>
        <w:rPr>
          <w:rFonts w:ascii="宋体" w:hAnsi="宋体"/>
          <w:color w:val="auto"/>
          <w:highlight w:val="none"/>
        </w:rPr>
      </w:pPr>
      <w:r>
        <w:rPr>
          <w:rFonts w:ascii="宋体" w:hAnsi="宋体"/>
          <w:color w:val="auto"/>
          <w:highlight w:val="none"/>
        </w:rPr>
        <w:t xml:space="preserve">21.2 </w:t>
      </w:r>
      <w:bookmarkStart w:id="1107" w:name="_Toc16067022"/>
      <w:bookmarkEnd w:id="1107"/>
      <w:r>
        <w:rPr>
          <w:rFonts w:hint="eastAsia" w:ascii="宋体" w:hAnsi="宋体"/>
          <w:color w:val="auto"/>
          <w:highlight w:val="none"/>
        </w:rPr>
        <w:t>建筑材料管理</w:t>
      </w:r>
      <w:r>
        <w:rPr>
          <w:rFonts w:ascii="宋体" w:hAnsi="宋体" w:cs="Calibri"/>
          <w:color w:val="auto"/>
          <w:highlight w:val="none"/>
        </w:rPr>
        <w:t>:</w:t>
      </w:r>
    </w:p>
    <w:p w14:paraId="23FDD21A">
      <w:pPr>
        <w:spacing w:line="360" w:lineRule="auto"/>
        <w:ind w:firstLine="420" w:firstLineChars="200"/>
        <w:jc w:val="left"/>
        <w:rPr>
          <w:rFonts w:asciiTheme="minorEastAsia" w:hAnsiTheme="minorEastAsia" w:eastAsiaTheme="minorEastAsia"/>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）建筑材料采购制度：</w:t>
      </w:r>
      <w:r>
        <w:rPr>
          <w:rFonts w:hint="eastAsia" w:asciiTheme="minorEastAsia" w:hAnsiTheme="minorEastAsia" w:eastAsiaTheme="minorEastAsia"/>
          <w:color w:val="auto"/>
          <w:highlight w:val="none"/>
        </w:rPr>
        <w:t>本工程材料和设备的采购制度:主要的材料和设备采购由施工单位筛选三家以上满足合同约定的合格产品，如在验收中发现存在与本合同约定不符的，材料发包</w:t>
      </w:r>
      <w:r>
        <w:rPr>
          <w:rFonts w:hint="eastAsia" w:ascii="宋体" w:hAnsi="宋体"/>
          <w:color w:val="auto"/>
          <w:highlight w:val="none"/>
        </w:rPr>
        <w:t>人</w:t>
      </w:r>
      <w:r>
        <w:rPr>
          <w:rFonts w:hint="eastAsia" w:asciiTheme="minorEastAsia" w:hAnsiTheme="minorEastAsia" w:eastAsiaTheme="minorEastAsia"/>
          <w:color w:val="auto"/>
          <w:highlight w:val="none"/>
        </w:rPr>
        <w:t>有权要求退货或调换。由此给发包</w:t>
      </w:r>
      <w:r>
        <w:rPr>
          <w:rFonts w:hint="eastAsia" w:ascii="宋体" w:hAnsi="宋体"/>
          <w:color w:val="auto"/>
          <w:highlight w:val="none"/>
        </w:rPr>
        <w:t>人</w:t>
      </w:r>
      <w:r>
        <w:rPr>
          <w:rFonts w:hint="eastAsia" w:asciiTheme="minorEastAsia" w:hAnsiTheme="minorEastAsia" w:eastAsiaTheme="minorEastAsia"/>
          <w:color w:val="auto"/>
          <w:highlight w:val="none"/>
        </w:rPr>
        <w:t>造成的损失(包括工期延误、返工返修及相关方的索赔),由</w:t>
      </w:r>
      <w:r>
        <w:rPr>
          <w:rFonts w:hint="eastAsia" w:ascii="宋体" w:hAnsi="宋体"/>
          <w:color w:val="auto"/>
          <w:highlight w:val="none"/>
        </w:rPr>
        <w:t>承包人</w:t>
      </w:r>
      <w:r>
        <w:rPr>
          <w:rFonts w:hint="eastAsia" w:asciiTheme="minorEastAsia" w:hAnsiTheme="minorEastAsia" w:eastAsiaTheme="minorEastAsia"/>
          <w:color w:val="auto"/>
          <w:highlight w:val="none"/>
        </w:rPr>
        <w:t>按实际发生的损失金额赔偿。。</w:t>
      </w:r>
    </w:p>
    <w:p w14:paraId="0323180C">
      <w:pPr>
        <w:spacing w:line="360" w:lineRule="auto"/>
        <w:ind w:firstLine="420" w:firstLineChars="200"/>
        <w:jc w:val="left"/>
        <w:rPr>
          <w:rFonts w:asciiTheme="minorEastAsia" w:hAnsiTheme="minorEastAsia" w:eastAsiaTheme="minorEastAsia"/>
          <w:color w:val="auto"/>
          <w:highlight w:val="none"/>
        </w:rPr>
      </w:pPr>
      <w:bookmarkStart w:id="1108" w:name="_Toc16060029"/>
      <w:bookmarkEnd w:id="1108"/>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）回访制度：对于部分施工现场无法辨别真伪的建筑材料如</w:t>
      </w:r>
      <w:r>
        <w:rPr>
          <w:rFonts w:ascii="宋体" w:hAnsi="宋体" w:cs="Calibri"/>
          <w:color w:val="auto"/>
          <w:highlight w:val="none"/>
        </w:rPr>
        <w:t>:</w:t>
      </w:r>
      <w:r>
        <w:rPr>
          <w:rFonts w:hint="eastAsia" w:ascii="宋体" w:hAnsi="宋体"/>
          <w:color w:val="auto"/>
          <w:highlight w:val="none"/>
        </w:rPr>
        <w:t>防水卷材、门窗、玻璃、腻子、外墙涂料等（详见附件一《房屋建筑及市政工程主要材料设备清单》中的材料名称），要求厂家实行采购后回访制</w:t>
      </w:r>
      <w:r>
        <w:rPr>
          <w:rFonts w:hint="eastAsia" w:asciiTheme="minorEastAsia" w:hAnsiTheme="minorEastAsia" w:eastAsiaTheme="minorEastAsia"/>
          <w:color w:val="auto"/>
          <w:highlight w:val="none"/>
        </w:rPr>
        <w:t>度</w:t>
      </w:r>
      <w:r>
        <w:rPr>
          <w:rFonts w:cs="Calibri" w:asciiTheme="minorEastAsia" w:hAnsiTheme="minorEastAsia" w:eastAsiaTheme="minorEastAsia"/>
          <w:color w:val="auto"/>
          <w:highlight w:val="none"/>
        </w:rPr>
        <w:t>,</w:t>
      </w:r>
      <w:r>
        <w:rPr>
          <w:rFonts w:hint="eastAsia" w:asciiTheme="minorEastAsia" w:hAnsiTheme="minorEastAsia" w:eastAsiaTheme="minorEastAsia"/>
          <w:color w:val="auto"/>
          <w:highlight w:val="none"/>
        </w:rPr>
        <w:t>由厂家派员对本项目使用的材料做书面评定，提交建设单位作为结算依据。</w:t>
      </w:r>
    </w:p>
    <w:p w14:paraId="6ED9AC59">
      <w:pPr>
        <w:ind w:firstLine="420" w:firstLineChars="200"/>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t>21.3</w:t>
      </w:r>
      <w:r>
        <w:rPr>
          <w:rFonts w:hint="eastAsia" w:asciiTheme="minorEastAsia" w:hAnsiTheme="minorEastAsia" w:eastAsiaTheme="minorEastAsia"/>
          <w:color w:val="auto"/>
          <w:highlight w:val="none"/>
        </w:rPr>
        <w:t>承包人须无条作配合和协助专业人员将不列入承包范围内的空调、LED拼接屏、监控设备采购等的安装和试调工作。</w:t>
      </w:r>
    </w:p>
    <w:p w14:paraId="3043BCEB">
      <w:pPr>
        <w:spacing w:line="360" w:lineRule="auto"/>
        <w:ind w:firstLine="420" w:firstLineChars="200"/>
        <w:jc w:val="left"/>
        <w:rPr>
          <w:rFonts w:ascii="宋体" w:hAnsi="宋体"/>
          <w:color w:val="auto"/>
          <w:highlight w:val="none"/>
        </w:rPr>
      </w:pPr>
      <w:r>
        <w:rPr>
          <w:rFonts w:ascii="宋体" w:hAnsi="宋体"/>
          <w:color w:val="auto"/>
          <w:highlight w:val="none"/>
        </w:rPr>
        <w:t>21.</w:t>
      </w:r>
      <w:r>
        <w:rPr>
          <w:rFonts w:hint="eastAsia" w:ascii="宋体" w:hAnsi="宋体"/>
          <w:color w:val="auto"/>
          <w:highlight w:val="none"/>
        </w:rPr>
        <w:t>4</w:t>
      </w:r>
      <w:r>
        <w:rPr>
          <w:rFonts w:hint="eastAsia" w:cs="Arial" w:asciiTheme="minorEastAsia" w:hAnsiTheme="minorEastAsia" w:eastAsiaTheme="minorEastAsia"/>
          <w:color w:val="auto"/>
          <w:highlight w:val="none"/>
        </w:rPr>
        <w:t>原</w:t>
      </w:r>
      <w:r>
        <w:rPr>
          <w:rFonts w:cs="Arial" w:asciiTheme="minorEastAsia" w:hAnsiTheme="minorEastAsia" w:eastAsiaTheme="minorEastAsia"/>
          <w:color w:val="auto"/>
          <w:highlight w:val="none"/>
        </w:rPr>
        <w:t>建（构）筑物内设置的火灾自动报警系统、自动喷水灭火系统、消火栓系统</w:t>
      </w:r>
      <w:r>
        <w:rPr>
          <w:rFonts w:hint="eastAsia" w:cs="Arial" w:asciiTheme="minorEastAsia" w:hAnsiTheme="minorEastAsia" w:eastAsiaTheme="minorEastAsia"/>
          <w:color w:val="auto"/>
          <w:highlight w:val="none"/>
        </w:rPr>
        <w:t>、</w:t>
      </w:r>
      <w:r>
        <w:rPr>
          <w:rFonts w:cs="Arial" w:asciiTheme="minorEastAsia" w:hAnsiTheme="minorEastAsia" w:eastAsiaTheme="minorEastAsia"/>
          <w:color w:val="auto"/>
          <w:highlight w:val="none"/>
        </w:rPr>
        <w:t>防火门及防火卷帘等</w:t>
      </w:r>
      <w:r>
        <w:rPr>
          <w:rFonts w:hint="eastAsia" w:cs="Arial" w:asciiTheme="minorEastAsia" w:hAnsiTheme="minorEastAsia" w:eastAsiaTheme="minorEastAsia"/>
          <w:color w:val="auto"/>
          <w:highlight w:val="none"/>
        </w:rPr>
        <w:t>安全消</w:t>
      </w:r>
      <w:r>
        <w:rPr>
          <w:rFonts w:cs="Arial" w:asciiTheme="minorEastAsia" w:hAnsiTheme="minorEastAsia" w:eastAsiaTheme="minorEastAsia"/>
          <w:color w:val="auto"/>
          <w:highlight w:val="none"/>
        </w:rPr>
        <w:t>防的设施</w:t>
      </w:r>
      <w:r>
        <w:rPr>
          <w:rFonts w:hint="eastAsia" w:cs="Arial" w:asciiTheme="minorEastAsia" w:hAnsiTheme="minorEastAsia" w:eastAsiaTheme="minorEastAsia"/>
          <w:color w:val="auto"/>
          <w:highlight w:val="none"/>
        </w:rPr>
        <w:t>,</w:t>
      </w:r>
      <w:r>
        <w:rPr>
          <w:rFonts w:hint="eastAsia" w:asciiTheme="minorEastAsia" w:hAnsiTheme="minorEastAsia" w:eastAsiaTheme="minorEastAsia"/>
          <w:color w:val="auto"/>
          <w:highlight w:val="none"/>
        </w:rPr>
        <w:t xml:space="preserve"> 承包人在施工中不得</w:t>
      </w:r>
      <w:r>
        <w:rPr>
          <w:rFonts w:hint="eastAsia" w:ascii="宋体" w:hAnsi="宋体"/>
          <w:color w:val="auto"/>
          <w:highlight w:val="none"/>
        </w:rPr>
        <w:t>损坏和移动。如有损坏，</w:t>
      </w:r>
      <w:r>
        <w:rPr>
          <w:rFonts w:hint="eastAsia" w:asciiTheme="minorEastAsia" w:hAnsiTheme="minorEastAsia" w:eastAsiaTheme="minorEastAsia"/>
          <w:color w:val="auto"/>
          <w:highlight w:val="none"/>
        </w:rPr>
        <w:t>承包人要</w:t>
      </w:r>
      <w:r>
        <w:rPr>
          <w:rFonts w:hint="eastAsia" w:ascii="宋体" w:hAnsi="宋体"/>
          <w:color w:val="auto"/>
          <w:highlight w:val="none"/>
        </w:rPr>
        <w:t>照价赔偿。</w:t>
      </w:r>
    </w:p>
    <w:p w14:paraId="28D156E2">
      <w:pPr>
        <w:spacing w:line="360" w:lineRule="auto"/>
        <w:ind w:firstLine="420" w:firstLineChars="200"/>
        <w:jc w:val="left"/>
        <w:rPr>
          <w:rFonts w:asciiTheme="minorEastAsia" w:hAnsiTheme="minorEastAsia" w:eastAsiaTheme="minorEastAsia"/>
          <w:color w:val="auto"/>
          <w:highlight w:val="none"/>
        </w:rPr>
      </w:pPr>
      <w:r>
        <w:rPr>
          <w:rFonts w:ascii="宋体" w:hAnsi="宋体"/>
          <w:color w:val="auto"/>
          <w:highlight w:val="none"/>
        </w:rPr>
        <w:t>21.</w:t>
      </w:r>
      <w:r>
        <w:rPr>
          <w:rFonts w:hint="eastAsia" w:ascii="宋体" w:hAnsi="宋体"/>
          <w:color w:val="auto"/>
          <w:highlight w:val="none"/>
        </w:rPr>
        <w:t>5本项目的书架及桌椅为定制采购产品，在向厂家预定</w:t>
      </w:r>
      <w:r>
        <w:rPr>
          <w:color w:val="auto"/>
          <w:sz w:val="19"/>
          <w:szCs w:val="19"/>
          <w:highlight w:val="none"/>
        </w:rPr>
        <w:t>招标的范围并达到规定标准的</w:t>
      </w:r>
      <w:r>
        <w:rPr>
          <w:rFonts w:hint="eastAsia" w:ascii="宋体" w:hAnsi="宋体"/>
          <w:color w:val="auto"/>
          <w:highlight w:val="none"/>
        </w:rPr>
        <w:t>书架及桌椅产品时，当承包人出现资金上困难，可发包人提出书面申请，发包人应当提前预付给承包人定制此类产品的部分货款。</w:t>
      </w:r>
    </w:p>
    <w:p w14:paraId="1F43A3C2">
      <w:pPr>
        <w:spacing w:line="360" w:lineRule="auto"/>
        <w:ind w:firstLine="420" w:firstLineChars="200"/>
        <w:jc w:val="left"/>
        <w:rPr>
          <w:rFonts w:ascii="宋体" w:hAnsi="宋体"/>
          <w:color w:val="auto"/>
          <w:highlight w:val="none"/>
        </w:rPr>
      </w:pPr>
      <w:r>
        <w:rPr>
          <w:rFonts w:ascii="宋体" w:hAnsi="宋体"/>
          <w:color w:val="auto"/>
          <w:highlight w:val="none"/>
        </w:rPr>
        <w:t>21.</w:t>
      </w:r>
      <w:r>
        <w:rPr>
          <w:rFonts w:hint="eastAsia" w:ascii="宋体" w:hAnsi="宋体"/>
          <w:color w:val="auto"/>
          <w:highlight w:val="none"/>
        </w:rPr>
        <w:t>6承包人在发包人要求撤离时间未能完成撤离的，经向发包人催告后仍未完成撤离的，发包人有权申请有管辖权的人民法院进行强制撤离。</w:t>
      </w:r>
    </w:p>
    <w:p w14:paraId="22F77A64">
      <w:pPr>
        <w:spacing w:line="360" w:lineRule="auto"/>
        <w:jc w:val="left"/>
        <w:rPr>
          <w:rFonts w:ascii="宋体" w:hAnsi="宋体"/>
          <w:b/>
          <w:bCs/>
          <w:color w:val="auto"/>
          <w:highlight w:val="none"/>
        </w:rPr>
      </w:pPr>
      <w:r>
        <w:rPr>
          <w:rFonts w:hint="eastAsia" w:ascii="宋体" w:hAnsi="宋体"/>
          <w:b/>
          <w:bCs/>
          <w:color w:val="auto"/>
          <w:highlight w:val="none"/>
        </w:rPr>
        <w:t>附件</w:t>
      </w:r>
    </w:p>
    <w:p w14:paraId="37133E2E">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w:t>
      </w:r>
      <w:r>
        <w:rPr>
          <w:rFonts w:hint="eastAsia" w:ascii="宋体" w:hAnsi="宋体"/>
          <w:color w:val="auto"/>
          <w:highlight w:val="none"/>
        </w:rPr>
        <w:t>：承包人承揽工程项目一览表</w:t>
      </w:r>
    </w:p>
    <w:p w14:paraId="57CC70C2">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2</w:t>
      </w:r>
      <w:r>
        <w:rPr>
          <w:rFonts w:hint="eastAsia" w:ascii="宋体" w:hAnsi="宋体"/>
          <w:color w:val="auto"/>
          <w:highlight w:val="none"/>
        </w:rPr>
        <w:t>：工程质量保修书</w:t>
      </w:r>
    </w:p>
    <w:p w14:paraId="03E3EB1B">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3</w:t>
      </w:r>
      <w:r>
        <w:rPr>
          <w:rFonts w:hint="eastAsia" w:ascii="宋体" w:hAnsi="宋体"/>
          <w:color w:val="auto"/>
          <w:highlight w:val="none"/>
        </w:rPr>
        <w:t>：主要建设工程文件目录</w:t>
      </w:r>
    </w:p>
    <w:p w14:paraId="52352537">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4</w:t>
      </w:r>
      <w:r>
        <w:rPr>
          <w:rFonts w:hint="eastAsia" w:ascii="宋体" w:hAnsi="宋体"/>
          <w:color w:val="auto"/>
          <w:highlight w:val="none"/>
        </w:rPr>
        <w:t>：承包人用于本工程施工的机械设备表</w:t>
      </w:r>
    </w:p>
    <w:p w14:paraId="310B3EEF">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5</w:t>
      </w:r>
      <w:r>
        <w:rPr>
          <w:rFonts w:hint="eastAsia" w:ascii="宋体" w:hAnsi="宋体"/>
          <w:color w:val="auto"/>
          <w:highlight w:val="none"/>
        </w:rPr>
        <w:t>：承包人主要施工管理人员表</w:t>
      </w:r>
    </w:p>
    <w:p w14:paraId="15D17948">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6</w:t>
      </w:r>
      <w:r>
        <w:rPr>
          <w:rFonts w:hint="eastAsia" w:ascii="宋体" w:hAnsi="宋体"/>
          <w:color w:val="auto"/>
          <w:highlight w:val="none"/>
        </w:rPr>
        <w:t>：分包人主要施工管理人员表</w:t>
      </w:r>
    </w:p>
    <w:p w14:paraId="62376A85">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7</w:t>
      </w:r>
      <w:r>
        <w:rPr>
          <w:rFonts w:hint="eastAsia" w:ascii="宋体" w:hAnsi="宋体"/>
          <w:color w:val="auto"/>
          <w:highlight w:val="none"/>
        </w:rPr>
        <w:t>：履约担保格式</w:t>
      </w:r>
    </w:p>
    <w:p w14:paraId="08FB92DD">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8</w:t>
      </w:r>
      <w:r>
        <w:rPr>
          <w:rFonts w:hint="eastAsia" w:ascii="宋体" w:hAnsi="宋体"/>
          <w:color w:val="auto"/>
          <w:highlight w:val="none"/>
        </w:rPr>
        <w:t>：预付款担保格式</w:t>
      </w:r>
    </w:p>
    <w:p w14:paraId="35D38E63">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9</w:t>
      </w:r>
      <w:r>
        <w:rPr>
          <w:rFonts w:hint="eastAsia" w:ascii="宋体" w:hAnsi="宋体"/>
          <w:color w:val="auto"/>
          <w:highlight w:val="none"/>
        </w:rPr>
        <w:t>：支付担保格式</w:t>
      </w:r>
    </w:p>
    <w:p w14:paraId="3D637C25">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10</w:t>
      </w:r>
      <w:r>
        <w:rPr>
          <w:rFonts w:hint="eastAsia" w:ascii="宋体" w:hAnsi="宋体"/>
          <w:color w:val="auto"/>
          <w:highlight w:val="none"/>
        </w:rPr>
        <w:t>：预付款支付申请（核准）表</w:t>
      </w:r>
    </w:p>
    <w:p w14:paraId="7A709B81">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11</w:t>
      </w:r>
      <w:r>
        <w:rPr>
          <w:rFonts w:hint="eastAsia" w:ascii="宋体" w:hAnsi="宋体"/>
          <w:color w:val="auto"/>
          <w:highlight w:val="none"/>
        </w:rPr>
        <w:t>：进度款支付申请（核准）表</w:t>
      </w:r>
    </w:p>
    <w:p w14:paraId="56B697AA">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12</w:t>
      </w:r>
      <w:r>
        <w:rPr>
          <w:rFonts w:hint="eastAsia" w:ascii="宋体" w:hAnsi="宋体"/>
          <w:color w:val="auto"/>
          <w:highlight w:val="none"/>
        </w:rPr>
        <w:t>：竣工结算款支付申请（核准）表</w:t>
      </w:r>
    </w:p>
    <w:p w14:paraId="37F9C2AE">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13</w:t>
      </w:r>
      <w:r>
        <w:rPr>
          <w:rFonts w:hint="eastAsia" w:ascii="宋体" w:hAnsi="宋体"/>
          <w:color w:val="auto"/>
          <w:highlight w:val="none"/>
        </w:rPr>
        <w:t>：最终结算款支付申请（核准）表</w:t>
      </w:r>
    </w:p>
    <w:p w14:paraId="296DC5AC">
      <w:pPr>
        <w:spacing w:line="380" w:lineRule="exact"/>
        <w:jc w:val="left"/>
        <w:rPr>
          <w:rFonts w:ascii="宋体" w:hAnsi="宋体"/>
          <w:color w:val="auto"/>
          <w:highlight w:val="none"/>
        </w:rPr>
      </w:pPr>
      <w:r>
        <w:rPr>
          <w:rFonts w:hint="eastAsia" w:ascii="宋体" w:hAnsi="宋体"/>
          <w:color w:val="auto"/>
          <w:highlight w:val="none"/>
        </w:rPr>
        <w:t>附件</w:t>
      </w:r>
      <w:r>
        <w:rPr>
          <w:rFonts w:ascii="宋体" w:hAnsi="宋体"/>
          <w:color w:val="auto"/>
          <w:highlight w:val="none"/>
        </w:rPr>
        <w:t>14</w:t>
      </w:r>
      <w:r>
        <w:rPr>
          <w:rFonts w:hint="eastAsia" w:ascii="宋体" w:hAnsi="宋体"/>
          <w:color w:val="auto"/>
          <w:highlight w:val="none"/>
        </w:rPr>
        <w:t>：总价合同进度款支付分解表</w:t>
      </w:r>
    </w:p>
    <w:p w14:paraId="27FE2E88">
      <w:pPr>
        <w:pStyle w:val="188"/>
        <w:rPr>
          <w:rFonts w:asciiTheme="minorEastAsia" w:hAnsiTheme="minorEastAsia" w:eastAsiaTheme="minorEastAsia"/>
          <w:color w:val="auto"/>
          <w:szCs w:val="21"/>
          <w:highlight w:val="none"/>
        </w:rPr>
      </w:pPr>
      <w:r>
        <w:rPr>
          <w:rFonts w:hint="eastAsia" w:ascii="宋体" w:hAnsi="宋体"/>
          <w:color w:val="auto"/>
          <w:highlight w:val="none"/>
        </w:rPr>
        <w:t>附件</w:t>
      </w:r>
      <w:r>
        <w:rPr>
          <w:rFonts w:ascii="宋体" w:hAnsi="宋体"/>
          <w:color w:val="auto"/>
          <w:highlight w:val="none"/>
        </w:rPr>
        <w:t>1</w:t>
      </w:r>
      <w:r>
        <w:rPr>
          <w:rFonts w:hint="eastAsia" w:ascii="宋体" w:hAnsi="宋体"/>
          <w:color w:val="auto"/>
          <w:highlight w:val="none"/>
        </w:rPr>
        <w:t>5：</w:t>
      </w:r>
      <w:r>
        <w:rPr>
          <w:rFonts w:hint="eastAsia" w:asciiTheme="minorEastAsia" w:hAnsiTheme="minorEastAsia" w:eastAsiaTheme="minorEastAsia"/>
          <w:color w:val="auto"/>
          <w:szCs w:val="21"/>
          <w:highlight w:val="none"/>
        </w:rPr>
        <w:t>施工安全责任协议书</w:t>
      </w:r>
    </w:p>
    <w:p w14:paraId="465DE95D">
      <w:pPr>
        <w:rPr>
          <w:rFonts w:ascii="宋体" w:hAnsi="宋体"/>
          <w:color w:val="auto"/>
          <w:sz w:val="30"/>
          <w:szCs w:val="30"/>
          <w:highlight w:val="none"/>
        </w:rPr>
      </w:pPr>
    </w:p>
    <w:p w14:paraId="1DC6322C">
      <w:pPr>
        <w:rPr>
          <w:rFonts w:ascii="宋体" w:hAnsi="宋体"/>
          <w:color w:val="auto"/>
          <w:sz w:val="30"/>
          <w:szCs w:val="30"/>
          <w:highlight w:val="none"/>
        </w:rPr>
      </w:pPr>
    </w:p>
    <w:p w14:paraId="6AAC57D8">
      <w:pPr>
        <w:rPr>
          <w:rFonts w:ascii="宋体" w:hAnsi="宋体"/>
          <w:color w:val="auto"/>
          <w:sz w:val="30"/>
          <w:szCs w:val="30"/>
          <w:highlight w:val="none"/>
        </w:rPr>
      </w:pPr>
    </w:p>
    <w:p w14:paraId="26DE3A15">
      <w:pPr>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w:t>
      </w:r>
      <w:r>
        <w:rPr>
          <w:rFonts w:hint="eastAsia" w:ascii="宋体" w:hAnsi="宋体"/>
          <w:color w:val="auto"/>
          <w:sz w:val="30"/>
          <w:szCs w:val="30"/>
          <w:highlight w:val="none"/>
        </w:rPr>
        <w:t>：承包人承揽工程项目一览表</w:t>
      </w:r>
    </w:p>
    <w:tbl>
      <w:tblPr>
        <w:tblStyle w:val="47"/>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3"/>
        <w:gridCol w:w="1063"/>
        <w:gridCol w:w="1193"/>
        <w:gridCol w:w="1223"/>
        <w:gridCol w:w="636"/>
        <w:gridCol w:w="1150"/>
        <w:gridCol w:w="1559"/>
        <w:gridCol w:w="1046"/>
        <w:gridCol w:w="637"/>
        <w:gridCol w:w="636"/>
      </w:tblGrid>
      <w:tr w14:paraId="416D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521527E1">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单位工程名称</w:t>
            </w:r>
          </w:p>
        </w:tc>
        <w:tc>
          <w:tcPr>
            <w:tcW w:w="1063" w:type="dxa"/>
            <w:tcBorders>
              <w:left w:val="nil"/>
            </w:tcBorders>
            <w:vAlign w:val="center"/>
          </w:tcPr>
          <w:p w14:paraId="56CA2F42">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建设规模</w:t>
            </w:r>
          </w:p>
        </w:tc>
        <w:tc>
          <w:tcPr>
            <w:tcW w:w="1193" w:type="dxa"/>
            <w:tcBorders>
              <w:left w:val="nil"/>
            </w:tcBorders>
            <w:vAlign w:val="center"/>
          </w:tcPr>
          <w:p w14:paraId="44E68FB4">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建筑面积</w:t>
            </w:r>
            <w:r>
              <w:rPr>
                <w:rFonts w:ascii="宋体" w:hAnsi="宋体"/>
                <w:color w:val="auto"/>
                <w:sz w:val="28"/>
                <w:szCs w:val="28"/>
                <w:highlight w:val="none"/>
              </w:rPr>
              <w:t>(</w:t>
            </w:r>
            <w:r>
              <w:rPr>
                <w:rFonts w:hint="eastAsia" w:ascii="宋体" w:hAnsi="宋体"/>
                <w:color w:val="auto"/>
                <w:sz w:val="28"/>
                <w:szCs w:val="28"/>
                <w:highlight w:val="none"/>
              </w:rPr>
              <w:t>平方米</w:t>
            </w:r>
            <w:r>
              <w:rPr>
                <w:rFonts w:ascii="宋体" w:hAnsi="宋体"/>
                <w:color w:val="auto"/>
                <w:sz w:val="28"/>
                <w:szCs w:val="28"/>
                <w:highlight w:val="none"/>
              </w:rPr>
              <w:t>)</w:t>
            </w:r>
          </w:p>
        </w:tc>
        <w:tc>
          <w:tcPr>
            <w:tcW w:w="1223" w:type="dxa"/>
            <w:tcBorders>
              <w:left w:val="nil"/>
            </w:tcBorders>
            <w:vAlign w:val="center"/>
          </w:tcPr>
          <w:p w14:paraId="48CA622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结构形式</w:t>
            </w:r>
          </w:p>
        </w:tc>
        <w:tc>
          <w:tcPr>
            <w:tcW w:w="636" w:type="dxa"/>
            <w:tcBorders>
              <w:left w:val="nil"/>
            </w:tcBorders>
            <w:vAlign w:val="center"/>
          </w:tcPr>
          <w:p w14:paraId="0667EDF1">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层数</w:t>
            </w:r>
          </w:p>
        </w:tc>
        <w:tc>
          <w:tcPr>
            <w:tcW w:w="1150" w:type="dxa"/>
            <w:tcBorders>
              <w:left w:val="nil"/>
            </w:tcBorders>
            <w:vAlign w:val="center"/>
          </w:tcPr>
          <w:p w14:paraId="0AAF6D17">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生产能力</w:t>
            </w:r>
          </w:p>
        </w:tc>
        <w:tc>
          <w:tcPr>
            <w:tcW w:w="1559" w:type="dxa"/>
            <w:tcBorders>
              <w:left w:val="nil"/>
            </w:tcBorders>
            <w:vAlign w:val="center"/>
          </w:tcPr>
          <w:p w14:paraId="62A22308">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设备安装内容</w:t>
            </w:r>
          </w:p>
        </w:tc>
        <w:tc>
          <w:tcPr>
            <w:tcW w:w="1046" w:type="dxa"/>
            <w:tcBorders>
              <w:left w:val="nil"/>
            </w:tcBorders>
            <w:vAlign w:val="center"/>
          </w:tcPr>
          <w:p w14:paraId="23A5067A">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合同价格（元）</w:t>
            </w:r>
          </w:p>
        </w:tc>
        <w:tc>
          <w:tcPr>
            <w:tcW w:w="637" w:type="dxa"/>
            <w:tcBorders>
              <w:left w:val="nil"/>
            </w:tcBorders>
            <w:vAlign w:val="center"/>
          </w:tcPr>
          <w:p w14:paraId="25CADB77">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开工日期</w:t>
            </w:r>
          </w:p>
        </w:tc>
        <w:tc>
          <w:tcPr>
            <w:tcW w:w="636" w:type="dxa"/>
            <w:tcBorders>
              <w:left w:val="nil"/>
            </w:tcBorders>
            <w:vAlign w:val="center"/>
          </w:tcPr>
          <w:p w14:paraId="3FB5BF66">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竣工日期</w:t>
            </w:r>
          </w:p>
        </w:tc>
      </w:tr>
      <w:tr w14:paraId="3D58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0BEAAFB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44D10B9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0A49C9D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407C52A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FA09FA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0FA6CE3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2A70A16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4F93D68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32903CA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FE8131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859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3D39756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73A80EA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1C525EC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026E966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0DE92C6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170E228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627113E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6645D0D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5568EED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5634EE8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C07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12093C9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57B070D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5149270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324EFFE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43D00BA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7FE0375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4AC1BB8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1B11042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14AF192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C33C6A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3F8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52DFA0A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066EFA4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7C8634F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5458FB9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652472A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1A1198D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7B3E9E3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2652D63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4081810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011246A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B9D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166B68A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33040D4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3DF86B7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519B8F5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68C4BCA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4B181CE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1A23C13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4F086A1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77C4845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03E0E7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126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30B3900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32C34E3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52A9A2B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7047712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1A65B6A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319D452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38DD286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787D02D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32FC09C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AB2168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12C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65A2C07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66409B5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7AED9CE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1D959C1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45480DA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371B75B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5F3651B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483CB9D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12FD3F6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5D29295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0C2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243E317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12809E8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3D85F33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7C8D204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0BC468C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4A167FA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688B1B1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6019A34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06D2429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8841B3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930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6036F06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0E8CE5C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667CF49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307FE83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4CAE4EC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62D7A48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3207458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75D2420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6F081E2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25DFBF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D98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063" w:type="dxa"/>
            <w:vAlign w:val="center"/>
          </w:tcPr>
          <w:p w14:paraId="0F5104B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63" w:type="dxa"/>
            <w:tcBorders>
              <w:left w:val="nil"/>
            </w:tcBorders>
            <w:vAlign w:val="center"/>
          </w:tcPr>
          <w:p w14:paraId="0E02A1D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93" w:type="dxa"/>
            <w:tcBorders>
              <w:left w:val="nil"/>
            </w:tcBorders>
            <w:vAlign w:val="center"/>
          </w:tcPr>
          <w:p w14:paraId="6A29FB0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23" w:type="dxa"/>
            <w:tcBorders>
              <w:left w:val="nil"/>
            </w:tcBorders>
            <w:vAlign w:val="center"/>
          </w:tcPr>
          <w:p w14:paraId="673F941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257931D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50" w:type="dxa"/>
            <w:tcBorders>
              <w:left w:val="nil"/>
            </w:tcBorders>
            <w:vAlign w:val="center"/>
          </w:tcPr>
          <w:p w14:paraId="68D6765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559" w:type="dxa"/>
            <w:tcBorders>
              <w:left w:val="nil"/>
            </w:tcBorders>
            <w:vAlign w:val="center"/>
          </w:tcPr>
          <w:p w14:paraId="3FD0A55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46" w:type="dxa"/>
            <w:tcBorders>
              <w:left w:val="nil"/>
            </w:tcBorders>
            <w:vAlign w:val="center"/>
          </w:tcPr>
          <w:p w14:paraId="5CFC071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7" w:type="dxa"/>
            <w:tcBorders>
              <w:left w:val="nil"/>
            </w:tcBorders>
            <w:vAlign w:val="center"/>
          </w:tcPr>
          <w:p w14:paraId="5E57B8E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636" w:type="dxa"/>
            <w:tcBorders>
              <w:left w:val="nil"/>
            </w:tcBorders>
            <w:vAlign w:val="center"/>
          </w:tcPr>
          <w:p w14:paraId="5F7E95F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bl>
    <w:p w14:paraId="37BA8188">
      <w:pPr>
        <w:spacing w:line="460" w:lineRule="exact"/>
        <w:ind w:firstLine="420" w:firstLineChars="200"/>
        <w:jc w:val="center"/>
        <w:rPr>
          <w:rFonts w:ascii="宋体" w:hAnsi="宋体"/>
          <w:color w:val="auto"/>
          <w:highlight w:val="none"/>
        </w:rPr>
      </w:pPr>
    </w:p>
    <w:p w14:paraId="2F22B3E3">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1</w:t>
      </w:r>
      <w:r>
        <w:rPr>
          <w:rFonts w:hint="eastAsia" w:ascii="宋体" w:hAnsi="宋体"/>
          <w:color w:val="auto"/>
          <w:highlight w:val="none"/>
          <w:u w:val="single"/>
        </w:rPr>
        <w:t>）承包人应根据施工进度计划，在签订暂估价项目的采购合同、分包合同前</w:t>
      </w:r>
      <w:r>
        <w:rPr>
          <w:rFonts w:ascii="宋体" w:hAnsi="宋体"/>
          <w:color w:val="auto"/>
          <w:highlight w:val="none"/>
          <w:u w:val="single"/>
        </w:rPr>
        <w:t>28</w:t>
      </w:r>
      <w:r>
        <w:rPr>
          <w:rFonts w:hint="eastAsia" w:ascii="宋体" w:hAnsi="宋体"/>
          <w:color w:val="auto"/>
          <w:highlight w:val="none"/>
          <w:u w:val="single"/>
        </w:rPr>
        <w:t>天向监理人提出书面申请。监理人应当在收到申请后</w:t>
      </w:r>
      <w:r>
        <w:rPr>
          <w:rFonts w:ascii="宋体" w:hAnsi="宋体"/>
          <w:color w:val="auto"/>
          <w:highlight w:val="none"/>
          <w:u w:val="single"/>
        </w:rPr>
        <w:t>3</w:t>
      </w:r>
      <w:r>
        <w:rPr>
          <w:rFonts w:hint="eastAsia" w:ascii="宋体" w:hAnsi="宋体"/>
          <w:color w:val="auto"/>
          <w:highlight w:val="none"/>
          <w:u w:val="single"/>
        </w:rPr>
        <w:t>天内报送发包人，发包人应当在收到申请后</w:t>
      </w:r>
      <w:r>
        <w:rPr>
          <w:rFonts w:ascii="宋体" w:hAnsi="宋体"/>
          <w:color w:val="auto"/>
          <w:highlight w:val="none"/>
          <w:u w:val="single"/>
        </w:rPr>
        <w:t>14</w:t>
      </w:r>
      <w:r>
        <w:rPr>
          <w:rFonts w:hint="eastAsia" w:ascii="宋体" w:hAnsi="宋体"/>
          <w:color w:val="auto"/>
          <w:highlight w:val="none"/>
          <w:u w:val="single"/>
        </w:rPr>
        <w:t>天内给予批准或提出修改意见，发包人逾期未予批准或提出修改意见的，视为该书面申请已获得同意；</w:t>
      </w:r>
    </w:p>
    <w:p w14:paraId="07872DE9">
      <w:pPr>
        <w:spacing w:line="360" w:lineRule="auto"/>
        <w:ind w:firstLine="420"/>
        <w:jc w:val="left"/>
        <w:rPr>
          <w:rFonts w:ascii="宋体" w:hAnsi="宋体"/>
          <w:color w:val="auto"/>
          <w:highlight w:val="none"/>
          <w:u w:val="single"/>
        </w:rPr>
      </w:pPr>
      <w:r>
        <w:rPr>
          <w:rFonts w:hint="eastAsia" w:ascii="宋体" w:hAnsi="宋体"/>
          <w:color w:val="auto"/>
          <w:highlight w:val="none"/>
          <w:u w:val="single"/>
        </w:rPr>
        <w:t>（</w:t>
      </w:r>
      <w:r>
        <w:rPr>
          <w:rFonts w:ascii="宋体" w:hAnsi="宋体"/>
          <w:color w:val="auto"/>
          <w:highlight w:val="none"/>
          <w:u w:val="single"/>
        </w:rPr>
        <w:t>2</w:t>
      </w:r>
      <w:r>
        <w:rPr>
          <w:rFonts w:hint="eastAsia" w:ascii="宋体" w:hAnsi="宋体"/>
          <w:color w:val="auto"/>
          <w:highlight w:val="none"/>
          <w:u w:val="single"/>
        </w:rPr>
        <w:t>）发包人认为承包人确定的供应商、分包人无法满足工程质量或合同要求的，发包人可以要求承包人重新确定暂估价项目的供应商、分包人；</w:t>
      </w:r>
    </w:p>
    <w:p w14:paraId="08A2B7D7">
      <w:pPr>
        <w:spacing w:line="460" w:lineRule="exact"/>
        <w:ind w:firstLine="420" w:firstLineChars="200"/>
        <w:rPr>
          <w:rFonts w:ascii="宋体" w:hAnsi="宋体"/>
          <w:color w:val="auto"/>
          <w:highlight w:val="none"/>
        </w:rPr>
      </w:pPr>
    </w:p>
    <w:p w14:paraId="411C9328">
      <w:pPr>
        <w:spacing w:line="460" w:lineRule="exact"/>
        <w:ind w:firstLine="420" w:firstLineChars="200"/>
        <w:rPr>
          <w:rFonts w:ascii="宋体" w:hAnsi="宋体"/>
          <w:color w:val="auto"/>
          <w:highlight w:val="none"/>
        </w:rPr>
      </w:pPr>
    </w:p>
    <w:p w14:paraId="29DF8074">
      <w:pPr>
        <w:spacing w:line="440" w:lineRule="exact"/>
        <w:rPr>
          <w:b/>
          <w:color w:val="auto"/>
          <w:kern w:val="0"/>
          <w:sz w:val="28"/>
          <w:szCs w:val="20"/>
          <w:highlight w:val="none"/>
        </w:rPr>
      </w:pPr>
    </w:p>
    <w:p w14:paraId="693BA3F6">
      <w:pPr>
        <w:spacing w:line="440" w:lineRule="exact"/>
        <w:rPr>
          <w:rFonts w:ascii="宋体" w:hAnsi="宋体"/>
          <w:color w:val="auto"/>
          <w:sz w:val="30"/>
          <w:szCs w:val="30"/>
          <w:highlight w:val="none"/>
        </w:rPr>
      </w:pPr>
    </w:p>
    <w:p w14:paraId="5CF30F09">
      <w:pPr>
        <w:spacing w:line="440" w:lineRule="exact"/>
        <w:rPr>
          <w:rFonts w:ascii="宋体" w:hAnsi="宋体"/>
          <w:color w:val="auto"/>
          <w:sz w:val="30"/>
          <w:szCs w:val="30"/>
          <w:highlight w:val="none"/>
        </w:rPr>
      </w:pPr>
    </w:p>
    <w:p w14:paraId="19747313">
      <w:pPr>
        <w:spacing w:line="440" w:lineRule="exact"/>
        <w:rPr>
          <w:rFonts w:ascii="宋体" w:hAnsi="宋体"/>
          <w:color w:val="auto"/>
          <w:sz w:val="30"/>
          <w:szCs w:val="30"/>
          <w:highlight w:val="none"/>
        </w:rPr>
      </w:pPr>
    </w:p>
    <w:p w14:paraId="03A9A094">
      <w:pPr>
        <w:spacing w:line="440" w:lineRule="exact"/>
        <w:rPr>
          <w:rFonts w:ascii="宋体" w:hAnsi="宋体"/>
          <w:color w:val="auto"/>
          <w:sz w:val="30"/>
          <w:szCs w:val="30"/>
          <w:highlight w:val="none"/>
        </w:rPr>
      </w:pPr>
    </w:p>
    <w:p w14:paraId="33B6A2D2">
      <w:pPr>
        <w:rPr>
          <w:rFonts w:ascii="宋体" w:hAnsi="宋体"/>
          <w:color w:val="auto"/>
          <w:sz w:val="30"/>
          <w:szCs w:val="30"/>
          <w:highlight w:val="none"/>
        </w:rPr>
      </w:pPr>
      <w:r>
        <w:rPr>
          <w:rFonts w:hint="eastAsia" w:ascii="宋体" w:hAnsi="宋体"/>
          <w:color w:val="auto"/>
          <w:sz w:val="30"/>
          <w:szCs w:val="30"/>
          <w:highlight w:val="none"/>
        </w:rPr>
        <w:br w:type="page"/>
      </w:r>
    </w:p>
    <w:p w14:paraId="560DAA23">
      <w:pPr>
        <w:spacing w:line="440" w:lineRule="exac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2</w:t>
      </w:r>
      <w:r>
        <w:rPr>
          <w:rFonts w:hint="eastAsia" w:ascii="宋体" w:hAnsi="宋体"/>
          <w:color w:val="auto"/>
          <w:sz w:val="30"/>
          <w:szCs w:val="30"/>
          <w:highlight w:val="none"/>
        </w:rPr>
        <w:t>：</w:t>
      </w:r>
    </w:p>
    <w:p w14:paraId="34BED167">
      <w:pPr>
        <w:spacing w:beforeLines="50" w:afterLines="50" w:line="440" w:lineRule="exact"/>
        <w:jc w:val="center"/>
        <w:rPr>
          <w:rFonts w:ascii="黑体" w:eastAsia="黑体"/>
          <w:color w:val="auto"/>
          <w:sz w:val="32"/>
          <w:szCs w:val="32"/>
          <w:highlight w:val="none"/>
        </w:rPr>
      </w:pPr>
      <w:r>
        <w:rPr>
          <w:rFonts w:hint="eastAsia" w:ascii="黑体" w:hAnsi="黑体" w:eastAsia="黑体"/>
          <w:color w:val="auto"/>
          <w:sz w:val="32"/>
          <w:szCs w:val="32"/>
          <w:highlight w:val="none"/>
        </w:rPr>
        <w:t>工程质量保修书</w:t>
      </w:r>
    </w:p>
    <w:p w14:paraId="78C6D2D4">
      <w:pPr>
        <w:spacing w:line="440" w:lineRule="exact"/>
        <w:ind w:firstLine="420" w:firstLineChars="200"/>
        <w:rPr>
          <w:color w:val="auto"/>
          <w:highlight w:val="none"/>
        </w:rPr>
      </w:pPr>
      <w:r>
        <w:rPr>
          <w:rFonts w:hint="eastAsia" w:ascii="宋体" w:hAnsi="宋体"/>
          <w:color w:val="auto"/>
          <w:highlight w:val="none"/>
        </w:rPr>
        <w:t>发包人（全称）：</w:t>
      </w:r>
    </w:p>
    <w:p w14:paraId="3E1CF15B">
      <w:pPr>
        <w:spacing w:line="440" w:lineRule="exact"/>
        <w:ind w:firstLine="420" w:firstLineChars="200"/>
        <w:rPr>
          <w:color w:val="auto"/>
          <w:highlight w:val="none"/>
        </w:rPr>
      </w:pPr>
      <w:r>
        <w:rPr>
          <w:rFonts w:hint="eastAsia" w:ascii="宋体" w:hAnsi="宋体"/>
          <w:color w:val="auto"/>
          <w:highlight w:val="none"/>
        </w:rPr>
        <w:t>承包人（全称）：</w:t>
      </w:r>
    </w:p>
    <w:p w14:paraId="4C428616">
      <w:pPr>
        <w:spacing w:line="360" w:lineRule="auto"/>
        <w:ind w:firstLine="420" w:firstLineChars="200"/>
        <w:rPr>
          <w:rFonts w:hAnsi="宋体"/>
          <w:color w:val="auto"/>
          <w:highlight w:val="none"/>
        </w:rPr>
      </w:pPr>
      <w:r>
        <w:rPr>
          <w:rFonts w:hint="eastAsia" w:ascii="宋体" w:hAnsi="宋体"/>
          <w:color w:val="auto"/>
          <w:highlight w:val="none"/>
        </w:rPr>
        <w:t>发包人和承包人根据《中华人民共和国建筑法》和《建设工程质量管理条例》，经协商一致就（工程全称）签订工程质量保修书。</w:t>
      </w:r>
    </w:p>
    <w:p w14:paraId="0C117E6B">
      <w:pPr>
        <w:spacing w:line="360" w:lineRule="auto"/>
        <w:ind w:firstLine="420" w:firstLineChars="200"/>
        <w:rPr>
          <w:rFonts w:ascii="黑体" w:hAnsi="宋体" w:eastAsia="黑体"/>
          <w:color w:val="auto"/>
          <w:highlight w:val="none"/>
        </w:rPr>
      </w:pPr>
      <w:r>
        <w:rPr>
          <w:rFonts w:hint="eastAsia" w:ascii="黑体" w:hAnsi="黑体" w:eastAsia="黑体"/>
          <w:color w:val="auto"/>
          <w:highlight w:val="none"/>
        </w:rPr>
        <w:t>一、工程质量保修范围和内容</w:t>
      </w:r>
    </w:p>
    <w:p w14:paraId="74F818D3">
      <w:pPr>
        <w:spacing w:line="360" w:lineRule="auto"/>
        <w:ind w:firstLine="420" w:firstLineChars="200"/>
        <w:rPr>
          <w:color w:val="auto"/>
          <w:highlight w:val="none"/>
        </w:rPr>
      </w:pPr>
      <w:r>
        <w:rPr>
          <w:rFonts w:hint="eastAsia" w:ascii="宋体" w:hAnsi="宋体"/>
          <w:color w:val="auto"/>
          <w:highlight w:val="none"/>
        </w:rPr>
        <w:t>承包人在质量保修期内，按照有关法律规定和合同约定，承担工程质量保修责任。</w:t>
      </w:r>
    </w:p>
    <w:p w14:paraId="612EC884">
      <w:pPr>
        <w:spacing w:line="360" w:lineRule="auto"/>
        <w:ind w:firstLine="420"/>
        <w:rPr>
          <w:rFonts w:hAnsi="宋体"/>
          <w:color w:val="auto"/>
          <w:highlight w:val="none"/>
        </w:rPr>
      </w:pPr>
      <w:r>
        <w:rPr>
          <w:rFonts w:hint="eastAsia" w:ascii="宋体" w:hAnsi="宋体"/>
          <w:color w:val="auto"/>
          <w:highlight w:val="none"/>
        </w:rPr>
        <w:t>质量保修范围包括：书架</w:t>
      </w:r>
      <w:r>
        <w:rPr>
          <w:rFonts w:hint="eastAsia" w:cs="宋体" w:asciiTheme="minorEastAsia" w:hAnsiTheme="minorEastAsia" w:eastAsiaTheme="minorEastAsia"/>
          <w:color w:val="auto"/>
          <w:kern w:val="0"/>
          <w:highlight w:val="none"/>
        </w:rPr>
        <w:t>桌椅</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吊顶、墙面基层、石膏板隔墙</w:t>
      </w:r>
      <w:r>
        <w:rPr>
          <w:rFonts w:hint="eastAsia" w:ascii="宋体" w:hAnsi="宋体"/>
          <w:color w:val="auto"/>
          <w:highlight w:val="none"/>
        </w:rPr>
        <w:t>、地面防水工程、有防水要求的卫生间、电气灯具管线、给排水管道、设备安装等</w:t>
      </w:r>
      <w:r>
        <w:rPr>
          <w:rFonts w:hint="eastAsia" w:asciiTheme="minorEastAsia" w:hAnsiTheme="minorEastAsia" w:eastAsiaTheme="minorEastAsia"/>
          <w:color w:val="auto"/>
          <w:highlight w:val="none"/>
        </w:rPr>
        <w:t>施工图范围内所有项目</w:t>
      </w:r>
      <w:r>
        <w:rPr>
          <w:rFonts w:hint="eastAsia" w:ascii="宋体" w:hAnsi="宋体"/>
          <w:color w:val="auto"/>
          <w:highlight w:val="none"/>
        </w:rPr>
        <w:t>，以及双方约定的其他项目。具体保修的内容，双方约定如下：</w:t>
      </w:r>
    </w:p>
    <w:p w14:paraId="3785CE67">
      <w:pPr>
        <w:spacing w:line="360" w:lineRule="auto"/>
        <w:ind w:firstLine="420"/>
        <w:rPr>
          <w:rFonts w:ascii="黑体" w:hAnsi="宋体" w:eastAsia="黑体"/>
          <w:color w:val="auto"/>
          <w:highlight w:val="none"/>
        </w:rPr>
      </w:pPr>
      <w:r>
        <w:rPr>
          <w:rFonts w:hint="eastAsia" w:ascii="黑体" w:hAnsi="黑体" w:eastAsia="黑体"/>
          <w:color w:val="auto"/>
          <w:highlight w:val="none"/>
        </w:rPr>
        <w:t>二、质量保修期</w:t>
      </w:r>
    </w:p>
    <w:p w14:paraId="7A5C762A">
      <w:pPr>
        <w:spacing w:line="360" w:lineRule="auto"/>
        <w:ind w:firstLine="420"/>
        <w:rPr>
          <w:rFonts w:asciiTheme="minorEastAsia" w:hAnsiTheme="minorEastAsia"/>
          <w:color w:val="auto"/>
          <w:highlight w:val="none"/>
        </w:rPr>
      </w:pPr>
      <w:r>
        <w:rPr>
          <w:rFonts w:hint="eastAsia" w:asciiTheme="minorEastAsia" w:hAnsiTheme="minorEastAsia" w:eastAsiaTheme="minorEastAsia"/>
          <w:color w:val="auto"/>
          <w:highlight w:val="none"/>
        </w:rPr>
        <w:t>保修期为工程实际竣工日期后的12个月质量保修责任</w:t>
      </w:r>
    </w:p>
    <w:p w14:paraId="01B0E270">
      <w:pPr>
        <w:spacing w:line="360" w:lineRule="auto"/>
        <w:ind w:firstLine="420"/>
        <w:rPr>
          <w:rFonts w:ascii="黑体" w:hAnsi="宋体" w:eastAsia="黑体"/>
          <w:color w:val="auto"/>
          <w:highlight w:val="none"/>
        </w:rPr>
      </w:pPr>
      <w:r>
        <w:rPr>
          <w:rFonts w:hint="eastAsia" w:ascii="黑体" w:hAnsi="黑体" w:eastAsia="黑体"/>
          <w:color w:val="auto"/>
          <w:highlight w:val="none"/>
        </w:rPr>
        <w:t>三、缺陷责任期</w:t>
      </w:r>
    </w:p>
    <w:p w14:paraId="3A5CE167">
      <w:pPr>
        <w:spacing w:line="360" w:lineRule="auto"/>
        <w:ind w:firstLine="420"/>
        <w:rPr>
          <w:rFonts w:hAnsi="宋体"/>
          <w:color w:val="auto"/>
          <w:highlight w:val="none"/>
        </w:rPr>
      </w:pPr>
      <w:r>
        <w:rPr>
          <w:rFonts w:hint="eastAsia" w:ascii="宋体" w:hAnsi="宋体"/>
          <w:color w:val="auto"/>
          <w:highlight w:val="none"/>
        </w:rPr>
        <w:t>工程缺陷责任期为</w:t>
      </w:r>
      <w:r>
        <w:rPr>
          <w:color w:val="auto"/>
          <w:highlight w:val="none"/>
          <w:u w:val="single"/>
        </w:rPr>
        <w:t xml:space="preserve">  </w:t>
      </w:r>
      <w:r>
        <w:rPr>
          <w:rFonts w:hint="eastAsia"/>
          <w:color w:val="auto"/>
          <w:highlight w:val="none"/>
          <w:u w:val="single"/>
        </w:rPr>
        <w:t>12</w:t>
      </w:r>
      <w:r>
        <w:rPr>
          <w:color w:val="auto"/>
          <w:highlight w:val="none"/>
          <w:u w:val="single"/>
        </w:rPr>
        <w:t xml:space="preserve">  </w:t>
      </w:r>
      <w:r>
        <w:rPr>
          <w:rFonts w:hint="eastAsia" w:ascii="宋体" w:hAnsi="宋体"/>
          <w:color w:val="auto"/>
          <w:highlight w:val="none"/>
        </w:rPr>
        <w:t>个月（最长不超过</w:t>
      </w:r>
      <w:r>
        <w:rPr>
          <w:rFonts w:hAnsi="宋体"/>
          <w:color w:val="auto"/>
          <w:highlight w:val="none"/>
        </w:rPr>
        <w:t>24</w:t>
      </w:r>
      <w:r>
        <w:rPr>
          <w:rFonts w:hint="eastAsia" w:ascii="宋体" w:hAnsi="宋体"/>
          <w:color w:val="auto"/>
          <w:highlight w:val="none"/>
        </w:rPr>
        <w:t>个月），缺陷责任期自工程竣工验收合格之日起计算。单位工程先于全部工程进行验收，单位工程缺陷责任期自单位工程验收合格之日起算。</w:t>
      </w:r>
    </w:p>
    <w:p w14:paraId="51DA94F9">
      <w:pPr>
        <w:spacing w:line="360" w:lineRule="auto"/>
        <w:ind w:firstLine="420"/>
        <w:rPr>
          <w:rFonts w:hAnsi="宋体"/>
          <w:color w:val="auto"/>
          <w:highlight w:val="none"/>
        </w:rPr>
      </w:pPr>
      <w:r>
        <w:rPr>
          <w:rFonts w:hint="eastAsia" w:ascii="宋体" w:hAnsi="宋体"/>
          <w:color w:val="auto"/>
          <w:highlight w:val="none"/>
        </w:rPr>
        <w:t>缺陷责任期</w:t>
      </w:r>
      <w:r>
        <w:rPr>
          <w:rFonts w:hint="eastAsia" w:ascii="宋体" w:hAnsi="宋体"/>
          <w:color w:val="auto"/>
          <w:highlight w:val="none"/>
          <w:u w:val="single"/>
        </w:rPr>
        <w:t>满</w:t>
      </w:r>
      <w:r>
        <w:rPr>
          <w:rFonts w:hint="eastAsia" w:ascii="宋体" w:hAnsi="宋体"/>
          <w:color w:val="auto"/>
          <w:highlight w:val="none"/>
        </w:rPr>
        <w:t>之日起天</w:t>
      </w:r>
      <w:r>
        <w:rPr>
          <w:rFonts w:hint="eastAsia" w:ascii="宋体" w:hAnsi="宋体"/>
          <w:color w:val="auto"/>
          <w:highlight w:val="none"/>
          <w:u w:val="single"/>
        </w:rPr>
        <w:t>（按</w:t>
      </w:r>
      <w:r>
        <w:rPr>
          <w:rFonts w:ascii="宋体" w:hAnsi="宋体" w:cs="宋体"/>
          <w:color w:val="auto"/>
          <w:highlight w:val="none"/>
          <w:u w:val="single"/>
        </w:rPr>
        <w:t>合同约定期限）</w:t>
      </w:r>
      <w:r>
        <w:rPr>
          <w:rFonts w:hint="eastAsia" w:ascii="宋体" w:hAnsi="宋体"/>
          <w:color w:val="auto"/>
          <w:highlight w:val="none"/>
          <w:u w:val="single"/>
        </w:rPr>
        <w:t>，</w:t>
      </w:r>
      <w:r>
        <w:rPr>
          <w:rFonts w:hint="eastAsia" w:ascii="宋体" w:hAnsi="宋体"/>
          <w:color w:val="auto"/>
          <w:highlight w:val="none"/>
        </w:rPr>
        <w:t>发包人应退还剩余的质量保证金。</w:t>
      </w:r>
    </w:p>
    <w:p w14:paraId="0F108C1C">
      <w:pPr>
        <w:spacing w:line="360" w:lineRule="auto"/>
        <w:ind w:firstLine="420"/>
        <w:rPr>
          <w:rFonts w:ascii="黑体" w:hAnsi="宋体" w:eastAsia="黑体"/>
          <w:color w:val="auto"/>
          <w:highlight w:val="none"/>
        </w:rPr>
      </w:pPr>
      <w:r>
        <w:rPr>
          <w:rFonts w:hint="eastAsia" w:ascii="黑体" w:hAnsi="黑体" w:eastAsia="黑体"/>
          <w:color w:val="auto"/>
          <w:highlight w:val="none"/>
        </w:rPr>
        <w:t>四、质量保修责任</w:t>
      </w:r>
    </w:p>
    <w:p w14:paraId="2057D030">
      <w:pPr>
        <w:spacing w:line="360" w:lineRule="auto"/>
        <w:ind w:left="105" w:leftChars="50" w:firstLine="430" w:firstLineChars="205"/>
        <w:rPr>
          <w:rFonts w:hAnsi="宋体"/>
          <w:color w:val="auto"/>
          <w:highlight w:val="none"/>
        </w:rPr>
      </w:pPr>
      <w:r>
        <w:rPr>
          <w:color w:val="auto"/>
          <w:highlight w:val="none"/>
        </w:rPr>
        <w:t>1</w:t>
      </w:r>
      <w:r>
        <w:rPr>
          <w:rFonts w:hint="eastAsia" w:ascii="宋体" w:hAnsi="宋体"/>
          <w:color w:val="auto"/>
          <w:highlight w:val="none"/>
        </w:rPr>
        <w:t>．属于保修范围、内容的项目，承包人应当在接到保修通知之日起天内派人保修。承包人不在约定期限内派人保修的，发包人可以委托他人修理，修理费用从质量保证金内扣除。</w:t>
      </w:r>
    </w:p>
    <w:p w14:paraId="427165E9">
      <w:pPr>
        <w:spacing w:line="360" w:lineRule="auto"/>
        <w:ind w:firstLine="420"/>
        <w:rPr>
          <w:rFonts w:hAnsi="宋体"/>
          <w:color w:val="auto"/>
          <w:highlight w:val="none"/>
        </w:rPr>
      </w:pPr>
      <w:r>
        <w:rPr>
          <w:color w:val="auto"/>
          <w:highlight w:val="none"/>
        </w:rPr>
        <w:t>2</w:t>
      </w:r>
      <w:r>
        <w:rPr>
          <w:rFonts w:hint="eastAsia" w:ascii="宋体" w:hAnsi="宋体"/>
          <w:color w:val="auto"/>
          <w:highlight w:val="none"/>
        </w:rPr>
        <w:t>．发生紧急事故需抢修的，承包人在接到事故通知后，应当立即到达事故现场抢修。</w:t>
      </w:r>
    </w:p>
    <w:p w14:paraId="793DDF04">
      <w:pPr>
        <w:spacing w:line="360" w:lineRule="auto"/>
        <w:ind w:firstLine="420"/>
        <w:rPr>
          <w:rFonts w:hAnsi="宋体"/>
          <w:color w:val="auto"/>
          <w:highlight w:val="none"/>
        </w:rPr>
      </w:pPr>
      <w:r>
        <w:rPr>
          <w:color w:val="auto"/>
          <w:highlight w:val="none"/>
        </w:rPr>
        <w:t>3</w:t>
      </w:r>
      <w:r>
        <w:rPr>
          <w:rFonts w:hint="eastAsia" w:ascii="宋体" w:hAnsi="宋体"/>
          <w:color w:val="auto"/>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922A57B">
      <w:pPr>
        <w:spacing w:line="360" w:lineRule="auto"/>
        <w:ind w:firstLine="420"/>
        <w:rPr>
          <w:rFonts w:hAnsi="宋体"/>
          <w:color w:val="auto"/>
          <w:highlight w:val="none"/>
        </w:rPr>
      </w:pPr>
      <w:r>
        <w:rPr>
          <w:color w:val="auto"/>
          <w:highlight w:val="none"/>
        </w:rPr>
        <w:t>4</w:t>
      </w:r>
      <w:r>
        <w:rPr>
          <w:rFonts w:hint="eastAsia" w:ascii="宋体" w:hAnsi="宋体"/>
          <w:color w:val="auto"/>
          <w:highlight w:val="none"/>
        </w:rPr>
        <w:t>．质量保修完成后，由发包人组织验收。</w:t>
      </w:r>
    </w:p>
    <w:p w14:paraId="7DB75EEB">
      <w:pPr>
        <w:spacing w:line="360" w:lineRule="auto"/>
        <w:ind w:firstLine="420"/>
        <w:rPr>
          <w:rFonts w:ascii="黑体" w:hAnsi="宋体" w:eastAsia="黑体"/>
          <w:color w:val="auto"/>
          <w:highlight w:val="none"/>
        </w:rPr>
      </w:pPr>
      <w:r>
        <w:rPr>
          <w:rFonts w:hint="eastAsia" w:ascii="黑体" w:hAnsi="黑体" w:eastAsia="黑体"/>
          <w:color w:val="auto"/>
          <w:highlight w:val="none"/>
        </w:rPr>
        <w:t>五、保修费用</w:t>
      </w:r>
    </w:p>
    <w:p w14:paraId="584E0583">
      <w:pPr>
        <w:spacing w:line="360" w:lineRule="auto"/>
        <w:ind w:firstLine="420"/>
        <w:rPr>
          <w:rFonts w:hAnsi="宋体"/>
          <w:color w:val="auto"/>
          <w:highlight w:val="none"/>
        </w:rPr>
      </w:pPr>
      <w:r>
        <w:rPr>
          <w:rFonts w:hint="eastAsia" w:ascii="宋体" w:hAnsi="宋体"/>
          <w:color w:val="auto"/>
          <w:highlight w:val="none"/>
        </w:rPr>
        <w:t>保修费用由造成质量缺陷的责任方承担。</w:t>
      </w:r>
    </w:p>
    <w:p w14:paraId="6C5836E6">
      <w:pPr>
        <w:spacing w:line="360" w:lineRule="auto"/>
        <w:ind w:firstLine="420"/>
        <w:rPr>
          <w:rFonts w:ascii="黑体" w:hAnsi="宋体" w:eastAsia="黑体"/>
          <w:color w:val="auto"/>
          <w:highlight w:val="none"/>
        </w:rPr>
      </w:pPr>
      <w:r>
        <w:rPr>
          <w:rFonts w:hint="eastAsia" w:ascii="黑体" w:hAnsi="黑体" w:eastAsia="黑体"/>
          <w:color w:val="auto"/>
          <w:highlight w:val="none"/>
        </w:rPr>
        <w:t>六、双方约定的其他工程质量保修事项：</w:t>
      </w:r>
    </w:p>
    <w:p w14:paraId="00BB577C">
      <w:pPr>
        <w:spacing w:line="360" w:lineRule="auto"/>
        <w:ind w:firstLine="420" w:firstLineChars="200"/>
        <w:jc w:val="left"/>
        <w:rPr>
          <w:color w:val="auto"/>
          <w:highlight w:val="none"/>
        </w:rPr>
      </w:pPr>
      <w:r>
        <w:rPr>
          <w:rFonts w:hint="eastAsia" w:ascii="宋体" w:hAnsi="宋体"/>
          <w:color w:val="auto"/>
          <w:highlight w:val="none"/>
        </w:rPr>
        <w:t>。</w:t>
      </w:r>
    </w:p>
    <w:p w14:paraId="658908FE">
      <w:pPr>
        <w:spacing w:line="360" w:lineRule="auto"/>
        <w:ind w:firstLine="399" w:firstLineChars="190"/>
        <w:rPr>
          <w:color w:val="auto"/>
          <w:highlight w:val="none"/>
        </w:rPr>
      </w:pPr>
      <w:r>
        <w:rPr>
          <w:rFonts w:hint="eastAsia" w:ascii="宋体" w:hAnsi="宋体"/>
          <w:color w:val="auto"/>
          <w:highlight w:val="none"/>
        </w:rPr>
        <w:t>工程质量保修书由发包人、承包人在工程竣工验收前共同签署，作为施工合同附件，其有效期限至保修期满。</w:t>
      </w:r>
    </w:p>
    <w:p w14:paraId="6ECCB3EC">
      <w:pPr>
        <w:spacing w:line="360" w:lineRule="auto"/>
        <w:ind w:firstLine="420"/>
        <w:rPr>
          <w:color w:val="auto"/>
          <w:highlight w:val="none"/>
        </w:rPr>
      </w:pPr>
    </w:p>
    <w:p w14:paraId="705EC4D2">
      <w:pPr>
        <w:spacing w:line="360" w:lineRule="auto"/>
        <w:rPr>
          <w:color w:val="auto"/>
          <w:highlight w:val="none"/>
        </w:rPr>
      </w:pPr>
      <w:r>
        <w:rPr>
          <w:rFonts w:ascii="宋体" w:hAnsi="宋体"/>
          <w:color w:val="auto"/>
          <w:highlight w:val="none"/>
        </w:rPr>
        <w:t>发包人</w:t>
      </w:r>
      <w:r>
        <w:rPr>
          <w:rFonts w:hint="eastAsia" w:ascii="宋体" w:hAnsi="宋体"/>
          <w:color w:val="auto"/>
          <w:highlight w:val="none"/>
        </w:rPr>
        <w:t>（</w:t>
      </w:r>
      <w:r>
        <w:rPr>
          <w:rFonts w:ascii="宋体" w:hAnsi="宋体"/>
          <w:color w:val="auto"/>
          <w:highlight w:val="none"/>
        </w:rPr>
        <w:t>公章</w:t>
      </w:r>
      <w:r>
        <w:rPr>
          <w:rFonts w:hint="eastAsia" w:ascii="宋体" w:hAnsi="宋体"/>
          <w:color w:val="auto"/>
          <w:highlight w:val="none"/>
        </w:rPr>
        <w:t>）</w:t>
      </w:r>
      <w:r>
        <w:rPr>
          <w:rFonts w:ascii="宋体" w:hAnsi="宋体"/>
          <w:color w:val="auto"/>
          <w:highlight w:val="none"/>
        </w:rPr>
        <w:t>：承包人</w:t>
      </w:r>
      <w:r>
        <w:rPr>
          <w:rFonts w:hint="eastAsia" w:ascii="宋体" w:hAnsi="宋体"/>
          <w:color w:val="auto"/>
          <w:highlight w:val="none"/>
        </w:rPr>
        <w:t>（</w:t>
      </w:r>
      <w:r>
        <w:rPr>
          <w:rFonts w:ascii="宋体" w:hAnsi="宋体"/>
          <w:color w:val="auto"/>
          <w:highlight w:val="none"/>
        </w:rPr>
        <w:t>公章</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rPr>
        <w:t xml:space="preserve">                         </w:t>
      </w:r>
    </w:p>
    <w:p w14:paraId="1D6B4F6E">
      <w:pPr>
        <w:spacing w:line="360" w:lineRule="auto"/>
        <w:rPr>
          <w:color w:val="auto"/>
          <w:highlight w:val="none"/>
        </w:rPr>
      </w:pPr>
      <w:r>
        <w:rPr>
          <w:rFonts w:ascii="宋体" w:hAnsi="宋体"/>
          <w:color w:val="auto"/>
          <w:highlight w:val="none"/>
        </w:rPr>
        <w:t>地址：地址：</w:t>
      </w:r>
      <w:r>
        <w:rPr>
          <w:rFonts w:hint="eastAsia" w:ascii="宋体" w:hAnsi="宋体"/>
          <w:color w:val="auto"/>
          <w:highlight w:val="none"/>
          <w:u w:val="single"/>
        </w:rPr>
        <w:t xml:space="preserve">                                   </w:t>
      </w:r>
    </w:p>
    <w:p w14:paraId="315CA5B6">
      <w:pPr>
        <w:spacing w:line="360" w:lineRule="auto"/>
        <w:rPr>
          <w:color w:val="auto"/>
          <w:highlight w:val="none"/>
        </w:rPr>
      </w:pPr>
      <w:r>
        <w:rPr>
          <w:rFonts w:ascii="宋体" w:hAnsi="宋体"/>
          <w:color w:val="auto"/>
          <w:highlight w:val="none"/>
        </w:rPr>
        <w:t>法定代表人</w:t>
      </w:r>
      <w:r>
        <w:rPr>
          <w:rFonts w:hint="eastAsia" w:ascii="宋体" w:hAnsi="宋体"/>
          <w:color w:val="auto"/>
          <w:highlight w:val="none"/>
        </w:rPr>
        <w:t>（</w:t>
      </w:r>
      <w:r>
        <w:rPr>
          <w:rFonts w:ascii="宋体" w:hAnsi="宋体"/>
          <w:color w:val="auto"/>
          <w:highlight w:val="none"/>
        </w:rPr>
        <w:t>签字</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rPr>
        <w:t xml:space="preserve">               </w:t>
      </w:r>
      <w:r>
        <w:rPr>
          <w:rFonts w:ascii="宋体" w:hAnsi="宋体"/>
          <w:color w:val="auto"/>
          <w:highlight w:val="none"/>
        </w:rPr>
        <w:t>法定代表人</w:t>
      </w:r>
      <w:r>
        <w:rPr>
          <w:rFonts w:hint="eastAsia" w:ascii="宋体" w:hAnsi="宋体"/>
          <w:color w:val="auto"/>
          <w:highlight w:val="none"/>
        </w:rPr>
        <w:t>（</w:t>
      </w:r>
      <w:r>
        <w:rPr>
          <w:rFonts w:ascii="宋体" w:hAnsi="宋体"/>
          <w:color w:val="auto"/>
          <w:highlight w:val="none"/>
        </w:rPr>
        <w:t>签字</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rPr>
        <w:t xml:space="preserve">                        </w:t>
      </w:r>
    </w:p>
    <w:p w14:paraId="4F2827B0">
      <w:pPr>
        <w:spacing w:line="360" w:lineRule="auto"/>
        <w:rPr>
          <w:color w:val="auto"/>
          <w:highlight w:val="none"/>
        </w:rPr>
      </w:pPr>
      <w:r>
        <w:rPr>
          <w:rFonts w:ascii="宋体" w:hAnsi="宋体"/>
          <w:color w:val="auto"/>
          <w:highlight w:val="none"/>
        </w:rPr>
        <w:t>委托代理人</w:t>
      </w:r>
      <w:r>
        <w:rPr>
          <w:rFonts w:hint="eastAsia" w:ascii="宋体" w:hAnsi="宋体"/>
          <w:color w:val="auto"/>
          <w:highlight w:val="none"/>
        </w:rPr>
        <w:t>（</w:t>
      </w:r>
      <w:r>
        <w:rPr>
          <w:rFonts w:ascii="宋体" w:hAnsi="宋体"/>
          <w:color w:val="auto"/>
          <w:highlight w:val="none"/>
        </w:rPr>
        <w:t>签字</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rPr>
        <w:t xml:space="preserve">               </w:t>
      </w:r>
      <w:r>
        <w:rPr>
          <w:rFonts w:ascii="宋体" w:hAnsi="宋体"/>
          <w:color w:val="auto"/>
          <w:highlight w:val="none"/>
        </w:rPr>
        <w:t>委托代理人</w:t>
      </w:r>
      <w:r>
        <w:rPr>
          <w:rFonts w:hint="eastAsia" w:ascii="宋体" w:hAnsi="宋体"/>
          <w:color w:val="auto"/>
          <w:highlight w:val="none"/>
        </w:rPr>
        <w:t>（</w:t>
      </w:r>
      <w:r>
        <w:rPr>
          <w:rFonts w:ascii="宋体" w:hAnsi="宋体"/>
          <w:color w:val="auto"/>
          <w:highlight w:val="none"/>
        </w:rPr>
        <w:t>签字</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u w:val="single"/>
        </w:rPr>
        <w:t xml:space="preserve">                         </w:t>
      </w:r>
    </w:p>
    <w:p w14:paraId="5ABB2BAA">
      <w:pPr>
        <w:spacing w:line="360" w:lineRule="auto"/>
        <w:rPr>
          <w:color w:val="auto"/>
          <w:highlight w:val="none"/>
        </w:rPr>
      </w:pPr>
      <w:r>
        <w:rPr>
          <w:rFonts w:ascii="宋体" w:hAnsi="宋体"/>
          <w:color w:val="auto"/>
          <w:highlight w:val="none"/>
        </w:rPr>
        <w:t>电话：</w:t>
      </w:r>
      <w:r>
        <w:rPr>
          <w:rFonts w:hint="eastAsia" w:ascii="宋体" w:hAnsi="宋体"/>
          <w:color w:val="auto"/>
          <w:highlight w:val="none"/>
          <w:u w:val="single"/>
        </w:rPr>
        <w:t xml:space="preserve">                             </w:t>
      </w:r>
      <w:r>
        <w:rPr>
          <w:rFonts w:ascii="宋体" w:hAnsi="宋体"/>
          <w:color w:val="auto"/>
          <w:highlight w:val="none"/>
        </w:rPr>
        <w:t>电话：</w:t>
      </w:r>
      <w:r>
        <w:rPr>
          <w:rFonts w:hint="eastAsia" w:ascii="宋体" w:hAnsi="宋体"/>
          <w:color w:val="auto"/>
          <w:highlight w:val="none"/>
          <w:u w:val="single"/>
        </w:rPr>
        <w:t xml:space="preserve">                                      </w:t>
      </w:r>
    </w:p>
    <w:p w14:paraId="5BC08655">
      <w:pPr>
        <w:spacing w:line="360" w:lineRule="auto"/>
        <w:rPr>
          <w:color w:val="auto"/>
          <w:highlight w:val="none"/>
        </w:rPr>
      </w:pPr>
      <w:r>
        <w:rPr>
          <w:rFonts w:ascii="宋体" w:hAnsi="宋体"/>
          <w:color w:val="auto"/>
          <w:highlight w:val="none"/>
        </w:rPr>
        <w:t>传真：</w:t>
      </w:r>
      <w:r>
        <w:rPr>
          <w:rFonts w:hint="eastAsia" w:ascii="宋体" w:hAnsi="宋体"/>
          <w:color w:val="auto"/>
          <w:highlight w:val="none"/>
          <w:u w:val="single"/>
        </w:rPr>
        <w:t xml:space="preserve">                             </w:t>
      </w:r>
      <w:r>
        <w:rPr>
          <w:rFonts w:ascii="宋体" w:hAnsi="宋体"/>
          <w:color w:val="auto"/>
          <w:highlight w:val="none"/>
        </w:rPr>
        <w:t>传真：</w:t>
      </w:r>
      <w:r>
        <w:rPr>
          <w:rFonts w:hint="eastAsia" w:ascii="宋体" w:hAnsi="宋体"/>
          <w:color w:val="auto"/>
          <w:highlight w:val="none"/>
          <w:u w:val="single"/>
        </w:rPr>
        <w:t xml:space="preserve">                                        </w:t>
      </w:r>
    </w:p>
    <w:p w14:paraId="1680EB77">
      <w:pPr>
        <w:spacing w:line="360" w:lineRule="auto"/>
        <w:rPr>
          <w:color w:val="auto"/>
          <w:highlight w:val="none"/>
        </w:rPr>
      </w:pPr>
      <w:r>
        <w:rPr>
          <w:rFonts w:ascii="宋体" w:hAnsi="宋体"/>
          <w:color w:val="auto"/>
          <w:highlight w:val="none"/>
        </w:rPr>
        <w:t>开户银行：</w:t>
      </w:r>
      <w:r>
        <w:rPr>
          <w:rFonts w:hint="eastAsia" w:ascii="宋体" w:hAnsi="宋体"/>
          <w:color w:val="auto"/>
          <w:highlight w:val="none"/>
          <w:u w:val="single"/>
        </w:rPr>
        <w:t xml:space="preserve">                        </w:t>
      </w:r>
      <w:r>
        <w:rPr>
          <w:rFonts w:ascii="宋体" w:hAnsi="宋体"/>
          <w:color w:val="auto"/>
          <w:highlight w:val="none"/>
        </w:rPr>
        <w:t>开户银行：</w:t>
      </w:r>
      <w:r>
        <w:rPr>
          <w:rFonts w:hint="eastAsia" w:ascii="宋体" w:hAnsi="宋体"/>
          <w:color w:val="auto"/>
          <w:highlight w:val="none"/>
          <w:u w:val="single"/>
        </w:rPr>
        <w:t xml:space="preserve">                                     </w:t>
      </w:r>
    </w:p>
    <w:p w14:paraId="7F6AB1E2">
      <w:pPr>
        <w:spacing w:line="360" w:lineRule="auto"/>
        <w:rPr>
          <w:color w:val="auto"/>
          <w:highlight w:val="none"/>
        </w:rPr>
      </w:pPr>
      <w:r>
        <w:rPr>
          <w:rFonts w:ascii="宋体" w:hAnsi="宋体"/>
          <w:color w:val="auto"/>
          <w:highlight w:val="none"/>
        </w:rPr>
        <w:t>账号：</w:t>
      </w:r>
      <w:r>
        <w:rPr>
          <w:rFonts w:hint="eastAsia" w:ascii="宋体" w:hAnsi="宋体"/>
          <w:color w:val="auto"/>
          <w:highlight w:val="none"/>
          <w:u w:val="single"/>
        </w:rPr>
        <w:t xml:space="preserve">                            </w:t>
      </w:r>
      <w:r>
        <w:rPr>
          <w:rFonts w:ascii="宋体" w:hAnsi="宋体"/>
          <w:color w:val="auto"/>
          <w:highlight w:val="none"/>
        </w:rPr>
        <w:t>账号：</w:t>
      </w:r>
      <w:r>
        <w:rPr>
          <w:rFonts w:hint="eastAsia" w:ascii="宋体" w:hAnsi="宋体"/>
          <w:color w:val="auto"/>
          <w:highlight w:val="none"/>
          <w:u w:val="single"/>
        </w:rPr>
        <w:t xml:space="preserve">                                         </w:t>
      </w:r>
    </w:p>
    <w:p w14:paraId="6D67421F">
      <w:pPr>
        <w:spacing w:line="360" w:lineRule="auto"/>
        <w:rPr>
          <w:rFonts w:ascii="宋体" w:hAnsi="宋体"/>
          <w:color w:val="auto"/>
          <w:highlight w:val="none"/>
          <w:u w:val="single"/>
        </w:rPr>
      </w:pPr>
      <w:r>
        <w:rPr>
          <w:rFonts w:ascii="宋体" w:hAnsi="宋体"/>
          <w:color w:val="auto"/>
          <w:highlight w:val="none"/>
        </w:rPr>
        <w:t>邮政编码：</w:t>
      </w:r>
      <w:r>
        <w:rPr>
          <w:rFonts w:hint="eastAsia" w:ascii="宋体" w:hAnsi="宋体"/>
          <w:color w:val="auto"/>
          <w:highlight w:val="none"/>
          <w:u w:val="single"/>
        </w:rPr>
        <w:t xml:space="preserve">                       </w:t>
      </w:r>
      <w:r>
        <w:rPr>
          <w:rFonts w:ascii="宋体" w:hAnsi="宋体"/>
          <w:color w:val="auto"/>
          <w:highlight w:val="none"/>
        </w:rPr>
        <w:t>邮政编码：</w:t>
      </w:r>
      <w:r>
        <w:rPr>
          <w:rFonts w:hint="eastAsia" w:ascii="宋体" w:hAnsi="宋体"/>
          <w:color w:val="auto"/>
          <w:highlight w:val="none"/>
          <w:u w:val="single"/>
        </w:rPr>
        <w:t xml:space="preserve">                                       </w:t>
      </w:r>
    </w:p>
    <w:p w14:paraId="149D4924">
      <w:pPr>
        <w:spacing w:line="360" w:lineRule="auto"/>
        <w:rPr>
          <w:rFonts w:ascii="宋体" w:hAnsi="宋体"/>
          <w:color w:val="auto"/>
          <w:highlight w:val="none"/>
        </w:rPr>
      </w:pPr>
    </w:p>
    <w:p w14:paraId="582EEFB8">
      <w:pPr>
        <w:spacing w:line="360" w:lineRule="auto"/>
        <w:rPr>
          <w:rFonts w:ascii="宋体" w:hAnsi="宋体"/>
          <w:color w:val="auto"/>
          <w:highlight w:val="none"/>
        </w:rPr>
      </w:pPr>
    </w:p>
    <w:p w14:paraId="4304130B">
      <w:pPr>
        <w:spacing w:line="360" w:lineRule="auto"/>
        <w:rPr>
          <w:rFonts w:ascii="宋体" w:hAnsi="宋体"/>
          <w:color w:val="auto"/>
          <w:highlight w:val="none"/>
        </w:rPr>
      </w:pPr>
    </w:p>
    <w:p w14:paraId="1E0AEACF">
      <w:pPr>
        <w:spacing w:line="360" w:lineRule="auto"/>
        <w:rPr>
          <w:rFonts w:ascii="宋体" w:hAnsi="宋体"/>
          <w:color w:val="auto"/>
          <w:highlight w:val="none"/>
        </w:rPr>
      </w:pPr>
    </w:p>
    <w:p w14:paraId="073911A7">
      <w:pPr>
        <w:spacing w:line="360" w:lineRule="auto"/>
        <w:rPr>
          <w:rFonts w:ascii="宋体" w:hAnsi="宋体"/>
          <w:color w:val="auto"/>
          <w:highlight w:val="none"/>
        </w:rPr>
      </w:pPr>
    </w:p>
    <w:p w14:paraId="4F88B49F">
      <w:pPr>
        <w:rPr>
          <w:rFonts w:ascii="宋体" w:hAnsi="宋体"/>
          <w:color w:val="auto"/>
          <w:sz w:val="30"/>
          <w:szCs w:val="30"/>
          <w:highlight w:val="none"/>
        </w:rPr>
      </w:pPr>
      <w:r>
        <w:rPr>
          <w:rFonts w:hint="eastAsia" w:ascii="宋体" w:hAnsi="宋体"/>
          <w:color w:val="auto"/>
          <w:sz w:val="30"/>
          <w:szCs w:val="30"/>
          <w:highlight w:val="none"/>
        </w:rPr>
        <w:br w:type="page"/>
      </w:r>
    </w:p>
    <w:p w14:paraId="795A4475">
      <w:pPr>
        <w:spacing w:line="440" w:lineRule="exac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3</w:t>
      </w:r>
      <w:r>
        <w:rPr>
          <w:rFonts w:hint="eastAsia" w:ascii="宋体" w:hAnsi="宋体"/>
          <w:color w:val="auto"/>
          <w:sz w:val="30"/>
          <w:szCs w:val="30"/>
          <w:highlight w:val="none"/>
        </w:rPr>
        <w:t>：</w:t>
      </w:r>
    </w:p>
    <w:p w14:paraId="1F1EB5C2">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主要建设工程文件目录</w:t>
      </w:r>
    </w:p>
    <w:tbl>
      <w:tblPr>
        <w:tblStyle w:val="47"/>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F080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2" w:space="0"/>
            </w:tcBorders>
            <w:vAlign w:val="center"/>
          </w:tcPr>
          <w:p w14:paraId="5E212020">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文件名称</w:t>
            </w:r>
          </w:p>
        </w:tc>
        <w:tc>
          <w:tcPr>
            <w:tcW w:w="1276" w:type="dxa"/>
            <w:tcBorders>
              <w:top w:val="single" w:color="auto" w:sz="12" w:space="0"/>
              <w:bottom w:val="double" w:color="auto" w:sz="2" w:space="0"/>
            </w:tcBorders>
            <w:vAlign w:val="center"/>
          </w:tcPr>
          <w:p w14:paraId="2657936A">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套数</w:t>
            </w:r>
          </w:p>
        </w:tc>
        <w:tc>
          <w:tcPr>
            <w:tcW w:w="1450" w:type="dxa"/>
            <w:tcBorders>
              <w:top w:val="single" w:color="auto" w:sz="12" w:space="0"/>
              <w:bottom w:val="double" w:color="auto" w:sz="2" w:space="0"/>
            </w:tcBorders>
            <w:vAlign w:val="center"/>
          </w:tcPr>
          <w:p w14:paraId="5DC7FB90">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费用（元）</w:t>
            </w:r>
          </w:p>
        </w:tc>
        <w:tc>
          <w:tcPr>
            <w:tcW w:w="1243" w:type="dxa"/>
            <w:tcBorders>
              <w:top w:val="single" w:color="auto" w:sz="12" w:space="0"/>
              <w:bottom w:val="double" w:color="auto" w:sz="2" w:space="0"/>
            </w:tcBorders>
            <w:vAlign w:val="center"/>
          </w:tcPr>
          <w:p w14:paraId="217BFC52">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质量</w:t>
            </w:r>
          </w:p>
        </w:tc>
        <w:tc>
          <w:tcPr>
            <w:tcW w:w="1450" w:type="dxa"/>
            <w:tcBorders>
              <w:top w:val="single" w:color="auto" w:sz="12" w:space="0"/>
              <w:bottom w:val="double" w:color="auto" w:sz="2" w:space="0"/>
            </w:tcBorders>
          </w:tcPr>
          <w:p w14:paraId="33C0C77A">
            <w:pPr>
              <w:spacing w:line="440" w:lineRule="exact"/>
              <w:jc w:val="center"/>
              <w:rPr>
                <w:rFonts w:ascii="宋体" w:hAnsi="宋体"/>
                <w:color w:val="auto"/>
                <w:sz w:val="28"/>
                <w:szCs w:val="28"/>
                <w:highlight w:val="none"/>
              </w:rPr>
            </w:pPr>
            <w:r>
              <w:rPr>
                <w:rFonts w:hint="eastAsia" w:ascii="宋体" w:hAnsi="宋体"/>
                <w:color w:val="auto"/>
                <w:sz w:val="28"/>
                <w:szCs w:val="28"/>
                <w:highlight w:val="none"/>
              </w:rPr>
              <w:t>移交时间</w:t>
            </w:r>
          </w:p>
        </w:tc>
        <w:tc>
          <w:tcPr>
            <w:tcW w:w="1667" w:type="dxa"/>
            <w:tcBorders>
              <w:top w:val="single" w:color="auto" w:sz="12" w:space="0"/>
              <w:bottom w:val="double" w:color="auto" w:sz="2" w:space="0"/>
            </w:tcBorders>
          </w:tcPr>
          <w:p w14:paraId="3665681A">
            <w:pPr>
              <w:spacing w:line="440" w:lineRule="exact"/>
              <w:jc w:val="center"/>
              <w:rPr>
                <w:rFonts w:ascii="宋体" w:hAnsi="宋体"/>
                <w:color w:val="auto"/>
                <w:sz w:val="28"/>
                <w:szCs w:val="28"/>
                <w:highlight w:val="none"/>
              </w:rPr>
            </w:pPr>
            <w:r>
              <w:rPr>
                <w:rFonts w:hint="eastAsia" w:ascii="宋体" w:hAnsi="宋体"/>
                <w:color w:val="auto"/>
                <w:sz w:val="28"/>
                <w:szCs w:val="28"/>
                <w:highlight w:val="none"/>
              </w:rPr>
              <w:t>责任人</w:t>
            </w:r>
          </w:p>
        </w:tc>
      </w:tr>
      <w:tr w14:paraId="41156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2" w:space="0"/>
            </w:tcBorders>
            <w:vAlign w:val="center"/>
          </w:tcPr>
          <w:p w14:paraId="74630BB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tcBorders>
              <w:top w:val="double" w:color="auto" w:sz="2" w:space="0"/>
            </w:tcBorders>
            <w:vAlign w:val="center"/>
          </w:tcPr>
          <w:p w14:paraId="389967B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tcBorders>
              <w:top w:val="double" w:color="auto" w:sz="2" w:space="0"/>
            </w:tcBorders>
            <w:vAlign w:val="center"/>
          </w:tcPr>
          <w:p w14:paraId="37A58F2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tcBorders>
              <w:top w:val="double" w:color="auto" w:sz="2" w:space="0"/>
            </w:tcBorders>
            <w:vAlign w:val="center"/>
          </w:tcPr>
          <w:p w14:paraId="68F7EE0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tcBorders>
              <w:top w:val="double" w:color="auto" w:sz="2" w:space="0"/>
            </w:tcBorders>
            <w:vAlign w:val="center"/>
          </w:tcPr>
          <w:p w14:paraId="3E4CCA6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tcBorders>
              <w:top w:val="double" w:color="auto" w:sz="2" w:space="0"/>
            </w:tcBorders>
            <w:vAlign w:val="center"/>
          </w:tcPr>
          <w:p w14:paraId="03981BF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52ED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0F9D9E8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tcBorders>
              <w:top w:val="nil"/>
            </w:tcBorders>
            <w:vAlign w:val="center"/>
          </w:tcPr>
          <w:p w14:paraId="0130010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tcBorders>
              <w:top w:val="nil"/>
            </w:tcBorders>
            <w:vAlign w:val="center"/>
          </w:tcPr>
          <w:p w14:paraId="1175BF2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tcBorders>
              <w:top w:val="nil"/>
            </w:tcBorders>
            <w:vAlign w:val="center"/>
          </w:tcPr>
          <w:p w14:paraId="1A6AF3D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tcBorders>
              <w:top w:val="nil"/>
            </w:tcBorders>
            <w:vAlign w:val="center"/>
          </w:tcPr>
          <w:p w14:paraId="0C184A4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tcBorders>
              <w:top w:val="nil"/>
            </w:tcBorders>
            <w:vAlign w:val="center"/>
          </w:tcPr>
          <w:p w14:paraId="25BDDF9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0313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C379DC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505483D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139E01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4E11805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5F37CA0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2B2E439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47E6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C82728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58E81DD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61FD42F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172852F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7111BE6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1C434C7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2B14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3DCECF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6FEA6C5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76EBDB7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53617DD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2FB9B75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3A7F750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E2C0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71B2187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1613699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311C075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3B8B27C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3D13AAD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205BCA7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0ED61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38182E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36B07BA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7BB11D8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04F7A7E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395D715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656311F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2606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45E13B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14D7150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2D365C6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2D35A10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1520AC9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2F33EAF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537F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14F1CD8">
            <w:pPr>
              <w:rPr>
                <w:rFonts w:ascii="宋体" w:hAnsi="宋体"/>
                <w:color w:val="auto"/>
                <w:sz w:val="30"/>
                <w:szCs w:val="30"/>
                <w:highlight w:val="none"/>
              </w:rPr>
            </w:pPr>
          </w:p>
        </w:tc>
        <w:tc>
          <w:tcPr>
            <w:tcW w:w="1276" w:type="dxa"/>
          </w:tcPr>
          <w:p w14:paraId="2D7891CD">
            <w:pPr>
              <w:rPr>
                <w:rFonts w:ascii="宋体" w:hAnsi="宋体"/>
                <w:color w:val="auto"/>
                <w:sz w:val="30"/>
                <w:szCs w:val="30"/>
                <w:highlight w:val="none"/>
              </w:rPr>
            </w:pPr>
          </w:p>
        </w:tc>
        <w:tc>
          <w:tcPr>
            <w:tcW w:w="1450" w:type="dxa"/>
          </w:tcPr>
          <w:p w14:paraId="2D6D1F3F">
            <w:pPr>
              <w:rPr>
                <w:rFonts w:ascii="宋体" w:hAnsi="宋体"/>
                <w:color w:val="auto"/>
                <w:sz w:val="30"/>
                <w:szCs w:val="30"/>
                <w:highlight w:val="none"/>
              </w:rPr>
            </w:pPr>
          </w:p>
        </w:tc>
        <w:tc>
          <w:tcPr>
            <w:tcW w:w="1243" w:type="dxa"/>
          </w:tcPr>
          <w:p w14:paraId="286C9546">
            <w:pPr>
              <w:rPr>
                <w:rFonts w:ascii="宋体" w:hAnsi="宋体"/>
                <w:color w:val="auto"/>
                <w:sz w:val="30"/>
                <w:szCs w:val="30"/>
                <w:highlight w:val="none"/>
              </w:rPr>
            </w:pPr>
          </w:p>
        </w:tc>
        <w:tc>
          <w:tcPr>
            <w:tcW w:w="1450" w:type="dxa"/>
          </w:tcPr>
          <w:p w14:paraId="39B2A1FB">
            <w:pPr>
              <w:rPr>
                <w:rFonts w:ascii="宋体" w:hAnsi="宋体"/>
                <w:color w:val="auto"/>
                <w:sz w:val="30"/>
                <w:szCs w:val="30"/>
                <w:highlight w:val="none"/>
              </w:rPr>
            </w:pPr>
          </w:p>
        </w:tc>
        <w:tc>
          <w:tcPr>
            <w:tcW w:w="1667" w:type="dxa"/>
          </w:tcPr>
          <w:p w14:paraId="7C940541">
            <w:pPr>
              <w:rPr>
                <w:rFonts w:ascii="宋体" w:hAnsi="宋体"/>
                <w:color w:val="auto"/>
                <w:sz w:val="30"/>
                <w:szCs w:val="30"/>
                <w:highlight w:val="none"/>
              </w:rPr>
            </w:pPr>
          </w:p>
        </w:tc>
      </w:tr>
      <w:tr w14:paraId="5A2F5E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590ED4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76" w:type="dxa"/>
            <w:vAlign w:val="center"/>
          </w:tcPr>
          <w:p w14:paraId="3A19BCB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6053203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243" w:type="dxa"/>
            <w:vAlign w:val="center"/>
          </w:tcPr>
          <w:p w14:paraId="722357E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50" w:type="dxa"/>
            <w:vAlign w:val="center"/>
          </w:tcPr>
          <w:p w14:paraId="19842C6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667" w:type="dxa"/>
            <w:vAlign w:val="center"/>
          </w:tcPr>
          <w:p w14:paraId="7C1C986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4706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4AF664F">
            <w:pPr>
              <w:rPr>
                <w:rFonts w:ascii="宋体" w:hAnsi="宋体"/>
                <w:color w:val="auto"/>
                <w:sz w:val="30"/>
                <w:szCs w:val="30"/>
                <w:highlight w:val="none"/>
              </w:rPr>
            </w:pPr>
          </w:p>
        </w:tc>
        <w:tc>
          <w:tcPr>
            <w:tcW w:w="1276" w:type="dxa"/>
          </w:tcPr>
          <w:p w14:paraId="4841B9F9">
            <w:pPr>
              <w:rPr>
                <w:rFonts w:ascii="宋体" w:hAnsi="宋体"/>
                <w:color w:val="auto"/>
                <w:sz w:val="30"/>
                <w:szCs w:val="30"/>
                <w:highlight w:val="none"/>
              </w:rPr>
            </w:pPr>
          </w:p>
        </w:tc>
        <w:tc>
          <w:tcPr>
            <w:tcW w:w="1450" w:type="dxa"/>
          </w:tcPr>
          <w:p w14:paraId="58C54667">
            <w:pPr>
              <w:rPr>
                <w:rFonts w:ascii="宋体" w:hAnsi="宋体"/>
                <w:color w:val="auto"/>
                <w:sz w:val="30"/>
                <w:szCs w:val="30"/>
                <w:highlight w:val="none"/>
              </w:rPr>
            </w:pPr>
          </w:p>
        </w:tc>
        <w:tc>
          <w:tcPr>
            <w:tcW w:w="1243" w:type="dxa"/>
          </w:tcPr>
          <w:p w14:paraId="380865F2">
            <w:pPr>
              <w:rPr>
                <w:rFonts w:ascii="宋体" w:hAnsi="宋体"/>
                <w:color w:val="auto"/>
                <w:sz w:val="30"/>
                <w:szCs w:val="30"/>
                <w:highlight w:val="none"/>
              </w:rPr>
            </w:pPr>
          </w:p>
        </w:tc>
        <w:tc>
          <w:tcPr>
            <w:tcW w:w="1450" w:type="dxa"/>
          </w:tcPr>
          <w:p w14:paraId="2D9D81FB">
            <w:pPr>
              <w:rPr>
                <w:rFonts w:ascii="宋体" w:hAnsi="宋体"/>
                <w:color w:val="auto"/>
                <w:sz w:val="30"/>
                <w:szCs w:val="30"/>
                <w:highlight w:val="none"/>
              </w:rPr>
            </w:pPr>
          </w:p>
        </w:tc>
        <w:tc>
          <w:tcPr>
            <w:tcW w:w="1667" w:type="dxa"/>
          </w:tcPr>
          <w:p w14:paraId="58CB1AE3">
            <w:pPr>
              <w:rPr>
                <w:rFonts w:ascii="宋体" w:hAnsi="宋体"/>
                <w:color w:val="auto"/>
                <w:sz w:val="30"/>
                <w:szCs w:val="30"/>
                <w:highlight w:val="none"/>
              </w:rPr>
            </w:pPr>
          </w:p>
        </w:tc>
      </w:tr>
      <w:tr w14:paraId="0E610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C281F8B">
            <w:pPr>
              <w:rPr>
                <w:rFonts w:ascii="宋体" w:hAnsi="宋体"/>
                <w:color w:val="auto"/>
                <w:sz w:val="30"/>
                <w:szCs w:val="30"/>
                <w:highlight w:val="none"/>
              </w:rPr>
            </w:pPr>
          </w:p>
        </w:tc>
        <w:tc>
          <w:tcPr>
            <w:tcW w:w="1276" w:type="dxa"/>
          </w:tcPr>
          <w:p w14:paraId="0724F596">
            <w:pPr>
              <w:rPr>
                <w:rFonts w:ascii="宋体" w:hAnsi="宋体"/>
                <w:color w:val="auto"/>
                <w:sz w:val="30"/>
                <w:szCs w:val="30"/>
                <w:highlight w:val="none"/>
              </w:rPr>
            </w:pPr>
          </w:p>
        </w:tc>
        <w:tc>
          <w:tcPr>
            <w:tcW w:w="1450" w:type="dxa"/>
          </w:tcPr>
          <w:p w14:paraId="052898D6">
            <w:pPr>
              <w:rPr>
                <w:rFonts w:ascii="宋体" w:hAnsi="宋体"/>
                <w:color w:val="auto"/>
                <w:sz w:val="30"/>
                <w:szCs w:val="30"/>
                <w:highlight w:val="none"/>
              </w:rPr>
            </w:pPr>
          </w:p>
        </w:tc>
        <w:tc>
          <w:tcPr>
            <w:tcW w:w="1243" w:type="dxa"/>
          </w:tcPr>
          <w:p w14:paraId="3DB378FE">
            <w:pPr>
              <w:rPr>
                <w:rFonts w:ascii="宋体" w:hAnsi="宋体"/>
                <w:color w:val="auto"/>
                <w:sz w:val="30"/>
                <w:szCs w:val="30"/>
                <w:highlight w:val="none"/>
              </w:rPr>
            </w:pPr>
          </w:p>
        </w:tc>
        <w:tc>
          <w:tcPr>
            <w:tcW w:w="1450" w:type="dxa"/>
          </w:tcPr>
          <w:p w14:paraId="1D8DFAFD">
            <w:pPr>
              <w:rPr>
                <w:rFonts w:ascii="宋体" w:hAnsi="宋体"/>
                <w:color w:val="auto"/>
                <w:sz w:val="30"/>
                <w:szCs w:val="30"/>
                <w:highlight w:val="none"/>
              </w:rPr>
            </w:pPr>
          </w:p>
        </w:tc>
        <w:tc>
          <w:tcPr>
            <w:tcW w:w="1667" w:type="dxa"/>
          </w:tcPr>
          <w:p w14:paraId="1F99C4D1">
            <w:pPr>
              <w:rPr>
                <w:rFonts w:ascii="宋体" w:hAnsi="宋体"/>
                <w:color w:val="auto"/>
                <w:sz w:val="30"/>
                <w:szCs w:val="30"/>
                <w:highlight w:val="none"/>
              </w:rPr>
            </w:pPr>
          </w:p>
        </w:tc>
      </w:tr>
      <w:tr w14:paraId="17C11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EB1F378">
            <w:pPr>
              <w:rPr>
                <w:rFonts w:ascii="宋体" w:hAnsi="宋体"/>
                <w:color w:val="auto"/>
                <w:sz w:val="30"/>
                <w:szCs w:val="30"/>
                <w:highlight w:val="none"/>
              </w:rPr>
            </w:pPr>
          </w:p>
        </w:tc>
        <w:tc>
          <w:tcPr>
            <w:tcW w:w="1276" w:type="dxa"/>
          </w:tcPr>
          <w:p w14:paraId="4341D4DE">
            <w:pPr>
              <w:rPr>
                <w:rFonts w:ascii="宋体" w:hAnsi="宋体"/>
                <w:color w:val="auto"/>
                <w:sz w:val="30"/>
                <w:szCs w:val="30"/>
                <w:highlight w:val="none"/>
              </w:rPr>
            </w:pPr>
          </w:p>
        </w:tc>
        <w:tc>
          <w:tcPr>
            <w:tcW w:w="1450" w:type="dxa"/>
          </w:tcPr>
          <w:p w14:paraId="6936A485">
            <w:pPr>
              <w:rPr>
                <w:rFonts w:ascii="宋体" w:hAnsi="宋体"/>
                <w:color w:val="auto"/>
                <w:sz w:val="30"/>
                <w:szCs w:val="30"/>
                <w:highlight w:val="none"/>
              </w:rPr>
            </w:pPr>
          </w:p>
        </w:tc>
        <w:tc>
          <w:tcPr>
            <w:tcW w:w="1243" w:type="dxa"/>
          </w:tcPr>
          <w:p w14:paraId="2624C4C5">
            <w:pPr>
              <w:rPr>
                <w:rFonts w:ascii="宋体" w:hAnsi="宋体"/>
                <w:color w:val="auto"/>
                <w:sz w:val="30"/>
                <w:szCs w:val="30"/>
                <w:highlight w:val="none"/>
              </w:rPr>
            </w:pPr>
          </w:p>
        </w:tc>
        <w:tc>
          <w:tcPr>
            <w:tcW w:w="1450" w:type="dxa"/>
          </w:tcPr>
          <w:p w14:paraId="3D5002FF">
            <w:pPr>
              <w:rPr>
                <w:rFonts w:ascii="宋体" w:hAnsi="宋体"/>
                <w:color w:val="auto"/>
                <w:sz w:val="30"/>
                <w:szCs w:val="30"/>
                <w:highlight w:val="none"/>
              </w:rPr>
            </w:pPr>
          </w:p>
        </w:tc>
        <w:tc>
          <w:tcPr>
            <w:tcW w:w="1667" w:type="dxa"/>
          </w:tcPr>
          <w:p w14:paraId="43171C1E">
            <w:pPr>
              <w:rPr>
                <w:rFonts w:ascii="宋体" w:hAnsi="宋体"/>
                <w:color w:val="auto"/>
                <w:sz w:val="30"/>
                <w:szCs w:val="30"/>
                <w:highlight w:val="none"/>
              </w:rPr>
            </w:pPr>
          </w:p>
        </w:tc>
      </w:tr>
      <w:tr w14:paraId="33EB7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6ED599A3">
            <w:pPr>
              <w:rPr>
                <w:rFonts w:ascii="宋体" w:hAnsi="宋体"/>
                <w:color w:val="auto"/>
                <w:sz w:val="30"/>
                <w:szCs w:val="30"/>
                <w:highlight w:val="none"/>
              </w:rPr>
            </w:pPr>
          </w:p>
        </w:tc>
        <w:tc>
          <w:tcPr>
            <w:tcW w:w="1276" w:type="dxa"/>
          </w:tcPr>
          <w:p w14:paraId="30FE0D23">
            <w:pPr>
              <w:rPr>
                <w:rFonts w:ascii="宋体" w:hAnsi="宋体"/>
                <w:color w:val="auto"/>
                <w:sz w:val="30"/>
                <w:szCs w:val="30"/>
                <w:highlight w:val="none"/>
              </w:rPr>
            </w:pPr>
          </w:p>
        </w:tc>
        <w:tc>
          <w:tcPr>
            <w:tcW w:w="1450" w:type="dxa"/>
          </w:tcPr>
          <w:p w14:paraId="14267080">
            <w:pPr>
              <w:rPr>
                <w:rFonts w:ascii="宋体" w:hAnsi="宋体"/>
                <w:color w:val="auto"/>
                <w:sz w:val="30"/>
                <w:szCs w:val="30"/>
                <w:highlight w:val="none"/>
              </w:rPr>
            </w:pPr>
          </w:p>
        </w:tc>
        <w:tc>
          <w:tcPr>
            <w:tcW w:w="1243" w:type="dxa"/>
          </w:tcPr>
          <w:p w14:paraId="626F819D">
            <w:pPr>
              <w:rPr>
                <w:rFonts w:ascii="宋体" w:hAnsi="宋体"/>
                <w:color w:val="auto"/>
                <w:sz w:val="30"/>
                <w:szCs w:val="30"/>
                <w:highlight w:val="none"/>
              </w:rPr>
            </w:pPr>
          </w:p>
        </w:tc>
        <w:tc>
          <w:tcPr>
            <w:tcW w:w="1450" w:type="dxa"/>
          </w:tcPr>
          <w:p w14:paraId="43CA54B3">
            <w:pPr>
              <w:rPr>
                <w:rFonts w:ascii="宋体" w:hAnsi="宋体"/>
                <w:color w:val="auto"/>
                <w:sz w:val="30"/>
                <w:szCs w:val="30"/>
                <w:highlight w:val="none"/>
              </w:rPr>
            </w:pPr>
          </w:p>
        </w:tc>
        <w:tc>
          <w:tcPr>
            <w:tcW w:w="1667" w:type="dxa"/>
          </w:tcPr>
          <w:p w14:paraId="41D28509">
            <w:pPr>
              <w:rPr>
                <w:rFonts w:ascii="宋体" w:hAnsi="宋体"/>
                <w:color w:val="auto"/>
                <w:sz w:val="30"/>
                <w:szCs w:val="30"/>
                <w:highlight w:val="none"/>
              </w:rPr>
            </w:pPr>
          </w:p>
        </w:tc>
      </w:tr>
      <w:tr w14:paraId="168F4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DE7E53C">
            <w:pPr>
              <w:rPr>
                <w:rFonts w:ascii="宋体" w:hAnsi="宋体"/>
                <w:color w:val="auto"/>
                <w:sz w:val="30"/>
                <w:szCs w:val="30"/>
                <w:highlight w:val="none"/>
              </w:rPr>
            </w:pPr>
          </w:p>
        </w:tc>
        <w:tc>
          <w:tcPr>
            <w:tcW w:w="1276" w:type="dxa"/>
          </w:tcPr>
          <w:p w14:paraId="1499DFC8">
            <w:pPr>
              <w:rPr>
                <w:rFonts w:ascii="宋体" w:hAnsi="宋体"/>
                <w:color w:val="auto"/>
                <w:sz w:val="30"/>
                <w:szCs w:val="30"/>
                <w:highlight w:val="none"/>
              </w:rPr>
            </w:pPr>
          </w:p>
        </w:tc>
        <w:tc>
          <w:tcPr>
            <w:tcW w:w="1450" w:type="dxa"/>
          </w:tcPr>
          <w:p w14:paraId="2EC55858">
            <w:pPr>
              <w:rPr>
                <w:rFonts w:ascii="宋体" w:hAnsi="宋体"/>
                <w:color w:val="auto"/>
                <w:sz w:val="30"/>
                <w:szCs w:val="30"/>
                <w:highlight w:val="none"/>
              </w:rPr>
            </w:pPr>
          </w:p>
        </w:tc>
        <w:tc>
          <w:tcPr>
            <w:tcW w:w="1243" w:type="dxa"/>
          </w:tcPr>
          <w:p w14:paraId="32E3B47E">
            <w:pPr>
              <w:rPr>
                <w:rFonts w:ascii="宋体" w:hAnsi="宋体"/>
                <w:color w:val="auto"/>
                <w:sz w:val="30"/>
                <w:szCs w:val="30"/>
                <w:highlight w:val="none"/>
              </w:rPr>
            </w:pPr>
          </w:p>
        </w:tc>
        <w:tc>
          <w:tcPr>
            <w:tcW w:w="1450" w:type="dxa"/>
          </w:tcPr>
          <w:p w14:paraId="124D123F">
            <w:pPr>
              <w:rPr>
                <w:rFonts w:ascii="宋体" w:hAnsi="宋体"/>
                <w:color w:val="auto"/>
                <w:sz w:val="30"/>
                <w:szCs w:val="30"/>
                <w:highlight w:val="none"/>
              </w:rPr>
            </w:pPr>
          </w:p>
        </w:tc>
        <w:tc>
          <w:tcPr>
            <w:tcW w:w="1667" w:type="dxa"/>
          </w:tcPr>
          <w:p w14:paraId="6040D129">
            <w:pPr>
              <w:rPr>
                <w:rFonts w:ascii="宋体" w:hAnsi="宋体"/>
                <w:color w:val="auto"/>
                <w:sz w:val="30"/>
                <w:szCs w:val="30"/>
                <w:highlight w:val="none"/>
              </w:rPr>
            </w:pPr>
          </w:p>
        </w:tc>
      </w:tr>
      <w:tr w14:paraId="0787A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AB93474">
            <w:pPr>
              <w:rPr>
                <w:rFonts w:ascii="宋体" w:hAnsi="宋体"/>
                <w:color w:val="auto"/>
                <w:sz w:val="30"/>
                <w:szCs w:val="30"/>
                <w:highlight w:val="none"/>
              </w:rPr>
            </w:pPr>
          </w:p>
        </w:tc>
        <w:tc>
          <w:tcPr>
            <w:tcW w:w="1276" w:type="dxa"/>
          </w:tcPr>
          <w:p w14:paraId="0037308F">
            <w:pPr>
              <w:rPr>
                <w:rFonts w:ascii="宋体" w:hAnsi="宋体"/>
                <w:color w:val="auto"/>
                <w:sz w:val="30"/>
                <w:szCs w:val="30"/>
                <w:highlight w:val="none"/>
              </w:rPr>
            </w:pPr>
          </w:p>
        </w:tc>
        <w:tc>
          <w:tcPr>
            <w:tcW w:w="1450" w:type="dxa"/>
          </w:tcPr>
          <w:p w14:paraId="2EAA55B3">
            <w:pPr>
              <w:rPr>
                <w:rFonts w:ascii="宋体" w:hAnsi="宋体"/>
                <w:color w:val="auto"/>
                <w:sz w:val="30"/>
                <w:szCs w:val="30"/>
                <w:highlight w:val="none"/>
              </w:rPr>
            </w:pPr>
          </w:p>
        </w:tc>
        <w:tc>
          <w:tcPr>
            <w:tcW w:w="1243" w:type="dxa"/>
          </w:tcPr>
          <w:p w14:paraId="5AC04334">
            <w:pPr>
              <w:rPr>
                <w:rFonts w:ascii="宋体" w:hAnsi="宋体"/>
                <w:color w:val="auto"/>
                <w:sz w:val="30"/>
                <w:szCs w:val="30"/>
                <w:highlight w:val="none"/>
              </w:rPr>
            </w:pPr>
          </w:p>
        </w:tc>
        <w:tc>
          <w:tcPr>
            <w:tcW w:w="1450" w:type="dxa"/>
          </w:tcPr>
          <w:p w14:paraId="23726FB9">
            <w:pPr>
              <w:rPr>
                <w:rFonts w:ascii="宋体" w:hAnsi="宋体"/>
                <w:color w:val="auto"/>
                <w:sz w:val="30"/>
                <w:szCs w:val="30"/>
                <w:highlight w:val="none"/>
              </w:rPr>
            </w:pPr>
          </w:p>
        </w:tc>
        <w:tc>
          <w:tcPr>
            <w:tcW w:w="1667" w:type="dxa"/>
          </w:tcPr>
          <w:p w14:paraId="1E4A9123">
            <w:pPr>
              <w:rPr>
                <w:rFonts w:ascii="宋体" w:hAnsi="宋体"/>
                <w:color w:val="auto"/>
                <w:sz w:val="30"/>
                <w:szCs w:val="30"/>
                <w:highlight w:val="none"/>
              </w:rPr>
            </w:pPr>
          </w:p>
        </w:tc>
      </w:tr>
      <w:tr w14:paraId="25819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00D9E59">
            <w:pPr>
              <w:rPr>
                <w:rFonts w:ascii="宋体" w:hAnsi="宋体"/>
                <w:color w:val="auto"/>
                <w:sz w:val="30"/>
                <w:szCs w:val="30"/>
                <w:highlight w:val="none"/>
              </w:rPr>
            </w:pPr>
          </w:p>
        </w:tc>
        <w:tc>
          <w:tcPr>
            <w:tcW w:w="1276" w:type="dxa"/>
          </w:tcPr>
          <w:p w14:paraId="7BF84CA3">
            <w:pPr>
              <w:rPr>
                <w:rFonts w:ascii="宋体" w:hAnsi="宋体"/>
                <w:color w:val="auto"/>
                <w:sz w:val="30"/>
                <w:szCs w:val="30"/>
                <w:highlight w:val="none"/>
              </w:rPr>
            </w:pPr>
          </w:p>
        </w:tc>
        <w:tc>
          <w:tcPr>
            <w:tcW w:w="1450" w:type="dxa"/>
          </w:tcPr>
          <w:p w14:paraId="018ADC5E">
            <w:pPr>
              <w:rPr>
                <w:rFonts w:ascii="宋体" w:hAnsi="宋体"/>
                <w:color w:val="auto"/>
                <w:sz w:val="30"/>
                <w:szCs w:val="30"/>
                <w:highlight w:val="none"/>
              </w:rPr>
            </w:pPr>
          </w:p>
        </w:tc>
        <w:tc>
          <w:tcPr>
            <w:tcW w:w="1243" w:type="dxa"/>
          </w:tcPr>
          <w:p w14:paraId="7C342462">
            <w:pPr>
              <w:rPr>
                <w:rFonts w:ascii="宋体" w:hAnsi="宋体"/>
                <w:color w:val="auto"/>
                <w:sz w:val="30"/>
                <w:szCs w:val="30"/>
                <w:highlight w:val="none"/>
              </w:rPr>
            </w:pPr>
          </w:p>
        </w:tc>
        <w:tc>
          <w:tcPr>
            <w:tcW w:w="1450" w:type="dxa"/>
          </w:tcPr>
          <w:p w14:paraId="67443B7E">
            <w:pPr>
              <w:rPr>
                <w:rFonts w:ascii="宋体" w:hAnsi="宋体"/>
                <w:color w:val="auto"/>
                <w:sz w:val="30"/>
                <w:szCs w:val="30"/>
                <w:highlight w:val="none"/>
              </w:rPr>
            </w:pPr>
          </w:p>
        </w:tc>
        <w:tc>
          <w:tcPr>
            <w:tcW w:w="1667" w:type="dxa"/>
          </w:tcPr>
          <w:p w14:paraId="18D7A541">
            <w:pPr>
              <w:rPr>
                <w:rFonts w:ascii="宋体" w:hAnsi="宋体"/>
                <w:color w:val="auto"/>
                <w:sz w:val="30"/>
                <w:szCs w:val="30"/>
                <w:highlight w:val="none"/>
              </w:rPr>
            </w:pPr>
          </w:p>
        </w:tc>
      </w:tr>
      <w:tr w14:paraId="25B17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B2C0B3D">
            <w:pPr>
              <w:rPr>
                <w:rFonts w:ascii="宋体" w:hAnsi="宋体"/>
                <w:color w:val="auto"/>
                <w:sz w:val="30"/>
                <w:szCs w:val="30"/>
                <w:highlight w:val="none"/>
              </w:rPr>
            </w:pPr>
          </w:p>
        </w:tc>
        <w:tc>
          <w:tcPr>
            <w:tcW w:w="1276" w:type="dxa"/>
          </w:tcPr>
          <w:p w14:paraId="334DE93E">
            <w:pPr>
              <w:rPr>
                <w:rFonts w:ascii="宋体" w:hAnsi="宋体"/>
                <w:color w:val="auto"/>
                <w:sz w:val="30"/>
                <w:szCs w:val="30"/>
                <w:highlight w:val="none"/>
              </w:rPr>
            </w:pPr>
          </w:p>
        </w:tc>
        <w:tc>
          <w:tcPr>
            <w:tcW w:w="1450" w:type="dxa"/>
          </w:tcPr>
          <w:p w14:paraId="32243EB4">
            <w:pPr>
              <w:rPr>
                <w:rFonts w:ascii="宋体" w:hAnsi="宋体"/>
                <w:color w:val="auto"/>
                <w:sz w:val="30"/>
                <w:szCs w:val="30"/>
                <w:highlight w:val="none"/>
              </w:rPr>
            </w:pPr>
          </w:p>
        </w:tc>
        <w:tc>
          <w:tcPr>
            <w:tcW w:w="1243" w:type="dxa"/>
          </w:tcPr>
          <w:p w14:paraId="4F763FBA">
            <w:pPr>
              <w:rPr>
                <w:rFonts w:ascii="宋体" w:hAnsi="宋体"/>
                <w:color w:val="auto"/>
                <w:sz w:val="30"/>
                <w:szCs w:val="30"/>
                <w:highlight w:val="none"/>
              </w:rPr>
            </w:pPr>
          </w:p>
        </w:tc>
        <w:tc>
          <w:tcPr>
            <w:tcW w:w="1450" w:type="dxa"/>
          </w:tcPr>
          <w:p w14:paraId="089E38A9">
            <w:pPr>
              <w:rPr>
                <w:rFonts w:ascii="宋体" w:hAnsi="宋体"/>
                <w:color w:val="auto"/>
                <w:sz w:val="30"/>
                <w:szCs w:val="30"/>
                <w:highlight w:val="none"/>
              </w:rPr>
            </w:pPr>
          </w:p>
        </w:tc>
        <w:tc>
          <w:tcPr>
            <w:tcW w:w="1667" w:type="dxa"/>
          </w:tcPr>
          <w:p w14:paraId="46DAA77F">
            <w:pPr>
              <w:rPr>
                <w:rFonts w:ascii="宋体" w:hAnsi="宋体"/>
                <w:color w:val="auto"/>
                <w:sz w:val="30"/>
                <w:szCs w:val="30"/>
                <w:highlight w:val="none"/>
              </w:rPr>
            </w:pPr>
          </w:p>
        </w:tc>
      </w:tr>
      <w:tr w14:paraId="41BE5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14:paraId="26E0D052">
            <w:pPr>
              <w:rPr>
                <w:rFonts w:ascii="宋体" w:hAnsi="宋体"/>
                <w:color w:val="auto"/>
                <w:sz w:val="30"/>
                <w:szCs w:val="30"/>
                <w:highlight w:val="none"/>
              </w:rPr>
            </w:pPr>
          </w:p>
        </w:tc>
        <w:tc>
          <w:tcPr>
            <w:tcW w:w="1276" w:type="dxa"/>
            <w:tcBorders>
              <w:bottom w:val="single" w:color="auto" w:sz="12" w:space="0"/>
            </w:tcBorders>
          </w:tcPr>
          <w:p w14:paraId="0D5C8A77">
            <w:pPr>
              <w:rPr>
                <w:rFonts w:ascii="宋体" w:hAnsi="宋体"/>
                <w:color w:val="auto"/>
                <w:sz w:val="30"/>
                <w:szCs w:val="30"/>
                <w:highlight w:val="none"/>
              </w:rPr>
            </w:pPr>
          </w:p>
        </w:tc>
        <w:tc>
          <w:tcPr>
            <w:tcW w:w="1450" w:type="dxa"/>
            <w:tcBorders>
              <w:bottom w:val="single" w:color="auto" w:sz="12" w:space="0"/>
            </w:tcBorders>
          </w:tcPr>
          <w:p w14:paraId="04541AC9">
            <w:pPr>
              <w:rPr>
                <w:rFonts w:ascii="宋体" w:hAnsi="宋体"/>
                <w:color w:val="auto"/>
                <w:sz w:val="30"/>
                <w:szCs w:val="30"/>
                <w:highlight w:val="none"/>
              </w:rPr>
            </w:pPr>
          </w:p>
        </w:tc>
        <w:tc>
          <w:tcPr>
            <w:tcW w:w="1243" w:type="dxa"/>
            <w:tcBorders>
              <w:bottom w:val="single" w:color="auto" w:sz="12" w:space="0"/>
            </w:tcBorders>
          </w:tcPr>
          <w:p w14:paraId="5A1D87DA">
            <w:pPr>
              <w:rPr>
                <w:rFonts w:ascii="宋体" w:hAnsi="宋体"/>
                <w:color w:val="auto"/>
                <w:sz w:val="30"/>
                <w:szCs w:val="30"/>
                <w:highlight w:val="none"/>
              </w:rPr>
            </w:pPr>
          </w:p>
        </w:tc>
        <w:tc>
          <w:tcPr>
            <w:tcW w:w="1450" w:type="dxa"/>
            <w:tcBorders>
              <w:bottom w:val="single" w:color="auto" w:sz="12" w:space="0"/>
            </w:tcBorders>
          </w:tcPr>
          <w:p w14:paraId="134D9025">
            <w:pPr>
              <w:rPr>
                <w:rFonts w:ascii="宋体" w:hAnsi="宋体"/>
                <w:color w:val="auto"/>
                <w:sz w:val="30"/>
                <w:szCs w:val="30"/>
                <w:highlight w:val="none"/>
              </w:rPr>
            </w:pPr>
          </w:p>
        </w:tc>
        <w:tc>
          <w:tcPr>
            <w:tcW w:w="1667" w:type="dxa"/>
            <w:tcBorders>
              <w:bottom w:val="single" w:color="auto" w:sz="12" w:space="0"/>
            </w:tcBorders>
          </w:tcPr>
          <w:p w14:paraId="5A70C1A8">
            <w:pPr>
              <w:rPr>
                <w:rFonts w:ascii="宋体" w:hAnsi="宋体"/>
                <w:color w:val="auto"/>
                <w:sz w:val="30"/>
                <w:szCs w:val="30"/>
                <w:highlight w:val="none"/>
              </w:rPr>
            </w:pPr>
          </w:p>
        </w:tc>
      </w:tr>
    </w:tbl>
    <w:p w14:paraId="4CB090C5">
      <w:pPr>
        <w:spacing w:line="440" w:lineRule="exact"/>
        <w:rPr>
          <w:rFonts w:ascii="宋体" w:hAnsi="宋体"/>
          <w:color w:val="auto"/>
          <w:sz w:val="30"/>
          <w:szCs w:val="30"/>
          <w:highlight w:val="none"/>
        </w:rPr>
      </w:pPr>
    </w:p>
    <w:p w14:paraId="1DEAE79C">
      <w:pPr>
        <w:rPr>
          <w:rFonts w:ascii="宋体" w:hAnsi="宋体"/>
          <w:color w:val="auto"/>
          <w:sz w:val="30"/>
          <w:szCs w:val="30"/>
          <w:highlight w:val="none"/>
        </w:rPr>
      </w:pPr>
      <w:r>
        <w:rPr>
          <w:rFonts w:hint="eastAsia" w:ascii="宋体" w:hAnsi="宋体"/>
          <w:color w:val="auto"/>
          <w:sz w:val="30"/>
          <w:szCs w:val="30"/>
          <w:highlight w:val="none"/>
        </w:rPr>
        <w:br w:type="page"/>
      </w:r>
    </w:p>
    <w:p w14:paraId="2D91142A">
      <w:pPr>
        <w:spacing w:line="440" w:lineRule="exac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4</w:t>
      </w:r>
      <w:r>
        <w:rPr>
          <w:rFonts w:hint="eastAsia" w:ascii="宋体" w:hAnsi="宋体"/>
          <w:color w:val="auto"/>
          <w:sz w:val="30"/>
          <w:szCs w:val="30"/>
          <w:highlight w:val="none"/>
        </w:rPr>
        <w:t>：</w:t>
      </w:r>
    </w:p>
    <w:p w14:paraId="43692115">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承包人用于本工程施工的机械设备表</w:t>
      </w:r>
    </w:p>
    <w:tbl>
      <w:tblPr>
        <w:tblStyle w:val="4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132"/>
        <w:gridCol w:w="806"/>
        <w:gridCol w:w="1020"/>
        <w:gridCol w:w="1480"/>
        <w:gridCol w:w="1020"/>
        <w:gridCol w:w="921"/>
      </w:tblGrid>
      <w:tr w14:paraId="0863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71D8B98D">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序号</w:t>
            </w:r>
          </w:p>
        </w:tc>
        <w:tc>
          <w:tcPr>
            <w:tcW w:w="1418" w:type="dxa"/>
            <w:tcBorders>
              <w:left w:val="nil"/>
            </w:tcBorders>
            <w:vAlign w:val="center"/>
          </w:tcPr>
          <w:p w14:paraId="1AEEA1CE">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机械或设备名称</w:t>
            </w:r>
          </w:p>
        </w:tc>
        <w:tc>
          <w:tcPr>
            <w:tcW w:w="850" w:type="dxa"/>
            <w:tcBorders>
              <w:left w:val="nil"/>
            </w:tcBorders>
            <w:vAlign w:val="center"/>
          </w:tcPr>
          <w:p w14:paraId="6569AB51">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规格型号</w:t>
            </w:r>
          </w:p>
        </w:tc>
        <w:tc>
          <w:tcPr>
            <w:tcW w:w="1132" w:type="dxa"/>
            <w:tcBorders>
              <w:left w:val="nil"/>
            </w:tcBorders>
            <w:vAlign w:val="center"/>
          </w:tcPr>
          <w:p w14:paraId="25B9EDAE">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数量</w:t>
            </w:r>
          </w:p>
        </w:tc>
        <w:tc>
          <w:tcPr>
            <w:tcW w:w="806" w:type="dxa"/>
            <w:tcBorders>
              <w:left w:val="nil"/>
            </w:tcBorders>
            <w:vAlign w:val="center"/>
          </w:tcPr>
          <w:p w14:paraId="1705AF69">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产地</w:t>
            </w:r>
          </w:p>
        </w:tc>
        <w:tc>
          <w:tcPr>
            <w:tcW w:w="1020" w:type="dxa"/>
            <w:tcBorders>
              <w:left w:val="nil"/>
            </w:tcBorders>
            <w:vAlign w:val="center"/>
          </w:tcPr>
          <w:p w14:paraId="426F27F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制造年份</w:t>
            </w:r>
          </w:p>
        </w:tc>
        <w:tc>
          <w:tcPr>
            <w:tcW w:w="1480" w:type="dxa"/>
            <w:tcBorders>
              <w:left w:val="nil"/>
            </w:tcBorders>
            <w:vAlign w:val="center"/>
          </w:tcPr>
          <w:p w14:paraId="55634C82">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额定功率（</w:t>
            </w:r>
            <w:r>
              <w:rPr>
                <w:rFonts w:ascii="宋体" w:hAnsi="宋体"/>
                <w:color w:val="auto"/>
                <w:sz w:val="28"/>
                <w:szCs w:val="28"/>
                <w:highlight w:val="none"/>
              </w:rPr>
              <w:t>kW</w:t>
            </w:r>
            <w:r>
              <w:rPr>
                <w:rFonts w:hint="eastAsia" w:ascii="宋体" w:hAnsi="宋体"/>
                <w:color w:val="auto"/>
                <w:sz w:val="28"/>
                <w:szCs w:val="28"/>
                <w:highlight w:val="none"/>
              </w:rPr>
              <w:t>）</w:t>
            </w:r>
          </w:p>
        </w:tc>
        <w:tc>
          <w:tcPr>
            <w:tcW w:w="1020" w:type="dxa"/>
            <w:tcBorders>
              <w:left w:val="nil"/>
            </w:tcBorders>
            <w:vAlign w:val="center"/>
          </w:tcPr>
          <w:p w14:paraId="23EE9454">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生产能力</w:t>
            </w:r>
          </w:p>
        </w:tc>
        <w:tc>
          <w:tcPr>
            <w:tcW w:w="921" w:type="dxa"/>
            <w:tcBorders>
              <w:left w:val="nil"/>
            </w:tcBorders>
            <w:vAlign w:val="center"/>
          </w:tcPr>
          <w:p w14:paraId="6136D45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备注</w:t>
            </w:r>
          </w:p>
        </w:tc>
      </w:tr>
      <w:tr w14:paraId="56A5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F827F7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680FC5D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1057648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17C9AD8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0734F06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27D3467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4CD90AE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24F5B13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0ADC17A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BDC4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53BC1E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5C220BD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547B17A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3C63A42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38C4741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159CE1E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28643A6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0583608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144B210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7A8A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C3A6C1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1519543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20569DA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2C8C6B5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2F03CED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084D44B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1569911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7B1DF53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3639D3C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588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EBA3D9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7098F2D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5DE177C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599180C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37B7867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792118D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57CC76D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5E11D72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17CF694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303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745E83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1DD6CEF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6DE51BC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30E6A9D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4E6C94A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3085A07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3B0C2A4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1A5552A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19E9B11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7BE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1343D0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22253E7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6EE81F6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3151E02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1A57F33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0D85E64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56ED04D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14591B3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220738D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57E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F4F48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60D9C33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3D68671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0DEBD0B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62C1377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21EBE3C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4528EC3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1623537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0CD46B4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E60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9E962B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456684C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4393231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24AA72C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1EE7791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296FED9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65D1587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2D42BE6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20AC0D0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3E15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40E2B84">
            <w:pPr>
              <w:rPr>
                <w:rFonts w:ascii="宋体" w:hAnsi="宋体"/>
                <w:color w:val="auto"/>
                <w:sz w:val="30"/>
                <w:szCs w:val="30"/>
                <w:highlight w:val="none"/>
              </w:rPr>
            </w:pPr>
          </w:p>
        </w:tc>
        <w:tc>
          <w:tcPr>
            <w:tcW w:w="1418" w:type="dxa"/>
            <w:tcBorders>
              <w:left w:val="nil"/>
            </w:tcBorders>
          </w:tcPr>
          <w:p w14:paraId="0C16847F">
            <w:pPr>
              <w:rPr>
                <w:rFonts w:ascii="宋体" w:hAnsi="宋体"/>
                <w:color w:val="auto"/>
                <w:sz w:val="30"/>
                <w:szCs w:val="30"/>
                <w:highlight w:val="none"/>
              </w:rPr>
            </w:pPr>
          </w:p>
        </w:tc>
        <w:tc>
          <w:tcPr>
            <w:tcW w:w="850" w:type="dxa"/>
            <w:tcBorders>
              <w:left w:val="nil"/>
            </w:tcBorders>
          </w:tcPr>
          <w:p w14:paraId="6B77D4A8">
            <w:pPr>
              <w:rPr>
                <w:rFonts w:ascii="宋体" w:hAnsi="宋体"/>
                <w:color w:val="auto"/>
                <w:sz w:val="30"/>
                <w:szCs w:val="30"/>
                <w:highlight w:val="none"/>
              </w:rPr>
            </w:pPr>
          </w:p>
        </w:tc>
        <w:tc>
          <w:tcPr>
            <w:tcW w:w="1132" w:type="dxa"/>
            <w:tcBorders>
              <w:left w:val="nil"/>
            </w:tcBorders>
          </w:tcPr>
          <w:p w14:paraId="6BB5E67B">
            <w:pPr>
              <w:rPr>
                <w:rFonts w:ascii="宋体" w:hAnsi="宋体"/>
                <w:color w:val="auto"/>
                <w:sz w:val="30"/>
                <w:szCs w:val="30"/>
                <w:highlight w:val="none"/>
              </w:rPr>
            </w:pPr>
          </w:p>
        </w:tc>
        <w:tc>
          <w:tcPr>
            <w:tcW w:w="806" w:type="dxa"/>
            <w:tcBorders>
              <w:left w:val="nil"/>
            </w:tcBorders>
          </w:tcPr>
          <w:p w14:paraId="79CD89A7">
            <w:pPr>
              <w:rPr>
                <w:rFonts w:ascii="宋体" w:hAnsi="宋体"/>
                <w:color w:val="auto"/>
                <w:sz w:val="30"/>
                <w:szCs w:val="30"/>
                <w:highlight w:val="none"/>
              </w:rPr>
            </w:pPr>
          </w:p>
        </w:tc>
        <w:tc>
          <w:tcPr>
            <w:tcW w:w="1020" w:type="dxa"/>
            <w:tcBorders>
              <w:left w:val="nil"/>
            </w:tcBorders>
          </w:tcPr>
          <w:p w14:paraId="3C28A9DE">
            <w:pPr>
              <w:rPr>
                <w:rFonts w:ascii="宋体" w:hAnsi="宋体"/>
                <w:color w:val="auto"/>
                <w:sz w:val="30"/>
                <w:szCs w:val="30"/>
                <w:highlight w:val="none"/>
              </w:rPr>
            </w:pPr>
          </w:p>
        </w:tc>
        <w:tc>
          <w:tcPr>
            <w:tcW w:w="1480" w:type="dxa"/>
            <w:tcBorders>
              <w:left w:val="nil"/>
            </w:tcBorders>
          </w:tcPr>
          <w:p w14:paraId="00AF8208">
            <w:pPr>
              <w:rPr>
                <w:rFonts w:ascii="宋体" w:hAnsi="宋体"/>
                <w:color w:val="auto"/>
                <w:sz w:val="30"/>
                <w:szCs w:val="30"/>
                <w:highlight w:val="none"/>
              </w:rPr>
            </w:pPr>
          </w:p>
        </w:tc>
        <w:tc>
          <w:tcPr>
            <w:tcW w:w="1020" w:type="dxa"/>
            <w:tcBorders>
              <w:left w:val="nil"/>
            </w:tcBorders>
          </w:tcPr>
          <w:p w14:paraId="5E649957">
            <w:pPr>
              <w:rPr>
                <w:rFonts w:ascii="宋体" w:hAnsi="宋体"/>
                <w:color w:val="auto"/>
                <w:sz w:val="30"/>
                <w:szCs w:val="30"/>
                <w:highlight w:val="none"/>
              </w:rPr>
            </w:pPr>
          </w:p>
        </w:tc>
        <w:tc>
          <w:tcPr>
            <w:tcW w:w="921" w:type="dxa"/>
            <w:tcBorders>
              <w:left w:val="nil"/>
            </w:tcBorders>
          </w:tcPr>
          <w:p w14:paraId="3440744F">
            <w:pPr>
              <w:rPr>
                <w:rFonts w:ascii="宋体" w:hAnsi="宋体"/>
                <w:color w:val="auto"/>
                <w:sz w:val="30"/>
                <w:szCs w:val="30"/>
                <w:highlight w:val="none"/>
              </w:rPr>
            </w:pPr>
          </w:p>
        </w:tc>
      </w:tr>
      <w:tr w14:paraId="2618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65AAB1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18" w:type="dxa"/>
            <w:tcBorders>
              <w:left w:val="nil"/>
            </w:tcBorders>
            <w:vAlign w:val="center"/>
          </w:tcPr>
          <w:p w14:paraId="32E668E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50" w:type="dxa"/>
            <w:tcBorders>
              <w:left w:val="nil"/>
            </w:tcBorders>
            <w:vAlign w:val="center"/>
          </w:tcPr>
          <w:p w14:paraId="5508494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2" w:type="dxa"/>
            <w:tcBorders>
              <w:left w:val="nil"/>
            </w:tcBorders>
            <w:vAlign w:val="center"/>
          </w:tcPr>
          <w:p w14:paraId="71ECA3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806" w:type="dxa"/>
            <w:tcBorders>
              <w:left w:val="nil"/>
            </w:tcBorders>
            <w:vAlign w:val="center"/>
          </w:tcPr>
          <w:p w14:paraId="05EF51C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7F7A74B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480" w:type="dxa"/>
            <w:tcBorders>
              <w:left w:val="nil"/>
            </w:tcBorders>
            <w:vAlign w:val="center"/>
          </w:tcPr>
          <w:p w14:paraId="28F64B0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020" w:type="dxa"/>
            <w:tcBorders>
              <w:left w:val="nil"/>
            </w:tcBorders>
            <w:vAlign w:val="center"/>
          </w:tcPr>
          <w:p w14:paraId="40E9570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921" w:type="dxa"/>
            <w:tcBorders>
              <w:left w:val="nil"/>
            </w:tcBorders>
            <w:vAlign w:val="center"/>
          </w:tcPr>
          <w:p w14:paraId="1B048B6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762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D3B4408">
            <w:pPr>
              <w:rPr>
                <w:rFonts w:ascii="宋体" w:hAnsi="宋体"/>
                <w:color w:val="auto"/>
                <w:sz w:val="30"/>
                <w:szCs w:val="30"/>
                <w:highlight w:val="none"/>
              </w:rPr>
            </w:pPr>
          </w:p>
        </w:tc>
        <w:tc>
          <w:tcPr>
            <w:tcW w:w="1418" w:type="dxa"/>
            <w:tcBorders>
              <w:left w:val="nil"/>
            </w:tcBorders>
          </w:tcPr>
          <w:p w14:paraId="2ED74DB2">
            <w:pPr>
              <w:rPr>
                <w:rFonts w:ascii="宋体" w:hAnsi="宋体"/>
                <w:color w:val="auto"/>
                <w:sz w:val="30"/>
                <w:szCs w:val="30"/>
                <w:highlight w:val="none"/>
              </w:rPr>
            </w:pPr>
          </w:p>
        </w:tc>
        <w:tc>
          <w:tcPr>
            <w:tcW w:w="850" w:type="dxa"/>
            <w:tcBorders>
              <w:left w:val="nil"/>
            </w:tcBorders>
          </w:tcPr>
          <w:p w14:paraId="1CE78691">
            <w:pPr>
              <w:rPr>
                <w:rFonts w:ascii="宋体" w:hAnsi="宋体"/>
                <w:color w:val="auto"/>
                <w:sz w:val="30"/>
                <w:szCs w:val="30"/>
                <w:highlight w:val="none"/>
              </w:rPr>
            </w:pPr>
          </w:p>
        </w:tc>
        <w:tc>
          <w:tcPr>
            <w:tcW w:w="1132" w:type="dxa"/>
            <w:tcBorders>
              <w:left w:val="nil"/>
            </w:tcBorders>
          </w:tcPr>
          <w:p w14:paraId="2B1B974C">
            <w:pPr>
              <w:rPr>
                <w:rFonts w:ascii="宋体" w:hAnsi="宋体"/>
                <w:color w:val="auto"/>
                <w:sz w:val="30"/>
                <w:szCs w:val="30"/>
                <w:highlight w:val="none"/>
              </w:rPr>
            </w:pPr>
          </w:p>
        </w:tc>
        <w:tc>
          <w:tcPr>
            <w:tcW w:w="806" w:type="dxa"/>
            <w:tcBorders>
              <w:left w:val="nil"/>
            </w:tcBorders>
          </w:tcPr>
          <w:p w14:paraId="362BC1CE">
            <w:pPr>
              <w:rPr>
                <w:rFonts w:ascii="宋体" w:hAnsi="宋体"/>
                <w:color w:val="auto"/>
                <w:sz w:val="30"/>
                <w:szCs w:val="30"/>
                <w:highlight w:val="none"/>
              </w:rPr>
            </w:pPr>
          </w:p>
        </w:tc>
        <w:tc>
          <w:tcPr>
            <w:tcW w:w="1020" w:type="dxa"/>
            <w:tcBorders>
              <w:left w:val="nil"/>
            </w:tcBorders>
          </w:tcPr>
          <w:p w14:paraId="6D7FACE8">
            <w:pPr>
              <w:rPr>
                <w:rFonts w:ascii="宋体" w:hAnsi="宋体"/>
                <w:color w:val="auto"/>
                <w:sz w:val="30"/>
                <w:szCs w:val="30"/>
                <w:highlight w:val="none"/>
              </w:rPr>
            </w:pPr>
          </w:p>
        </w:tc>
        <w:tc>
          <w:tcPr>
            <w:tcW w:w="1480" w:type="dxa"/>
            <w:tcBorders>
              <w:left w:val="nil"/>
            </w:tcBorders>
          </w:tcPr>
          <w:p w14:paraId="36C8FD9C">
            <w:pPr>
              <w:rPr>
                <w:rFonts w:ascii="宋体" w:hAnsi="宋体"/>
                <w:color w:val="auto"/>
                <w:sz w:val="30"/>
                <w:szCs w:val="30"/>
                <w:highlight w:val="none"/>
              </w:rPr>
            </w:pPr>
          </w:p>
        </w:tc>
        <w:tc>
          <w:tcPr>
            <w:tcW w:w="1020" w:type="dxa"/>
            <w:tcBorders>
              <w:left w:val="nil"/>
            </w:tcBorders>
          </w:tcPr>
          <w:p w14:paraId="0555AE09">
            <w:pPr>
              <w:rPr>
                <w:rFonts w:ascii="宋体" w:hAnsi="宋体"/>
                <w:color w:val="auto"/>
                <w:sz w:val="30"/>
                <w:szCs w:val="30"/>
                <w:highlight w:val="none"/>
              </w:rPr>
            </w:pPr>
          </w:p>
        </w:tc>
        <w:tc>
          <w:tcPr>
            <w:tcW w:w="921" w:type="dxa"/>
            <w:tcBorders>
              <w:left w:val="nil"/>
            </w:tcBorders>
          </w:tcPr>
          <w:p w14:paraId="55988E19">
            <w:pPr>
              <w:rPr>
                <w:rFonts w:ascii="宋体" w:hAnsi="宋体"/>
                <w:color w:val="auto"/>
                <w:sz w:val="30"/>
                <w:szCs w:val="30"/>
                <w:highlight w:val="none"/>
              </w:rPr>
            </w:pPr>
          </w:p>
        </w:tc>
      </w:tr>
      <w:tr w14:paraId="174F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B861123">
            <w:pPr>
              <w:rPr>
                <w:rFonts w:ascii="宋体" w:hAnsi="宋体"/>
                <w:color w:val="auto"/>
                <w:sz w:val="30"/>
                <w:szCs w:val="30"/>
                <w:highlight w:val="none"/>
              </w:rPr>
            </w:pPr>
          </w:p>
        </w:tc>
        <w:tc>
          <w:tcPr>
            <w:tcW w:w="1418" w:type="dxa"/>
            <w:tcBorders>
              <w:left w:val="nil"/>
            </w:tcBorders>
          </w:tcPr>
          <w:p w14:paraId="05FEF431">
            <w:pPr>
              <w:rPr>
                <w:rFonts w:ascii="宋体" w:hAnsi="宋体"/>
                <w:color w:val="auto"/>
                <w:sz w:val="30"/>
                <w:szCs w:val="30"/>
                <w:highlight w:val="none"/>
              </w:rPr>
            </w:pPr>
          </w:p>
        </w:tc>
        <w:tc>
          <w:tcPr>
            <w:tcW w:w="850" w:type="dxa"/>
            <w:tcBorders>
              <w:left w:val="nil"/>
            </w:tcBorders>
          </w:tcPr>
          <w:p w14:paraId="4A0C9A02">
            <w:pPr>
              <w:rPr>
                <w:rFonts w:ascii="宋体" w:hAnsi="宋体"/>
                <w:color w:val="auto"/>
                <w:sz w:val="30"/>
                <w:szCs w:val="30"/>
                <w:highlight w:val="none"/>
              </w:rPr>
            </w:pPr>
          </w:p>
        </w:tc>
        <w:tc>
          <w:tcPr>
            <w:tcW w:w="1132" w:type="dxa"/>
            <w:tcBorders>
              <w:left w:val="nil"/>
            </w:tcBorders>
          </w:tcPr>
          <w:p w14:paraId="53749115">
            <w:pPr>
              <w:rPr>
                <w:rFonts w:ascii="宋体" w:hAnsi="宋体"/>
                <w:color w:val="auto"/>
                <w:sz w:val="30"/>
                <w:szCs w:val="30"/>
                <w:highlight w:val="none"/>
              </w:rPr>
            </w:pPr>
          </w:p>
        </w:tc>
        <w:tc>
          <w:tcPr>
            <w:tcW w:w="806" w:type="dxa"/>
            <w:tcBorders>
              <w:left w:val="nil"/>
            </w:tcBorders>
          </w:tcPr>
          <w:p w14:paraId="00FF2686">
            <w:pPr>
              <w:rPr>
                <w:rFonts w:ascii="宋体" w:hAnsi="宋体"/>
                <w:color w:val="auto"/>
                <w:sz w:val="30"/>
                <w:szCs w:val="30"/>
                <w:highlight w:val="none"/>
              </w:rPr>
            </w:pPr>
          </w:p>
        </w:tc>
        <w:tc>
          <w:tcPr>
            <w:tcW w:w="1020" w:type="dxa"/>
            <w:tcBorders>
              <w:left w:val="nil"/>
            </w:tcBorders>
          </w:tcPr>
          <w:p w14:paraId="646A49E4">
            <w:pPr>
              <w:rPr>
                <w:rFonts w:ascii="宋体" w:hAnsi="宋体"/>
                <w:color w:val="auto"/>
                <w:sz w:val="30"/>
                <w:szCs w:val="30"/>
                <w:highlight w:val="none"/>
              </w:rPr>
            </w:pPr>
          </w:p>
        </w:tc>
        <w:tc>
          <w:tcPr>
            <w:tcW w:w="1480" w:type="dxa"/>
            <w:tcBorders>
              <w:left w:val="nil"/>
            </w:tcBorders>
          </w:tcPr>
          <w:p w14:paraId="775C33BA">
            <w:pPr>
              <w:rPr>
                <w:rFonts w:ascii="宋体" w:hAnsi="宋体"/>
                <w:color w:val="auto"/>
                <w:sz w:val="30"/>
                <w:szCs w:val="30"/>
                <w:highlight w:val="none"/>
              </w:rPr>
            </w:pPr>
          </w:p>
        </w:tc>
        <w:tc>
          <w:tcPr>
            <w:tcW w:w="1020" w:type="dxa"/>
            <w:tcBorders>
              <w:left w:val="nil"/>
            </w:tcBorders>
          </w:tcPr>
          <w:p w14:paraId="3EDEE2B2">
            <w:pPr>
              <w:rPr>
                <w:rFonts w:ascii="宋体" w:hAnsi="宋体"/>
                <w:color w:val="auto"/>
                <w:sz w:val="30"/>
                <w:szCs w:val="30"/>
                <w:highlight w:val="none"/>
              </w:rPr>
            </w:pPr>
          </w:p>
        </w:tc>
        <w:tc>
          <w:tcPr>
            <w:tcW w:w="921" w:type="dxa"/>
            <w:tcBorders>
              <w:left w:val="nil"/>
            </w:tcBorders>
          </w:tcPr>
          <w:p w14:paraId="1C64CE1A">
            <w:pPr>
              <w:rPr>
                <w:rFonts w:ascii="宋体" w:hAnsi="宋体"/>
                <w:color w:val="auto"/>
                <w:sz w:val="30"/>
                <w:szCs w:val="30"/>
                <w:highlight w:val="none"/>
              </w:rPr>
            </w:pPr>
          </w:p>
        </w:tc>
      </w:tr>
      <w:tr w14:paraId="4F24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F5915BC">
            <w:pPr>
              <w:rPr>
                <w:rFonts w:ascii="宋体" w:hAnsi="宋体"/>
                <w:color w:val="auto"/>
                <w:sz w:val="30"/>
                <w:szCs w:val="30"/>
                <w:highlight w:val="none"/>
              </w:rPr>
            </w:pPr>
          </w:p>
        </w:tc>
        <w:tc>
          <w:tcPr>
            <w:tcW w:w="1418" w:type="dxa"/>
            <w:tcBorders>
              <w:left w:val="nil"/>
            </w:tcBorders>
          </w:tcPr>
          <w:p w14:paraId="7F7697C5">
            <w:pPr>
              <w:rPr>
                <w:rFonts w:ascii="宋体" w:hAnsi="宋体"/>
                <w:color w:val="auto"/>
                <w:sz w:val="30"/>
                <w:szCs w:val="30"/>
                <w:highlight w:val="none"/>
              </w:rPr>
            </w:pPr>
          </w:p>
        </w:tc>
        <w:tc>
          <w:tcPr>
            <w:tcW w:w="850" w:type="dxa"/>
            <w:tcBorders>
              <w:left w:val="nil"/>
            </w:tcBorders>
          </w:tcPr>
          <w:p w14:paraId="5E8BC195">
            <w:pPr>
              <w:rPr>
                <w:rFonts w:ascii="宋体" w:hAnsi="宋体"/>
                <w:color w:val="auto"/>
                <w:sz w:val="30"/>
                <w:szCs w:val="30"/>
                <w:highlight w:val="none"/>
              </w:rPr>
            </w:pPr>
          </w:p>
        </w:tc>
        <w:tc>
          <w:tcPr>
            <w:tcW w:w="1132" w:type="dxa"/>
            <w:tcBorders>
              <w:left w:val="nil"/>
            </w:tcBorders>
          </w:tcPr>
          <w:p w14:paraId="382B2048">
            <w:pPr>
              <w:rPr>
                <w:rFonts w:ascii="宋体" w:hAnsi="宋体"/>
                <w:color w:val="auto"/>
                <w:sz w:val="30"/>
                <w:szCs w:val="30"/>
                <w:highlight w:val="none"/>
              </w:rPr>
            </w:pPr>
          </w:p>
        </w:tc>
        <w:tc>
          <w:tcPr>
            <w:tcW w:w="806" w:type="dxa"/>
            <w:tcBorders>
              <w:left w:val="nil"/>
            </w:tcBorders>
          </w:tcPr>
          <w:p w14:paraId="7FEBB374">
            <w:pPr>
              <w:rPr>
                <w:rFonts w:ascii="宋体" w:hAnsi="宋体"/>
                <w:color w:val="auto"/>
                <w:sz w:val="30"/>
                <w:szCs w:val="30"/>
                <w:highlight w:val="none"/>
              </w:rPr>
            </w:pPr>
          </w:p>
        </w:tc>
        <w:tc>
          <w:tcPr>
            <w:tcW w:w="1020" w:type="dxa"/>
            <w:tcBorders>
              <w:left w:val="nil"/>
            </w:tcBorders>
          </w:tcPr>
          <w:p w14:paraId="435FA6A6">
            <w:pPr>
              <w:rPr>
                <w:rFonts w:ascii="宋体" w:hAnsi="宋体"/>
                <w:color w:val="auto"/>
                <w:sz w:val="30"/>
                <w:szCs w:val="30"/>
                <w:highlight w:val="none"/>
              </w:rPr>
            </w:pPr>
          </w:p>
        </w:tc>
        <w:tc>
          <w:tcPr>
            <w:tcW w:w="1480" w:type="dxa"/>
            <w:tcBorders>
              <w:left w:val="nil"/>
            </w:tcBorders>
          </w:tcPr>
          <w:p w14:paraId="2E3EAC19">
            <w:pPr>
              <w:rPr>
                <w:rFonts w:ascii="宋体" w:hAnsi="宋体"/>
                <w:color w:val="auto"/>
                <w:sz w:val="30"/>
                <w:szCs w:val="30"/>
                <w:highlight w:val="none"/>
              </w:rPr>
            </w:pPr>
          </w:p>
        </w:tc>
        <w:tc>
          <w:tcPr>
            <w:tcW w:w="1020" w:type="dxa"/>
            <w:tcBorders>
              <w:left w:val="nil"/>
            </w:tcBorders>
          </w:tcPr>
          <w:p w14:paraId="2E050D3B">
            <w:pPr>
              <w:rPr>
                <w:rFonts w:ascii="宋体" w:hAnsi="宋体"/>
                <w:color w:val="auto"/>
                <w:sz w:val="30"/>
                <w:szCs w:val="30"/>
                <w:highlight w:val="none"/>
              </w:rPr>
            </w:pPr>
          </w:p>
        </w:tc>
        <w:tc>
          <w:tcPr>
            <w:tcW w:w="921" w:type="dxa"/>
            <w:tcBorders>
              <w:left w:val="nil"/>
            </w:tcBorders>
          </w:tcPr>
          <w:p w14:paraId="63EC484A">
            <w:pPr>
              <w:rPr>
                <w:rFonts w:ascii="宋体" w:hAnsi="宋体"/>
                <w:color w:val="auto"/>
                <w:sz w:val="30"/>
                <w:szCs w:val="30"/>
                <w:highlight w:val="none"/>
              </w:rPr>
            </w:pPr>
          </w:p>
        </w:tc>
      </w:tr>
      <w:tr w14:paraId="0D37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A081E12">
            <w:pPr>
              <w:rPr>
                <w:rFonts w:ascii="宋体" w:hAnsi="宋体"/>
                <w:color w:val="auto"/>
                <w:sz w:val="30"/>
                <w:szCs w:val="30"/>
                <w:highlight w:val="none"/>
              </w:rPr>
            </w:pPr>
          </w:p>
        </w:tc>
        <w:tc>
          <w:tcPr>
            <w:tcW w:w="1418" w:type="dxa"/>
            <w:tcBorders>
              <w:left w:val="nil"/>
            </w:tcBorders>
          </w:tcPr>
          <w:p w14:paraId="001C3FE8">
            <w:pPr>
              <w:rPr>
                <w:rFonts w:ascii="宋体" w:hAnsi="宋体"/>
                <w:color w:val="auto"/>
                <w:sz w:val="30"/>
                <w:szCs w:val="30"/>
                <w:highlight w:val="none"/>
              </w:rPr>
            </w:pPr>
          </w:p>
        </w:tc>
        <w:tc>
          <w:tcPr>
            <w:tcW w:w="850" w:type="dxa"/>
            <w:tcBorders>
              <w:left w:val="nil"/>
            </w:tcBorders>
          </w:tcPr>
          <w:p w14:paraId="5486C51C">
            <w:pPr>
              <w:rPr>
                <w:rFonts w:ascii="宋体" w:hAnsi="宋体"/>
                <w:color w:val="auto"/>
                <w:sz w:val="30"/>
                <w:szCs w:val="30"/>
                <w:highlight w:val="none"/>
              </w:rPr>
            </w:pPr>
          </w:p>
        </w:tc>
        <w:tc>
          <w:tcPr>
            <w:tcW w:w="1132" w:type="dxa"/>
            <w:tcBorders>
              <w:left w:val="nil"/>
            </w:tcBorders>
          </w:tcPr>
          <w:p w14:paraId="55301E7E">
            <w:pPr>
              <w:rPr>
                <w:rFonts w:ascii="宋体" w:hAnsi="宋体"/>
                <w:color w:val="auto"/>
                <w:sz w:val="30"/>
                <w:szCs w:val="30"/>
                <w:highlight w:val="none"/>
              </w:rPr>
            </w:pPr>
          </w:p>
        </w:tc>
        <w:tc>
          <w:tcPr>
            <w:tcW w:w="806" w:type="dxa"/>
            <w:tcBorders>
              <w:left w:val="nil"/>
            </w:tcBorders>
          </w:tcPr>
          <w:p w14:paraId="66E88A03">
            <w:pPr>
              <w:rPr>
                <w:rFonts w:ascii="宋体" w:hAnsi="宋体"/>
                <w:color w:val="auto"/>
                <w:sz w:val="30"/>
                <w:szCs w:val="30"/>
                <w:highlight w:val="none"/>
              </w:rPr>
            </w:pPr>
          </w:p>
        </w:tc>
        <w:tc>
          <w:tcPr>
            <w:tcW w:w="1020" w:type="dxa"/>
            <w:tcBorders>
              <w:left w:val="nil"/>
            </w:tcBorders>
          </w:tcPr>
          <w:p w14:paraId="69B99F6F">
            <w:pPr>
              <w:rPr>
                <w:rFonts w:ascii="宋体" w:hAnsi="宋体"/>
                <w:color w:val="auto"/>
                <w:sz w:val="30"/>
                <w:szCs w:val="30"/>
                <w:highlight w:val="none"/>
              </w:rPr>
            </w:pPr>
          </w:p>
        </w:tc>
        <w:tc>
          <w:tcPr>
            <w:tcW w:w="1480" w:type="dxa"/>
            <w:tcBorders>
              <w:left w:val="nil"/>
            </w:tcBorders>
          </w:tcPr>
          <w:p w14:paraId="79FAFD00">
            <w:pPr>
              <w:rPr>
                <w:rFonts w:ascii="宋体" w:hAnsi="宋体"/>
                <w:color w:val="auto"/>
                <w:sz w:val="30"/>
                <w:szCs w:val="30"/>
                <w:highlight w:val="none"/>
              </w:rPr>
            </w:pPr>
          </w:p>
        </w:tc>
        <w:tc>
          <w:tcPr>
            <w:tcW w:w="1020" w:type="dxa"/>
            <w:tcBorders>
              <w:left w:val="nil"/>
            </w:tcBorders>
          </w:tcPr>
          <w:p w14:paraId="0693A6EB">
            <w:pPr>
              <w:rPr>
                <w:rFonts w:ascii="宋体" w:hAnsi="宋体"/>
                <w:color w:val="auto"/>
                <w:sz w:val="30"/>
                <w:szCs w:val="30"/>
                <w:highlight w:val="none"/>
              </w:rPr>
            </w:pPr>
          </w:p>
        </w:tc>
        <w:tc>
          <w:tcPr>
            <w:tcW w:w="921" w:type="dxa"/>
            <w:tcBorders>
              <w:left w:val="nil"/>
            </w:tcBorders>
          </w:tcPr>
          <w:p w14:paraId="4EB882E8">
            <w:pPr>
              <w:rPr>
                <w:rFonts w:ascii="宋体" w:hAnsi="宋体"/>
                <w:color w:val="auto"/>
                <w:sz w:val="30"/>
                <w:szCs w:val="30"/>
                <w:highlight w:val="none"/>
              </w:rPr>
            </w:pPr>
          </w:p>
        </w:tc>
      </w:tr>
      <w:tr w14:paraId="40E5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2344FE5">
            <w:pPr>
              <w:rPr>
                <w:rFonts w:ascii="宋体" w:hAnsi="宋体"/>
                <w:color w:val="auto"/>
                <w:sz w:val="30"/>
                <w:szCs w:val="30"/>
                <w:highlight w:val="none"/>
              </w:rPr>
            </w:pPr>
          </w:p>
        </w:tc>
        <w:tc>
          <w:tcPr>
            <w:tcW w:w="1418" w:type="dxa"/>
            <w:tcBorders>
              <w:left w:val="nil"/>
            </w:tcBorders>
          </w:tcPr>
          <w:p w14:paraId="6C1ACBC7">
            <w:pPr>
              <w:rPr>
                <w:rFonts w:ascii="宋体" w:hAnsi="宋体"/>
                <w:color w:val="auto"/>
                <w:sz w:val="30"/>
                <w:szCs w:val="30"/>
                <w:highlight w:val="none"/>
              </w:rPr>
            </w:pPr>
          </w:p>
        </w:tc>
        <w:tc>
          <w:tcPr>
            <w:tcW w:w="850" w:type="dxa"/>
            <w:tcBorders>
              <w:left w:val="nil"/>
            </w:tcBorders>
          </w:tcPr>
          <w:p w14:paraId="7A403D0E">
            <w:pPr>
              <w:rPr>
                <w:rFonts w:ascii="宋体" w:hAnsi="宋体"/>
                <w:color w:val="auto"/>
                <w:sz w:val="30"/>
                <w:szCs w:val="30"/>
                <w:highlight w:val="none"/>
              </w:rPr>
            </w:pPr>
          </w:p>
        </w:tc>
        <w:tc>
          <w:tcPr>
            <w:tcW w:w="1132" w:type="dxa"/>
            <w:tcBorders>
              <w:left w:val="nil"/>
            </w:tcBorders>
          </w:tcPr>
          <w:p w14:paraId="65A17420">
            <w:pPr>
              <w:rPr>
                <w:rFonts w:ascii="宋体" w:hAnsi="宋体"/>
                <w:color w:val="auto"/>
                <w:sz w:val="30"/>
                <w:szCs w:val="30"/>
                <w:highlight w:val="none"/>
              </w:rPr>
            </w:pPr>
          </w:p>
        </w:tc>
        <w:tc>
          <w:tcPr>
            <w:tcW w:w="806" w:type="dxa"/>
            <w:tcBorders>
              <w:left w:val="nil"/>
            </w:tcBorders>
          </w:tcPr>
          <w:p w14:paraId="415A9D59">
            <w:pPr>
              <w:rPr>
                <w:rFonts w:ascii="宋体" w:hAnsi="宋体"/>
                <w:color w:val="auto"/>
                <w:sz w:val="30"/>
                <w:szCs w:val="30"/>
                <w:highlight w:val="none"/>
              </w:rPr>
            </w:pPr>
          </w:p>
        </w:tc>
        <w:tc>
          <w:tcPr>
            <w:tcW w:w="1020" w:type="dxa"/>
            <w:tcBorders>
              <w:left w:val="nil"/>
            </w:tcBorders>
          </w:tcPr>
          <w:p w14:paraId="67AFA357">
            <w:pPr>
              <w:rPr>
                <w:rFonts w:ascii="宋体" w:hAnsi="宋体"/>
                <w:color w:val="auto"/>
                <w:sz w:val="30"/>
                <w:szCs w:val="30"/>
                <w:highlight w:val="none"/>
              </w:rPr>
            </w:pPr>
          </w:p>
        </w:tc>
        <w:tc>
          <w:tcPr>
            <w:tcW w:w="1480" w:type="dxa"/>
            <w:tcBorders>
              <w:left w:val="nil"/>
            </w:tcBorders>
          </w:tcPr>
          <w:p w14:paraId="7B8858B1">
            <w:pPr>
              <w:rPr>
                <w:rFonts w:ascii="宋体" w:hAnsi="宋体"/>
                <w:color w:val="auto"/>
                <w:sz w:val="30"/>
                <w:szCs w:val="30"/>
                <w:highlight w:val="none"/>
              </w:rPr>
            </w:pPr>
          </w:p>
        </w:tc>
        <w:tc>
          <w:tcPr>
            <w:tcW w:w="1020" w:type="dxa"/>
            <w:tcBorders>
              <w:left w:val="nil"/>
            </w:tcBorders>
          </w:tcPr>
          <w:p w14:paraId="5CC5CD41">
            <w:pPr>
              <w:rPr>
                <w:rFonts w:ascii="宋体" w:hAnsi="宋体"/>
                <w:color w:val="auto"/>
                <w:sz w:val="30"/>
                <w:szCs w:val="30"/>
                <w:highlight w:val="none"/>
              </w:rPr>
            </w:pPr>
          </w:p>
        </w:tc>
        <w:tc>
          <w:tcPr>
            <w:tcW w:w="921" w:type="dxa"/>
            <w:tcBorders>
              <w:left w:val="nil"/>
            </w:tcBorders>
          </w:tcPr>
          <w:p w14:paraId="7A8EF911">
            <w:pPr>
              <w:rPr>
                <w:rFonts w:ascii="宋体" w:hAnsi="宋体"/>
                <w:color w:val="auto"/>
                <w:sz w:val="30"/>
                <w:szCs w:val="30"/>
                <w:highlight w:val="none"/>
              </w:rPr>
            </w:pPr>
          </w:p>
        </w:tc>
      </w:tr>
      <w:tr w14:paraId="206B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5070EE4">
            <w:pPr>
              <w:rPr>
                <w:rFonts w:ascii="宋体" w:hAnsi="宋体"/>
                <w:color w:val="auto"/>
                <w:sz w:val="30"/>
                <w:szCs w:val="30"/>
                <w:highlight w:val="none"/>
              </w:rPr>
            </w:pPr>
          </w:p>
        </w:tc>
        <w:tc>
          <w:tcPr>
            <w:tcW w:w="1418" w:type="dxa"/>
            <w:tcBorders>
              <w:left w:val="nil"/>
            </w:tcBorders>
          </w:tcPr>
          <w:p w14:paraId="65626F0B">
            <w:pPr>
              <w:rPr>
                <w:rFonts w:ascii="宋体" w:hAnsi="宋体"/>
                <w:color w:val="auto"/>
                <w:sz w:val="30"/>
                <w:szCs w:val="30"/>
                <w:highlight w:val="none"/>
              </w:rPr>
            </w:pPr>
          </w:p>
        </w:tc>
        <w:tc>
          <w:tcPr>
            <w:tcW w:w="850" w:type="dxa"/>
            <w:tcBorders>
              <w:left w:val="nil"/>
            </w:tcBorders>
          </w:tcPr>
          <w:p w14:paraId="3721AB3C">
            <w:pPr>
              <w:rPr>
                <w:rFonts w:ascii="宋体" w:hAnsi="宋体"/>
                <w:color w:val="auto"/>
                <w:sz w:val="30"/>
                <w:szCs w:val="30"/>
                <w:highlight w:val="none"/>
              </w:rPr>
            </w:pPr>
          </w:p>
        </w:tc>
        <w:tc>
          <w:tcPr>
            <w:tcW w:w="1132" w:type="dxa"/>
            <w:tcBorders>
              <w:left w:val="nil"/>
            </w:tcBorders>
          </w:tcPr>
          <w:p w14:paraId="3A9DBB7E">
            <w:pPr>
              <w:rPr>
                <w:rFonts w:ascii="宋体" w:hAnsi="宋体"/>
                <w:color w:val="auto"/>
                <w:sz w:val="30"/>
                <w:szCs w:val="30"/>
                <w:highlight w:val="none"/>
              </w:rPr>
            </w:pPr>
          </w:p>
        </w:tc>
        <w:tc>
          <w:tcPr>
            <w:tcW w:w="806" w:type="dxa"/>
            <w:tcBorders>
              <w:left w:val="nil"/>
            </w:tcBorders>
          </w:tcPr>
          <w:p w14:paraId="70516593">
            <w:pPr>
              <w:rPr>
                <w:rFonts w:ascii="宋体" w:hAnsi="宋体"/>
                <w:color w:val="auto"/>
                <w:sz w:val="30"/>
                <w:szCs w:val="30"/>
                <w:highlight w:val="none"/>
              </w:rPr>
            </w:pPr>
          </w:p>
        </w:tc>
        <w:tc>
          <w:tcPr>
            <w:tcW w:w="1020" w:type="dxa"/>
            <w:tcBorders>
              <w:left w:val="nil"/>
            </w:tcBorders>
          </w:tcPr>
          <w:p w14:paraId="434B0E97">
            <w:pPr>
              <w:rPr>
                <w:rFonts w:ascii="宋体" w:hAnsi="宋体"/>
                <w:color w:val="auto"/>
                <w:sz w:val="30"/>
                <w:szCs w:val="30"/>
                <w:highlight w:val="none"/>
              </w:rPr>
            </w:pPr>
          </w:p>
        </w:tc>
        <w:tc>
          <w:tcPr>
            <w:tcW w:w="1480" w:type="dxa"/>
            <w:tcBorders>
              <w:left w:val="nil"/>
            </w:tcBorders>
          </w:tcPr>
          <w:p w14:paraId="3E3C2DB3">
            <w:pPr>
              <w:rPr>
                <w:rFonts w:ascii="宋体" w:hAnsi="宋体"/>
                <w:color w:val="auto"/>
                <w:sz w:val="30"/>
                <w:szCs w:val="30"/>
                <w:highlight w:val="none"/>
              </w:rPr>
            </w:pPr>
          </w:p>
        </w:tc>
        <w:tc>
          <w:tcPr>
            <w:tcW w:w="1020" w:type="dxa"/>
            <w:tcBorders>
              <w:left w:val="nil"/>
            </w:tcBorders>
          </w:tcPr>
          <w:p w14:paraId="05631930">
            <w:pPr>
              <w:rPr>
                <w:rFonts w:ascii="宋体" w:hAnsi="宋体"/>
                <w:color w:val="auto"/>
                <w:sz w:val="30"/>
                <w:szCs w:val="30"/>
                <w:highlight w:val="none"/>
              </w:rPr>
            </w:pPr>
          </w:p>
        </w:tc>
        <w:tc>
          <w:tcPr>
            <w:tcW w:w="921" w:type="dxa"/>
            <w:tcBorders>
              <w:left w:val="nil"/>
            </w:tcBorders>
          </w:tcPr>
          <w:p w14:paraId="2B6351AB">
            <w:pPr>
              <w:rPr>
                <w:rFonts w:ascii="宋体" w:hAnsi="宋体"/>
                <w:color w:val="auto"/>
                <w:sz w:val="30"/>
                <w:szCs w:val="30"/>
                <w:highlight w:val="none"/>
              </w:rPr>
            </w:pPr>
          </w:p>
        </w:tc>
      </w:tr>
      <w:tr w14:paraId="40F7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98EFEDA">
            <w:pPr>
              <w:rPr>
                <w:rFonts w:ascii="宋体" w:hAnsi="宋体"/>
                <w:color w:val="auto"/>
                <w:sz w:val="30"/>
                <w:szCs w:val="30"/>
                <w:highlight w:val="none"/>
              </w:rPr>
            </w:pPr>
          </w:p>
        </w:tc>
        <w:tc>
          <w:tcPr>
            <w:tcW w:w="1418" w:type="dxa"/>
            <w:tcBorders>
              <w:left w:val="nil"/>
            </w:tcBorders>
          </w:tcPr>
          <w:p w14:paraId="7D992BB9">
            <w:pPr>
              <w:rPr>
                <w:rFonts w:ascii="宋体" w:hAnsi="宋体"/>
                <w:color w:val="auto"/>
                <w:sz w:val="30"/>
                <w:szCs w:val="30"/>
                <w:highlight w:val="none"/>
              </w:rPr>
            </w:pPr>
          </w:p>
        </w:tc>
        <w:tc>
          <w:tcPr>
            <w:tcW w:w="850" w:type="dxa"/>
            <w:tcBorders>
              <w:left w:val="nil"/>
            </w:tcBorders>
          </w:tcPr>
          <w:p w14:paraId="5EC44410">
            <w:pPr>
              <w:rPr>
                <w:rFonts w:ascii="宋体" w:hAnsi="宋体"/>
                <w:color w:val="auto"/>
                <w:sz w:val="30"/>
                <w:szCs w:val="30"/>
                <w:highlight w:val="none"/>
              </w:rPr>
            </w:pPr>
          </w:p>
        </w:tc>
        <w:tc>
          <w:tcPr>
            <w:tcW w:w="1132" w:type="dxa"/>
            <w:tcBorders>
              <w:left w:val="nil"/>
            </w:tcBorders>
          </w:tcPr>
          <w:p w14:paraId="2C053F35">
            <w:pPr>
              <w:rPr>
                <w:rFonts w:ascii="宋体" w:hAnsi="宋体"/>
                <w:color w:val="auto"/>
                <w:sz w:val="30"/>
                <w:szCs w:val="30"/>
                <w:highlight w:val="none"/>
              </w:rPr>
            </w:pPr>
          </w:p>
        </w:tc>
        <w:tc>
          <w:tcPr>
            <w:tcW w:w="806" w:type="dxa"/>
            <w:tcBorders>
              <w:left w:val="nil"/>
            </w:tcBorders>
          </w:tcPr>
          <w:p w14:paraId="4FB2E589">
            <w:pPr>
              <w:rPr>
                <w:rFonts w:ascii="宋体" w:hAnsi="宋体"/>
                <w:color w:val="auto"/>
                <w:sz w:val="30"/>
                <w:szCs w:val="30"/>
                <w:highlight w:val="none"/>
              </w:rPr>
            </w:pPr>
          </w:p>
        </w:tc>
        <w:tc>
          <w:tcPr>
            <w:tcW w:w="1020" w:type="dxa"/>
            <w:tcBorders>
              <w:left w:val="nil"/>
            </w:tcBorders>
          </w:tcPr>
          <w:p w14:paraId="087B02B1">
            <w:pPr>
              <w:rPr>
                <w:rFonts w:ascii="宋体" w:hAnsi="宋体"/>
                <w:color w:val="auto"/>
                <w:sz w:val="30"/>
                <w:szCs w:val="30"/>
                <w:highlight w:val="none"/>
              </w:rPr>
            </w:pPr>
          </w:p>
        </w:tc>
        <w:tc>
          <w:tcPr>
            <w:tcW w:w="1480" w:type="dxa"/>
            <w:tcBorders>
              <w:left w:val="nil"/>
            </w:tcBorders>
          </w:tcPr>
          <w:p w14:paraId="660D78D6">
            <w:pPr>
              <w:rPr>
                <w:rFonts w:ascii="宋体" w:hAnsi="宋体"/>
                <w:color w:val="auto"/>
                <w:sz w:val="30"/>
                <w:szCs w:val="30"/>
                <w:highlight w:val="none"/>
              </w:rPr>
            </w:pPr>
          </w:p>
        </w:tc>
        <w:tc>
          <w:tcPr>
            <w:tcW w:w="1020" w:type="dxa"/>
            <w:tcBorders>
              <w:left w:val="nil"/>
            </w:tcBorders>
          </w:tcPr>
          <w:p w14:paraId="71435718">
            <w:pPr>
              <w:rPr>
                <w:rFonts w:ascii="宋体" w:hAnsi="宋体"/>
                <w:color w:val="auto"/>
                <w:sz w:val="30"/>
                <w:szCs w:val="30"/>
                <w:highlight w:val="none"/>
              </w:rPr>
            </w:pPr>
          </w:p>
        </w:tc>
        <w:tc>
          <w:tcPr>
            <w:tcW w:w="921" w:type="dxa"/>
            <w:tcBorders>
              <w:left w:val="nil"/>
            </w:tcBorders>
          </w:tcPr>
          <w:p w14:paraId="0A15C7E3">
            <w:pPr>
              <w:rPr>
                <w:rFonts w:ascii="宋体" w:hAnsi="宋体"/>
                <w:color w:val="auto"/>
                <w:sz w:val="30"/>
                <w:szCs w:val="30"/>
                <w:highlight w:val="none"/>
              </w:rPr>
            </w:pPr>
          </w:p>
        </w:tc>
      </w:tr>
      <w:tr w14:paraId="3C25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D956339">
            <w:pPr>
              <w:rPr>
                <w:rFonts w:ascii="宋体" w:hAnsi="宋体"/>
                <w:color w:val="auto"/>
                <w:sz w:val="30"/>
                <w:szCs w:val="30"/>
                <w:highlight w:val="none"/>
              </w:rPr>
            </w:pPr>
          </w:p>
        </w:tc>
        <w:tc>
          <w:tcPr>
            <w:tcW w:w="1418" w:type="dxa"/>
            <w:tcBorders>
              <w:left w:val="nil"/>
            </w:tcBorders>
          </w:tcPr>
          <w:p w14:paraId="4874944C">
            <w:pPr>
              <w:rPr>
                <w:rFonts w:ascii="宋体" w:hAnsi="宋体"/>
                <w:color w:val="auto"/>
                <w:sz w:val="30"/>
                <w:szCs w:val="30"/>
                <w:highlight w:val="none"/>
              </w:rPr>
            </w:pPr>
          </w:p>
        </w:tc>
        <w:tc>
          <w:tcPr>
            <w:tcW w:w="850" w:type="dxa"/>
            <w:tcBorders>
              <w:left w:val="nil"/>
            </w:tcBorders>
          </w:tcPr>
          <w:p w14:paraId="333A90D4">
            <w:pPr>
              <w:rPr>
                <w:rFonts w:ascii="宋体" w:hAnsi="宋体"/>
                <w:color w:val="auto"/>
                <w:sz w:val="30"/>
                <w:szCs w:val="30"/>
                <w:highlight w:val="none"/>
              </w:rPr>
            </w:pPr>
          </w:p>
        </w:tc>
        <w:tc>
          <w:tcPr>
            <w:tcW w:w="1132" w:type="dxa"/>
            <w:tcBorders>
              <w:left w:val="nil"/>
            </w:tcBorders>
          </w:tcPr>
          <w:p w14:paraId="15C41037">
            <w:pPr>
              <w:rPr>
                <w:rFonts w:ascii="宋体" w:hAnsi="宋体"/>
                <w:color w:val="auto"/>
                <w:sz w:val="30"/>
                <w:szCs w:val="30"/>
                <w:highlight w:val="none"/>
              </w:rPr>
            </w:pPr>
          </w:p>
        </w:tc>
        <w:tc>
          <w:tcPr>
            <w:tcW w:w="806" w:type="dxa"/>
            <w:tcBorders>
              <w:left w:val="nil"/>
            </w:tcBorders>
          </w:tcPr>
          <w:p w14:paraId="3F0A9C10">
            <w:pPr>
              <w:rPr>
                <w:rFonts w:ascii="宋体" w:hAnsi="宋体"/>
                <w:color w:val="auto"/>
                <w:sz w:val="30"/>
                <w:szCs w:val="30"/>
                <w:highlight w:val="none"/>
              </w:rPr>
            </w:pPr>
          </w:p>
        </w:tc>
        <w:tc>
          <w:tcPr>
            <w:tcW w:w="1020" w:type="dxa"/>
            <w:tcBorders>
              <w:left w:val="nil"/>
            </w:tcBorders>
          </w:tcPr>
          <w:p w14:paraId="6B9BE7AC">
            <w:pPr>
              <w:rPr>
                <w:rFonts w:ascii="宋体" w:hAnsi="宋体"/>
                <w:color w:val="auto"/>
                <w:sz w:val="30"/>
                <w:szCs w:val="30"/>
                <w:highlight w:val="none"/>
              </w:rPr>
            </w:pPr>
          </w:p>
        </w:tc>
        <w:tc>
          <w:tcPr>
            <w:tcW w:w="1480" w:type="dxa"/>
            <w:tcBorders>
              <w:left w:val="nil"/>
            </w:tcBorders>
          </w:tcPr>
          <w:p w14:paraId="14AC1EB9">
            <w:pPr>
              <w:rPr>
                <w:rFonts w:ascii="宋体" w:hAnsi="宋体"/>
                <w:color w:val="auto"/>
                <w:sz w:val="30"/>
                <w:szCs w:val="30"/>
                <w:highlight w:val="none"/>
              </w:rPr>
            </w:pPr>
          </w:p>
        </w:tc>
        <w:tc>
          <w:tcPr>
            <w:tcW w:w="1020" w:type="dxa"/>
            <w:tcBorders>
              <w:left w:val="nil"/>
            </w:tcBorders>
          </w:tcPr>
          <w:p w14:paraId="46622F1B">
            <w:pPr>
              <w:rPr>
                <w:rFonts w:ascii="宋体" w:hAnsi="宋体"/>
                <w:color w:val="auto"/>
                <w:sz w:val="30"/>
                <w:szCs w:val="30"/>
                <w:highlight w:val="none"/>
              </w:rPr>
            </w:pPr>
          </w:p>
        </w:tc>
        <w:tc>
          <w:tcPr>
            <w:tcW w:w="921" w:type="dxa"/>
            <w:tcBorders>
              <w:left w:val="nil"/>
            </w:tcBorders>
          </w:tcPr>
          <w:p w14:paraId="6BC94841">
            <w:pPr>
              <w:rPr>
                <w:rFonts w:ascii="宋体" w:hAnsi="宋体"/>
                <w:color w:val="auto"/>
                <w:sz w:val="30"/>
                <w:szCs w:val="30"/>
                <w:highlight w:val="none"/>
              </w:rPr>
            </w:pPr>
          </w:p>
        </w:tc>
      </w:tr>
      <w:tr w14:paraId="37C5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91823EC">
            <w:pPr>
              <w:rPr>
                <w:rFonts w:ascii="宋体" w:hAnsi="宋体"/>
                <w:color w:val="auto"/>
                <w:sz w:val="30"/>
                <w:szCs w:val="30"/>
                <w:highlight w:val="none"/>
              </w:rPr>
            </w:pPr>
          </w:p>
        </w:tc>
        <w:tc>
          <w:tcPr>
            <w:tcW w:w="1418" w:type="dxa"/>
            <w:tcBorders>
              <w:left w:val="nil"/>
            </w:tcBorders>
          </w:tcPr>
          <w:p w14:paraId="3C986D42">
            <w:pPr>
              <w:rPr>
                <w:rFonts w:ascii="宋体" w:hAnsi="宋体"/>
                <w:color w:val="auto"/>
                <w:sz w:val="30"/>
                <w:szCs w:val="30"/>
                <w:highlight w:val="none"/>
              </w:rPr>
            </w:pPr>
          </w:p>
        </w:tc>
        <w:tc>
          <w:tcPr>
            <w:tcW w:w="850" w:type="dxa"/>
            <w:tcBorders>
              <w:left w:val="nil"/>
            </w:tcBorders>
          </w:tcPr>
          <w:p w14:paraId="5BB9FF0C">
            <w:pPr>
              <w:rPr>
                <w:rFonts w:ascii="宋体" w:hAnsi="宋体"/>
                <w:color w:val="auto"/>
                <w:sz w:val="30"/>
                <w:szCs w:val="30"/>
                <w:highlight w:val="none"/>
              </w:rPr>
            </w:pPr>
          </w:p>
        </w:tc>
        <w:tc>
          <w:tcPr>
            <w:tcW w:w="1132" w:type="dxa"/>
            <w:tcBorders>
              <w:left w:val="nil"/>
            </w:tcBorders>
          </w:tcPr>
          <w:p w14:paraId="4019FB0F">
            <w:pPr>
              <w:rPr>
                <w:rFonts w:ascii="宋体" w:hAnsi="宋体"/>
                <w:color w:val="auto"/>
                <w:sz w:val="30"/>
                <w:szCs w:val="30"/>
                <w:highlight w:val="none"/>
              </w:rPr>
            </w:pPr>
          </w:p>
        </w:tc>
        <w:tc>
          <w:tcPr>
            <w:tcW w:w="806" w:type="dxa"/>
            <w:tcBorders>
              <w:left w:val="nil"/>
            </w:tcBorders>
          </w:tcPr>
          <w:p w14:paraId="23018FB0">
            <w:pPr>
              <w:rPr>
                <w:rFonts w:ascii="宋体" w:hAnsi="宋体"/>
                <w:color w:val="auto"/>
                <w:sz w:val="30"/>
                <w:szCs w:val="30"/>
                <w:highlight w:val="none"/>
              </w:rPr>
            </w:pPr>
          </w:p>
        </w:tc>
        <w:tc>
          <w:tcPr>
            <w:tcW w:w="1020" w:type="dxa"/>
            <w:tcBorders>
              <w:left w:val="nil"/>
            </w:tcBorders>
          </w:tcPr>
          <w:p w14:paraId="71FD29A3">
            <w:pPr>
              <w:rPr>
                <w:rFonts w:ascii="宋体" w:hAnsi="宋体"/>
                <w:color w:val="auto"/>
                <w:sz w:val="30"/>
                <w:szCs w:val="30"/>
                <w:highlight w:val="none"/>
              </w:rPr>
            </w:pPr>
          </w:p>
        </w:tc>
        <w:tc>
          <w:tcPr>
            <w:tcW w:w="1480" w:type="dxa"/>
            <w:tcBorders>
              <w:left w:val="nil"/>
            </w:tcBorders>
          </w:tcPr>
          <w:p w14:paraId="71BEAD5F">
            <w:pPr>
              <w:rPr>
                <w:rFonts w:ascii="宋体" w:hAnsi="宋体"/>
                <w:color w:val="auto"/>
                <w:sz w:val="30"/>
                <w:szCs w:val="30"/>
                <w:highlight w:val="none"/>
              </w:rPr>
            </w:pPr>
          </w:p>
        </w:tc>
        <w:tc>
          <w:tcPr>
            <w:tcW w:w="1020" w:type="dxa"/>
            <w:tcBorders>
              <w:left w:val="nil"/>
            </w:tcBorders>
          </w:tcPr>
          <w:p w14:paraId="2A75A3A6">
            <w:pPr>
              <w:rPr>
                <w:rFonts w:ascii="宋体" w:hAnsi="宋体"/>
                <w:color w:val="auto"/>
                <w:sz w:val="30"/>
                <w:szCs w:val="30"/>
                <w:highlight w:val="none"/>
              </w:rPr>
            </w:pPr>
          </w:p>
        </w:tc>
        <w:tc>
          <w:tcPr>
            <w:tcW w:w="921" w:type="dxa"/>
            <w:tcBorders>
              <w:left w:val="nil"/>
            </w:tcBorders>
          </w:tcPr>
          <w:p w14:paraId="1D673728">
            <w:pPr>
              <w:rPr>
                <w:rFonts w:ascii="宋体" w:hAnsi="宋体"/>
                <w:color w:val="auto"/>
                <w:sz w:val="30"/>
                <w:szCs w:val="30"/>
                <w:highlight w:val="none"/>
              </w:rPr>
            </w:pPr>
          </w:p>
        </w:tc>
      </w:tr>
    </w:tbl>
    <w:p w14:paraId="2C0D4AC1">
      <w:pPr>
        <w:rPr>
          <w:rFonts w:ascii="宋体" w:hAnsi="宋体"/>
          <w:color w:val="auto"/>
          <w:sz w:val="30"/>
          <w:szCs w:val="30"/>
          <w:highlight w:val="none"/>
        </w:rPr>
      </w:pPr>
      <w:r>
        <w:rPr>
          <w:rFonts w:hint="eastAsia" w:ascii="宋体" w:hAnsi="宋体"/>
          <w:color w:val="auto"/>
          <w:sz w:val="30"/>
          <w:szCs w:val="30"/>
          <w:highlight w:val="none"/>
        </w:rPr>
        <w:br w:type="page"/>
      </w:r>
    </w:p>
    <w:p w14:paraId="3DBED379">
      <w:pPr>
        <w:spacing w:line="440" w:lineRule="exact"/>
        <w:jc w:val="lef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5</w:t>
      </w:r>
      <w:r>
        <w:rPr>
          <w:rFonts w:hint="eastAsia" w:ascii="宋体" w:hAnsi="宋体"/>
          <w:color w:val="auto"/>
          <w:sz w:val="30"/>
          <w:szCs w:val="30"/>
          <w:highlight w:val="none"/>
        </w:rPr>
        <w:t>：</w:t>
      </w:r>
    </w:p>
    <w:p w14:paraId="07839B9C">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承包人主要施工管理人员表</w:t>
      </w:r>
    </w:p>
    <w:tbl>
      <w:tblPr>
        <w:tblStyle w:val="4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5D71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366A24B">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名称</w:t>
            </w:r>
          </w:p>
        </w:tc>
        <w:tc>
          <w:tcPr>
            <w:tcW w:w="1418" w:type="dxa"/>
            <w:tcBorders>
              <w:left w:val="nil"/>
            </w:tcBorders>
            <w:vAlign w:val="center"/>
          </w:tcPr>
          <w:p w14:paraId="38019114">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姓名</w:t>
            </w:r>
          </w:p>
        </w:tc>
        <w:tc>
          <w:tcPr>
            <w:tcW w:w="1134" w:type="dxa"/>
            <w:tcBorders>
              <w:left w:val="nil"/>
            </w:tcBorders>
            <w:vAlign w:val="center"/>
          </w:tcPr>
          <w:p w14:paraId="261E8CFB">
            <w:pPr>
              <w:keepNext/>
              <w:adjustRightInd w:val="0"/>
              <w:spacing w:line="440" w:lineRule="exact"/>
              <w:ind w:left="63" w:leftChars="30"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职务</w:t>
            </w:r>
          </w:p>
        </w:tc>
        <w:tc>
          <w:tcPr>
            <w:tcW w:w="1134" w:type="dxa"/>
            <w:tcBorders>
              <w:left w:val="nil"/>
            </w:tcBorders>
            <w:vAlign w:val="center"/>
          </w:tcPr>
          <w:p w14:paraId="6EB0A091">
            <w:pPr>
              <w:keepNext/>
              <w:adjustRightInd w:val="0"/>
              <w:spacing w:line="440" w:lineRule="exact"/>
              <w:ind w:left="63" w:leftChars="30"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职称</w:t>
            </w:r>
          </w:p>
        </w:tc>
        <w:tc>
          <w:tcPr>
            <w:tcW w:w="4252" w:type="dxa"/>
            <w:tcBorders>
              <w:left w:val="nil"/>
            </w:tcBorders>
            <w:vAlign w:val="center"/>
          </w:tcPr>
          <w:p w14:paraId="762D9F49">
            <w:pPr>
              <w:keepNext/>
              <w:adjustRightInd w:val="0"/>
              <w:spacing w:line="440" w:lineRule="exact"/>
              <w:ind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计划进场时间</w:t>
            </w:r>
          </w:p>
        </w:tc>
      </w:tr>
      <w:tr w14:paraId="1F47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18AE41A7">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一、总部人员</w:t>
            </w:r>
          </w:p>
        </w:tc>
      </w:tr>
      <w:tr w14:paraId="5669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04BB0DA">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项目主管</w:t>
            </w:r>
          </w:p>
        </w:tc>
        <w:tc>
          <w:tcPr>
            <w:tcW w:w="1418" w:type="dxa"/>
            <w:tcBorders>
              <w:left w:val="nil"/>
            </w:tcBorders>
            <w:vAlign w:val="center"/>
          </w:tcPr>
          <w:p w14:paraId="704CCBD3">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10AD727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49A90F8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66D0429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606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0DA7B07A">
            <w:pPr>
              <w:keepNext/>
              <w:adjustRightInd w:val="0"/>
              <w:spacing w:after="60"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其他人员</w:t>
            </w:r>
          </w:p>
        </w:tc>
        <w:tc>
          <w:tcPr>
            <w:tcW w:w="1418" w:type="dxa"/>
            <w:tcBorders>
              <w:left w:val="nil"/>
            </w:tcBorders>
            <w:vAlign w:val="center"/>
          </w:tcPr>
          <w:p w14:paraId="561E7240">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159B472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F1AB0B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5F85D3A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FCC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38B53172">
            <w:pPr>
              <w:widowControl/>
              <w:jc w:val="left"/>
              <w:rPr>
                <w:rFonts w:ascii="宋体" w:hAnsi="宋体"/>
                <w:color w:val="auto"/>
                <w:sz w:val="28"/>
                <w:szCs w:val="28"/>
                <w:highlight w:val="none"/>
              </w:rPr>
            </w:pPr>
          </w:p>
        </w:tc>
        <w:tc>
          <w:tcPr>
            <w:tcW w:w="1418" w:type="dxa"/>
            <w:tcBorders>
              <w:left w:val="nil"/>
            </w:tcBorders>
            <w:vAlign w:val="center"/>
          </w:tcPr>
          <w:p w14:paraId="6257FC4A">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0FFCA2C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CC00F2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5B000E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D62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6C04C140">
            <w:pPr>
              <w:widowControl/>
              <w:jc w:val="left"/>
              <w:rPr>
                <w:rFonts w:ascii="宋体" w:hAnsi="宋体"/>
                <w:color w:val="auto"/>
                <w:sz w:val="28"/>
                <w:szCs w:val="28"/>
                <w:highlight w:val="none"/>
              </w:rPr>
            </w:pPr>
          </w:p>
        </w:tc>
        <w:tc>
          <w:tcPr>
            <w:tcW w:w="1418" w:type="dxa"/>
            <w:tcBorders>
              <w:left w:val="nil"/>
            </w:tcBorders>
            <w:vAlign w:val="center"/>
          </w:tcPr>
          <w:p w14:paraId="1B2A0DD6">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E67960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8CFB3D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1B2C3E8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C84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295685EB">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二、现场人员</w:t>
            </w:r>
          </w:p>
        </w:tc>
      </w:tr>
      <w:tr w14:paraId="6E42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9DCDEBD">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项目经理</w:t>
            </w:r>
          </w:p>
        </w:tc>
        <w:tc>
          <w:tcPr>
            <w:tcW w:w="1418" w:type="dxa"/>
            <w:tcBorders>
              <w:left w:val="nil"/>
            </w:tcBorders>
            <w:vAlign w:val="center"/>
          </w:tcPr>
          <w:p w14:paraId="738E0B0C">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69C156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789F5FB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6A0AE71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489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AD5D36">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项目副经理</w:t>
            </w:r>
          </w:p>
        </w:tc>
        <w:tc>
          <w:tcPr>
            <w:tcW w:w="1418" w:type="dxa"/>
            <w:tcBorders>
              <w:left w:val="nil"/>
            </w:tcBorders>
            <w:vAlign w:val="center"/>
          </w:tcPr>
          <w:p w14:paraId="4C0D8642">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B7F9D7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1BA29F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5607601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444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A192769">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技术负责人</w:t>
            </w:r>
          </w:p>
        </w:tc>
        <w:tc>
          <w:tcPr>
            <w:tcW w:w="1418" w:type="dxa"/>
            <w:tcBorders>
              <w:left w:val="nil"/>
            </w:tcBorders>
            <w:vAlign w:val="center"/>
          </w:tcPr>
          <w:p w14:paraId="733C6B6A">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0D84E9C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778DD0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603B1A2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DB4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5532FF7">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造价管理</w:t>
            </w:r>
          </w:p>
        </w:tc>
        <w:tc>
          <w:tcPr>
            <w:tcW w:w="1418" w:type="dxa"/>
            <w:tcBorders>
              <w:left w:val="nil"/>
            </w:tcBorders>
            <w:vAlign w:val="center"/>
          </w:tcPr>
          <w:p w14:paraId="41A3865D">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4F0FEC8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75DC91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3574D8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88E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488AE35C">
            <w:pPr>
              <w:keepNext/>
              <w:adjustRightInd w:val="0"/>
              <w:spacing w:after="60"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质量管理</w:t>
            </w:r>
          </w:p>
        </w:tc>
        <w:tc>
          <w:tcPr>
            <w:tcW w:w="1418" w:type="dxa"/>
            <w:tcBorders>
              <w:left w:val="nil"/>
            </w:tcBorders>
            <w:vAlign w:val="center"/>
          </w:tcPr>
          <w:p w14:paraId="4DB63F97">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0513CF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4C3C83B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CC4D50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AB7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7FF66EAF">
            <w:pPr>
              <w:widowControl/>
              <w:jc w:val="left"/>
              <w:rPr>
                <w:rFonts w:ascii="宋体" w:hAnsi="宋体"/>
                <w:color w:val="auto"/>
                <w:sz w:val="28"/>
                <w:szCs w:val="28"/>
                <w:highlight w:val="none"/>
              </w:rPr>
            </w:pPr>
          </w:p>
        </w:tc>
        <w:tc>
          <w:tcPr>
            <w:tcW w:w="1418" w:type="dxa"/>
            <w:tcBorders>
              <w:left w:val="nil"/>
            </w:tcBorders>
            <w:vAlign w:val="center"/>
          </w:tcPr>
          <w:p w14:paraId="2ECE20E3">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BCB1D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8AFE27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1FD712F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3844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40065E83">
            <w:pPr>
              <w:widowControl/>
              <w:jc w:val="left"/>
              <w:rPr>
                <w:rFonts w:ascii="宋体" w:hAnsi="宋体"/>
                <w:color w:val="auto"/>
                <w:sz w:val="28"/>
                <w:szCs w:val="28"/>
                <w:highlight w:val="none"/>
              </w:rPr>
            </w:pPr>
          </w:p>
        </w:tc>
        <w:tc>
          <w:tcPr>
            <w:tcW w:w="1418" w:type="dxa"/>
            <w:tcBorders>
              <w:left w:val="nil"/>
            </w:tcBorders>
            <w:vAlign w:val="center"/>
          </w:tcPr>
          <w:p w14:paraId="31DD12A4">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E13C21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451AECB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196832E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3510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967FF3A">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材料管理</w:t>
            </w:r>
          </w:p>
        </w:tc>
        <w:tc>
          <w:tcPr>
            <w:tcW w:w="1418" w:type="dxa"/>
            <w:tcBorders>
              <w:left w:val="nil"/>
            </w:tcBorders>
            <w:vAlign w:val="center"/>
          </w:tcPr>
          <w:p w14:paraId="5A014052">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0B566D3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5541B25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677341D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E6B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E3CBD9A">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计划管理</w:t>
            </w:r>
          </w:p>
        </w:tc>
        <w:tc>
          <w:tcPr>
            <w:tcW w:w="1418" w:type="dxa"/>
            <w:tcBorders>
              <w:left w:val="nil"/>
            </w:tcBorders>
            <w:vAlign w:val="center"/>
          </w:tcPr>
          <w:p w14:paraId="2EA9E460">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98C208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0992E8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AC4E6C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DBF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6B7C9530">
            <w:pPr>
              <w:keepNext/>
              <w:adjustRightInd w:val="0"/>
              <w:spacing w:after="60"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安全管理</w:t>
            </w:r>
          </w:p>
        </w:tc>
        <w:tc>
          <w:tcPr>
            <w:tcW w:w="1418" w:type="dxa"/>
            <w:tcBorders>
              <w:left w:val="nil"/>
            </w:tcBorders>
            <w:vAlign w:val="center"/>
          </w:tcPr>
          <w:p w14:paraId="5AB9C9D6">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48EB19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E1F88D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30C45D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548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675AC8EE">
            <w:pPr>
              <w:widowControl/>
              <w:jc w:val="left"/>
              <w:rPr>
                <w:rFonts w:ascii="宋体" w:hAnsi="宋体"/>
                <w:color w:val="auto"/>
                <w:sz w:val="28"/>
                <w:szCs w:val="28"/>
                <w:highlight w:val="none"/>
              </w:rPr>
            </w:pPr>
          </w:p>
        </w:tc>
        <w:tc>
          <w:tcPr>
            <w:tcW w:w="1418" w:type="dxa"/>
            <w:tcBorders>
              <w:left w:val="nil"/>
            </w:tcBorders>
            <w:vAlign w:val="center"/>
          </w:tcPr>
          <w:p w14:paraId="5586C498">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715C5C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4018978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4E66C1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DF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66429F51">
            <w:pPr>
              <w:widowControl/>
              <w:jc w:val="left"/>
              <w:rPr>
                <w:rFonts w:ascii="宋体" w:hAnsi="宋体"/>
                <w:color w:val="auto"/>
                <w:sz w:val="28"/>
                <w:szCs w:val="28"/>
                <w:highlight w:val="none"/>
              </w:rPr>
            </w:pPr>
          </w:p>
        </w:tc>
        <w:tc>
          <w:tcPr>
            <w:tcW w:w="1418" w:type="dxa"/>
            <w:tcBorders>
              <w:left w:val="nil"/>
            </w:tcBorders>
            <w:vAlign w:val="center"/>
          </w:tcPr>
          <w:p w14:paraId="1F00AAAD">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77F71F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ADCF76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9D3B56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0C7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32E15A7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其他人员</w:t>
            </w:r>
          </w:p>
        </w:tc>
        <w:tc>
          <w:tcPr>
            <w:tcW w:w="1418" w:type="dxa"/>
            <w:tcBorders>
              <w:left w:val="nil"/>
            </w:tcBorders>
            <w:vAlign w:val="center"/>
          </w:tcPr>
          <w:p w14:paraId="4B8B55D9">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197C15C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5572469C">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2190B5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45F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690FB011">
            <w:pPr>
              <w:widowControl/>
              <w:jc w:val="left"/>
              <w:rPr>
                <w:rFonts w:ascii="宋体" w:hAnsi="宋体"/>
                <w:color w:val="auto"/>
                <w:sz w:val="28"/>
                <w:szCs w:val="28"/>
                <w:highlight w:val="none"/>
              </w:rPr>
            </w:pPr>
          </w:p>
        </w:tc>
        <w:tc>
          <w:tcPr>
            <w:tcW w:w="1418" w:type="dxa"/>
            <w:tcBorders>
              <w:left w:val="nil"/>
            </w:tcBorders>
            <w:vAlign w:val="center"/>
          </w:tcPr>
          <w:p w14:paraId="6C49111F">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9EE929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F21A3D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0E91335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0C4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296E1C1F">
            <w:pPr>
              <w:widowControl/>
              <w:jc w:val="left"/>
              <w:rPr>
                <w:rFonts w:ascii="宋体" w:hAnsi="宋体"/>
                <w:color w:val="auto"/>
                <w:sz w:val="28"/>
                <w:szCs w:val="28"/>
                <w:highlight w:val="none"/>
              </w:rPr>
            </w:pPr>
          </w:p>
        </w:tc>
        <w:tc>
          <w:tcPr>
            <w:tcW w:w="1418" w:type="dxa"/>
            <w:tcBorders>
              <w:left w:val="nil"/>
            </w:tcBorders>
            <w:vAlign w:val="center"/>
          </w:tcPr>
          <w:p w14:paraId="795128DF">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2BA471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671BEF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57A58A8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891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7A494DB9">
            <w:pPr>
              <w:widowControl/>
              <w:jc w:val="left"/>
              <w:rPr>
                <w:rFonts w:ascii="宋体" w:hAnsi="宋体"/>
                <w:color w:val="auto"/>
                <w:sz w:val="28"/>
                <w:szCs w:val="28"/>
                <w:highlight w:val="none"/>
              </w:rPr>
            </w:pPr>
          </w:p>
        </w:tc>
        <w:tc>
          <w:tcPr>
            <w:tcW w:w="1418" w:type="dxa"/>
            <w:tcBorders>
              <w:left w:val="nil"/>
            </w:tcBorders>
            <w:vAlign w:val="center"/>
          </w:tcPr>
          <w:p w14:paraId="228EC303">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408B1E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7545C22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6AAA8EB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BB6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60C81280">
            <w:pPr>
              <w:widowControl/>
              <w:jc w:val="left"/>
              <w:rPr>
                <w:rFonts w:ascii="宋体" w:hAnsi="宋体"/>
                <w:color w:val="auto"/>
                <w:sz w:val="28"/>
                <w:szCs w:val="28"/>
                <w:highlight w:val="none"/>
              </w:rPr>
            </w:pPr>
          </w:p>
        </w:tc>
        <w:tc>
          <w:tcPr>
            <w:tcW w:w="1418" w:type="dxa"/>
            <w:tcBorders>
              <w:left w:val="nil"/>
            </w:tcBorders>
            <w:vAlign w:val="center"/>
          </w:tcPr>
          <w:p w14:paraId="72DA8549">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8F254D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58A2CB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4BE1D0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04BB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1589EA04">
            <w:pPr>
              <w:widowControl/>
              <w:jc w:val="left"/>
              <w:rPr>
                <w:rFonts w:ascii="宋体" w:hAnsi="宋体"/>
                <w:color w:val="auto"/>
                <w:sz w:val="28"/>
                <w:szCs w:val="28"/>
                <w:highlight w:val="none"/>
              </w:rPr>
            </w:pPr>
          </w:p>
        </w:tc>
        <w:tc>
          <w:tcPr>
            <w:tcW w:w="1418" w:type="dxa"/>
            <w:tcBorders>
              <w:left w:val="nil"/>
            </w:tcBorders>
            <w:vAlign w:val="center"/>
          </w:tcPr>
          <w:p w14:paraId="5E323049">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93CF97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75757F93">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E84DC7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bl>
    <w:p w14:paraId="4C9E438A">
      <w:pPr>
        <w:rPr>
          <w:rFonts w:ascii="宋体" w:hAnsi="宋体"/>
          <w:color w:val="auto"/>
          <w:sz w:val="30"/>
          <w:szCs w:val="30"/>
          <w:highlight w:val="none"/>
        </w:rPr>
      </w:pPr>
      <w:r>
        <w:rPr>
          <w:rFonts w:hint="eastAsia" w:ascii="宋体" w:hAnsi="宋体"/>
          <w:color w:val="auto"/>
          <w:sz w:val="30"/>
          <w:szCs w:val="30"/>
          <w:highlight w:val="none"/>
        </w:rPr>
        <w:br w:type="page"/>
      </w:r>
    </w:p>
    <w:p w14:paraId="3BBC8BE8">
      <w:pPr>
        <w:spacing w:line="440" w:lineRule="exac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6</w:t>
      </w:r>
      <w:r>
        <w:rPr>
          <w:rFonts w:hint="eastAsia" w:ascii="宋体" w:hAnsi="宋体"/>
          <w:color w:val="auto"/>
          <w:sz w:val="30"/>
          <w:szCs w:val="30"/>
          <w:highlight w:val="none"/>
        </w:rPr>
        <w:t>：</w:t>
      </w:r>
    </w:p>
    <w:p w14:paraId="5B1D3A4A">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分包人主要施工管理人员表</w:t>
      </w:r>
    </w:p>
    <w:tbl>
      <w:tblPr>
        <w:tblStyle w:val="4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7C9E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E490B98">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名称</w:t>
            </w:r>
          </w:p>
        </w:tc>
        <w:tc>
          <w:tcPr>
            <w:tcW w:w="1418" w:type="dxa"/>
            <w:tcBorders>
              <w:left w:val="nil"/>
            </w:tcBorders>
            <w:vAlign w:val="center"/>
          </w:tcPr>
          <w:p w14:paraId="7EC78CD1">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姓名</w:t>
            </w:r>
          </w:p>
        </w:tc>
        <w:tc>
          <w:tcPr>
            <w:tcW w:w="1134" w:type="dxa"/>
            <w:tcBorders>
              <w:left w:val="nil"/>
            </w:tcBorders>
            <w:vAlign w:val="center"/>
          </w:tcPr>
          <w:p w14:paraId="7CF724D4">
            <w:pPr>
              <w:keepNext/>
              <w:adjustRightInd w:val="0"/>
              <w:spacing w:line="440" w:lineRule="exact"/>
              <w:ind w:left="63" w:leftChars="30"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职务</w:t>
            </w:r>
          </w:p>
        </w:tc>
        <w:tc>
          <w:tcPr>
            <w:tcW w:w="1134" w:type="dxa"/>
            <w:tcBorders>
              <w:left w:val="nil"/>
            </w:tcBorders>
            <w:vAlign w:val="center"/>
          </w:tcPr>
          <w:p w14:paraId="504A53E4">
            <w:pPr>
              <w:keepNext/>
              <w:adjustRightInd w:val="0"/>
              <w:spacing w:line="440" w:lineRule="exact"/>
              <w:ind w:left="63" w:leftChars="30"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职称</w:t>
            </w:r>
          </w:p>
        </w:tc>
        <w:tc>
          <w:tcPr>
            <w:tcW w:w="4252" w:type="dxa"/>
            <w:tcBorders>
              <w:left w:val="nil"/>
            </w:tcBorders>
            <w:vAlign w:val="center"/>
          </w:tcPr>
          <w:p w14:paraId="12C4EE52">
            <w:pPr>
              <w:keepNext/>
              <w:adjustRightInd w:val="0"/>
              <w:spacing w:line="440" w:lineRule="exact"/>
              <w:ind w:left="63" w:leftChars="30" w:right="63" w:rightChars="30"/>
              <w:jc w:val="center"/>
              <w:textAlignment w:val="baseline"/>
              <w:rPr>
                <w:rFonts w:ascii="宋体" w:hAnsi="宋体"/>
                <w:color w:val="auto"/>
                <w:sz w:val="30"/>
                <w:szCs w:val="30"/>
                <w:highlight w:val="none"/>
              </w:rPr>
            </w:pPr>
            <w:r>
              <w:rPr>
                <w:rFonts w:hint="eastAsia" w:ascii="宋体" w:hAnsi="宋体"/>
                <w:color w:val="auto"/>
                <w:sz w:val="30"/>
                <w:szCs w:val="30"/>
                <w:highlight w:val="none"/>
              </w:rPr>
              <w:t>主要资历、经验及承担过的项目</w:t>
            </w:r>
          </w:p>
        </w:tc>
      </w:tr>
      <w:tr w14:paraId="2FEE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013AFF4E">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一、总部人员</w:t>
            </w:r>
          </w:p>
        </w:tc>
      </w:tr>
      <w:tr w14:paraId="1327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7146F08">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项目主管</w:t>
            </w:r>
          </w:p>
        </w:tc>
        <w:tc>
          <w:tcPr>
            <w:tcW w:w="1418" w:type="dxa"/>
            <w:tcBorders>
              <w:left w:val="nil"/>
            </w:tcBorders>
            <w:vAlign w:val="center"/>
          </w:tcPr>
          <w:p w14:paraId="65E59920">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12DB792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1FAB95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0D8C04D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03C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6A8E4A5B">
            <w:pPr>
              <w:keepNext/>
              <w:adjustRightInd w:val="0"/>
              <w:spacing w:after="60"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其他人员</w:t>
            </w:r>
          </w:p>
        </w:tc>
        <w:tc>
          <w:tcPr>
            <w:tcW w:w="1418" w:type="dxa"/>
            <w:tcBorders>
              <w:left w:val="nil"/>
            </w:tcBorders>
            <w:vAlign w:val="center"/>
          </w:tcPr>
          <w:p w14:paraId="0845236D">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2535341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74C6D8D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9C2A5E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435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37B93BA3">
            <w:pPr>
              <w:widowControl/>
              <w:jc w:val="left"/>
              <w:rPr>
                <w:rFonts w:ascii="宋体" w:hAnsi="宋体"/>
                <w:color w:val="auto"/>
                <w:sz w:val="28"/>
                <w:szCs w:val="28"/>
                <w:highlight w:val="none"/>
              </w:rPr>
            </w:pPr>
          </w:p>
        </w:tc>
        <w:tc>
          <w:tcPr>
            <w:tcW w:w="1418" w:type="dxa"/>
            <w:tcBorders>
              <w:left w:val="nil"/>
            </w:tcBorders>
            <w:vAlign w:val="center"/>
          </w:tcPr>
          <w:p w14:paraId="08C84129">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5D4F5F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E6485D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3A11CDC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07E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5991EF98">
            <w:pPr>
              <w:widowControl/>
              <w:jc w:val="left"/>
              <w:rPr>
                <w:rFonts w:ascii="宋体" w:hAnsi="宋体"/>
                <w:color w:val="auto"/>
                <w:sz w:val="28"/>
                <w:szCs w:val="28"/>
                <w:highlight w:val="none"/>
              </w:rPr>
            </w:pPr>
          </w:p>
        </w:tc>
        <w:tc>
          <w:tcPr>
            <w:tcW w:w="1418" w:type="dxa"/>
            <w:tcBorders>
              <w:left w:val="nil"/>
            </w:tcBorders>
            <w:vAlign w:val="center"/>
          </w:tcPr>
          <w:p w14:paraId="390231B5">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404A275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0C62C1C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3985EC1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8E7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5AB1E9A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二、现场人员</w:t>
            </w:r>
          </w:p>
        </w:tc>
      </w:tr>
      <w:tr w14:paraId="09A7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D0BF8B6">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项目经理</w:t>
            </w:r>
          </w:p>
        </w:tc>
        <w:tc>
          <w:tcPr>
            <w:tcW w:w="1418" w:type="dxa"/>
            <w:tcBorders>
              <w:left w:val="nil"/>
            </w:tcBorders>
            <w:vAlign w:val="center"/>
          </w:tcPr>
          <w:p w14:paraId="24A73472">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B2ED4F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088BC2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212C9D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FB1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A48E5A6">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项目副经理</w:t>
            </w:r>
          </w:p>
        </w:tc>
        <w:tc>
          <w:tcPr>
            <w:tcW w:w="1418" w:type="dxa"/>
            <w:tcBorders>
              <w:left w:val="nil"/>
            </w:tcBorders>
            <w:vAlign w:val="center"/>
          </w:tcPr>
          <w:p w14:paraId="07CF3992">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DDED8A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F2C769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B33F76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220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A00568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技术负责人</w:t>
            </w:r>
          </w:p>
        </w:tc>
        <w:tc>
          <w:tcPr>
            <w:tcW w:w="1418" w:type="dxa"/>
            <w:tcBorders>
              <w:left w:val="nil"/>
            </w:tcBorders>
            <w:vAlign w:val="center"/>
          </w:tcPr>
          <w:p w14:paraId="180EC4B0">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11451AF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0E4A4CA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DB5D23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F7F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EE2A182">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造价管理</w:t>
            </w:r>
          </w:p>
        </w:tc>
        <w:tc>
          <w:tcPr>
            <w:tcW w:w="1418" w:type="dxa"/>
            <w:tcBorders>
              <w:left w:val="nil"/>
            </w:tcBorders>
            <w:vAlign w:val="center"/>
          </w:tcPr>
          <w:p w14:paraId="3FEF36B1">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47775CF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052DFF7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1530C99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440D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F30A921">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质量管理</w:t>
            </w:r>
          </w:p>
        </w:tc>
        <w:tc>
          <w:tcPr>
            <w:tcW w:w="1418" w:type="dxa"/>
            <w:tcBorders>
              <w:left w:val="nil"/>
            </w:tcBorders>
            <w:vAlign w:val="center"/>
          </w:tcPr>
          <w:p w14:paraId="4096AB5E">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A681C1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9DF313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751F00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44D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F968324">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材料管理</w:t>
            </w:r>
          </w:p>
        </w:tc>
        <w:tc>
          <w:tcPr>
            <w:tcW w:w="1418" w:type="dxa"/>
            <w:tcBorders>
              <w:left w:val="nil"/>
            </w:tcBorders>
            <w:vAlign w:val="center"/>
          </w:tcPr>
          <w:p w14:paraId="52EBF083">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89A6C3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508F85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A5912A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1DB6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C7364B5">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计划管理</w:t>
            </w:r>
          </w:p>
        </w:tc>
        <w:tc>
          <w:tcPr>
            <w:tcW w:w="1418" w:type="dxa"/>
            <w:tcBorders>
              <w:left w:val="nil"/>
            </w:tcBorders>
            <w:vAlign w:val="center"/>
          </w:tcPr>
          <w:p w14:paraId="5C15FEB6">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65D6E73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4545F57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310D6C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0E99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989C34D">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安全管理</w:t>
            </w:r>
          </w:p>
        </w:tc>
        <w:tc>
          <w:tcPr>
            <w:tcW w:w="1418" w:type="dxa"/>
            <w:tcBorders>
              <w:left w:val="nil"/>
            </w:tcBorders>
            <w:vAlign w:val="center"/>
          </w:tcPr>
          <w:p w14:paraId="1F962C66">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534DB1D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1FB3CC91">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D08C4C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372B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tcBorders>
              <w:top w:val="nil"/>
            </w:tcBorders>
            <w:vAlign w:val="center"/>
          </w:tcPr>
          <w:p w14:paraId="0182AC42">
            <w:pPr>
              <w:keepNext/>
              <w:adjustRightInd w:val="0"/>
              <w:spacing w:line="440" w:lineRule="exact"/>
              <w:ind w:left="63" w:leftChars="30" w:right="63" w:rightChars="30"/>
              <w:jc w:val="center"/>
              <w:textAlignment w:val="baseline"/>
              <w:rPr>
                <w:rFonts w:ascii="宋体" w:hAnsi="宋体"/>
                <w:color w:val="auto"/>
                <w:sz w:val="28"/>
                <w:szCs w:val="28"/>
                <w:highlight w:val="none"/>
              </w:rPr>
            </w:pPr>
            <w:r>
              <w:rPr>
                <w:rFonts w:hint="eastAsia" w:ascii="宋体" w:hAnsi="宋体"/>
                <w:color w:val="auto"/>
                <w:sz w:val="28"/>
                <w:szCs w:val="28"/>
                <w:highlight w:val="none"/>
              </w:rPr>
              <w:t>其他人员</w:t>
            </w:r>
          </w:p>
        </w:tc>
        <w:tc>
          <w:tcPr>
            <w:tcW w:w="1418" w:type="dxa"/>
            <w:tcBorders>
              <w:left w:val="nil"/>
            </w:tcBorders>
            <w:vAlign w:val="center"/>
          </w:tcPr>
          <w:p w14:paraId="662FC622">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BD7C7B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4040760">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25D1B5F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3A9B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4F8B1B0C">
            <w:pPr>
              <w:widowControl/>
              <w:jc w:val="left"/>
              <w:rPr>
                <w:rFonts w:ascii="宋体" w:hAnsi="宋体"/>
                <w:color w:val="auto"/>
                <w:sz w:val="28"/>
                <w:szCs w:val="28"/>
                <w:highlight w:val="none"/>
              </w:rPr>
            </w:pPr>
          </w:p>
        </w:tc>
        <w:tc>
          <w:tcPr>
            <w:tcW w:w="1418" w:type="dxa"/>
            <w:tcBorders>
              <w:left w:val="nil"/>
            </w:tcBorders>
            <w:vAlign w:val="center"/>
          </w:tcPr>
          <w:p w14:paraId="01569BC8">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2201226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686D1AA6">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044066C2">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5197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5C0D9026">
            <w:pPr>
              <w:widowControl/>
              <w:jc w:val="left"/>
              <w:rPr>
                <w:rFonts w:ascii="宋体" w:hAnsi="宋体"/>
                <w:color w:val="auto"/>
                <w:sz w:val="28"/>
                <w:szCs w:val="28"/>
                <w:highlight w:val="none"/>
              </w:rPr>
            </w:pPr>
          </w:p>
        </w:tc>
        <w:tc>
          <w:tcPr>
            <w:tcW w:w="1418" w:type="dxa"/>
            <w:tcBorders>
              <w:left w:val="nil"/>
            </w:tcBorders>
            <w:vAlign w:val="center"/>
          </w:tcPr>
          <w:p w14:paraId="5F63A014">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403D3AFE">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2ADE388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79378E5A">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7F79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1B068C41">
            <w:pPr>
              <w:widowControl/>
              <w:jc w:val="left"/>
              <w:rPr>
                <w:rFonts w:ascii="宋体" w:hAnsi="宋体"/>
                <w:color w:val="auto"/>
                <w:sz w:val="28"/>
                <w:szCs w:val="28"/>
                <w:highlight w:val="none"/>
              </w:rPr>
            </w:pPr>
          </w:p>
        </w:tc>
        <w:tc>
          <w:tcPr>
            <w:tcW w:w="1418" w:type="dxa"/>
            <w:tcBorders>
              <w:left w:val="nil"/>
            </w:tcBorders>
            <w:vAlign w:val="center"/>
          </w:tcPr>
          <w:p w14:paraId="1D764443">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776E5CF4">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0DD8647">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453023FB">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6340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3932A562">
            <w:pPr>
              <w:widowControl/>
              <w:jc w:val="left"/>
              <w:rPr>
                <w:rFonts w:ascii="宋体" w:hAnsi="宋体"/>
                <w:color w:val="auto"/>
                <w:sz w:val="28"/>
                <w:szCs w:val="28"/>
                <w:highlight w:val="none"/>
              </w:rPr>
            </w:pPr>
          </w:p>
        </w:tc>
        <w:tc>
          <w:tcPr>
            <w:tcW w:w="1418" w:type="dxa"/>
            <w:tcBorders>
              <w:left w:val="nil"/>
            </w:tcBorders>
            <w:vAlign w:val="center"/>
          </w:tcPr>
          <w:p w14:paraId="052DFDBC">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242331D8">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9B0E1AF">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5CC7A95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r w14:paraId="24D8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tcBorders>
              <w:top w:val="nil"/>
            </w:tcBorders>
            <w:vAlign w:val="center"/>
          </w:tcPr>
          <w:p w14:paraId="5FF52466">
            <w:pPr>
              <w:widowControl/>
              <w:jc w:val="left"/>
              <w:rPr>
                <w:rFonts w:ascii="宋体" w:hAnsi="宋体"/>
                <w:color w:val="auto"/>
                <w:sz w:val="28"/>
                <w:szCs w:val="28"/>
                <w:highlight w:val="none"/>
              </w:rPr>
            </w:pPr>
          </w:p>
        </w:tc>
        <w:tc>
          <w:tcPr>
            <w:tcW w:w="1418" w:type="dxa"/>
            <w:tcBorders>
              <w:left w:val="nil"/>
            </w:tcBorders>
            <w:vAlign w:val="center"/>
          </w:tcPr>
          <w:p w14:paraId="46F19DEF">
            <w:pPr>
              <w:keepNext/>
              <w:adjustRightInd w:val="0"/>
              <w:spacing w:line="440" w:lineRule="exact"/>
              <w:ind w:left="63" w:leftChars="30" w:right="63" w:rightChars="30"/>
              <w:jc w:val="center"/>
              <w:textAlignment w:val="baseline"/>
              <w:rPr>
                <w:rFonts w:ascii="宋体" w:hAnsi="宋体"/>
                <w:color w:val="auto"/>
                <w:sz w:val="28"/>
                <w:szCs w:val="28"/>
                <w:highlight w:val="none"/>
              </w:rPr>
            </w:pPr>
          </w:p>
        </w:tc>
        <w:tc>
          <w:tcPr>
            <w:tcW w:w="1134" w:type="dxa"/>
            <w:tcBorders>
              <w:left w:val="nil"/>
            </w:tcBorders>
            <w:vAlign w:val="center"/>
          </w:tcPr>
          <w:p w14:paraId="3CF8DD89">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1134" w:type="dxa"/>
            <w:tcBorders>
              <w:left w:val="nil"/>
            </w:tcBorders>
            <w:vAlign w:val="center"/>
          </w:tcPr>
          <w:p w14:paraId="388BA955">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c>
          <w:tcPr>
            <w:tcW w:w="4252" w:type="dxa"/>
            <w:tcBorders>
              <w:left w:val="nil"/>
            </w:tcBorders>
            <w:vAlign w:val="center"/>
          </w:tcPr>
          <w:p w14:paraId="51AFEBBD">
            <w:pPr>
              <w:keepNext/>
              <w:adjustRightInd w:val="0"/>
              <w:spacing w:line="440" w:lineRule="exact"/>
              <w:ind w:left="63" w:leftChars="30" w:right="63" w:rightChars="30"/>
              <w:jc w:val="center"/>
              <w:textAlignment w:val="baseline"/>
              <w:rPr>
                <w:rFonts w:ascii="宋体" w:hAnsi="宋体"/>
                <w:color w:val="auto"/>
                <w:sz w:val="30"/>
                <w:szCs w:val="30"/>
                <w:highlight w:val="none"/>
              </w:rPr>
            </w:pPr>
          </w:p>
        </w:tc>
      </w:tr>
    </w:tbl>
    <w:p w14:paraId="300B2643">
      <w:pPr>
        <w:rPr>
          <w:rFonts w:ascii="宋体" w:hAnsi="宋体"/>
          <w:color w:val="auto"/>
          <w:sz w:val="30"/>
          <w:szCs w:val="30"/>
          <w:highlight w:val="none"/>
        </w:rPr>
      </w:pPr>
      <w:r>
        <w:rPr>
          <w:rFonts w:hint="eastAsia" w:ascii="宋体" w:hAnsi="宋体"/>
          <w:color w:val="auto"/>
          <w:sz w:val="30"/>
          <w:szCs w:val="30"/>
          <w:highlight w:val="none"/>
        </w:rPr>
        <w:br w:type="page"/>
      </w:r>
    </w:p>
    <w:p w14:paraId="20FFF53B">
      <w:pPr>
        <w:spacing w:line="440" w:lineRule="exac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7</w:t>
      </w:r>
      <w:r>
        <w:rPr>
          <w:rFonts w:hint="eastAsia" w:ascii="宋体" w:hAnsi="宋体"/>
          <w:color w:val="auto"/>
          <w:sz w:val="30"/>
          <w:szCs w:val="30"/>
          <w:highlight w:val="none"/>
        </w:rPr>
        <w:t>：</w:t>
      </w:r>
    </w:p>
    <w:p w14:paraId="29CBD539">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履约担保</w:t>
      </w:r>
    </w:p>
    <w:p w14:paraId="6341EBD0">
      <w:pPr>
        <w:spacing w:line="360" w:lineRule="auto"/>
        <w:rPr>
          <w:rFonts w:ascii="宋体" w:hAnsi="宋体"/>
          <w:color w:val="auto"/>
          <w:highlight w:val="none"/>
          <w:u w:val="single"/>
        </w:rPr>
      </w:pPr>
    </w:p>
    <w:p w14:paraId="798E2413">
      <w:pPr>
        <w:spacing w:line="360" w:lineRule="auto"/>
        <w:rPr>
          <w:rFonts w:ascii="宋体" w:hAnsi="宋体"/>
          <w:color w:val="auto"/>
          <w:highlight w:val="none"/>
        </w:rPr>
      </w:pPr>
      <w:r>
        <w:rPr>
          <w:rFonts w:hint="eastAsia" w:ascii="宋体" w:hAnsi="宋体"/>
          <w:color w:val="auto"/>
          <w:highlight w:val="none"/>
        </w:rPr>
        <w:t>（发包人名称）：</w:t>
      </w:r>
    </w:p>
    <w:p w14:paraId="0707AA65">
      <w:pPr>
        <w:spacing w:line="360" w:lineRule="auto"/>
        <w:ind w:firstLine="420" w:firstLineChars="200"/>
        <w:rPr>
          <w:rFonts w:ascii="宋体" w:hAnsi="宋体"/>
          <w:color w:val="auto"/>
          <w:highlight w:val="none"/>
        </w:rPr>
      </w:pPr>
      <w:r>
        <w:rPr>
          <w:rFonts w:hint="eastAsia" w:ascii="宋体" w:hAnsi="宋体"/>
          <w:color w:val="auto"/>
          <w:highlight w:val="none"/>
        </w:rPr>
        <w:t>鉴于（发包人名称，以下简称“发包人”）已于年月日发放成交通知书，明确（承包人名称）（以下称“承包人”）于年月日为（工程名称）的成交人。我方愿意无条件地、不可撤销地就承包人履行与你方签订的合同，向你方提供连带责任担保。</w:t>
      </w:r>
    </w:p>
    <w:p w14:paraId="288CC278">
      <w:pPr>
        <w:spacing w:line="360" w:lineRule="auto"/>
        <w:ind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担保金额人民币（大写）元（</w:t>
      </w:r>
      <w:r>
        <w:rPr>
          <w:rFonts w:ascii="宋体" w:hAnsi="宋体"/>
          <w:color w:val="auto"/>
          <w:highlight w:val="none"/>
        </w:rPr>
        <w:t>¥</w:t>
      </w:r>
      <w:r>
        <w:rPr>
          <w:rFonts w:hint="eastAsia" w:ascii="宋体" w:hAnsi="宋体"/>
          <w:color w:val="auto"/>
          <w:highlight w:val="none"/>
        </w:rPr>
        <w:t>）。</w:t>
      </w:r>
    </w:p>
    <w:p w14:paraId="2537F42E">
      <w:pPr>
        <w:spacing w:line="360" w:lineRule="auto"/>
        <w:ind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担保有效期自你方与承包人签订的合同生效之日起至你方签发或应签发工程接收证书之日止。</w:t>
      </w:r>
    </w:p>
    <w:p w14:paraId="48368FE2">
      <w:pPr>
        <w:spacing w:line="360" w:lineRule="auto"/>
        <w:ind w:firstLine="420" w:firstLineChars="200"/>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在本担保有效期内，因承包人违反合同约定的义务给你方造成经济损失时，我方在收到你方以书面形式提出的在担保金额内的赔偿要求后，在</w:t>
      </w:r>
      <w:r>
        <w:rPr>
          <w:rFonts w:ascii="宋体" w:hAnsi="宋体"/>
          <w:color w:val="auto"/>
          <w:highlight w:val="none"/>
        </w:rPr>
        <w:t>7</w:t>
      </w:r>
      <w:r>
        <w:rPr>
          <w:rFonts w:hint="eastAsia" w:ascii="宋体" w:hAnsi="宋体"/>
          <w:color w:val="auto"/>
          <w:highlight w:val="none"/>
        </w:rPr>
        <w:t>天内无条件支付。</w:t>
      </w:r>
    </w:p>
    <w:p w14:paraId="5CE2BBED">
      <w:pPr>
        <w:spacing w:line="360" w:lineRule="auto"/>
        <w:ind w:firstLine="420" w:firstLineChars="200"/>
        <w:rPr>
          <w:rFonts w:ascii="宋体" w:hAnsi="宋体"/>
          <w:color w:val="auto"/>
          <w:highlight w:val="none"/>
        </w:rPr>
      </w:pPr>
      <w:r>
        <w:rPr>
          <w:rFonts w:ascii="宋体" w:hAnsi="宋体"/>
          <w:color w:val="auto"/>
          <w:highlight w:val="none"/>
        </w:rPr>
        <w:t xml:space="preserve">4. </w:t>
      </w:r>
      <w:r>
        <w:rPr>
          <w:rFonts w:hint="eastAsia" w:ascii="宋体" w:hAnsi="宋体"/>
          <w:color w:val="auto"/>
          <w:highlight w:val="none"/>
        </w:rPr>
        <w:t>你方和承包人按合同约定变更合同时，我方承担本担保规定的义务不变。</w:t>
      </w:r>
    </w:p>
    <w:p w14:paraId="3EE312FE">
      <w:pPr>
        <w:spacing w:line="360" w:lineRule="auto"/>
        <w:ind w:firstLine="420" w:firstLineChars="200"/>
        <w:rPr>
          <w:rFonts w:ascii="宋体" w:hAnsi="宋体"/>
          <w:color w:val="auto"/>
          <w:highlight w:val="none"/>
        </w:rPr>
      </w:pPr>
      <w:r>
        <w:rPr>
          <w:rFonts w:ascii="宋体" w:hAnsi="宋体"/>
          <w:color w:val="auto"/>
          <w:highlight w:val="none"/>
        </w:rPr>
        <w:t xml:space="preserve">5. </w:t>
      </w:r>
      <w:r>
        <w:rPr>
          <w:rFonts w:hint="eastAsia" w:ascii="宋体" w:hAnsi="宋体"/>
          <w:color w:val="auto"/>
          <w:highlight w:val="none"/>
        </w:rPr>
        <w:t>因本保函发生的纠纷，可由双方协商解决，协商不成的，任何一方均可提请仲裁委员会仲裁。</w:t>
      </w:r>
    </w:p>
    <w:p w14:paraId="4B015475">
      <w:pPr>
        <w:spacing w:line="360" w:lineRule="auto"/>
        <w:ind w:firstLine="420" w:firstLineChars="200"/>
        <w:rPr>
          <w:rFonts w:ascii="宋体" w:hAnsi="宋体"/>
          <w:color w:val="auto"/>
          <w:highlight w:val="none"/>
        </w:rPr>
      </w:pPr>
      <w:r>
        <w:rPr>
          <w:rFonts w:ascii="宋体" w:hAnsi="宋体"/>
          <w:color w:val="auto"/>
          <w:highlight w:val="none"/>
        </w:rPr>
        <w:t xml:space="preserve">6. </w:t>
      </w:r>
      <w:r>
        <w:rPr>
          <w:rFonts w:hint="eastAsia" w:ascii="宋体" w:hAnsi="宋体"/>
          <w:color w:val="auto"/>
          <w:highlight w:val="none"/>
        </w:rPr>
        <w:t>本保函自我方法定代表人（或其授权代理人）签字并加盖公章之日起生效。</w:t>
      </w:r>
    </w:p>
    <w:p w14:paraId="63952BDF">
      <w:pPr>
        <w:spacing w:line="360" w:lineRule="auto"/>
        <w:rPr>
          <w:rFonts w:ascii="宋体" w:hAnsi="宋体"/>
          <w:color w:val="auto"/>
          <w:highlight w:val="none"/>
        </w:rPr>
      </w:pPr>
    </w:p>
    <w:p w14:paraId="05575E57">
      <w:pPr>
        <w:spacing w:line="360" w:lineRule="auto"/>
        <w:rPr>
          <w:rFonts w:ascii="宋体" w:hAnsi="宋体"/>
          <w:color w:val="auto"/>
          <w:highlight w:val="none"/>
        </w:rPr>
      </w:pPr>
      <w:r>
        <w:rPr>
          <w:rFonts w:hint="eastAsia" w:ascii="宋体" w:hAnsi="宋体"/>
          <w:color w:val="auto"/>
          <w:highlight w:val="none"/>
        </w:rPr>
        <w:t>担保人：（盖单位章）</w:t>
      </w:r>
    </w:p>
    <w:p w14:paraId="423648DA">
      <w:pPr>
        <w:spacing w:line="360" w:lineRule="auto"/>
        <w:rPr>
          <w:rFonts w:ascii="宋体" w:hAnsi="宋体"/>
          <w:color w:val="auto"/>
          <w:highlight w:val="none"/>
        </w:rPr>
      </w:pPr>
      <w:r>
        <w:rPr>
          <w:rFonts w:hint="eastAsia" w:ascii="宋体" w:hAnsi="宋体"/>
          <w:color w:val="auto"/>
          <w:highlight w:val="none"/>
        </w:rPr>
        <w:t>法定代表人或其委托代理人：（签字）</w:t>
      </w:r>
    </w:p>
    <w:p w14:paraId="1AEDEFB5">
      <w:pPr>
        <w:spacing w:line="360" w:lineRule="auto"/>
        <w:rPr>
          <w:rFonts w:ascii="宋体" w:hAnsi="宋体"/>
          <w:color w:val="auto"/>
          <w:highlight w:val="none"/>
        </w:rPr>
      </w:pPr>
      <w:r>
        <w:rPr>
          <w:rFonts w:hint="eastAsia" w:ascii="宋体" w:hAnsi="宋体"/>
          <w:color w:val="auto"/>
          <w:highlight w:val="none"/>
        </w:rPr>
        <w:t>地址：</w:t>
      </w:r>
    </w:p>
    <w:p w14:paraId="43C2902C">
      <w:pPr>
        <w:spacing w:line="360" w:lineRule="auto"/>
        <w:rPr>
          <w:rFonts w:ascii="宋体" w:hAnsi="宋体"/>
          <w:color w:val="auto"/>
          <w:highlight w:val="none"/>
        </w:rPr>
      </w:pPr>
      <w:r>
        <w:rPr>
          <w:rFonts w:hint="eastAsia" w:ascii="宋体" w:hAnsi="宋体"/>
          <w:color w:val="auto"/>
          <w:highlight w:val="none"/>
        </w:rPr>
        <w:t>邮政编码：</w:t>
      </w:r>
    </w:p>
    <w:p w14:paraId="08B87B01">
      <w:pPr>
        <w:spacing w:line="360" w:lineRule="auto"/>
        <w:rPr>
          <w:rFonts w:ascii="宋体" w:hAnsi="宋体"/>
          <w:color w:val="auto"/>
          <w:highlight w:val="none"/>
          <w:u w:val="single"/>
        </w:rPr>
      </w:pPr>
      <w:r>
        <w:rPr>
          <w:rFonts w:hint="eastAsia" w:ascii="宋体" w:hAnsi="宋体"/>
          <w:color w:val="auto"/>
          <w:highlight w:val="none"/>
        </w:rPr>
        <w:t>电话：</w:t>
      </w:r>
    </w:p>
    <w:p w14:paraId="2FA7567C">
      <w:pPr>
        <w:spacing w:line="360" w:lineRule="auto"/>
        <w:rPr>
          <w:rFonts w:ascii="宋体" w:hAnsi="宋体"/>
          <w:color w:val="auto"/>
          <w:highlight w:val="none"/>
        </w:rPr>
      </w:pPr>
      <w:r>
        <w:rPr>
          <w:rFonts w:hint="eastAsia" w:ascii="宋体" w:hAnsi="宋体"/>
          <w:color w:val="auto"/>
          <w:highlight w:val="none"/>
        </w:rPr>
        <w:t>传真：</w:t>
      </w:r>
    </w:p>
    <w:p w14:paraId="67F4C170">
      <w:pPr>
        <w:spacing w:line="360" w:lineRule="auto"/>
        <w:jc w:val="left"/>
        <w:rPr>
          <w:rFonts w:ascii="宋体" w:hAnsi="宋体"/>
          <w:color w:val="auto"/>
          <w:highlight w:val="none"/>
          <w:u w:val="single"/>
        </w:rPr>
      </w:pPr>
    </w:p>
    <w:p w14:paraId="6556F698">
      <w:pPr>
        <w:spacing w:line="360" w:lineRule="auto"/>
        <w:ind w:left="1329" w:hanging="1329" w:hangingChars="633"/>
        <w:rPr>
          <w:rFonts w:ascii="宋体" w:hAnsi="宋体"/>
          <w:color w:val="auto"/>
          <w:highlight w:val="none"/>
        </w:rPr>
      </w:pPr>
      <w:r>
        <w:rPr>
          <w:rFonts w:hint="eastAsia" w:ascii="宋体" w:hAnsi="宋体"/>
          <w:color w:val="auto"/>
          <w:highlight w:val="none"/>
        </w:rPr>
        <w:t>年月日</w:t>
      </w:r>
    </w:p>
    <w:p w14:paraId="51D918A6">
      <w:pPr>
        <w:spacing w:line="360" w:lineRule="auto"/>
        <w:ind w:left="1329" w:hanging="1329" w:hangingChars="633"/>
        <w:rPr>
          <w:rFonts w:ascii="宋体" w:hAnsi="宋体"/>
          <w:color w:val="auto"/>
          <w:highlight w:val="none"/>
        </w:rPr>
      </w:pPr>
    </w:p>
    <w:p w14:paraId="0A0F246D">
      <w:pPr>
        <w:spacing w:line="360" w:lineRule="auto"/>
        <w:ind w:right="150" w:firstLine="420" w:firstLineChars="200"/>
        <w:jc w:val="left"/>
        <w:rPr>
          <w:rFonts w:ascii="宋体" w:hAnsi="宋体" w:cs="宋体"/>
          <w:color w:val="auto"/>
          <w:highlight w:val="none"/>
        </w:rPr>
      </w:pPr>
      <w:r>
        <w:rPr>
          <w:rFonts w:hint="eastAsia" w:ascii="宋体" w:hAnsi="宋体"/>
          <w:color w:val="auto"/>
          <w:highlight w:val="none"/>
        </w:rPr>
        <w:t>（备注</w:t>
      </w:r>
      <w:r>
        <w:rPr>
          <w:rFonts w:hint="eastAsia" w:ascii="宋体" w:hAnsi="宋体" w:cs="宋体"/>
          <w:color w:val="auto"/>
          <w:highlight w:val="none"/>
        </w:rPr>
        <w:t>：</w:t>
      </w:r>
      <w:r>
        <w:rPr>
          <w:rFonts w:hint="eastAsia" w:ascii="宋体" w:hAnsi="宋体"/>
          <w:color w:val="auto"/>
          <w:highlight w:val="none"/>
        </w:rPr>
        <w:t>银行、保险公司和担保公司出具的保函格式和文本可</w:t>
      </w:r>
      <w:r>
        <w:rPr>
          <w:rFonts w:hint="eastAsia" w:ascii="宋体" w:hAnsi="宋体" w:cs="宋体"/>
          <w:color w:val="auto"/>
          <w:highlight w:val="none"/>
        </w:rPr>
        <w:t>以自拟，</w:t>
      </w:r>
      <w:r>
        <w:rPr>
          <w:rFonts w:hint="eastAsia" w:ascii="宋体" w:hAnsi="宋体"/>
          <w:color w:val="auto"/>
          <w:highlight w:val="none"/>
        </w:rPr>
        <w:t>但是必须包含以上条款所列全部内容</w:t>
      </w:r>
      <w:r>
        <w:rPr>
          <w:rFonts w:hint="eastAsia" w:ascii="宋体" w:hAnsi="宋体" w:cs="宋体"/>
          <w:color w:val="auto"/>
          <w:highlight w:val="none"/>
        </w:rPr>
        <w:t>）</w:t>
      </w:r>
    </w:p>
    <w:p w14:paraId="2D11DB50">
      <w:pPr>
        <w:rPr>
          <w:rFonts w:ascii="宋体" w:hAnsi="宋体"/>
          <w:color w:val="auto"/>
          <w:sz w:val="30"/>
          <w:szCs w:val="30"/>
          <w:highlight w:val="none"/>
        </w:rPr>
      </w:pPr>
      <w:r>
        <w:rPr>
          <w:rFonts w:hint="eastAsia" w:ascii="宋体" w:hAnsi="宋体"/>
          <w:color w:val="auto"/>
          <w:sz w:val="30"/>
          <w:szCs w:val="30"/>
          <w:highlight w:val="none"/>
        </w:rPr>
        <w:br w:type="page"/>
      </w:r>
    </w:p>
    <w:p w14:paraId="07DAEF45">
      <w:pPr>
        <w:spacing w:line="360" w:lineRule="auto"/>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8</w:t>
      </w:r>
      <w:r>
        <w:rPr>
          <w:rFonts w:hint="eastAsia" w:ascii="宋体" w:hAnsi="宋体"/>
          <w:color w:val="auto"/>
          <w:sz w:val="30"/>
          <w:szCs w:val="30"/>
          <w:highlight w:val="none"/>
        </w:rPr>
        <w:t>：</w:t>
      </w:r>
    </w:p>
    <w:p w14:paraId="6E688A8F">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预付款担保</w:t>
      </w:r>
    </w:p>
    <w:p w14:paraId="315BEE47">
      <w:pPr>
        <w:spacing w:line="360" w:lineRule="auto"/>
        <w:rPr>
          <w:rFonts w:ascii="宋体" w:hAnsi="宋体"/>
          <w:color w:val="auto"/>
          <w:highlight w:val="none"/>
        </w:rPr>
      </w:pPr>
      <w:r>
        <w:rPr>
          <w:rFonts w:hint="eastAsia" w:ascii="宋体" w:hAnsi="宋体"/>
          <w:color w:val="auto"/>
          <w:highlight w:val="none"/>
        </w:rPr>
        <w:t>（发包人名称）：</w:t>
      </w:r>
    </w:p>
    <w:p w14:paraId="71B92985">
      <w:pPr>
        <w:spacing w:line="360" w:lineRule="auto"/>
        <w:ind w:firstLine="420" w:firstLineChars="200"/>
        <w:rPr>
          <w:rFonts w:ascii="宋体" w:hAnsi="宋体"/>
          <w:color w:val="auto"/>
          <w:highlight w:val="none"/>
        </w:rPr>
      </w:pPr>
      <w:r>
        <w:rPr>
          <w:rFonts w:hint="eastAsia" w:ascii="宋体" w:hAnsi="宋体"/>
          <w:color w:val="auto"/>
          <w:highlight w:val="none"/>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14:paraId="044B6F74">
      <w:pPr>
        <w:spacing w:line="360" w:lineRule="auto"/>
        <w:ind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担保金额人民币（大写）元（</w:t>
      </w:r>
      <w:r>
        <w:rPr>
          <w:rFonts w:ascii="宋体" w:hAnsi="宋体"/>
          <w:color w:val="auto"/>
          <w:highlight w:val="none"/>
        </w:rPr>
        <w:t>¥</w:t>
      </w:r>
      <w:r>
        <w:rPr>
          <w:rFonts w:hint="eastAsia" w:ascii="宋体" w:hAnsi="宋体"/>
          <w:color w:val="auto"/>
          <w:highlight w:val="none"/>
        </w:rPr>
        <w:t>）。</w:t>
      </w:r>
    </w:p>
    <w:p w14:paraId="3F2C0023">
      <w:pPr>
        <w:spacing w:line="360" w:lineRule="auto"/>
        <w:ind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担保有效期自预付款支付给承包人起生效，至你方签发的进度款支付证书说明已完全扣清止。</w:t>
      </w:r>
    </w:p>
    <w:p w14:paraId="6CCF1189">
      <w:pPr>
        <w:spacing w:line="360" w:lineRule="auto"/>
        <w:ind w:firstLine="420" w:firstLineChars="200"/>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A3C1D7D">
      <w:pPr>
        <w:spacing w:line="360" w:lineRule="auto"/>
        <w:ind w:firstLine="420" w:firstLineChars="200"/>
        <w:rPr>
          <w:rFonts w:ascii="宋体" w:hAnsi="宋体"/>
          <w:color w:val="auto"/>
          <w:highlight w:val="none"/>
        </w:rPr>
      </w:pPr>
      <w:r>
        <w:rPr>
          <w:rFonts w:ascii="宋体" w:hAnsi="宋体"/>
          <w:color w:val="auto"/>
          <w:highlight w:val="none"/>
        </w:rPr>
        <w:t xml:space="preserve">4. </w:t>
      </w:r>
      <w:r>
        <w:rPr>
          <w:rFonts w:hint="eastAsia" w:ascii="宋体" w:hAnsi="宋体"/>
          <w:color w:val="auto"/>
          <w:highlight w:val="none"/>
        </w:rPr>
        <w:t>你方和承包人按合同约定变更合同时，我方承担本保函规定的义务不变。</w:t>
      </w:r>
    </w:p>
    <w:p w14:paraId="05429664">
      <w:pPr>
        <w:spacing w:line="360" w:lineRule="auto"/>
        <w:ind w:firstLine="420" w:firstLineChars="200"/>
        <w:rPr>
          <w:rFonts w:ascii="宋体" w:hAnsi="宋体"/>
          <w:color w:val="auto"/>
          <w:highlight w:val="none"/>
        </w:rPr>
      </w:pPr>
      <w:r>
        <w:rPr>
          <w:rFonts w:ascii="宋体" w:hAnsi="宋体"/>
          <w:color w:val="auto"/>
          <w:highlight w:val="none"/>
        </w:rPr>
        <w:t xml:space="preserve">5. </w:t>
      </w:r>
      <w:r>
        <w:rPr>
          <w:rFonts w:hint="eastAsia" w:ascii="宋体" w:hAnsi="宋体"/>
          <w:color w:val="auto"/>
          <w:highlight w:val="none"/>
        </w:rPr>
        <w:t>因本保函发生的纠纷，可由双方协商解决，协商不成的，任何一方均可提请仲裁委员会仲裁。</w:t>
      </w:r>
    </w:p>
    <w:p w14:paraId="21EC83FE">
      <w:pPr>
        <w:spacing w:line="360" w:lineRule="auto"/>
        <w:ind w:firstLine="420" w:firstLineChars="200"/>
        <w:jc w:val="left"/>
        <w:rPr>
          <w:rFonts w:ascii="宋体" w:hAnsi="宋体"/>
          <w:color w:val="auto"/>
          <w:highlight w:val="none"/>
        </w:rPr>
      </w:pPr>
      <w:r>
        <w:rPr>
          <w:rFonts w:ascii="宋体" w:hAnsi="宋体"/>
          <w:color w:val="auto"/>
          <w:highlight w:val="none"/>
        </w:rPr>
        <w:t xml:space="preserve">6. </w:t>
      </w:r>
      <w:r>
        <w:rPr>
          <w:rFonts w:hint="eastAsia" w:ascii="宋体" w:hAnsi="宋体"/>
          <w:color w:val="auto"/>
          <w:highlight w:val="none"/>
        </w:rPr>
        <w:t>本保函自我方法定代表人（或其授权代理人）签字并加盖公章之日起生效。</w:t>
      </w:r>
    </w:p>
    <w:p w14:paraId="0B271F8D">
      <w:pPr>
        <w:spacing w:line="360" w:lineRule="auto"/>
        <w:rPr>
          <w:rFonts w:ascii="宋体" w:hAnsi="宋体"/>
          <w:color w:val="auto"/>
          <w:highlight w:val="none"/>
        </w:rPr>
      </w:pPr>
    </w:p>
    <w:p w14:paraId="58C1718F">
      <w:pPr>
        <w:spacing w:line="360" w:lineRule="auto"/>
        <w:rPr>
          <w:rFonts w:ascii="宋体" w:hAnsi="宋体"/>
          <w:color w:val="auto"/>
          <w:highlight w:val="none"/>
        </w:rPr>
      </w:pPr>
      <w:r>
        <w:rPr>
          <w:rFonts w:hint="eastAsia" w:ascii="宋体" w:hAnsi="宋体"/>
          <w:color w:val="auto"/>
          <w:highlight w:val="none"/>
        </w:rPr>
        <w:t>担保人：（盖单位章）</w:t>
      </w:r>
    </w:p>
    <w:p w14:paraId="20D85654">
      <w:pPr>
        <w:spacing w:line="360" w:lineRule="auto"/>
        <w:rPr>
          <w:rFonts w:ascii="宋体" w:hAnsi="宋体"/>
          <w:color w:val="auto"/>
          <w:highlight w:val="none"/>
        </w:rPr>
      </w:pPr>
      <w:r>
        <w:rPr>
          <w:rFonts w:hint="eastAsia" w:ascii="宋体" w:hAnsi="宋体"/>
          <w:color w:val="auto"/>
          <w:highlight w:val="none"/>
        </w:rPr>
        <w:t>法定代表人或其委托代理人：（签字）</w:t>
      </w:r>
    </w:p>
    <w:p w14:paraId="74398AF5">
      <w:pPr>
        <w:spacing w:line="360" w:lineRule="auto"/>
        <w:rPr>
          <w:rFonts w:ascii="宋体" w:hAnsi="宋体"/>
          <w:color w:val="auto"/>
          <w:highlight w:val="none"/>
        </w:rPr>
      </w:pPr>
      <w:r>
        <w:rPr>
          <w:rFonts w:hint="eastAsia" w:ascii="宋体" w:hAnsi="宋体"/>
          <w:color w:val="auto"/>
          <w:highlight w:val="none"/>
        </w:rPr>
        <w:t>地址：</w:t>
      </w:r>
    </w:p>
    <w:p w14:paraId="1D5E2406">
      <w:pPr>
        <w:spacing w:line="360" w:lineRule="auto"/>
        <w:rPr>
          <w:rFonts w:ascii="宋体" w:hAnsi="宋体"/>
          <w:color w:val="auto"/>
          <w:highlight w:val="none"/>
          <w:u w:val="single"/>
        </w:rPr>
      </w:pPr>
      <w:r>
        <w:rPr>
          <w:rFonts w:hint="eastAsia" w:ascii="宋体" w:hAnsi="宋体"/>
          <w:color w:val="auto"/>
          <w:highlight w:val="none"/>
        </w:rPr>
        <w:t>邮政编码：</w:t>
      </w:r>
    </w:p>
    <w:p w14:paraId="77508897">
      <w:pPr>
        <w:spacing w:line="360" w:lineRule="auto"/>
        <w:rPr>
          <w:rFonts w:ascii="宋体" w:hAnsi="宋体"/>
          <w:color w:val="auto"/>
          <w:highlight w:val="none"/>
          <w:u w:val="single"/>
        </w:rPr>
      </w:pPr>
      <w:r>
        <w:rPr>
          <w:rFonts w:hint="eastAsia" w:ascii="宋体" w:hAnsi="宋体"/>
          <w:color w:val="auto"/>
          <w:highlight w:val="none"/>
        </w:rPr>
        <w:t>电话：</w:t>
      </w:r>
    </w:p>
    <w:p w14:paraId="0CDAAA1F">
      <w:pPr>
        <w:spacing w:line="360" w:lineRule="auto"/>
        <w:rPr>
          <w:rFonts w:ascii="宋体" w:hAnsi="宋体"/>
          <w:color w:val="auto"/>
          <w:highlight w:val="none"/>
          <w:u w:val="single"/>
        </w:rPr>
      </w:pPr>
      <w:r>
        <w:rPr>
          <w:rFonts w:hint="eastAsia" w:ascii="宋体" w:hAnsi="宋体"/>
          <w:color w:val="auto"/>
          <w:highlight w:val="none"/>
        </w:rPr>
        <w:t>传真：</w:t>
      </w:r>
    </w:p>
    <w:p w14:paraId="4DD466DE">
      <w:pPr>
        <w:spacing w:line="360" w:lineRule="auto"/>
        <w:rPr>
          <w:rFonts w:ascii="宋体" w:hAnsi="宋体"/>
          <w:color w:val="auto"/>
          <w:highlight w:val="none"/>
          <w:u w:val="single"/>
        </w:rPr>
      </w:pPr>
    </w:p>
    <w:p w14:paraId="39F36D78">
      <w:pPr>
        <w:spacing w:line="360" w:lineRule="auto"/>
        <w:rPr>
          <w:rFonts w:ascii="宋体" w:hAnsi="宋体"/>
          <w:color w:val="auto"/>
          <w:highlight w:val="none"/>
        </w:rPr>
      </w:pPr>
      <w:r>
        <w:rPr>
          <w:rFonts w:hint="eastAsia" w:ascii="宋体" w:hAnsi="宋体"/>
          <w:color w:val="auto"/>
          <w:highlight w:val="none"/>
        </w:rPr>
        <w:t>年月日</w:t>
      </w:r>
    </w:p>
    <w:p w14:paraId="30C05E6E">
      <w:pPr>
        <w:spacing w:line="360" w:lineRule="auto"/>
        <w:ind w:right="150" w:firstLine="420" w:firstLineChars="200"/>
        <w:jc w:val="left"/>
        <w:rPr>
          <w:rFonts w:ascii="宋体" w:hAnsi="宋体" w:cs="宋体"/>
          <w:color w:val="auto"/>
          <w:highlight w:val="none"/>
        </w:rPr>
      </w:pPr>
      <w:r>
        <w:rPr>
          <w:rFonts w:hint="eastAsia" w:ascii="宋体" w:hAnsi="宋体"/>
          <w:color w:val="auto"/>
          <w:highlight w:val="none"/>
        </w:rPr>
        <w:t>（备注</w:t>
      </w:r>
      <w:r>
        <w:rPr>
          <w:rFonts w:hint="eastAsia" w:ascii="宋体" w:hAnsi="宋体" w:cs="宋体"/>
          <w:color w:val="auto"/>
          <w:highlight w:val="none"/>
        </w:rPr>
        <w:t>：</w:t>
      </w:r>
      <w:r>
        <w:rPr>
          <w:rFonts w:hint="eastAsia" w:ascii="宋体" w:hAnsi="宋体"/>
          <w:color w:val="auto"/>
          <w:highlight w:val="none"/>
        </w:rPr>
        <w:t>银行、保险公司和担保公司出具的保函格式和文本可</w:t>
      </w:r>
      <w:r>
        <w:rPr>
          <w:rFonts w:hint="eastAsia" w:ascii="宋体" w:hAnsi="宋体" w:cs="宋体"/>
          <w:color w:val="auto"/>
          <w:highlight w:val="none"/>
        </w:rPr>
        <w:t>以自拟，</w:t>
      </w:r>
      <w:r>
        <w:rPr>
          <w:rFonts w:hint="eastAsia" w:ascii="宋体" w:hAnsi="宋体"/>
          <w:color w:val="auto"/>
          <w:highlight w:val="none"/>
        </w:rPr>
        <w:t>但是必须包含以上条款所列全部内容</w:t>
      </w:r>
      <w:r>
        <w:rPr>
          <w:rFonts w:hint="eastAsia" w:ascii="宋体" w:hAnsi="宋体" w:cs="宋体"/>
          <w:color w:val="auto"/>
          <w:highlight w:val="none"/>
        </w:rPr>
        <w:t>）</w:t>
      </w:r>
    </w:p>
    <w:p w14:paraId="61068CF1">
      <w:pPr>
        <w:rPr>
          <w:rFonts w:ascii="宋体" w:hAnsi="宋体"/>
          <w:color w:val="auto"/>
          <w:sz w:val="30"/>
          <w:szCs w:val="30"/>
          <w:highlight w:val="none"/>
        </w:rPr>
      </w:pPr>
      <w:r>
        <w:rPr>
          <w:rFonts w:hint="eastAsia" w:ascii="宋体" w:hAnsi="宋体"/>
          <w:color w:val="auto"/>
          <w:sz w:val="30"/>
          <w:szCs w:val="30"/>
          <w:highlight w:val="none"/>
        </w:rPr>
        <w:br w:type="page"/>
      </w:r>
    </w:p>
    <w:p w14:paraId="15AC8477">
      <w:pPr>
        <w:spacing w:line="440" w:lineRule="exact"/>
        <w:jc w:val="lef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9</w:t>
      </w:r>
      <w:r>
        <w:rPr>
          <w:rFonts w:hint="eastAsia" w:ascii="宋体" w:hAnsi="宋体"/>
          <w:color w:val="auto"/>
          <w:sz w:val="30"/>
          <w:szCs w:val="30"/>
          <w:highlight w:val="none"/>
        </w:rPr>
        <w:t>：</w:t>
      </w:r>
    </w:p>
    <w:p w14:paraId="5776D7A1">
      <w:pPr>
        <w:spacing w:beforeLines="50" w:afterLines="50" w:line="440" w:lineRule="exact"/>
        <w:jc w:val="center"/>
        <w:rPr>
          <w:rFonts w:ascii="宋体" w:hAnsi="宋体"/>
          <w:color w:val="auto"/>
          <w:sz w:val="30"/>
          <w:szCs w:val="30"/>
          <w:highlight w:val="none"/>
        </w:rPr>
      </w:pPr>
      <w:r>
        <w:rPr>
          <w:rFonts w:hint="eastAsia" w:ascii="宋体" w:hAnsi="宋体"/>
          <w:color w:val="auto"/>
          <w:sz w:val="30"/>
          <w:szCs w:val="30"/>
          <w:highlight w:val="none"/>
        </w:rPr>
        <w:t>支付担保</w:t>
      </w:r>
    </w:p>
    <w:p w14:paraId="2C816405">
      <w:pPr>
        <w:spacing w:line="360" w:lineRule="auto"/>
        <w:jc w:val="left"/>
        <w:rPr>
          <w:rFonts w:ascii="宋体" w:hAnsi="宋体"/>
          <w:color w:val="auto"/>
          <w:highlight w:val="none"/>
        </w:rPr>
      </w:pPr>
      <w:r>
        <w:rPr>
          <w:rFonts w:hint="eastAsia" w:ascii="宋体" w:hAnsi="宋体"/>
          <w:color w:val="auto"/>
          <w:highlight w:val="none"/>
        </w:rPr>
        <w:t>（承包人）：</w:t>
      </w:r>
    </w:p>
    <w:p w14:paraId="643D62F8">
      <w:pPr>
        <w:spacing w:line="360" w:lineRule="auto"/>
        <w:jc w:val="left"/>
        <w:rPr>
          <w:rFonts w:ascii="宋体" w:hAnsi="宋体"/>
          <w:color w:val="auto"/>
          <w:highlight w:val="none"/>
        </w:rPr>
      </w:pPr>
    </w:p>
    <w:p w14:paraId="694197B5">
      <w:pPr>
        <w:spacing w:line="360" w:lineRule="auto"/>
        <w:ind w:firstLine="420" w:firstLineChars="200"/>
        <w:jc w:val="left"/>
        <w:rPr>
          <w:rFonts w:ascii="宋体" w:hAnsi="宋体"/>
          <w:color w:val="auto"/>
          <w:highlight w:val="none"/>
        </w:rPr>
      </w:pPr>
      <w:r>
        <w:rPr>
          <w:rFonts w:hint="eastAsia" w:ascii="宋体" w:hAnsi="宋体"/>
          <w:color w:val="auto"/>
          <w:highlight w:val="none"/>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14:paraId="79A957D1">
      <w:pPr>
        <w:spacing w:line="360" w:lineRule="auto"/>
        <w:ind w:firstLine="420" w:firstLineChars="200"/>
        <w:jc w:val="left"/>
        <w:rPr>
          <w:rFonts w:ascii="宋体" w:hAnsi="宋体"/>
          <w:color w:val="auto"/>
          <w:highlight w:val="none"/>
        </w:rPr>
      </w:pPr>
      <w:r>
        <w:rPr>
          <w:rFonts w:hint="eastAsia" w:ascii="宋体" w:hAnsi="宋体"/>
          <w:color w:val="auto"/>
          <w:highlight w:val="none"/>
        </w:rPr>
        <w:t>一、保证的范围及保证金额</w:t>
      </w:r>
    </w:p>
    <w:p w14:paraId="4B42A5FB">
      <w:pPr>
        <w:spacing w:line="360" w:lineRule="auto"/>
        <w:ind w:firstLine="420" w:firstLineChars="200"/>
        <w:jc w:val="left"/>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我方的保证范围是主合同约定的工程款。</w:t>
      </w:r>
    </w:p>
    <w:p w14:paraId="43EC3B0A">
      <w:pPr>
        <w:spacing w:line="360" w:lineRule="auto"/>
        <w:ind w:firstLine="420" w:firstLineChars="200"/>
        <w:jc w:val="left"/>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本保函所称主合同约定的工程款是指主合同约定的除工程质量保证金以外的合同价款。</w:t>
      </w:r>
    </w:p>
    <w:p w14:paraId="2C535168">
      <w:pPr>
        <w:spacing w:line="360" w:lineRule="auto"/>
        <w:ind w:firstLine="420" w:firstLineChars="200"/>
        <w:jc w:val="left"/>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我方保证的金额是主合同约定的工程款的</w:t>
      </w:r>
      <w:r>
        <w:rPr>
          <w:rFonts w:ascii="宋体" w:hAnsi="宋体"/>
          <w:color w:val="auto"/>
          <w:highlight w:val="none"/>
        </w:rPr>
        <w:t>%</w:t>
      </w:r>
      <w:r>
        <w:rPr>
          <w:rFonts w:hint="eastAsia" w:ascii="宋体" w:hAnsi="宋体"/>
          <w:color w:val="auto"/>
          <w:highlight w:val="none"/>
        </w:rPr>
        <w:t>，数额最高不超过人民币元（大写：）。</w:t>
      </w:r>
    </w:p>
    <w:p w14:paraId="025489DE">
      <w:pPr>
        <w:spacing w:line="360" w:lineRule="auto"/>
        <w:ind w:firstLine="420" w:firstLineChars="200"/>
        <w:jc w:val="left"/>
        <w:rPr>
          <w:rFonts w:ascii="宋体" w:hAnsi="宋体"/>
          <w:color w:val="auto"/>
          <w:highlight w:val="none"/>
        </w:rPr>
      </w:pPr>
      <w:r>
        <w:rPr>
          <w:rFonts w:hint="eastAsia" w:ascii="宋体" w:hAnsi="宋体"/>
          <w:color w:val="auto"/>
          <w:highlight w:val="none"/>
        </w:rPr>
        <w:t>二、保证的方式及保证期间</w:t>
      </w:r>
    </w:p>
    <w:p w14:paraId="5B164D4F">
      <w:pPr>
        <w:spacing w:line="360" w:lineRule="auto"/>
        <w:ind w:firstLine="420" w:firstLineChars="200"/>
        <w:jc w:val="left"/>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我方保证的方式为：连带责任保证。</w:t>
      </w:r>
    </w:p>
    <w:p w14:paraId="6E506319">
      <w:pPr>
        <w:spacing w:line="360" w:lineRule="auto"/>
        <w:ind w:firstLine="420" w:firstLineChars="200"/>
        <w:jc w:val="left"/>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我方保证的期间为：自本合同生效之日起至主合同约定的工程款支付完毕之日后日内。</w:t>
      </w:r>
    </w:p>
    <w:p w14:paraId="35D1D4B9">
      <w:pPr>
        <w:spacing w:line="360" w:lineRule="auto"/>
        <w:ind w:firstLine="420" w:firstLineChars="200"/>
        <w:jc w:val="left"/>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你方与发包人协议变更工程款支付日期的，经我方书面同意后，保证期间按照变更后的支付日期做相应调整。</w:t>
      </w:r>
    </w:p>
    <w:p w14:paraId="0ACD98F3">
      <w:pPr>
        <w:spacing w:line="360" w:lineRule="auto"/>
        <w:ind w:firstLine="420" w:firstLineChars="200"/>
        <w:jc w:val="left"/>
        <w:rPr>
          <w:rFonts w:ascii="宋体" w:hAnsi="宋体"/>
          <w:color w:val="auto"/>
          <w:highlight w:val="none"/>
        </w:rPr>
      </w:pPr>
      <w:r>
        <w:rPr>
          <w:rFonts w:hint="eastAsia" w:ascii="宋体" w:hAnsi="宋体"/>
          <w:color w:val="auto"/>
          <w:highlight w:val="none"/>
        </w:rPr>
        <w:t>三、承担保证责任的形式</w:t>
      </w:r>
    </w:p>
    <w:p w14:paraId="50A0D0CF">
      <w:pPr>
        <w:spacing w:line="360" w:lineRule="auto"/>
        <w:ind w:firstLine="420" w:firstLineChars="200"/>
        <w:jc w:val="left"/>
        <w:rPr>
          <w:rFonts w:ascii="宋体" w:hAnsi="宋体"/>
          <w:color w:val="auto"/>
          <w:highlight w:val="none"/>
        </w:rPr>
      </w:pPr>
      <w:r>
        <w:rPr>
          <w:rFonts w:hint="eastAsia" w:ascii="宋体" w:hAnsi="宋体"/>
          <w:color w:val="auto"/>
          <w:highlight w:val="none"/>
        </w:rPr>
        <w:t>我方承担保证责任的形式是代为支付。发包人未按主合同约定向你方支付工程款的，由我方在保证金额内代为支付。</w:t>
      </w:r>
    </w:p>
    <w:p w14:paraId="5327E78A">
      <w:pPr>
        <w:spacing w:line="360" w:lineRule="auto"/>
        <w:ind w:firstLine="420" w:firstLineChars="200"/>
        <w:jc w:val="left"/>
        <w:rPr>
          <w:rFonts w:ascii="宋体" w:hAnsi="宋体"/>
          <w:color w:val="auto"/>
          <w:highlight w:val="none"/>
        </w:rPr>
      </w:pPr>
      <w:r>
        <w:rPr>
          <w:rFonts w:hint="eastAsia" w:ascii="宋体" w:hAnsi="宋体"/>
          <w:color w:val="auto"/>
          <w:highlight w:val="none"/>
        </w:rPr>
        <w:t>四、代偿的安排</w:t>
      </w:r>
    </w:p>
    <w:p w14:paraId="73BFB265">
      <w:pPr>
        <w:spacing w:line="360" w:lineRule="auto"/>
        <w:ind w:firstLine="420" w:firstLineChars="200"/>
        <w:jc w:val="left"/>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你方要求我方承担保证责任的，应向我方发出书面索赔通知及发包人未支付主合同约定工程款的证明材料。索赔通知应写明要求索赔的金额，支付款项应到达的账号。</w:t>
      </w:r>
    </w:p>
    <w:p w14:paraId="646825F7">
      <w:pPr>
        <w:spacing w:line="360" w:lineRule="auto"/>
        <w:ind w:firstLine="420" w:firstLineChars="200"/>
        <w:jc w:val="left"/>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在出现你方与发包人因工程质量发生争议，发包人拒绝向你方支付工程款的情形时，你方要求我方履行保证责任代为支付的，需提供符合相应条件要求的工程质量检测机构出具的质量说明材料。</w:t>
      </w:r>
    </w:p>
    <w:p w14:paraId="5CFD9675">
      <w:pPr>
        <w:spacing w:line="360" w:lineRule="auto"/>
        <w:ind w:firstLine="420" w:firstLineChars="200"/>
        <w:jc w:val="left"/>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我方收到你方的书面索赔通知及相应的证明材料后７天内无条件支付。</w:t>
      </w:r>
    </w:p>
    <w:p w14:paraId="0E3073F2">
      <w:pPr>
        <w:spacing w:line="360" w:lineRule="auto"/>
        <w:ind w:firstLine="420" w:firstLineChars="200"/>
        <w:jc w:val="left"/>
        <w:rPr>
          <w:rFonts w:ascii="宋体" w:hAnsi="宋体"/>
          <w:color w:val="auto"/>
          <w:highlight w:val="none"/>
        </w:rPr>
      </w:pPr>
      <w:r>
        <w:rPr>
          <w:rFonts w:hint="eastAsia" w:ascii="宋体" w:hAnsi="宋体"/>
          <w:color w:val="auto"/>
          <w:highlight w:val="none"/>
        </w:rPr>
        <w:t>五、保证责任的解除</w:t>
      </w:r>
    </w:p>
    <w:p w14:paraId="5CA29FDE">
      <w:pPr>
        <w:spacing w:line="360" w:lineRule="auto"/>
        <w:ind w:firstLine="420" w:firstLineChars="200"/>
        <w:jc w:val="left"/>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在本保函承诺的保证期间内，你方未书面向我方主张保证责任的，自保证期间届满次日起，我方保证责任解除。</w:t>
      </w:r>
    </w:p>
    <w:p w14:paraId="7F7CD4D5">
      <w:pPr>
        <w:spacing w:line="360" w:lineRule="auto"/>
        <w:ind w:firstLine="420" w:firstLineChars="200"/>
        <w:jc w:val="left"/>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发包人按主合同约定履行了工程款的全部支付义务的，自本保函承诺的保证期间届满次日起，我方保证责任解除。</w:t>
      </w:r>
    </w:p>
    <w:p w14:paraId="3A6634B2">
      <w:pPr>
        <w:spacing w:line="360" w:lineRule="auto"/>
        <w:ind w:firstLine="420" w:firstLineChars="200"/>
        <w:jc w:val="left"/>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我方按照本保函向你方履行保证责任所支付金额达到本保函保证金额时，自我方向你方支付（支付款项从我方账户划出）之日起，保证责任即解除。</w:t>
      </w:r>
    </w:p>
    <w:p w14:paraId="23A33325">
      <w:pPr>
        <w:spacing w:line="360" w:lineRule="auto"/>
        <w:ind w:firstLine="420" w:firstLineChars="200"/>
        <w:jc w:val="left"/>
        <w:rPr>
          <w:rFonts w:ascii="宋体" w:hAnsi="宋体"/>
          <w:color w:val="auto"/>
          <w:highlight w:val="none"/>
        </w:rPr>
      </w:pPr>
      <w:r>
        <w:rPr>
          <w:rFonts w:ascii="宋体" w:hAnsi="宋体"/>
          <w:color w:val="auto"/>
          <w:highlight w:val="none"/>
        </w:rPr>
        <w:t xml:space="preserve">4. </w:t>
      </w:r>
      <w:r>
        <w:rPr>
          <w:rFonts w:hint="eastAsia" w:ascii="宋体" w:hAnsi="宋体"/>
          <w:color w:val="auto"/>
          <w:highlight w:val="none"/>
        </w:rPr>
        <w:t>按照法律法规的规定或出现应解除我方保证责任的其他情形的，我方在本保函项下的保证责任亦解除。</w:t>
      </w:r>
    </w:p>
    <w:p w14:paraId="177AC83F">
      <w:pPr>
        <w:spacing w:line="360" w:lineRule="auto"/>
        <w:ind w:firstLine="420" w:firstLineChars="200"/>
        <w:jc w:val="left"/>
        <w:rPr>
          <w:rFonts w:ascii="宋体" w:hAnsi="宋体"/>
          <w:color w:val="auto"/>
          <w:highlight w:val="none"/>
        </w:rPr>
      </w:pPr>
      <w:r>
        <w:rPr>
          <w:rFonts w:ascii="宋体" w:hAnsi="宋体"/>
          <w:color w:val="auto"/>
          <w:highlight w:val="none"/>
        </w:rPr>
        <w:t xml:space="preserve">5. </w:t>
      </w:r>
      <w:r>
        <w:rPr>
          <w:rFonts w:hint="eastAsia" w:ascii="宋体" w:hAnsi="宋体"/>
          <w:color w:val="auto"/>
          <w:highlight w:val="none"/>
        </w:rPr>
        <w:t>我方解除保证责任后，你方应自我方保证责任解除之日起个工作日内，将本保函原件返还我方。</w:t>
      </w:r>
    </w:p>
    <w:p w14:paraId="4CC2BE1E">
      <w:pPr>
        <w:spacing w:line="360" w:lineRule="auto"/>
        <w:ind w:firstLine="420" w:firstLineChars="200"/>
        <w:jc w:val="left"/>
        <w:rPr>
          <w:rFonts w:ascii="宋体" w:hAnsi="宋体"/>
          <w:color w:val="auto"/>
          <w:highlight w:val="none"/>
        </w:rPr>
      </w:pPr>
      <w:r>
        <w:rPr>
          <w:rFonts w:hint="eastAsia" w:ascii="宋体" w:hAnsi="宋体"/>
          <w:color w:val="auto"/>
          <w:highlight w:val="none"/>
        </w:rPr>
        <w:t>六、免责条款</w:t>
      </w:r>
    </w:p>
    <w:p w14:paraId="5CB24707">
      <w:pPr>
        <w:spacing w:line="360" w:lineRule="auto"/>
        <w:ind w:firstLine="420" w:firstLineChars="200"/>
        <w:jc w:val="left"/>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因你方违约致使发包人不能履行义务的，我方不承担保证责任。</w:t>
      </w:r>
    </w:p>
    <w:p w14:paraId="1C45FCA7">
      <w:pPr>
        <w:spacing w:line="360" w:lineRule="auto"/>
        <w:ind w:firstLine="420" w:firstLineChars="200"/>
        <w:jc w:val="left"/>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依照法律法规的规定或你方与发包人的另行约定，免除发包人部分或全部义务的，我方亦免除其相应的保证责任。</w:t>
      </w:r>
    </w:p>
    <w:p w14:paraId="603C9AE6">
      <w:pPr>
        <w:spacing w:line="360" w:lineRule="auto"/>
        <w:ind w:firstLine="420" w:firstLineChars="200"/>
        <w:jc w:val="left"/>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你方与发包人协议变更主合同的，如加重发包人责任致使我方保证责任加重的，需征得我方书面同意，否则我方不再承担因此而加重部分的保证责任，但主合同第</w:t>
      </w:r>
      <w:r>
        <w:rPr>
          <w:rFonts w:ascii="宋体" w:hAnsi="宋体"/>
          <w:color w:val="auto"/>
          <w:highlight w:val="none"/>
        </w:rPr>
        <w:t>10</w:t>
      </w:r>
      <w:r>
        <w:rPr>
          <w:rFonts w:hint="eastAsia" w:ascii="宋体" w:hAnsi="宋体"/>
          <w:color w:val="auto"/>
          <w:highlight w:val="none"/>
        </w:rPr>
        <w:t>条〔变更〕约定的变更不受本款限制。</w:t>
      </w:r>
    </w:p>
    <w:p w14:paraId="1A28165A">
      <w:pPr>
        <w:spacing w:line="360" w:lineRule="auto"/>
        <w:ind w:firstLine="420" w:firstLineChars="200"/>
        <w:jc w:val="left"/>
        <w:rPr>
          <w:rFonts w:ascii="宋体" w:hAnsi="宋体"/>
          <w:color w:val="auto"/>
          <w:highlight w:val="none"/>
        </w:rPr>
      </w:pPr>
      <w:r>
        <w:rPr>
          <w:rFonts w:ascii="宋体" w:hAnsi="宋体"/>
          <w:color w:val="auto"/>
          <w:highlight w:val="none"/>
        </w:rPr>
        <w:t xml:space="preserve">4. </w:t>
      </w:r>
      <w:r>
        <w:rPr>
          <w:rFonts w:hint="eastAsia" w:ascii="宋体" w:hAnsi="宋体"/>
          <w:color w:val="auto"/>
          <w:highlight w:val="none"/>
        </w:rPr>
        <w:t>因不可抗力造成发包人不能履行义务的，我方不承担保证责任。</w:t>
      </w:r>
    </w:p>
    <w:p w14:paraId="3E601F1C">
      <w:pPr>
        <w:spacing w:line="360" w:lineRule="auto"/>
        <w:ind w:firstLine="420" w:firstLineChars="200"/>
        <w:jc w:val="left"/>
        <w:rPr>
          <w:rFonts w:ascii="宋体" w:hAnsi="宋体"/>
          <w:color w:val="auto"/>
          <w:highlight w:val="none"/>
        </w:rPr>
      </w:pPr>
      <w:r>
        <w:rPr>
          <w:rFonts w:hint="eastAsia" w:ascii="宋体" w:hAnsi="宋体"/>
          <w:color w:val="auto"/>
          <w:highlight w:val="none"/>
        </w:rPr>
        <w:t>七、争议解决</w:t>
      </w:r>
    </w:p>
    <w:p w14:paraId="1F845859">
      <w:pPr>
        <w:spacing w:line="360" w:lineRule="auto"/>
        <w:ind w:firstLine="420" w:firstLineChars="200"/>
        <w:rPr>
          <w:rFonts w:ascii="宋体" w:hAnsi="宋体"/>
          <w:color w:val="auto"/>
          <w:highlight w:val="none"/>
        </w:rPr>
      </w:pPr>
      <w:r>
        <w:rPr>
          <w:rFonts w:hint="eastAsia" w:ascii="宋体" w:hAnsi="宋体"/>
          <w:color w:val="auto"/>
          <w:highlight w:val="none"/>
        </w:rPr>
        <w:t>因本保函或本保函相关事项发生的纠纷，可由双方协商解决，协商不成的，按下列第种方式解决：</w:t>
      </w:r>
    </w:p>
    <w:p w14:paraId="05732DE8">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）向仲裁委员会申请仲裁；</w:t>
      </w:r>
    </w:p>
    <w:p w14:paraId="50BBD570">
      <w:pPr>
        <w:spacing w:line="360" w:lineRule="auto"/>
        <w:ind w:firstLine="420" w:firstLineChars="200"/>
        <w:jc w:val="left"/>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）向人民法院起诉。</w:t>
      </w:r>
    </w:p>
    <w:p w14:paraId="1AD437C5">
      <w:pPr>
        <w:spacing w:line="360" w:lineRule="auto"/>
        <w:ind w:firstLine="420" w:firstLineChars="200"/>
        <w:jc w:val="left"/>
        <w:rPr>
          <w:rFonts w:ascii="宋体" w:hAnsi="宋体"/>
          <w:color w:val="auto"/>
          <w:highlight w:val="none"/>
        </w:rPr>
      </w:pPr>
      <w:r>
        <w:rPr>
          <w:rFonts w:hint="eastAsia" w:ascii="宋体" w:hAnsi="宋体"/>
          <w:color w:val="auto"/>
          <w:highlight w:val="none"/>
        </w:rPr>
        <w:t>八、保函的生效</w:t>
      </w:r>
    </w:p>
    <w:p w14:paraId="7A8DBEAA">
      <w:pPr>
        <w:spacing w:line="360" w:lineRule="auto"/>
        <w:ind w:firstLine="420" w:firstLineChars="200"/>
        <w:jc w:val="left"/>
        <w:rPr>
          <w:rFonts w:ascii="宋体" w:hAnsi="宋体"/>
          <w:color w:val="auto"/>
          <w:highlight w:val="none"/>
        </w:rPr>
      </w:pPr>
      <w:r>
        <w:rPr>
          <w:rFonts w:hint="eastAsia" w:ascii="宋体" w:hAnsi="宋体"/>
          <w:color w:val="auto"/>
          <w:highlight w:val="none"/>
        </w:rPr>
        <w:t>本保函自我方法定代表人（或其授权代理人）签字并加盖公章之日起生效。</w:t>
      </w:r>
    </w:p>
    <w:p w14:paraId="12EC32F9">
      <w:pPr>
        <w:spacing w:line="360" w:lineRule="auto"/>
        <w:jc w:val="left"/>
        <w:rPr>
          <w:rFonts w:ascii="宋体" w:hAnsi="宋体"/>
          <w:color w:val="auto"/>
          <w:highlight w:val="none"/>
        </w:rPr>
      </w:pPr>
    </w:p>
    <w:p w14:paraId="4F16D508">
      <w:pPr>
        <w:spacing w:line="360" w:lineRule="auto"/>
        <w:ind w:right="600"/>
        <w:jc w:val="left"/>
        <w:rPr>
          <w:rFonts w:ascii="宋体" w:hAnsi="宋体"/>
          <w:color w:val="auto"/>
          <w:highlight w:val="none"/>
        </w:rPr>
      </w:pPr>
    </w:p>
    <w:p w14:paraId="66167B6B">
      <w:pPr>
        <w:spacing w:line="360" w:lineRule="auto"/>
        <w:ind w:right="600"/>
        <w:jc w:val="left"/>
        <w:rPr>
          <w:rFonts w:ascii="宋体" w:hAnsi="宋体"/>
          <w:color w:val="auto"/>
          <w:highlight w:val="none"/>
        </w:rPr>
      </w:pPr>
      <w:r>
        <w:rPr>
          <w:rFonts w:hint="eastAsia" w:ascii="宋体" w:hAnsi="宋体"/>
          <w:color w:val="auto"/>
          <w:highlight w:val="none"/>
        </w:rPr>
        <w:t>担保人：（盖章）</w:t>
      </w:r>
    </w:p>
    <w:p w14:paraId="5DB787FB">
      <w:pPr>
        <w:spacing w:line="360" w:lineRule="auto"/>
        <w:ind w:right="1200"/>
        <w:rPr>
          <w:rFonts w:ascii="宋体" w:hAnsi="宋体"/>
          <w:color w:val="auto"/>
          <w:highlight w:val="none"/>
        </w:rPr>
      </w:pPr>
      <w:r>
        <w:rPr>
          <w:rFonts w:hint="eastAsia" w:ascii="宋体" w:hAnsi="宋体"/>
          <w:color w:val="auto"/>
          <w:highlight w:val="none"/>
        </w:rPr>
        <w:t>法定代表人或委托代理人：（签字）</w:t>
      </w:r>
    </w:p>
    <w:p w14:paraId="13AF5BED">
      <w:pPr>
        <w:spacing w:line="360" w:lineRule="auto"/>
        <w:jc w:val="left"/>
        <w:rPr>
          <w:rFonts w:ascii="宋体" w:hAnsi="宋体"/>
          <w:color w:val="auto"/>
          <w:highlight w:val="none"/>
        </w:rPr>
      </w:pPr>
      <w:r>
        <w:rPr>
          <w:rFonts w:hint="eastAsia" w:ascii="宋体" w:hAnsi="宋体"/>
          <w:color w:val="auto"/>
          <w:highlight w:val="none"/>
        </w:rPr>
        <w:t>地址：</w:t>
      </w:r>
    </w:p>
    <w:p w14:paraId="5A17DA70">
      <w:pPr>
        <w:spacing w:line="360" w:lineRule="auto"/>
        <w:jc w:val="left"/>
        <w:rPr>
          <w:rFonts w:ascii="宋体" w:hAnsi="宋体"/>
          <w:color w:val="auto"/>
          <w:highlight w:val="none"/>
        </w:rPr>
      </w:pPr>
      <w:r>
        <w:rPr>
          <w:rFonts w:hint="eastAsia" w:ascii="宋体" w:hAnsi="宋体"/>
          <w:color w:val="auto"/>
          <w:highlight w:val="none"/>
        </w:rPr>
        <w:t>邮政编码：</w:t>
      </w:r>
    </w:p>
    <w:p w14:paraId="74766AAA">
      <w:pPr>
        <w:spacing w:line="360" w:lineRule="auto"/>
        <w:jc w:val="left"/>
        <w:rPr>
          <w:rFonts w:ascii="宋体" w:hAnsi="宋体"/>
          <w:color w:val="auto"/>
          <w:highlight w:val="none"/>
        </w:rPr>
      </w:pPr>
      <w:r>
        <w:rPr>
          <w:rFonts w:hint="eastAsia" w:ascii="宋体" w:hAnsi="宋体"/>
          <w:color w:val="auto"/>
          <w:highlight w:val="none"/>
        </w:rPr>
        <w:t>传真：</w:t>
      </w:r>
    </w:p>
    <w:p w14:paraId="07C71774">
      <w:pPr>
        <w:spacing w:line="360" w:lineRule="auto"/>
        <w:ind w:right="150" w:firstLine="420" w:firstLineChars="200"/>
        <w:jc w:val="left"/>
        <w:rPr>
          <w:rFonts w:ascii="宋体" w:hAnsi="宋体" w:cs="宋体"/>
          <w:color w:val="auto"/>
          <w:highlight w:val="none"/>
        </w:rPr>
      </w:pPr>
      <w:r>
        <w:rPr>
          <w:rFonts w:hint="eastAsia" w:ascii="宋体" w:hAnsi="宋体"/>
          <w:color w:val="auto"/>
          <w:highlight w:val="none"/>
        </w:rPr>
        <w:t>年月日</w:t>
      </w:r>
    </w:p>
    <w:p w14:paraId="051210E6">
      <w:pPr>
        <w:spacing w:line="360" w:lineRule="auto"/>
        <w:ind w:right="150" w:firstLine="420" w:firstLineChars="200"/>
        <w:jc w:val="left"/>
        <w:rPr>
          <w:rFonts w:ascii="宋体" w:hAnsi="宋体" w:cs="宋体"/>
          <w:color w:val="auto"/>
          <w:highlight w:val="none"/>
        </w:rPr>
      </w:pPr>
      <w:r>
        <w:rPr>
          <w:rFonts w:hint="eastAsia" w:ascii="宋体" w:hAnsi="宋体"/>
          <w:color w:val="auto"/>
          <w:highlight w:val="none"/>
        </w:rPr>
        <w:t>（备注</w:t>
      </w:r>
      <w:r>
        <w:rPr>
          <w:rFonts w:hint="eastAsia" w:ascii="宋体" w:hAnsi="宋体" w:cs="宋体"/>
          <w:color w:val="auto"/>
          <w:highlight w:val="none"/>
        </w:rPr>
        <w:t>：</w:t>
      </w:r>
      <w:r>
        <w:rPr>
          <w:rFonts w:hint="eastAsia" w:ascii="宋体" w:hAnsi="宋体"/>
          <w:color w:val="auto"/>
          <w:highlight w:val="none"/>
        </w:rPr>
        <w:t>银行、保险公司和担保公司出具的保函格式和文本可</w:t>
      </w:r>
      <w:r>
        <w:rPr>
          <w:rFonts w:hint="eastAsia" w:ascii="宋体" w:hAnsi="宋体" w:cs="宋体"/>
          <w:color w:val="auto"/>
          <w:highlight w:val="none"/>
        </w:rPr>
        <w:t>以自拟，</w:t>
      </w:r>
      <w:r>
        <w:rPr>
          <w:rFonts w:hint="eastAsia" w:ascii="宋体" w:hAnsi="宋体"/>
          <w:color w:val="auto"/>
          <w:highlight w:val="none"/>
        </w:rPr>
        <w:t>但是必须包含以上条款所列全部内容</w:t>
      </w:r>
      <w:r>
        <w:rPr>
          <w:rFonts w:hint="eastAsia" w:ascii="宋体" w:hAnsi="宋体" w:cs="宋体"/>
          <w:color w:val="auto"/>
          <w:highlight w:val="none"/>
        </w:rPr>
        <w:t>）</w:t>
      </w:r>
    </w:p>
    <w:p w14:paraId="10F5F049">
      <w:pPr>
        <w:rPr>
          <w:rFonts w:ascii="宋体" w:hAnsi="宋体" w:cs="宋体"/>
          <w:color w:val="auto"/>
          <w:highlight w:val="none"/>
        </w:rPr>
      </w:pPr>
      <w:r>
        <w:rPr>
          <w:rFonts w:hint="eastAsia" w:ascii="宋体" w:hAnsi="宋体" w:cs="宋体"/>
          <w:color w:val="auto"/>
          <w:highlight w:val="none"/>
        </w:rPr>
        <w:br w:type="page"/>
      </w:r>
    </w:p>
    <w:p w14:paraId="7B3D820B">
      <w:pPr>
        <w:spacing w:line="360" w:lineRule="auto"/>
        <w:ind w:right="150" w:firstLine="600" w:firstLineChars="200"/>
        <w:jc w:val="left"/>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10</w:t>
      </w:r>
      <w:r>
        <w:rPr>
          <w:rFonts w:hint="eastAsia" w:ascii="宋体" w:hAnsi="宋体"/>
          <w:color w:val="auto"/>
          <w:sz w:val="30"/>
          <w:szCs w:val="30"/>
          <w:highlight w:val="none"/>
        </w:rPr>
        <w:t>：</w:t>
      </w:r>
    </w:p>
    <w:p w14:paraId="1CBCD065">
      <w:pPr>
        <w:jc w:val="center"/>
        <w:rPr>
          <w:rFonts w:ascii="宋体" w:hAnsi="宋体"/>
          <w:b/>
          <w:bCs/>
          <w:color w:val="auto"/>
          <w:sz w:val="36"/>
          <w:szCs w:val="36"/>
          <w:highlight w:val="none"/>
        </w:rPr>
      </w:pPr>
      <w:r>
        <w:rPr>
          <w:rFonts w:hint="eastAsia" w:ascii="宋体" w:hAnsi="宋体"/>
          <w:b/>
          <w:bCs/>
          <w:color w:val="auto"/>
          <w:sz w:val="36"/>
          <w:szCs w:val="36"/>
          <w:highlight w:val="none"/>
        </w:rPr>
        <w:t>预付款支付申请（核准）表</w:t>
      </w:r>
    </w:p>
    <w:p w14:paraId="355B2C78">
      <w:pPr>
        <w:rPr>
          <w:rFonts w:ascii="宋体" w:hAnsi="宋体"/>
          <w:color w:val="auto"/>
          <w:sz w:val="24"/>
          <w:szCs w:val="24"/>
          <w:highlight w:val="none"/>
        </w:rPr>
      </w:pPr>
      <w:r>
        <w:rPr>
          <w:rFonts w:hint="eastAsia" w:ascii="宋体" w:hAnsi="宋体"/>
          <w:color w:val="auto"/>
          <w:sz w:val="24"/>
          <w:szCs w:val="24"/>
          <w:highlight w:val="none"/>
        </w:rPr>
        <w:t>工程名称：编号：</w:t>
      </w:r>
    </w:p>
    <w:tbl>
      <w:tblPr>
        <w:tblStyle w:val="4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9"/>
        <w:gridCol w:w="4606"/>
      </w:tblGrid>
      <w:tr w14:paraId="286F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185" w:type="dxa"/>
            <w:gridSpan w:val="2"/>
          </w:tcPr>
          <w:p w14:paraId="70E69696">
            <w:pPr>
              <w:spacing w:line="480" w:lineRule="exact"/>
              <w:ind w:left="525" w:leftChars="149" w:hanging="212" w:hangingChars="101"/>
              <w:rPr>
                <w:rFonts w:ascii="宋体" w:hAnsi="宋体"/>
                <w:color w:val="auto"/>
                <w:highlight w:val="none"/>
                <w:u w:val="single"/>
              </w:rPr>
            </w:pPr>
            <w:r>
              <w:rPr>
                <w:rFonts w:hint="eastAsia" w:ascii="宋体" w:hAnsi="宋体"/>
                <w:color w:val="auto"/>
                <w:highlight w:val="none"/>
              </w:rPr>
              <w:t>致：</w:t>
            </w:r>
            <w:r>
              <w:rPr>
                <w:rFonts w:hint="eastAsia" w:ascii="宋体" w:hAnsi="宋体"/>
                <w:color w:val="auto"/>
                <w:highlight w:val="none"/>
                <w:u w:val="single"/>
              </w:rPr>
              <w:t>（发包人全称）</w:t>
            </w:r>
          </w:p>
          <w:p w14:paraId="362336F4">
            <w:pPr>
              <w:spacing w:line="400" w:lineRule="exact"/>
              <w:ind w:left="-4" w:leftChars="-2" w:firstLine="315" w:firstLineChars="150"/>
              <w:rPr>
                <w:rFonts w:ascii="宋体" w:hAnsi="宋体"/>
                <w:color w:val="auto"/>
                <w:highlight w:val="none"/>
              </w:rPr>
            </w:pPr>
            <w:r>
              <w:rPr>
                <w:rFonts w:hint="eastAsia" w:ascii="宋体" w:hAnsi="宋体"/>
                <w:color w:val="auto"/>
                <w:highlight w:val="none"/>
              </w:rPr>
              <w:t>我方根据施工合同的约定，现申请支付工程预付款额为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w:t>
            </w:r>
            <w:r>
              <w:rPr>
                <w:rFonts w:ascii="宋体" w:hAnsi="宋体"/>
                <w:color w:val="auto"/>
                <w:highlight w:val="none"/>
              </w:rPr>
              <w:t>(</w:t>
            </w:r>
            <w:r>
              <w:rPr>
                <w:rFonts w:hint="eastAsia" w:ascii="宋体" w:hAnsi="宋体"/>
                <w:color w:val="auto"/>
                <w:highlight w:val="none"/>
              </w:rPr>
              <w:t>小写</w:t>
            </w:r>
            <w:r>
              <w:rPr>
                <w:rFonts w:ascii="宋体" w:hAnsi="宋体"/>
                <w:color w:val="auto"/>
                <w:highlight w:val="none"/>
              </w:rPr>
              <w:t>)</w:t>
            </w:r>
          </w:p>
          <w:p w14:paraId="1B2F6AE2">
            <w:pPr>
              <w:spacing w:line="400" w:lineRule="exact"/>
              <w:rPr>
                <w:rFonts w:ascii="宋体" w:hAnsi="宋体"/>
                <w:color w:val="auto"/>
                <w:highlight w:val="none"/>
              </w:rPr>
            </w:pPr>
            <w:r>
              <w:rPr>
                <w:rFonts w:hint="eastAsia" w:ascii="宋体" w:hAnsi="宋体"/>
                <w:color w:val="auto"/>
                <w:highlight w:val="none"/>
              </w:rPr>
              <w:t>元，请予核准。</w:t>
            </w:r>
          </w:p>
          <w:tbl>
            <w:tblPr>
              <w:tblStyle w:val="47"/>
              <w:tblW w:w="895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340"/>
              <w:gridCol w:w="1764"/>
              <w:gridCol w:w="2240"/>
              <w:gridCol w:w="1080"/>
            </w:tblGrid>
            <w:tr w14:paraId="5E6A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vAlign w:val="center"/>
                </w:tcPr>
                <w:p w14:paraId="25ACE6A2">
                  <w:pPr>
                    <w:spacing w:line="280" w:lineRule="exact"/>
                    <w:jc w:val="center"/>
                    <w:rPr>
                      <w:rFonts w:ascii="宋体" w:hAnsi="宋体"/>
                      <w:color w:val="auto"/>
                      <w:highlight w:val="none"/>
                    </w:rPr>
                  </w:pPr>
                  <w:r>
                    <w:rPr>
                      <w:rFonts w:hint="eastAsia" w:ascii="宋体" w:hAnsi="宋体"/>
                      <w:color w:val="auto"/>
                      <w:highlight w:val="none"/>
                    </w:rPr>
                    <w:t>序号</w:t>
                  </w:r>
                </w:p>
              </w:tc>
              <w:tc>
                <w:tcPr>
                  <w:tcW w:w="3340" w:type="dxa"/>
                  <w:tcBorders>
                    <w:top w:val="single" w:color="auto" w:sz="4" w:space="0"/>
                    <w:left w:val="single" w:color="auto" w:sz="4" w:space="0"/>
                    <w:bottom w:val="single" w:color="auto" w:sz="4" w:space="0"/>
                    <w:right w:val="single" w:color="auto" w:sz="4" w:space="0"/>
                  </w:tcBorders>
                  <w:vAlign w:val="center"/>
                </w:tcPr>
                <w:p w14:paraId="6E973426">
                  <w:pPr>
                    <w:spacing w:line="280" w:lineRule="exact"/>
                    <w:jc w:val="center"/>
                    <w:rPr>
                      <w:rFonts w:ascii="宋体" w:hAnsi="宋体"/>
                      <w:color w:val="auto"/>
                      <w:highlight w:val="none"/>
                    </w:rPr>
                  </w:pPr>
                  <w:r>
                    <w:rPr>
                      <w:rFonts w:hint="eastAsia" w:ascii="宋体" w:hAnsi="宋体"/>
                      <w:color w:val="auto"/>
                      <w:highlight w:val="none"/>
                    </w:rPr>
                    <w:t>名称</w:t>
                  </w:r>
                </w:p>
              </w:tc>
              <w:tc>
                <w:tcPr>
                  <w:tcW w:w="1764" w:type="dxa"/>
                  <w:tcBorders>
                    <w:top w:val="single" w:color="auto" w:sz="4" w:space="0"/>
                    <w:left w:val="single" w:color="auto" w:sz="4" w:space="0"/>
                    <w:bottom w:val="single" w:color="auto" w:sz="4" w:space="0"/>
                    <w:right w:val="single" w:color="auto" w:sz="4" w:space="0"/>
                  </w:tcBorders>
                  <w:vAlign w:val="center"/>
                </w:tcPr>
                <w:p w14:paraId="65ABFC72">
                  <w:pPr>
                    <w:spacing w:line="280" w:lineRule="exact"/>
                    <w:jc w:val="center"/>
                    <w:rPr>
                      <w:rFonts w:ascii="宋体" w:hAnsi="宋体"/>
                      <w:color w:val="auto"/>
                      <w:highlight w:val="none"/>
                    </w:rPr>
                  </w:pPr>
                  <w:r>
                    <w:rPr>
                      <w:rFonts w:hint="eastAsia" w:ascii="宋体" w:hAnsi="宋体"/>
                      <w:color w:val="auto"/>
                      <w:highlight w:val="none"/>
                    </w:rPr>
                    <w:t>申请金额（元）</w:t>
                  </w:r>
                </w:p>
              </w:tc>
              <w:tc>
                <w:tcPr>
                  <w:tcW w:w="2240" w:type="dxa"/>
                  <w:tcBorders>
                    <w:top w:val="single" w:color="auto" w:sz="4" w:space="0"/>
                    <w:left w:val="single" w:color="auto" w:sz="4" w:space="0"/>
                    <w:bottom w:val="single" w:color="auto" w:sz="4" w:space="0"/>
                    <w:right w:val="single" w:color="auto" w:sz="4" w:space="0"/>
                  </w:tcBorders>
                  <w:vAlign w:val="center"/>
                </w:tcPr>
                <w:p w14:paraId="130B96DD">
                  <w:pPr>
                    <w:spacing w:line="280" w:lineRule="exact"/>
                    <w:jc w:val="center"/>
                    <w:rPr>
                      <w:rFonts w:ascii="宋体" w:hAnsi="宋体"/>
                      <w:color w:val="auto"/>
                      <w:highlight w:val="none"/>
                    </w:rPr>
                  </w:pPr>
                  <w:r>
                    <w:rPr>
                      <w:rFonts w:hint="eastAsia" w:ascii="宋体" w:hAnsi="宋体"/>
                      <w:color w:val="auto"/>
                      <w:highlight w:val="none"/>
                    </w:rPr>
                    <w:t>复核金额（元）</w:t>
                  </w:r>
                </w:p>
              </w:tc>
              <w:tc>
                <w:tcPr>
                  <w:tcW w:w="1080" w:type="dxa"/>
                  <w:tcBorders>
                    <w:top w:val="single" w:color="auto" w:sz="4" w:space="0"/>
                    <w:left w:val="single" w:color="auto" w:sz="4" w:space="0"/>
                    <w:bottom w:val="single" w:color="auto" w:sz="4" w:space="0"/>
                    <w:right w:val="single" w:color="auto" w:sz="4" w:space="0"/>
                  </w:tcBorders>
                  <w:vAlign w:val="center"/>
                </w:tcPr>
                <w:p w14:paraId="3D2D6320">
                  <w:pPr>
                    <w:spacing w:line="280" w:lineRule="exact"/>
                    <w:jc w:val="center"/>
                    <w:rPr>
                      <w:rFonts w:ascii="宋体" w:hAnsi="宋体"/>
                      <w:color w:val="auto"/>
                      <w:highlight w:val="none"/>
                    </w:rPr>
                  </w:pPr>
                  <w:r>
                    <w:rPr>
                      <w:rFonts w:hint="eastAsia" w:ascii="宋体" w:hAnsi="宋体"/>
                      <w:color w:val="auto"/>
                      <w:highlight w:val="none"/>
                    </w:rPr>
                    <w:t>备注</w:t>
                  </w:r>
                </w:p>
              </w:tc>
            </w:tr>
            <w:tr w14:paraId="5B02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67A583C7">
                  <w:pPr>
                    <w:spacing w:line="280" w:lineRule="exact"/>
                    <w:jc w:val="center"/>
                    <w:rPr>
                      <w:rFonts w:ascii="宋体" w:hAnsi="宋体"/>
                      <w:color w:val="auto"/>
                      <w:highlight w:val="none"/>
                    </w:rPr>
                  </w:pPr>
                  <w:r>
                    <w:rPr>
                      <w:rFonts w:ascii="宋体" w:hAnsi="宋体"/>
                      <w:color w:val="auto"/>
                      <w:highlight w:val="none"/>
                    </w:rPr>
                    <w:t>1</w:t>
                  </w:r>
                </w:p>
              </w:tc>
              <w:tc>
                <w:tcPr>
                  <w:tcW w:w="3340" w:type="dxa"/>
                  <w:tcBorders>
                    <w:top w:val="single" w:color="auto" w:sz="4" w:space="0"/>
                    <w:left w:val="single" w:color="auto" w:sz="4" w:space="0"/>
                    <w:bottom w:val="single" w:color="auto" w:sz="4" w:space="0"/>
                    <w:right w:val="single" w:color="auto" w:sz="4" w:space="0"/>
                  </w:tcBorders>
                </w:tcPr>
                <w:p w14:paraId="6A10209D">
                  <w:pPr>
                    <w:spacing w:line="280" w:lineRule="exact"/>
                    <w:rPr>
                      <w:rFonts w:ascii="宋体" w:hAnsi="宋体"/>
                      <w:color w:val="auto"/>
                      <w:highlight w:val="none"/>
                    </w:rPr>
                  </w:pPr>
                  <w:r>
                    <w:rPr>
                      <w:rFonts w:hint="eastAsia" w:ascii="宋体" w:hAnsi="宋体"/>
                      <w:color w:val="auto"/>
                      <w:highlight w:val="none"/>
                    </w:rPr>
                    <w:t>已签约合同价款金额</w:t>
                  </w:r>
                </w:p>
              </w:tc>
              <w:tc>
                <w:tcPr>
                  <w:tcW w:w="1764" w:type="dxa"/>
                  <w:tcBorders>
                    <w:top w:val="single" w:color="auto" w:sz="4" w:space="0"/>
                    <w:left w:val="single" w:color="auto" w:sz="4" w:space="0"/>
                    <w:bottom w:val="single" w:color="auto" w:sz="4" w:space="0"/>
                    <w:right w:val="single" w:color="auto" w:sz="4" w:space="0"/>
                  </w:tcBorders>
                </w:tcPr>
                <w:p w14:paraId="15B42168">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3BF98725">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4FEE9C7C">
                  <w:pPr>
                    <w:spacing w:line="280" w:lineRule="exact"/>
                    <w:rPr>
                      <w:rFonts w:ascii="宋体" w:hAnsi="宋体"/>
                      <w:color w:val="auto"/>
                      <w:highlight w:val="none"/>
                    </w:rPr>
                  </w:pPr>
                </w:p>
              </w:tc>
            </w:tr>
            <w:tr w14:paraId="0139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2437F5AA">
                  <w:pPr>
                    <w:spacing w:line="280" w:lineRule="exact"/>
                    <w:jc w:val="center"/>
                    <w:rPr>
                      <w:rFonts w:ascii="宋体" w:hAnsi="宋体"/>
                      <w:color w:val="auto"/>
                      <w:highlight w:val="none"/>
                    </w:rPr>
                  </w:pPr>
                  <w:r>
                    <w:rPr>
                      <w:rFonts w:ascii="宋体" w:hAnsi="宋体"/>
                      <w:color w:val="auto"/>
                      <w:highlight w:val="none"/>
                    </w:rPr>
                    <w:t>2</w:t>
                  </w:r>
                </w:p>
              </w:tc>
              <w:tc>
                <w:tcPr>
                  <w:tcW w:w="3340" w:type="dxa"/>
                  <w:tcBorders>
                    <w:top w:val="single" w:color="auto" w:sz="4" w:space="0"/>
                    <w:left w:val="single" w:color="auto" w:sz="4" w:space="0"/>
                    <w:bottom w:val="single" w:color="auto" w:sz="4" w:space="0"/>
                    <w:right w:val="single" w:color="auto" w:sz="4" w:space="0"/>
                  </w:tcBorders>
                </w:tcPr>
                <w:p w14:paraId="038100F3">
                  <w:pPr>
                    <w:spacing w:line="280" w:lineRule="exact"/>
                    <w:rPr>
                      <w:rFonts w:ascii="宋体" w:hAnsi="宋体"/>
                      <w:color w:val="auto"/>
                      <w:highlight w:val="none"/>
                    </w:rPr>
                  </w:pPr>
                  <w:r>
                    <w:rPr>
                      <w:rFonts w:hint="eastAsia" w:ascii="宋体" w:hAnsi="宋体"/>
                      <w:color w:val="auto"/>
                      <w:highlight w:val="none"/>
                    </w:rPr>
                    <w:t>其中：安全文明施工费</w:t>
                  </w:r>
                </w:p>
              </w:tc>
              <w:tc>
                <w:tcPr>
                  <w:tcW w:w="1764" w:type="dxa"/>
                  <w:tcBorders>
                    <w:top w:val="single" w:color="auto" w:sz="4" w:space="0"/>
                    <w:left w:val="single" w:color="auto" w:sz="4" w:space="0"/>
                    <w:bottom w:val="single" w:color="auto" w:sz="4" w:space="0"/>
                    <w:right w:val="single" w:color="auto" w:sz="4" w:space="0"/>
                  </w:tcBorders>
                </w:tcPr>
                <w:p w14:paraId="459DC504">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049CA8E9">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352CE34E">
                  <w:pPr>
                    <w:spacing w:line="280" w:lineRule="exact"/>
                    <w:rPr>
                      <w:rFonts w:ascii="宋体" w:hAnsi="宋体"/>
                      <w:color w:val="auto"/>
                      <w:highlight w:val="none"/>
                    </w:rPr>
                  </w:pPr>
                </w:p>
              </w:tc>
            </w:tr>
            <w:tr w14:paraId="31D7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5C6CA8F6">
                  <w:pPr>
                    <w:spacing w:line="280" w:lineRule="exact"/>
                    <w:jc w:val="center"/>
                    <w:rPr>
                      <w:rFonts w:ascii="宋体" w:hAnsi="宋体"/>
                      <w:color w:val="auto"/>
                      <w:highlight w:val="none"/>
                    </w:rPr>
                  </w:pPr>
                  <w:r>
                    <w:rPr>
                      <w:rFonts w:ascii="宋体" w:hAnsi="宋体"/>
                      <w:color w:val="auto"/>
                      <w:highlight w:val="none"/>
                    </w:rPr>
                    <w:t>3</w:t>
                  </w:r>
                </w:p>
              </w:tc>
              <w:tc>
                <w:tcPr>
                  <w:tcW w:w="3340" w:type="dxa"/>
                  <w:tcBorders>
                    <w:top w:val="single" w:color="auto" w:sz="4" w:space="0"/>
                    <w:left w:val="single" w:color="auto" w:sz="4" w:space="0"/>
                    <w:bottom w:val="single" w:color="auto" w:sz="4" w:space="0"/>
                    <w:right w:val="single" w:color="auto" w:sz="4" w:space="0"/>
                  </w:tcBorders>
                </w:tcPr>
                <w:p w14:paraId="67931D56">
                  <w:pPr>
                    <w:spacing w:line="280" w:lineRule="exact"/>
                    <w:rPr>
                      <w:rFonts w:ascii="宋体" w:hAnsi="宋体"/>
                      <w:color w:val="auto"/>
                      <w:highlight w:val="none"/>
                    </w:rPr>
                  </w:pPr>
                  <w:r>
                    <w:rPr>
                      <w:rFonts w:hint="eastAsia" w:ascii="宋体" w:hAnsi="宋体"/>
                      <w:color w:val="auto"/>
                      <w:highlight w:val="none"/>
                    </w:rPr>
                    <w:t>应支付的预付款</w:t>
                  </w:r>
                </w:p>
              </w:tc>
              <w:tc>
                <w:tcPr>
                  <w:tcW w:w="1764" w:type="dxa"/>
                  <w:tcBorders>
                    <w:top w:val="single" w:color="auto" w:sz="4" w:space="0"/>
                    <w:left w:val="single" w:color="auto" w:sz="4" w:space="0"/>
                    <w:bottom w:val="single" w:color="auto" w:sz="4" w:space="0"/>
                    <w:right w:val="single" w:color="auto" w:sz="4" w:space="0"/>
                  </w:tcBorders>
                </w:tcPr>
                <w:p w14:paraId="23DA0BA9">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267C38E0">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77AB0E9E">
                  <w:pPr>
                    <w:spacing w:line="280" w:lineRule="exact"/>
                    <w:rPr>
                      <w:rFonts w:ascii="宋体" w:hAnsi="宋体"/>
                      <w:color w:val="auto"/>
                      <w:highlight w:val="none"/>
                    </w:rPr>
                  </w:pPr>
                </w:p>
              </w:tc>
            </w:tr>
            <w:tr w14:paraId="6C74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45BAE238">
                  <w:pPr>
                    <w:spacing w:line="280" w:lineRule="exact"/>
                    <w:jc w:val="center"/>
                    <w:rPr>
                      <w:rFonts w:ascii="宋体" w:hAnsi="宋体"/>
                      <w:color w:val="auto"/>
                      <w:highlight w:val="none"/>
                    </w:rPr>
                  </w:pPr>
                  <w:r>
                    <w:rPr>
                      <w:rFonts w:ascii="宋体" w:hAnsi="宋体"/>
                      <w:color w:val="auto"/>
                      <w:highlight w:val="none"/>
                    </w:rPr>
                    <w:t>4</w:t>
                  </w:r>
                </w:p>
              </w:tc>
              <w:tc>
                <w:tcPr>
                  <w:tcW w:w="3340" w:type="dxa"/>
                  <w:tcBorders>
                    <w:top w:val="single" w:color="auto" w:sz="4" w:space="0"/>
                    <w:left w:val="single" w:color="auto" w:sz="4" w:space="0"/>
                    <w:bottom w:val="single" w:color="auto" w:sz="4" w:space="0"/>
                    <w:right w:val="single" w:color="auto" w:sz="4" w:space="0"/>
                  </w:tcBorders>
                </w:tcPr>
                <w:p w14:paraId="1AA1AC95">
                  <w:pPr>
                    <w:spacing w:line="280" w:lineRule="exact"/>
                    <w:rPr>
                      <w:rFonts w:ascii="宋体" w:hAnsi="宋体"/>
                      <w:color w:val="auto"/>
                      <w:highlight w:val="none"/>
                    </w:rPr>
                  </w:pPr>
                  <w:r>
                    <w:rPr>
                      <w:rFonts w:hint="eastAsia" w:ascii="宋体" w:hAnsi="宋体"/>
                      <w:color w:val="auto"/>
                      <w:highlight w:val="none"/>
                    </w:rPr>
                    <w:t>应支付的安全文明施工费预付款</w:t>
                  </w:r>
                </w:p>
              </w:tc>
              <w:tc>
                <w:tcPr>
                  <w:tcW w:w="1764" w:type="dxa"/>
                  <w:tcBorders>
                    <w:top w:val="single" w:color="auto" w:sz="4" w:space="0"/>
                    <w:left w:val="single" w:color="auto" w:sz="4" w:space="0"/>
                    <w:bottom w:val="single" w:color="auto" w:sz="4" w:space="0"/>
                    <w:right w:val="single" w:color="auto" w:sz="4" w:space="0"/>
                  </w:tcBorders>
                </w:tcPr>
                <w:p w14:paraId="6CEB20D5">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20EBD9ED">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54D49AAF">
                  <w:pPr>
                    <w:spacing w:line="280" w:lineRule="exact"/>
                    <w:rPr>
                      <w:rFonts w:ascii="宋体" w:hAnsi="宋体"/>
                      <w:color w:val="auto"/>
                      <w:highlight w:val="none"/>
                    </w:rPr>
                  </w:pPr>
                </w:p>
              </w:tc>
            </w:tr>
            <w:tr w14:paraId="2B0C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774B14F7">
                  <w:pPr>
                    <w:spacing w:line="280" w:lineRule="exact"/>
                    <w:jc w:val="center"/>
                    <w:rPr>
                      <w:rFonts w:ascii="宋体" w:hAnsi="宋体"/>
                      <w:color w:val="auto"/>
                      <w:highlight w:val="none"/>
                    </w:rPr>
                  </w:pPr>
                  <w:r>
                    <w:rPr>
                      <w:rFonts w:ascii="宋体" w:hAnsi="宋体"/>
                      <w:color w:val="auto"/>
                      <w:highlight w:val="none"/>
                    </w:rPr>
                    <w:t>5</w:t>
                  </w:r>
                </w:p>
              </w:tc>
              <w:tc>
                <w:tcPr>
                  <w:tcW w:w="3340" w:type="dxa"/>
                  <w:tcBorders>
                    <w:top w:val="single" w:color="auto" w:sz="4" w:space="0"/>
                    <w:left w:val="single" w:color="auto" w:sz="4" w:space="0"/>
                    <w:bottom w:val="single" w:color="auto" w:sz="4" w:space="0"/>
                    <w:right w:val="single" w:color="auto" w:sz="4" w:space="0"/>
                  </w:tcBorders>
                </w:tcPr>
                <w:p w14:paraId="453D5CB6">
                  <w:pPr>
                    <w:spacing w:line="280" w:lineRule="exact"/>
                    <w:rPr>
                      <w:rFonts w:ascii="宋体" w:hAnsi="宋体"/>
                      <w:color w:val="auto"/>
                      <w:highlight w:val="none"/>
                    </w:rPr>
                  </w:pPr>
                  <w:r>
                    <w:rPr>
                      <w:rFonts w:hint="eastAsia" w:ascii="宋体" w:hAnsi="宋体"/>
                      <w:color w:val="auto"/>
                      <w:highlight w:val="none"/>
                    </w:rPr>
                    <w:t>合计应支付的预付款</w:t>
                  </w:r>
                </w:p>
              </w:tc>
              <w:tc>
                <w:tcPr>
                  <w:tcW w:w="1764" w:type="dxa"/>
                  <w:tcBorders>
                    <w:top w:val="single" w:color="auto" w:sz="4" w:space="0"/>
                    <w:left w:val="single" w:color="auto" w:sz="4" w:space="0"/>
                    <w:bottom w:val="single" w:color="auto" w:sz="4" w:space="0"/>
                    <w:right w:val="single" w:color="auto" w:sz="4" w:space="0"/>
                  </w:tcBorders>
                </w:tcPr>
                <w:p w14:paraId="2F2C3B70">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385AD7E6">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30DCE583">
                  <w:pPr>
                    <w:spacing w:line="280" w:lineRule="exact"/>
                    <w:rPr>
                      <w:rFonts w:ascii="宋体" w:hAnsi="宋体"/>
                      <w:color w:val="auto"/>
                      <w:highlight w:val="none"/>
                    </w:rPr>
                  </w:pPr>
                </w:p>
              </w:tc>
            </w:tr>
            <w:tr w14:paraId="201C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E40BDB3">
                  <w:pPr>
                    <w:spacing w:line="280" w:lineRule="exact"/>
                    <w:jc w:val="center"/>
                    <w:rPr>
                      <w:rFonts w:ascii="宋体" w:hAnsi="宋体"/>
                      <w:color w:val="auto"/>
                      <w:highlight w:val="none"/>
                    </w:rPr>
                  </w:pPr>
                </w:p>
              </w:tc>
              <w:tc>
                <w:tcPr>
                  <w:tcW w:w="3340" w:type="dxa"/>
                  <w:tcBorders>
                    <w:top w:val="single" w:color="auto" w:sz="4" w:space="0"/>
                    <w:left w:val="single" w:color="auto" w:sz="4" w:space="0"/>
                    <w:bottom w:val="single" w:color="auto" w:sz="4" w:space="0"/>
                    <w:right w:val="single" w:color="auto" w:sz="4" w:space="0"/>
                  </w:tcBorders>
                </w:tcPr>
                <w:p w14:paraId="578792D7">
                  <w:pPr>
                    <w:spacing w:line="280" w:lineRule="exact"/>
                    <w:rPr>
                      <w:rFonts w:ascii="宋体" w:hAnsi="宋体"/>
                      <w:color w:val="auto"/>
                      <w:highlight w:val="none"/>
                    </w:rPr>
                  </w:pPr>
                </w:p>
              </w:tc>
              <w:tc>
                <w:tcPr>
                  <w:tcW w:w="1764" w:type="dxa"/>
                  <w:tcBorders>
                    <w:top w:val="single" w:color="auto" w:sz="4" w:space="0"/>
                    <w:left w:val="single" w:color="auto" w:sz="4" w:space="0"/>
                    <w:bottom w:val="single" w:color="auto" w:sz="4" w:space="0"/>
                    <w:right w:val="single" w:color="auto" w:sz="4" w:space="0"/>
                  </w:tcBorders>
                </w:tcPr>
                <w:p w14:paraId="3B0D057F">
                  <w:pPr>
                    <w:spacing w:line="280" w:lineRule="exact"/>
                    <w:rPr>
                      <w:rFonts w:ascii="宋体" w:hAnsi="宋体"/>
                      <w:color w:val="auto"/>
                      <w:highlight w:val="none"/>
                    </w:rPr>
                  </w:pPr>
                </w:p>
              </w:tc>
              <w:tc>
                <w:tcPr>
                  <w:tcW w:w="2240" w:type="dxa"/>
                  <w:tcBorders>
                    <w:top w:val="single" w:color="auto" w:sz="4" w:space="0"/>
                    <w:left w:val="single" w:color="auto" w:sz="4" w:space="0"/>
                    <w:bottom w:val="single" w:color="auto" w:sz="4" w:space="0"/>
                    <w:right w:val="single" w:color="auto" w:sz="4" w:space="0"/>
                  </w:tcBorders>
                </w:tcPr>
                <w:p w14:paraId="251FBAA9">
                  <w:pPr>
                    <w:spacing w:line="280" w:lineRule="exact"/>
                    <w:rPr>
                      <w:rFonts w:ascii="宋体" w:hAnsi="宋体"/>
                      <w:color w:val="auto"/>
                      <w:highlight w:val="none"/>
                    </w:rPr>
                  </w:pPr>
                </w:p>
              </w:tc>
              <w:tc>
                <w:tcPr>
                  <w:tcW w:w="1080" w:type="dxa"/>
                  <w:tcBorders>
                    <w:top w:val="single" w:color="auto" w:sz="4" w:space="0"/>
                    <w:left w:val="single" w:color="auto" w:sz="4" w:space="0"/>
                    <w:bottom w:val="single" w:color="auto" w:sz="4" w:space="0"/>
                    <w:right w:val="single" w:color="auto" w:sz="4" w:space="0"/>
                  </w:tcBorders>
                </w:tcPr>
                <w:p w14:paraId="599E94CC">
                  <w:pPr>
                    <w:spacing w:line="280" w:lineRule="exact"/>
                    <w:rPr>
                      <w:rFonts w:ascii="宋体" w:hAnsi="宋体"/>
                      <w:color w:val="auto"/>
                      <w:highlight w:val="none"/>
                    </w:rPr>
                  </w:pPr>
                </w:p>
              </w:tc>
            </w:tr>
          </w:tbl>
          <w:p w14:paraId="0FA591E5">
            <w:pPr>
              <w:wordWrap w:val="0"/>
              <w:spacing w:line="400" w:lineRule="exact"/>
              <w:ind w:right="420"/>
              <w:rPr>
                <w:rFonts w:ascii="宋体" w:hAnsi="宋体"/>
                <w:color w:val="auto"/>
                <w:highlight w:val="none"/>
              </w:rPr>
            </w:pPr>
          </w:p>
          <w:p w14:paraId="3104FC34">
            <w:pPr>
              <w:wordWrap w:val="0"/>
              <w:spacing w:line="400" w:lineRule="exact"/>
              <w:ind w:right="420"/>
              <w:rPr>
                <w:rFonts w:ascii="宋体" w:hAnsi="宋体"/>
                <w:color w:val="auto"/>
                <w:highlight w:val="none"/>
              </w:rPr>
            </w:pPr>
            <w:r>
              <w:rPr>
                <w:rFonts w:hint="eastAsia" w:ascii="宋体" w:hAnsi="宋体"/>
                <w:color w:val="auto"/>
                <w:highlight w:val="none"/>
              </w:rPr>
              <w:t>承包人（章）</w:t>
            </w:r>
          </w:p>
          <w:p w14:paraId="394257FD">
            <w:pPr>
              <w:spacing w:line="400" w:lineRule="exact"/>
              <w:ind w:right="420" w:firstLine="435"/>
              <w:rPr>
                <w:rFonts w:ascii="宋体" w:hAnsi="宋体"/>
                <w:color w:val="auto"/>
                <w:highlight w:val="none"/>
              </w:rPr>
            </w:pPr>
            <w:r>
              <w:rPr>
                <w:rFonts w:hint="eastAsia" w:ascii="宋体" w:hAnsi="宋体"/>
                <w:color w:val="auto"/>
                <w:highlight w:val="none"/>
              </w:rPr>
              <w:t>造价人员承包人代表日期</w:t>
            </w:r>
          </w:p>
        </w:tc>
      </w:tr>
      <w:tr w14:paraId="6AFB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79" w:type="dxa"/>
          </w:tcPr>
          <w:p w14:paraId="7B47BFD1">
            <w:pPr>
              <w:spacing w:line="360" w:lineRule="exact"/>
              <w:rPr>
                <w:rFonts w:ascii="宋体" w:hAnsi="宋体"/>
                <w:color w:val="auto"/>
                <w:highlight w:val="none"/>
              </w:rPr>
            </w:pPr>
            <w:r>
              <w:rPr>
                <w:rFonts w:hint="eastAsia" w:ascii="宋体" w:hAnsi="宋体"/>
                <w:color w:val="auto"/>
                <w:highlight w:val="none"/>
              </w:rPr>
              <w:t>复核意见：</w:t>
            </w:r>
          </w:p>
          <w:p w14:paraId="48A179CA">
            <w:pPr>
              <w:spacing w:line="360" w:lineRule="exact"/>
              <w:ind w:firstLine="312"/>
              <w:rPr>
                <w:rFonts w:ascii="宋体" w:hAnsi="宋体"/>
                <w:color w:val="auto"/>
                <w:highlight w:val="none"/>
              </w:rPr>
            </w:pPr>
            <w:r>
              <w:rPr>
                <w:rFonts w:hint="eastAsia" w:ascii="宋体" w:hAnsi="宋体"/>
                <w:color w:val="auto"/>
                <w:highlight w:val="none"/>
              </w:rPr>
              <w:t>□与合同约定不相符，修改意见见附件。</w:t>
            </w:r>
          </w:p>
          <w:p w14:paraId="0B464CE8">
            <w:pPr>
              <w:spacing w:line="360" w:lineRule="exact"/>
              <w:ind w:firstLine="312"/>
              <w:rPr>
                <w:rFonts w:ascii="宋体" w:hAnsi="宋体"/>
                <w:color w:val="auto"/>
                <w:highlight w:val="none"/>
              </w:rPr>
            </w:pPr>
            <w:r>
              <w:rPr>
                <w:rFonts w:hint="eastAsia" w:ascii="宋体" w:hAnsi="宋体"/>
                <w:color w:val="auto"/>
                <w:highlight w:val="none"/>
              </w:rPr>
              <w:t>□与合同约定相符，具体金额由造价工程师复核。</w:t>
            </w:r>
          </w:p>
          <w:p w14:paraId="0E6F023B">
            <w:pPr>
              <w:spacing w:line="360" w:lineRule="exact"/>
              <w:ind w:firstLine="435"/>
              <w:jc w:val="right"/>
              <w:rPr>
                <w:rFonts w:ascii="宋体" w:hAnsi="宋体"/>
                <w:color w:val="auto"/>
                <w:highlight w:val="none"/>
              </w:rPr>
            </w:pPr>
          </w:p>
          <w:p w14:paraId="4669DC5C">
            <w:pPr>
              <w:spacing w:line="360" w:lineRule="exact"/>
              <w:ind w:firstLine="435"/>
              <w:jc w:val="center"/>
              <w:rPr>
                <w:rFonts w:ascii="宋体" w:hAnsi="宋体"/>
                <w:color w:val="auto"/>
                <w:highlight w:val="none"/>
                <w:u w:val="single"/>
              </w:rPr>
            </w:pPr>
            <w:r>
              <w:rPr>
                <w:rFonts w:hint="eastAsia" w:ascii="宋体" w:hAnsi="宋体"/>
                <w:color w:val="auto"/>
                <w:highlight w:val="none"/>
              </w:rPr>
              <w:t>监理工程师</w:t>
            </w:r>
          </w:p>
          <w:p w14:paraId="13ADE1D8">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c>
          <w:tcPr>
            <w:tcW w:w="4606" w:type="dxa"/>
            <w:tcBorders>
              <w:left w:val="nil"/>
            </w:tcBorders>
          </w:tcPr>
          <w:p w14:paraId="566599E2">
            <w:pPr>
              <w:spacing w:line="360" w:lineRule="exact"/>
              <w:rPr>
                <w:rFonts w:ascii="宋体" w:hAnsi="宋体"/>
                <w:color w:val="auto"/>
                <w:highlight w:val="none"/>
              </w:rPr>
            </w:pPr>
            <w:r>
              <w:rPr>
                <w:rFonts w:hint="eastAsia" w:ascii="宋体" w:hAnsi="宋体"/>
                <w:color w:val="auto"/>
                <w:highlight w:val="none"/>
              </w:rPr>
              <w:t>复核意见：</w:t>
            </w:r>
          </w:p>
          <w:p w14:paraId="4AD506E8">
            <w:pPr>
              <w:spacing w:line="360" w:lineRule="exact"/>
              <w:ind w:firstLine="435"/>
              <w:rPr>
                <w:rFonts w:ascii="宋体" w:hAnsi="宋体"/>
                <w:color w:val="auto"/>
                <w:highlight w:val="none"/>
              </w:rPr>
            </w:pPr>
            <w:r>
              <w:rPr>
                <w:rFonts w:hint="eastAsia" w:ascii="宋体" w:hAnsi="宋体"/>
                <w:color w:val="auto"/>
                <w:highlight w:val="none"/>
              </w:rPr>
              <w:t>你方提出的支付申请经复核，应支付预付款金额为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元，（小写）</w:t>
            </w:r>
          </w:p>
          <w:p w14:paraId="70250FCD">
            <w:pPr>
              <w:spacing w:line="360" w:lineRule="exact"/>
              <w:rPr>
                <w:rFonts w:ascii="宋体" w:hAnsi="宋体"/>
                <w:color w:val="auto"/>
                <w:highlight w:val="none"/>
              </w:rPr>
            </w:pPr>
            <w:r>
              <w:rPr>
                <w:rFonts w:hint="eastAsia" w:ascii="宋体" w:hAnsi="宋体"/>
                <w:color w:val="auto"/>
                <w:highlight w:val="none"/>
              </w:rPr>
              <w:t>元。</w:t>
            </w:r>
          </w:p>
          <w:p w14:paraId="4A2D951D">
            <w:pPr>
              <w:spacing w:line="360" w:lineRule="exact"/>
              <w:rPr>
                <w:rFonts w:ascii="宋体" w:hAnsi="宋体"/>
                <w:color w:val="auto"/>
                <w:highlight w:val="none"/>
                <w:u w:val="single"/>
              </w:rPr>
            </w:pPr>
          </w:p>
          <w:p w14:paraId="0055E329">
            <w:pPr>
              <w:spacing w:line="360" w:lineRule="exact"/>
              <w:ind w:firstLine="435"/>
              <w:jc w:val="center"/>
              <w:rPr>
                <w:rFonts w:ascii="宋体" w:hAnsi="宋体"/>
                <w:color w:val="auto"/>
                <w:highlight w:val="none"/>
                <w:u w:val="single"/>
              </w:rPr>
            </w:pPr>
            <w:r>
              <w:rPr>
                <w:rFonts w:hint="eastAsia" w:ascii="宋体" w:hAnsi="宋体"/>
                <w:color w:val="auto"/>
                <w:highlight w:val="none"/>
              </w:rPr>
              <w:t>造价工程师</w:t>
            </w:r>
          </w:p>
          <w:p w14:paraId="0B4EDC07">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r>
      <w:tr w14:paraId="34CC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185" w:type="dxa"/>
            <w:gridSpan w:val="2"/>
          </w:tcPr>
          <w:p w14:paraId="0DAD574E">
            <w:pPr>
              <w:spacing w:line="400" w:lineRule="exact"/>
              <w:rPr>
                <w:rFonts w:ascii="宋体" w:hAnsi="宋体"/>
                <w:color w:val="auto"/>
                <w:highlight w:val="none"/>
              </w:rPr>
            </w:pPr>
            <w:r>
              <w:rPr>
                <w:rFonts w:hint="eastAsia" w:ascii="宋体" w:hAnsi="宋体"/>
                <w:color w:val="auto"/>
                <w:highlight w:val="none"/>
              </w:rPr>
              <w:t>审核意见：</w:t>
            </w:r>
          </w:p>
          <w:p w14:paraId="74FC0A45">
            <w:pPr>
              <w:spacing w:line="400" w:lineRule="exact"/>
              <w:ind w:firstLine="435"/>
              <w:rPr>
                <w:rFonts w:ascii="宋体" w:hAnsi="宋体"/>
                <w:color w:val="auto"/>
                <w:highlight w:val="none"/>
              </w:rPr>
            </w:pPr>
            <w:r>
              <w:rPr>
                <w:rFonts w:hint="eastAsia" w:ascii="宋体" w:hAnsi="宋体"/>
                <w:color w:val="auto"/>
                <w:highlight w:val="none"/>
              </w:rPr>
              <w:t>□不同意。</w:t>
            </w:r>
          </w:p>
          <w:p w14:paraId="153AE6CA">
            <w:pPr>
              <w:spacing w:line="400" w:lineRule="exact"/>
              <w:ind w:firstLine="420" w:firstLineChars="200"/>
              <w:rPr>
                <w:rFonts w:ascii="宋体" w:hAnsi="宋体"/>
                <w:color w:val="auto"/>
                <w:highlight w:val="none"/>
              </w:rPr>
            </w:pPr>
            <w:r>
              <w:rPr>
                <w:rFonts w:hint="eastAsia" w:ascii="宋体" w:hAnsi="宋体"/>
                <w:color w:val="auto"/>
                <w:highlight w:val="none"/>
              </w:rPr>
              <w:t>□同意，支付时间为本表签发后的</w:t>
            </w:r>
            <w:r>
              <w:rPr>
                <w:rFonts w:ascii="宋体" w:hAnsi="宋体"/>
                <w:color w:val="auto"/>
                <w:highlight w:val="none"/>
              </w:rPr>
              <w:t>15</w:t>
            </w:r>
            <w:r>
              <w:rPr>
                <w:rFonts w:hint="eastAsia" w:ascii="宋体" w:hAnsi="宋体"/>
                <w:color w:val="auto"/>
                <w:highlight w:val="none"/>
              </w:rPr>
              <w:t>天内。</w:t>
            </w:r>
          </w:p>
          <w:p w14:paraId="2F7AFE8C">
            <w:pPr>
              <w:wordWrap w:val="0"/>
              <w:spacing w:line="400" w:lineRule="exact"/>
              <w:ind w:firstLine="420" w:firstLineChars="200"/>
              <w:jc w:val="right"/>
              <w:rPr>
                <w:rFonts w:ascii="宋体" w:hAnsi="宋体"/>
                <w:color w:val="auto"/>
                <w:highlight w:val="none"/>
              </w:rPr>
            </w:pPr>
            <w:r>
              <w:rPr>
                <w:rFonts w:hint="eastAsia" w:ascii="宋体" w:hAnsi="宋体"/>
                <w:color w:val="auto"/>
                <w:highlight w:val="none"/>
              </w:rPr>
              <w:t>发包人（章）</w:t>
            </w:r>
          </w:p>
          <w:p w14:paraId="7CD4867E">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发包人代表</w:t>
            </w:r>
          </w:p>
          <w:p w14:paraId="14502D2A">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日期</w:t>
            </w:r>
          </w:p>
        </w:tc>
      </w:tr>
    </w:tbl>
    <w:p w14:paraId="05B978C7">
      <w:pPr>
        <w:spacing w:beforeLines="50"/>
        <w:ind w:firstLine="360" w:firstLineChars="200"/>
        <w:rPr>
          <w:rFonts w:ascii="宋体" w:hAnsi="宋体"/>
          <w:color w:val="auto"/>
          <w:sz w:val="18"/>
          <w:szCs w:val="18"/>
          <w:highlight w:val="none"/>
        </w:rPr>
      </w:pPr>
      <w:r>
        <w:rPr>
          <w:rFonts w:hint="eastAsia" w:ascii="宋体" w:hAnsi="宋体"/>
          <w:color w:val="auto"/>
          <w:sz w:val="18"/>
          <w:szCs w:val="18"/>
          <w:highlight w:val="none"/>
        </w:rPr>
        <w:t>注：</w:t>
      </w:r>
      <w:r>
        <w:rPr>
          <w:rFonts w:ascii="宋体" w:hAnsi="宋体"/>
          <w:color w:val="auto"/>
          <w:sz w:val="18"/>
          <w:szCs w:val="18"/>
          <w:highlight w:val="none"/>
        </w:rPr>
        <w:t>1.</w:t>
      </w:r>
      <w:r>
        <w:rPr>
          <w:rFonts w:hint="eastAsia" w:ascii="宋体" w:hAnsi="宋体"/>
          <w:color w:val="auto"/>
          <w:sz w:val="18"/>
          <w:szCs w:val="18"/>
          <w:highlight w:val="none"/>
        </w:rPr>
        <w:t>在选择栏中的“□”内作标识“√”。</w:t>
      </w:r>
    </w:p>
    <w:p w14:paraId="41487BB2">
      <w:pPr>
        <w:spacing w:beforeLines="50"/>
        <w:ind w:left="720" w:hanging="720" w:hangingChars="400"/>
        <w:rPr>
          <w:rFonts w:ascii="宋体" w:hAnsi="宋体"/>
          <w:color w:val="auto"/>
          <w:sz w:val="18"/>
          <w:szCs w:val="18"/>
          <w:highlight w:val="none"/>
        </w:rPr>
      </w:pPr>
      <w:r>
        <w:rPr>
          <w:rFonts w:ascii="宋体" w:hAnsi="宋体"/>
          <w:color w:val="auto"/>
          <w:sz w:val="18"/>
          <w:szCs w:val="18"/>
          <w:highlight w:val="none"/>
        </w:rPr>
        <w:t xml:space="preserve">        2.</w:t>
      </w:r>
      <w:r>
        <w:rPr>
          <w:rFonts w:hint="eastAsia" w:ascii="宋体" w:hAnsi="宋体"/>
          <w:color w:val="auto"/>
          <w:sz w:val="18"/>
          <w:szCs w:val="18"/>
          <w:highlight w:val="none"/>
        </w:rPr>
        <w:t>本表一式四份，由承包人填报，发包人、监理人、造价咨询人、承包人各存一份。</w:t>
      </w:r>
    </w:p>
    <w:p w14:paraId="0A1C9460">
      <w:pPr>
        <w:rPr>
          <w:rFonts w:ascii="宋体" w:hAnsi="宋体"/>
          <w:color w:val="auto"/>
          <w:sz w:val="18"/>
          <w:szCs w:val="18"/>
          <w:highlight w:val="none"/>
        </w:rPr>
      </w:pPr>
      <w:r>
        <w:rPr>
          <w:rFonts w:hint="eastAsia" w:ascii="宋体" w:hAnsi="宋体"/>
          <w:color w:val="auto"/>
          <w:sz w:val="18"/>
          <w:szCs w:val="18"/>
          <w:highlight w:val="none"/>
        </w:rPr>
        <w:br w:type="page"/>
      </w:r>
    </w:p>
    <w:p w14:paraId="4E7DEBC8">
      <w:pPr>
        <w:spacing w:beforeLines="50"/>
        <w:ind w:left="1200" w:hanging="1200" w:hangingChars="400"/>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11</w:t>
      </w:r>
      <w:r>
        <w:rPr>
          <w:rFonts w:hint="eastAsia" w:ascii="宋体" w:hAnsi="宋体"/>
          <w:color w:val="auto"/>
          <w:sz w:val="30"/>
          <w:szCs w:val="30"/>
          <w:highlight w:val="none"/>
        </w:rPr>
        <w:t>：</w:t>
      </w:r>
    </w:p>
    <w:p w14:paraId="30E3C152">
      <w:pPr>
        <w:jc w:val="center"/>
        <w:rPr>
          <w:rFonts w:ascii="宋体" w:hAnsi="宋体"/>
          <w:b/>
          <w:bCs/>
          <w:color w:val="auto"/>
          <w:sz w:val="36"/>
          <w:szCs w:val="36"/>
          <w:highlight w:val="none"/>
        </w:rPr>
      </w:pPr>
      <w:r>
        <w:rPr>
          <w:rFonts w:hint="eastAsia" w:ascii="宋体" w:hAnsi="宋体"/>
          <w:b/>
          <w:bCs/>
          <w:color w:val="auto"/>
          <w:sz w:val="36"/>
          <w:szCs w:val="36"/>
          <w:highlight w:val="none"/>
        </w:rPr>
        <w:t>进度款支付申请（核准）表</w:t>
      </w:r>
    </w:p>
    <w:p w14:paraId="629E9B6C">
      <w:pPr>
        <w:rPr>
          <w:rFonts w:ascii="宋体" w:hAnsi="宋体"/>
          <w:color w:val="auto"/>
          <w:sz w:val="24"/>
          <w:szCs w:val="24"/>
          <w:highlight w:val="none"/>
        </w:rPr>
      </w:pPr>
      <w:r>
        <w:rPr>
          <w:rFonts w:hint="eastAsia" w:ascii="宋体" w:hAnsi="宋体"/>
          <w:color w:val="auto"/>
          <w:sz w:val="24"/>
          <w:szCs w:val="24"/>
          <w:highlight w:val="none"/>
        </w:rPr>
        <w:t>工程名称：编号：</w:t>
      </w:r>
    </w:p>
    <w:tbl>
      <w:tblPr>
        <w:tblStyle w:val="4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0"/>
        <w:gridCol w:w="4552"/>
      </w:tblGrid>
      <w:tr w14:paraId="6B3F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072" w:type="dxa"/>
            <w:gridSpan w:val="2"/>
          </w:tcPr>
          <w:p w14:paraId="314CACE4">
            <w:pPr>
              <w:spacing w:line="480" w:lineRule="exact"/>
              <w:ind w:left="525" w:leftChars="149" w:hanging="212" w:hangingChars="101"/>
              <w:rPr>
                <w:rFonts w:ascii="宋体" w:hAnsi="宋体"/>
                <w:color w:val="auto"/>
                <w:highlight w:val="none"/>
                <w:u w:val="single"/>
              </w:rPr>
            </w:pPr>
            <w:r>
              <w:rPr>
                <w:rFonts w:hint="eastAsia" w:ascii="宋体" w:hAnsi="宋体"/>
                <w:color w:val="auto"/>
                <w:highlight w:val="none"/>
              </w:rPr>
              <w:t>致：</w:t>
            </w:r>
            <w:r>
              <w:rPr>
                <w:rFonts w:hint="eastAsia" w:ascii="宋体" w:hAnsi="宋体"/>
                <w:color w:val="auto"/>
                <w:highlight w:val="none"/>
                <w:u w:val="single"/>
              </w:rPr>
              <w:t>（发包人全称）</w:t>
            </w:r>
          </w:p>
          <w:p w14:paraId="1457E3D6">
            <w:pPr>
              <w:spacing w:line="400" w:lineRule="exact"/>
              <w:ind w:left="-4" w:leftChars="-2" w:firstLine="315" w:firstLineChars="150"/>
              <w:rPr>
                <w:rFonts w:ascii="宋体" w:hAnsi="宋体"/>
                <w:color w:val="auto"/>
                <w:highlight w:val="none"/>
              </w:rPr>
            </w:pPr>
            <w:r>
              <w:rPr>
                <w:rFonts w:hint="eastAsia" w:ascii="宋体" w:hAnsi="宋体"/>
                <w:color w:val="auto"/>
                <w:highlight w:val="none"/>
              </w:rPr>
              <w:t>我方于至期间已完成了工作，根据施工合同的约定，现申请支付本期的合同款额为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w:t>
            </w:r>
            <w:r>
              <w:rPr>
                <w:rFonts w:ascii="宋体" w:hAnsi="宋体"/>
                <w:color w:val="auto"/>
                <w:highlight w:val="none"/>
              </w:rPr>
              <w:t>(</w:t>
            </w:r>
            <w:r>
              <w:rPr>
                <w:rFonts w:hint="eastAsia" w:ascii="宋体" w:hAnsi="宋体"/>
                <w:color w:val="auto"/>
                <w:highlight w:val="none"/>
              </w:rPr>
              <w:t>小写</w:t>
            </w:r>
            <w:r>
              <w:rPr>
                <w:rFonts w:ascii="宋体" w:hAnsi="宋体"/>
                <w:color w:val="auto"/>
                <w:highlight w:val="none"/>
              </w:rPr>
              <w:t>)</w:t>
            </w:r>
            <w:r>
              <w:rPr>
                <w:rFonts w:hint="eastAsia" w:ascii="宋体" w:hAnsi="宋体"/>
                <w:color w:val="auto"/>
                <w:highlight w:val="none"/>
              </w:rPr>
              <w:t>元，请予核准。</w:t>
            </w:r>
          </w:p>
          <w:tbl>
            <w:tblPr>
              <w:tblStyle w:val="47"/>
              <w:tblW w:w="884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340"/>
              <w:gridCol w:w="1340"/>
              <w:gridCol w:w="1440"/>
              <w:gridCol w:w="1260"/>
              <w:gridCol w:w="931"/>
            </w:tblGrid>
            <w:tr w14:paraId="274F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vAlign w:val="center"/>
                </w:tcPr>
                <w:p w14:paraId="0A10BFB1">
                  <w:pPr>
                    <w:spacing w:line="280" w:lineRule="exact"/>
                    <w:jc w:val="center"/>
                    <w:rPr>
                      <w:rFonts w:ascii="宋体" w:hAnsi="宋体"/>
                      <w:color w:val="auto"/>
                      <w:highlight w:val="none"/>
                    </w:rPr>
                  </w:pPr>
                  <w:r>
                    <w:rPr>
                      <w:rFonts w:hint="eastAsia" w:ascii="宋体" w:hAnsi="宋体"/>
                      <w:color w:val="auto"/>
                      <w:highlight w:val="none"/>
                    </w:rPr>
                    <w:t>序号</w:t>
                  </w:r>
                </w:p>
              </w:tc>
              <w:tc>
                <w:tcPr>
                  <w:tcW w:w="3340" w:type="dxa"/>
                  <w:tcBorders>
                    <w:top w:val="single" w:color="auto" w:sz="4" w:space="0"/>
                    <w:left w:val="single" w:color="auto" w:sz="4" w:space="0"/>
                    <w:bottom w:val="single" w:color="auto" w:sz="4" w:space="0"/>
                    <w:right w:val="single" w:color="auto" w:sz="4" w:space="0"/>
                  </w:tcBorders>
                  <w:vAlign w:val="center"/>
                </w:tcPr>
                <w:p w14:paraId="2C86AD7B">
                  <w:pPr>
                    <w:spacing w:line="280" w:lineRule="exact"/>
                    <w:jc w:val="center"/>
                    <w:rPr>
                      <w:rFonts w:ascii="宋体" w:hAnsi="宋体"/>
                      <w:color w:val="auto"/>
                      <w:highlight w:val="none"/>
                    </w:rPr>
                  </w:pPr>
                  <w:r>
                    <w:rPr>
                      <w:rFonts w:hint="eastAsia" w:ascii="宋体" w:hAnsi="宋体"/>
                      <w:color w:val="auto"/>
                      <w:highlight w:val="none"/>
                    </w:rPr>
                    <w:t>名称</w:t>
                  </w:r>
                </w:p>
              </w:tc>
              <w:tc>
                <w:tcPr>
                  <w:tcW w:w="1340" w:type="dxa"/>
                  <w:tcBorders>
                    <w:top w:val="single" w:color="auto" w:sz="4" w:space="0"/>
                    <w:left w:val="single" w:color="auto" w:sz="4" w:space="0"/>
                    <w:bottom w:val="single" w:color="auto" w:sz="4" w:space="0"/>
                    <w:right w:val="single" w:color="auto" w:sz="4" w:space="0"/>
                  </w:tcBorders>
                  <w:vAlign w:val="center"/>
                </w:tcPr>
                <w:p w14:paraId="636C4644">
                  <w:pPr>
                    <w:spacing w:line="280" w:lineRule="exact"/>
                    <w:jc w:val="center"/>
                    <w:rPr>
                      <w:rFonts w:ascii="宋体" w:hAnsi="宋体"/>
                      <w:color w:val="auto"/>
                      <w:highlight w:val="none"/>
                    </w:rPr>
                  </w:pPr>
                  <w:r>
                    <w:rPr>
                      <w:rFonts w:hint="eastAsia" w:ascii="宋体" w:hAnsi="宋体"/>
                      <w:color w:val="auto"/>
                      <w:highlight w:val="none"/>
                    </w:rPr>
                    <w:t>实际金额（元）</w:t>
                  </w:r>
                </w:p>
              </w:tc>
              <w:tc>
                <w:tcPr>
                  <w:tcW w:w="1440" w:type="dxa"/>
                  <w:tcBorders>
                    <w:top w:val="single" w:color="auto" w:sz="4" w:space="0"/>
                    <w:left w:val="single" w:color="auto" w:sz="4" w:space="0"/>
                    <w:bottom w:val="single" w:color="auto" w:sz="4" w:space="0"/>
                    <w:right w:val="single" w:color="auto" w:sz="4" w:space="0"/>
                  </w:tcBorders>
                  <w:vAlign w:val="center"/>
                </w:tcPr>
                <w:p w14:paraId="1BAF7D1D">
                  <w:pPr>
                    <w:spacing w:line="280" w:lineRule="exact"/>
                    <w:jc w:val="center"/>
                    <w:rPr>
                      <w:rFonts w:ascii="宋体" w:hAnsi="宋体"/>
                      <w:color w:val="auto"/>
                      <w:highlight w:val="none"/>
                    </w:rPr>
                  </w:pPr>
                  <w:r>
                    <w:rPr>
                      <w:rFonts w:hint="eastAsia" w:ascii="宋体" w:hAnsi="宋体"/>
                      <w:color w:val="auto"/>
                      <w:highlight w:val="none"/>
                    </w:rPr>
                    <w:t>申请金额（元）</w:t>
                  </w:r>
                </w:p>
              </w:tc>
              <w:tc>
                <w:tcPr>
                  <w:tcW w:w="1260" w:type="dxa"/>
                  <w:tcBorders>
                    <w:top w:val="single" w:color="auto" w:sz="4" w:space="0"/>
                    <w:left w:val="single" w:color="auto" w:sz="4" w:space="0"/>
                    <w:bottom w:val="single" w:color="auto" w:sz="4" w:space="0"/>
                    <w:right w:val="single" w:color="auto" w:sz="4" w:space="0"/>
                  </w:tcBorders>
                  <w:vAlign w:val="center"/>
                </w:tcPr>
                <w:p w14:paraId="46264055">
                  <w:pPr>
                    <w:spacing w:line="280" w:lineRule="exact"/>
                    <w:jc w:val="center"/>
                    <w:rPr>
                      <w:rFonts w:ascii="宋体" w:hAnsi="宋体"/>
                      <w:color w:val="auto"/>
                      <w:highlight w:val="none"/>
                    </w:rPr>
                  </w:pPr>
                  <w:r>
                    <w:rPr>
                      <w:rFonts w:hint="eastAsia" w:ascii="宋体" w:hAnsi="宋体"/>
                      <w:color w:val="auto"/>
                      <w:highlight w:val="none"/>
                    </w:rPr>
                    <w:t>复核金额（元）</w:t>
                  </w:r>
                </w:p>
              </w:tc>
              <w:tc>
                <w:tcPr>
                  <w:tcW w:w="931" w:type="dxa"/>
                  <w:tcBorders>
                    <w:top w:val="single" w:color="auto" w:sz="4" w:space="0"/>
                    <w:left w:val="single" w:color="auto" w:sz="4" w:space="0"/>
                    <w:bottom w:val="single" w:color="auto" w:sz="4" w:space="0"/>
                    <w:right w:val="single" w:color="auto" w:sz="4" w:space="0"/>
                  </w:tcBorders>
                  <w:vAlign w:val="center"/>
                </w:tcPr>
                <w:p w14:paraId="4523ED47">
                  <w:pPr>
                    <w:spacing w:line="280" w:lineRule="exact"/>
                    <w:jc w:val="center"/>
                    <w:rPr>
                      <w:rFonts w:ascii="宋体" w:hAnsi="宋体"/>
                      <w:color w:val="auto"/>
                      <w:highlight w:val="none"/>
                    </w:rPr>
                  </w:pPr>
                  <w:r>
                    <w:rPr>
                      <w:rFonts w:hint="eastAsia" w:ascii="宋体" w:hAnsi="宋体"/>
                      <w:color w:val="auto"/>
                      <w:highlight w:val="none"/>
                    </w:rPr>
                    <w:t>备注</w:t>
                  </w:r>
                </w:p>
              </w:tc>
            </w:tr>
            <w:tr w14:paraId="6CD4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21CB2A62">
                  <w:pPr>
                    <w:spacing w:line="280" w:lineRule="exact"/>
                    <w:jc w:val="center"/>
                    <w:rPr>
                      <w:rFonts w:ascii="宋体" w:hAnsi="宋体"/>
                      <w:color w:val="auto"/>
                      <w:highlight w:val="none"/>
                    </w:rPr>
                  </w:pPr>
                  <w:r>
                    <w:rPr>
                      <w:rFonts w:ascii="宋体" w:hAnsi="宋体"/>
                      <w:color w:val="auto"/>
                      <w:highlight w:val="none"/>
                    </w:rPr>
                    <w:t>1</w:t>
                  </w:r>
                </w:p>
              </w:tc>
              <w:tc>
                <w:tcPr>
                  <w:tcW w:w="3340" w:type="dxa"/>
                  <w:tcBorders>
                    <w:top w:val="single" w:color="auto" w:sz="4" w:space="0"/>
                    <w:left w:val="single" w:color="auto" w:sz="4" w:space="0"/>
                    <w:bottom w:val="single" w:color="auto" w:sz="4" w:space="0"/>
                    <w:right w:val="single" w:color="auto" w:sz="4" w:space="0"/>
                  </w:tcBorders>
                </w:tcPr>
                <w:p w14:paraId="7D2406D1">
                  <w:pPr>
                    <w:spacing w:line="280" w:lineRule="exact"/>
                    <w:rPr>
                      <w:rFonts w:ascii="宋体" w:hAnsi="宋体"/>
                      <w:color w:val="auto"/>
                      <w:highlight w:val="none"/>
                    </w:rPr>
                  </w:pPr>
                  <w:r>
                    <w:rPr>
                      <w:rFonts w:hint="eastAsia" w:ascii="宋体" w:hAnsi="宋体"/>
                      <w:color w:val="auto"/>
                      <w:highlight w:val="none"/>
                    </w:rPr>
                    <w:t>累计已完成的工程价款</w:t>
                  </w:r>
                </w:p>
              </w:tc>
              <w:tc>
                <w:tcPr>
                  <w:tcW w:w="1340" w:type="dxa"/>
                  <w:tcBorders>
                    <w:top w:val="single" w:color="auto" w:sz="4" w:space="0"/>
                    <w:left w:val="single" w:color="auto" w:sz="4" w:space="0"/>
                    <w:bottom w:val="single" w:color="auto" w:sz="4" w:space="0"/>
                    <w:right w:val="single" w:color="auto" w:sz="4" w:space="0"/>
                  </w:tcBorders>
                </w:tcPr>
                <w:p w14:paraId="2EF5B221">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6EF1A00D">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19CBDF71">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0D701302">
                  <w:pPr>
                    <w:spacing w:line="280" w:lineRule="exact"/>
                    <w:rPr>
                      <w:rFonts w:ascii="宋体" w:hAnsi="宋体"/>
                      <w:color w:val="auto"/>
                      <w:highlight w:val="none"/>
                    </w:rPr>
                  </w:pPr>
                </w:p>
              </w:tc>
            </w:tr>
            <w:tr w14:paraId="702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7109E042">
                  <w:pPr>
                    <w:spacing w:line="280" w:lineRule="exact"/>
                    <w:jc w:val="center"/>
                    <w:rPr>
                      <w:rFonts w:ascii="宋体" w:hAnsi="宋体"/>
                      <w:color w:val="auto"/>
                      <w:highlight w:val="none"/>
                    </w:rPr>
                  </w:pPr>
                </w:p>
              </w:tc>
              <w:tc>
                <w:tcPr>
                  <w:tcW w:w="3340" w:type="dxa"/>
                  <w:tcBorders>
                    <w:top w:val="single" w:color="auto" w:sz="4" w:space="0"/>
                    <w:left w:val="single" w:color="auto" w:sz="4" w:space="0"/>
                    <w:bottom w:val="single" w:color="auto" w:sz="4" w:space="0"/>
                    <w:right w:val="single" w:color="auto" w:sz="4" w:space="0"/>
                  </w:tcBorders>
                </w:tcPr>
                <w:p w14:paraId="77A03E27">
                  <w:pPr>
                    <w:spacing w:line="280" w:lineRule="exact"/>
                    <w:rPr>
                      <w:rFonts w:ascii="宋体" w:hAnsi="宋体"/>
                      <w:color w:val="auto"/>
                      <w:highlight w:val="none"/>
                    </w:rPr>
                  </w:pPr>
                  <w:r>
                    <w:rPr>
                      <w:rFonts w:hint="eastAsia" w:ascii="宋体" w:hAnsi="宋体"/>
                      <w:color w:val="auto"/>
                      <w:highlight w:val="none"/>
                    </w:rPr>
                    <w:t>其中：人工费</w:t>
                  </w:r>
                </w:p>
              </w:tc>
              <w:tc>
                <w:tcPr>
                  <w:tcW w:w="1340" w:type="dxa"/>
                  <w:tcBorders>
                    <w:top w:val="single" w:color="auto" w:sz="4" w:space="0"/>
                    <w:left w:val="single" w:color="auto" w:sz="4" w:space="0"/>
                    <w:bottom w:val="single" w:color="auto" w:sz="4" w:space="0"/>
                    <w:right w:val="single" w:color="auto" w:sz="4" w:space="0"/>
                  </w:tcBorders>
                </w:tcPr>
                <w:p w14:paraId="258F68EC">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7137B7AC">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7A20F585">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7866D390">
                  <w:pPr>
                    <w:spacing w:line="280" w:lineRule="exact"/>
                    <w:rPr>
                      <w:rFonts w:ascii="宋体" w:hAnsi="宋体"/>
                      <w:color w:val="auto"/>
                      <w:highlight w:val="none"/>
                    </w:rPr>
                  </w:pPr>
                </w:p>
              </w:tc>
            </w:tr>
            <w:tr w14:paraId="4AE5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52FBD0B6">
                  <w:pPr>
                    <w:spacing w:line="280" w:lineRule="exact"/>
                    <w:jc w:val="center"/>
                    <w:rPr>
                      <w:rFonts w:ascii="宋体" w:hAnsi="宋体"/>
                      <w:color w:val="auto"/>
                      <w:highlight w:val="none"/>
                    </w:rPr>
                  </w:pPr>
                  <w:r>
                    <w:rPr>
                      <w:rFonts w:ascii="宋体" w:hAnsi="宋体"/>
                      <w:color w:val="auto"/>
                      <w:highlight w:val="none"/>
                    </w:rPr>
                    <w:t>2</w:t>
                  </w:r>
                </w:p>
              </w:tc>
              <w:tc>
                <w:tcPr>
                  <w:tcW w:w="3340" w:type="dxa"/>
                  <w:tcBorders>
                    <w:top w:val="single" w:color="auto" w:sz="4" w:space="0"/>
                    <w:left w:val="single" w:color="auto" w:sz="4" w:space="0"/>
                    <w:bottom w:val="single" w:color="auto" w:sz="4" w:space="0"/>
                    <w:right w:val="single" w:color="auto" w:sz="4" w:space="0"/>
                  </w:tcBorders>
                </w:tcPr>
                <w:p w14:paraId="486DE154">
                  <w:pPr>
                    <w:spacing w:line="280" w:lineRule="exact"/>
                    <w:rPr>
                      <w:rFonts w:ascii="宋体" w:hAnsi="宋体"/>
                      <w:color w:val="auto"/>
                      <w:highlight w:val="none"/>
                    </w:rPr>
                  </w:pPr>
                  <w:r>
                    <w:rPr>
                      <w:rFonts w:hint="eastAsia" w:ascii="宋体" w:hAnsi="宋体"/>
                      <w:color w:val="auto"/>
                      <w:highlight w:val="none"/>
                    </w:rPr>
                    <w:t>累计已实际支付的工程价款</w:t>
                  </w:r>
                </w:p>
              </w:tc>
              <w:tc>
                <w:tcPr>
                  <w:tcW w:w="1340" w:type="dxa"/>
                  <w:tcBorders>
                    <w:top w:val="single" w:color="auto" w:sz="4" w:space="0"/>
                    <w:left w:val="single" w:color="auto" w:sz="4" w:space="0"/>
                    <w:bottom w:val="single" w:color="auto" w:sz="4" w:space="0"/>
                    <w:right w:val="single" w:color="auto" w:sz="4" w:space="0"/>
                  </w:tcBorders>
                </w:tcPr>
                <w:p w14:paraId="2F28D087">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54013348">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09941F1D">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0947717E">
                  <w:pPr>
                    <w:spacing w:line="280" w:lineRule="exact"/>
                    <w:rPr>
                      <w:rFonts w:ascii="宋体" w:hAnsi="宋体"/>
                      <w:color w:val="auto"/>
                      <w:highlight w:val="none"/>
                    </w:rPr>
                  </w:pPr>
                </w:p>
              </w:tc>
            </w:tr>
            <w:tr w14:paraId="7D8B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087FA577">
                  <w:pPr>
                    <w:spacing w:line="280" w:lineRule="exact"/>
                    <w:jc w:val="center"/>
                    <w:rPr>
                      <w:rFonts w:ascii="宋体" w:hAnsi="宋体"/>
                      <w:color w:val="auto"/>
                      <w:highlight w:val="none"/>
                    </w:rPr>
                  </w:pPr>
                </w:p>
              </w:tc>
              <w:tc>
                <w:tcPr>
                  <w:tcW w:w="3340" w:type="dxa"/>
                  <w:tcBorders>
                    <w:top w:val="single" w:color="auto" w:sz="4" w:space="0"/>
                    <w:left w:val="single" w:color="auto" w:sz="4" w:space="0"/>
                    <w:bottom w:val="single" w:color="auto" w:sz="4" w:space="0"/>
                    <w:right w:val="single" w:color="auto" w:sz="4" w:space="0"/>
                  </w:tcBorders>
                </w:tcPr>
                <w:p w14:paraId="2CF9904B">
                  <w:pPr>
                    <w:spacing w:line="280" w:lineRule="exact"/>
                    <w:rPr>
                      <w:rFonts w:ascii="宋体" w:hAnsi="宋体"/>
                      <w:color w:val="auto"/>
                      <w:highlight w:val="none"/>
                    </w:rPr>
                  </w:pPr>
                  <w:r>
                    <w:rPr>
                      <w:rFonts w:hint="eastAsia" w:ascii="宋体" w:hAnsi="宋体"/>
                      <w:color w:val="auto"/>
                      <w:highlight w:val="none"/>
                    </w:rPr>
                    <w:t>其中：人工费</w:t>
                  </w:r>
                </w:p>
              </w:tc>
              <w:tc>
                <w:tcPr>
                  <w:tcW w:w="1340" w:type="dxa"/>
                  <w:tcBorders>
                    <w:top w:val="single" w:color="auto" w:sz="4" w:space="0"/>
                    <w:left w:val="single" w:color="auto" w:sz="4" w:space="0"/>
                    <w:bottom w:val="single" w:color="auto" w:sz="4" w:space="0"/>
                    <w:right w:val="single" w:color="auto" w:sz="4" w:space="0"/>
                  </w:tcBorders>
                </w:tcPr>
                <w:p w14:paraId="688AF8C6">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1D211773">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3B57F324">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6EF39307">
                  <w:pPr>
                    <w:spacing w:line="280" w:lineRule="exact"/>
                    <w:rPr>
                      <w:rFonts w:ascii="宋体" w:hAnsi="宋体"/>
                      <w:color w:val="auto"/>
                      <w:highlight w:val="none"/>
                    </w:rPr>
                  </w:pPr>
                </w:p>
              </w:tc>
            </w:tr>
            <w:tr w14:paraId="43BD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14382453">
                  <w:pPr>
                    <w:spacing w:line="280" w:lineRule="exact"/>
                    <w:jc w:val="center"/>
                    <w:rPr>
                      <w:rFonts w:ascii="宋体" w:hAnsi="宋体"/>
                      <w:color w:val="auto"/>
                      <w:highlight w:val="none"/>
                    </w:rPr>
                  </w:pPr>
                  <w:r>
                    <w:rPr>
                      <w:rFonts w:ascii="宋体" w:hAnsi="宋体"/>
                      <w:color w:val="auto"/>
                      <w:highlight w:val="none"/>
                    </w:rPr>
                    <w:t>3</w:t>
                  </w:r>
                </w:p>
              </w:tc>
              <w:tc>
                <w:tcPr>
                  <w:tcW w:w="3340" w:type="dxa"/>
                  <w:tcBorders>
                    <w:top w:val="single" w:color="auto" w:sz="4" w:space="0"/>
                    <w:left w:val="single" w:color="auto" w:sz="4" w:space="0"/>
                    <w:bottom w:val="single" w:color="auto" w:sz="4" w:space="0"/>
                    <w:right w:val="single" w:color="auto" w:sz="4" w:space="0"/>
                  </w:tcBorders>
                </w:tcPr>
                <w:p w14:paraId="7F84A875">
                  <w:pPr>
                    <w:spacing w:line="280" w:lineRule="exact"/>
                    <w:rPr>
                      <w:rFonts w:ascii="宋体" w:hAnsi="宋体"/>
                      <w:color w:val="auto"/>
                      <w:highlight w:val="none"/>
                    </w:rPr>
                  </w:pPr>
                  <w:r>
                    <w:rPr>
                      <w:rFonts w:hint="eastAsia" w:ascii="宋体" w:hAnsi="宋体"/>
                      <w:color w:val="auto"/>
                      <w:highlight w:val="none"/>
                    </w:rPr>
                    <w:t>本周期已完成的工程价款</w:t>
                  </w:r>
                </w:p>
              </w:tc>
              <w:tc>
                <w:tcPr>
                  <w:tcW w:w="1340" w:type="dxa"/>
                  <w:tcBorders>
                    <w:top w:val="single" w:color="auto" w:sz="4" w:space="0"/>
                    <w:left w:val="single" w:color="auto" w:sz="4" w:space="0"/>
                    <w:bottom w:val="single" w:color="auto" w:sz="4" w:space="0"/>
                    <w:right w:val="single" w:color="auto" w:sz="4" w:space="0"/>
                  </w:tcBorders>
                </w:tcPr>
                <w:p w14:paraId="1B89F599">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0B34C398">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38ACC17F">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4CA60CDA">
                  <w:pPr>
                    <w:spacing w:line="280" w:lineRule="exact"/>
                    <w:rPr>
                      <w:rFonts w:ascii="宋体" w:hAnsi="宋体"/>
                      <w:color w:val="auto"/>
                      <w:highlight w:val="none"/>
                    </w:rPr>
                  </w:pPr>
                </w:p>
              </w:tc>
            </w:tr>
            <w:tr w14:paraId="47EF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2D889E68">
                  <w:pPr>
                    <w:spacing w:line="280" w:lineRule="exact"/>
                    <w:jc w:val="center"/>
                    <w:rPr>
                      <w:rFonts w:ascii="宋体" w:hAnsi="宋体"/>
                      <w:color w:val="auto"/>
                      <w:highlight w:val="none"/>
                    </w:rPr>
                  </w:pPr>
                </w:p>
              </w:tc>
              <w:tc>
                <w:tcPr>
                  <w:tcW w:w="3340" w:type="dxa"/>
                  <w:tcBorders>
                    <w:top w:val="single" w:color="auto" w:sz="4" w:space="0"/>
                    <w:left w:val="single" w:color="auto" w:sz="4" w:space="0"/>
                    <w:bottom w:val="single" w:color="auto" w:sz="4" w:space="0"/>
                    <w:right w:val="single" w:color="auto" w:sz="4" w:space="0"/>
                  </w:tcBorders>
                </w:tcPr>
                <w:p w14:paraId="7816106A">
                  <w:pPr>
                    <w:spacing w:line="280" w:lineRule="exact"/>
                    <w:rPr>
                      <w:rFonts w:ascii="宋体" w:hAnsi="宋体"/>
                      <w:color w:val="auto"/>
                      <w:highlight w:val="none"/>
                    </w:rPr>
                  </w:pPr>
                  <w:r>
                    <w:rPr>
                      <w:rFonts w:hint="eastAsia" w:ascii="宋体" w:hAnsi="宋体"/>
                      <w:color w:val="auto"/>
                      <w:highlight w:val="none"/>
                    </w:rPr>
                    <w:t>其中：人工费</w:t>
                  </w:r>
                </w:p>
              </w:tc>
              <w:tc>
                <w:tcPr>
                  <w:tcW w:w="1340" w:type="dxa"/>
                  <w:tcBorders>
                    <w:top w:val="single" w:color="auto" w:sz="4" w:space="0"/>
                    <w:left w:val="single" w:color="auto" w:sz="4" w:space="0"/>
                    <w:bottom w:val="single" w:color="auto" w:sz="4" w:space="0"/>
                    <w:right w:val="single" w:color="auto" w:sz="4" w:space="0"/>
                  </w:tcBorders>
                </w:tcPr>
                <w:p w14:paraId="7D25FB4D">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672010D9">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18FA7D42">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2AA48B0D">
                  <w:pPr>
                    <w:spacing w:line="280" w:lineRule="exact"/>
                    <w:rPr>
                      <w:rFonts w:ascii="宋体" w:hAnsi="宋体"/>
                      <w:color w:val="auto"/>
                      <w:highlight w:val="none"/>
                    </w:rPr>
                  </w:pPr>
                </w:p>
              </w:tc>
            </w:tr>
            <w:tr w14:paraId="2222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BBB6691">
                  <w:pPr>
                    <w:spacing w:line="280" w:lineRule="exact"/>
                    <w:jc w:val="center"/>
                    <w:rPr>
                      <w:rFonts w:ascii="宋体" w:hAnsi="宋体"/>
                      <w:color w:val="auto"/>
                      <w:highlight w:val="none"/>
                    </w:rPr>
                  </w:pPr>
                  <w:r>
                    <w:rPr>
                      <w:rFonts w:ascii="宋体" w:hAnsi="宋体"/>
                      <w:color w:val="auto"/>
                      <w:highlight w:val="none"/>
                    </w:rPr>
                    <w:t>4</w:t>
                  </w:r>
                </w:p>
              </w:tc>
              <w:tc>
                <w:tcPr>
                  <w:tcW w:w="3340" w:type="dxa"/>
                  <w:tcBorders>
                    <w:top w:val="single" w:color="auto" w:sz="4" w:space="0"/>
                    <w:left w:val="single" w:color="auto" w:sz="4" w:space="0"/>
                    <w:bottom w:val="single" w:color="auto" w:sz="4" w:space="0"/>
                    <w:right w:val="single" w:color="auto" w:sz="4" w:space="0"/>
                  </w:tcBorders>
                </w:tcPr>
                <w:p w14:paraId="7F1D8180">
                  <w:pPr>
                    <w:spacing w:line="280" w:lineRule="exact"/>
                    <w:rPr>
                      <w:rFonts w:ascii="宋体" w:hAnsi="宋体"/>
                      <w:color w:val="auto"/>
                      <w:highlight w:val="none"/>
                    </w:rPr>
                  </w:pPr>
                  <w:r>
                    <w:rPr>
                      <w:rFonts w:hint="eastAsia" w:ascii="宋体" w:hAnsi="宋体"/>
                      <w:color w:val="auto"/>
                      <w:highlight w:val="none"/>
                    </w:rPr>
                    <w:t>本周期应扣减的金额</w:t>
                  </w:r>
                </w:p>
              </w:tc>
              <w:tc>
                <w:tcPr>
                  <w:tcW w:w="1340" w:type="dxa"/>
                  <w:tcBorders>
                    <w:top w:val="single" w:color="auto" w:sz="4" w:space="0"/>
                    <w:left w:val="single" w:color="auto" w:sz="4" w:space="0"/>
                    <w:bottom w:val="single" w:color="auto" w:sz="4" w:space="0"/>
                    <w:right w:val="single" w:color="auto" w:sz="4" w:space="0"/>
                  </w:tcBorders>
                </w:tcPr>
                <w:p w14:paraId="1D48D828">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5F568422">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3F97E9A2">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75A9A404">
                  <w:pPr>
                    <w:spacing w:line="280" w:lineRule="exact"/>
                    <w:rPr>
                      <w:rFonts w:ascii="宋体" w:hAnsi="宋体"/>
                      <w:color w:val="auto"/>
                      <w:highlight w:val="none"/>
                    </w:rPr>
                  </w:pPr>
                </w:p>
              </w:tc>
            </w:tr>
            <w:tr w14:paraId="4E06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5C7BDDF5">
                  <w:pPr>
                    <w:spacing w:line="280" w:lineRule="exact"/>
                    <w:jc w:val="center"/>
                    <w:rPr>
                      <w:rFonts w:ascii="宋体" w:hAnsi="宋体"/>
                      <w:color w:val="auto"/>
                      <w:highlight w:val="none"/>
                    </w:rPr>
                  </w:pPr>
                  <w:r>
                    <w:rPr>
                      <w:rFonts w:ascii="宋体" w:hAnsi="宋体"/>
                      <w:color w:val="auto"/>
                      <w:highlight w:val="none"/>
                    </w:rPr>
                    <w:t>4.1</w:t>
                  </w:r>
                </w:p>
              </w:tc>
              <w:tc>
                <w:tcPr>
                  <w:tcW w:w="3340" w:type="dxa"/>
                  <w:tcBorders>
                    <w:top w:val="single" w:color="auto" w:sz="4" w:space="0"/>
                    <w:left w:val="single" w:color="auto" w:sz="4" w:space="0"/>
                    <w:bottom w:val="single" w:color="auto" w:sz="4" w:space="0"/>
                    <w:right w:val="single" w:color="auto" w:sz="4" w:space="0"/>
                  </w:tcBorders>
                </w:tcPr>
                <w:p w14:paraId="33AF2697">
                  <w:pPr>
                    <w:spacing w:line="280" w:lineRule="exact"/>
                    <w:rPr>
                      <w:rFonts w:ascii="宋体" w:hAnsi="宋体"/>
                      <w:color w:val="auto"/>
                      <w:highlight w:val="none"/>
                    </w:rPr>
                  </w:pPr>
                  <w:r>
                    <w:rPr>
                      <w:rFonts w:hint="eastAsia" w:ascii="宋体" w:hAnsi="宋体"/>
                      <w:color w:val="auto"/>
                      <w:highlight w:val="none"/>
                    </w:rPr>
                    <w:t>本周期实际应抵扣的预付款</w:t>
                  </w:r>
                </w:p>
              </w:tc>
              <w:tc>
                <w:tcPr>
                  <w:tcW w:w="1340" w:type="dxa"/>
                  <w:tcBorders>
                    <w:top w:val="single" w:color="auto" w:sz="4" w:space="0"/>
                    <w:left w:val="single" w:color="auto" w:sz="4" w:space="0"/>
                    <w:bottom w:val="single" w:color="auto" w:sz="4" w:space="0"/>
                    <w:right w:val="single" w:color="auto" w:sz="4" w:space="0"/>
                  </w:tcBorders>
                </w:tcPr>
                <w:p w14:paraId="522DEA7C">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396746BC">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2E9CA3B9">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28C6A470">
                  <w:pPr>
                    <w:spacing w:line="280" w:lineRule="exact"/>
                    <w:rPr>
                      <w:rFonts w:ascii="宋体" w:hAnsi="宋体"/>
                      <w:color w:val="auto"/>
                      <w:highlight w:val="none"/>
                    </w:rPr>
                  </w:pPr>
                </w:p>
              </w:tc>
            </w:tr>
            <w:tr w14:paraId="6E95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6231F6FD">
                  <w:pPr>
                    <w:spacing w:line="280" w:lineRule="exact"/>
                    <w:jc w:val="center"/>
                    <w:rPr>
                      <w:rFonts w:ascii="宋体" w:hAnsi="宋体"/>
                      <w:color w:val="auto"/>
                      <w:highlight w:val="none"/>
                    </w:rPr>
                  </w:pPr>
                  <w:r>
                    <w:rPr>
                      <w:rFonts w:ascii="宋体" w:hAnsi="宋体"/>
                      <w:color w:val="auto"/>
                      <w:highlight w:val="none"/>
                    </w:rPr>
                    <w:t>4.2</w:t>
                  </w:r>
                </w:p>
              </w:tc>
              <w:tc>
                <w:tcPr>
                  <w:tcW w:w="3340" w:type="dxa"/>
                  <w:tcBorders>
                    <w:top w:val="single" w:color="auto" w:sz="4" w:space="0"/>
                    <w:left w:val="single" w:color="auto" w:sz="4" w:space="0"/>
                    <w:bottom w:val="single" w:color="auto" w:sz="4" w:space="0"/>
                    <w:right w:val="single" w:color="auto" w:sz="4" w:space="0"/>
                  </w:tcBorders>
                </w:tcPr>
                <w:p w14:paraId="3CD31678">
                  <w:pPr>
                    <w:spacing w:line="280" w:lineRule="exact"/>
                    <w:rPr>
                      <w:rFonts w:ascii="宋体" w:hAnsi="宋体"/>
                      <w:color w:val="auto"/>
                      <w:highlight w:val="none"/>
                    </w:rPr>
                  </w:pPr>
                  <w:r>
                    <w:rPr>
                      <w:rFonts w:hint="eastAsia" w:ascii="宋体" w:hAnsi="宋体"/>
                      <w:color w:val="auto"/>
                      <w:highlight w:val="none"/>
                    </w:rPr>
                    <w:t>本周期应扣减的金额</w:t>
                  </w:r>
                </w:p>
              </w:tc>
              <w:tc>
                <w:tcPr>
                  <w:tcW w:w="1340" w:type="dxa"/>
                  <w:tcBorders>
                    <w:top w:val="single" w:color="auto" w:sz="4" w:space="0"/>
                    <w:left w:val="single" w:color="auto" w:sz="4" w:space="0"/>
                    <w:bottom w:val="single" w:color="auto" w:sz="4" w:space="0"/>
                    <w:right w:val="single" w:color="auto" w:sz="4" w:space="0"/>
                  </w:tcBorders>
                </w:tcPr>
                <w:p w14:paraId="594DB0CD">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31D36B92">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66FEA1C0">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181FB685">
                  <w:pPr>
                    <w:spacing w:line="280" w:lineRule="exact"/>
                    <w:rPr>
                      <w:rFonts w:ascii="宋体" w:hAnsi="宋体"/>
                      <w:color w:val="auto"/>
                      <w:highlight w:val="none"/>
                    </w:rPr>
                  </w:pPr>
                </w:p>
              </w:tc>
            </w:tr>
            <w:tr w14:paraId="0E2F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141771BC">
                  <w:pPr>
                    <w:spacing w:line="280" w:lineRule="exact"/>
                    <w:jc w:val="center"/>
                    <w:rPr>
                      <w:rFonts w:ascii="宋体" w:hAnsi="宋体"/>
                      <w:color w:val="auto"/>
                      <w:highlight w:val="none"/>
                    </w:rPr>
                  </w:pPr>
                  <w:r>
                    <w:rPr>
                      <w:rFonts w:ascii="宋体" w:hAnsi="宋体"/>
                      <w:color w:val="auto"/>
                      <w:highlight w:val="none"/>
                    </w:rPr>
                    <w:t>5</w:t>
                  </w:r>
                </w:p>
              </w:tc>
              <w:tc>
                <w:tcPr>
                  <w:tcW w:w="3340" w:type="dxa"/>
                  <w:tcBorders>
                    <w:top w:val="single" w:color="auto" w:sz="4" w:space="0"/>
                    <w:left w:val="single" w:color="auto" w:sz="4" w:space="0"/>
                    <w:bottom w:val="single" w:color="auto" w:sz="4" w:space="0"/>
                    <w:right w:val="single" w:color="auto" w:sz="4" w:space="0"/>
                  </w:tcBorders>
                </w:tcPr>
                <w:p w14:paraId="7B1210C5">
                  <w:pPr>
                    <w:spacing w:line="280" w:lineRule="exact"/>
                    <w:rPr>
                      <w:rFonts w:ascii="宋体" w:hAnsi="宋体"/>
                      <w:color w:val="auto"/>
                      <w:highlight w:val="none"/>
                    </w:rPr>
                  </w:pPr>
                  <w:r>
                    <w:rPr>
                      <w:rFonts w:hint="eastAsia" w:ascii="宋体" w:hAnsi="宋体"/>
                      <w:color w:val="auto"/>
                      <w:highlight w:val="none"/>
                    </w:rPr>
                    <w:t>本周期应支付的合同价款</w:t>
                  </w:r>
                </w:p>
              </w:tc>
              <w:tc>
                <w:tcPr>
                  <w:tcW w:w="1340" w:type="dxa"/>
                  <w:tcBorders>
                    <w:top w:val="single" w:color="auto" w:sz="4" w:space="0"/>
                    <w:left w:val="single" w:color="auto" w:sz="4" w:space="0"/>
                    <w:bottom w:val="single" w:color="auto" w:sz="4" w:space="0"/>
                    <w:right w:val="single" w:color="auto" w:sz="4" w:space="0"/>
                  </w:tcBorders>
                </w:tcPr>
                <w:p w14:paraId="446A0D3E">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4F806577">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0BF54ADD">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1453B205">
                  <w:pPr>
                    <w:spacing w:line="280" w:lineRule="exact"/>
                    <w:rPr>
                      <w:rFonts w:ascii="宋体" w:hAnsi="宋体"/>
                      <w:color w:val="auto"/>
                      <w:highlight w:val="none"/>
                    </w:rPr>
                  </w:pPr>
                </w:p>
              </w:tc>
            </w:tr>
            <w:tr w14:paraId="4370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12B8A58F">
                  <w:pPr>
                    <w:spacing w:line="280" w:lineRule="exact"/>
                    <w:jc w:val="center"/>
                    <w:rPr>
                      <w:rFonts w:ascii="宋体" w:hAnsi="宋体"/>
                      <w:color w:val="auto"/>
                      <w:highlight w:val="none"/>
                    </w:rPr>
                  </w:pPr>
                </w:p>
              </w:tc>
              <w:tc>
                <w:tcPr>
                  <w:tcW w:w="3340" w:type="dxa"/>
                  <w:tcBorders>
                    <w:top w:val="single" w:color="auto" w:sz="4" w:space="0"/>
                    <w:left w:val="single" w:color="auto" w:sz="4" w:space="0"/>
                    <w:bottom w:val="single" w:color="auto" w:sz="4" w:space="0"/>
                    <w:right w:val="single" w:color="auto" w:sz="4" w:space="0"/>
                  </w:tcBorders>
                </w:tcPr>
                <w:p w14:paraId="01FDCE20">
                  <w:pPr>
                    <w:spacing w:line="280" w:lineRule="exact"/>
                    <w:rPr>
                      <w:rFonts w:ascii="宋体" w:hAnsi="宋体"/>
                      <w:color w:val="auto"/>
                      <w:highlight w:val="none"/>
                    </w:rPr>
                  </w:pPr>
                  <w:r>
                    <w:rPr>
                      <w:rFonts w:hint="eastAsia" w:ascii="宋体" w:hAnsi="宋体"/>
                      <w:color w:val="auto"/>
                      <w:highlight w:val="none"/>
                    </w:rPr>
                    <w:t>其中：人工费</w:t>
                  </w:r>
                </w:p>
              </w:tc>
              <w:tc>
                <w:tcPr>
                  <w:tcW w:w="1340" w:type="dxa"/>
                  <w:tcBorders>
                    <w:top w:val="single" w:color="auto" w:sz="4" w:space="0"/>
                    <w:left w:val="single" w:color="auto" w:sz="4" w:space="0"/>
                    <w:bottom w:val="single" w:color="auto" w:sz="4" w:space="0"/>
                    <w:right w:val="single" w:color="auto" w:sz="4" w:space="0"/>
                  </w:tcBorders>
                </w:tcPr>
                <w:p w14:paraId="135801AF">
                  <w:pPr>
                    <w:spacing w:line="280" w:lineRule="exact"/>
                    <w:rPr>
                      <w:rFonts w:ascii="宋体" w:hAnsi="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tcPr>
                <w:p w14:paraId="069E9685">
                  <w:pPr>
                    <w:spacing w:line="280" w:lineRule="exact"/>
                    <w:rPr>
                      <w:rFonts w:ascii="宋体" w:hAnsi="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tcPr>
                <w:p w14:paraId="6A167A0E">
                  <w:pPr>
                    <w:spacing w:line="280" w:lineRule="exact"/>
                    <w:rPr>
                      <w:rFonts w:ascii="宋体" w:hAnsi="宋体"/>
                      <w:color w:val="auto"/>
                      <w:highlight w:val="none"/>
                    </w:rPr>
                  </w:pPr>
                </w:p>
              </w:tc>
              <w:tc>
                <w:tcPr>
                  <w:tcW w:w="931" w:type="dxa"/>
                  <w:tcBorders>
                    <w:top w:val="single" w:color="auto" w:sz="4" w:space="0"/>
                    <w:left w:val="single" w:color="auto" w:sz="4" w:space="0"/>
                    <w:bottom w:val="single" w:color="auto" w:sz="4" w:space="0"/>
                    <w:right w:val="single" w:color="auto" w:sz="4" w:space="0"/>
                  </w:tcBorders>
                </w:tcPr>
                <w:p w14:paraId="41554E1A">
                  <w:pPr>
                    <w:spacing w:line="280" w:lineRule="exact"/>
                    <w:rPr>
                      <w:rFonts w:ascii="宋体" w:hAnsi="宋体"/>
                      <w:color w:val="auto"/>
                      <w:highlight w:val="none"/>
                    </w:rPr>
                  </w:pPr>
                </w:p>
              </w:tc>
            </w:tr>
          </w:tbl>
          <w:p w14:paraId="44C1969F">
            <w:pPr>
              <w:wordWrap w:val="0"/>
              <w:spacing w:line="400" w:lineRule="exact"/>
              <w:ind w:right="420"/>
              <w:rPr>
                <w:rFonts w:ascii="宋体" w:hAnsi="宋体"/>
                <w:color w:val="auto"/>
                <w:highlight w:val="none"/>
              </w:rPr>
            </w:pPr>
            <w:r>
              <w:rPr>
                <w:rFonts w:hint="eastAsia" w:ascii="宋体" w:hAnsi="宋体"/>
                <w:color w:val="auto"/>
                <w:highlight w:val="none"/>
              </w:rPr>
              <w:t>附：上述</w:t>
            </w:r>
            <w:r>
              <w:rPr>
                <w:rFonts w:ascii="宋体" w:hAnsi="宋体"/>
                <w:color w:val="auto"/>
                <w:highlight w:val="none"/>
              </w:rPr>
              <w:t>3</w:t>
            </w:r>
            <w:r>
              <w:rPr>
                <w:rFonts w:hint="eastAsia" w:ascii="宋体" w:hAnsi="宋体"/>
                <w:color w:val="auto"/>
                <w:highlight w:val="none"/>
              </w:rPr>
              <w:t>、</w:t>
            </w:r>
            <w:r>
              <w:rPr>
                <w:rFonts w:ascii="宋体" w:hAnsi="宋体"/>
                <w:color w:val="auto"/>
                <w:highlight w:val="none"/>
              </w:rPr>
              <w:t>4</w:t>
            </w:r>
            <w:r>
              <w:rPr>
                <w:rFonts w:hint="eastAsia" w:ascii="宋体" w:hAnsi="宋体"/>
                <w:color w:val="auto"/>
                <w:highlight w:val="none"/>
              </w:rPr>
              <w:t>详见附件清单。</w:t>
            </w:r>
          </w:p>
          <w:p w14:paraId="377935A0">
            <w:pPr>
              <w:wordWrap w:val="0"/>
              <w:spacing w:line="400" w:lineRule="exact"/>
              <w:ind w:right="420"/>
              <w:rPr>
                <w:rFonts w:ascii="宋体" w:hAnsi="宋体"/>
                <w:color w:val="auto"/>
                <w:highlight w:val="none"/>
              </w:rPr>
            </w:pPr>
            <w:r>
              <w:rPr>
                <w:rFonts w:hint="eastAsia" w:ascii="宋体" w:hAnsi="宋体"/>
                <w:color w:val="auto"/>
                <w:highlight w:val="none"/>
              </w:rPr>
              <w:t>承包人（章）</w:t>
            </w:r>
          </w:p>
          <w:p w14:paraId="36FAA6F4">
            <w:pPr>
              <w:spacing w:line="400" w:lineRule="exact"/>
              <w:ind w:right="420" w:firstLine="435"/>
              <w:rPr>
                <w:rFonts w:ascii="宋体" w:hAnsi="宋体"/>
                <w:color w:val="auto"/>
                <w:highlight w:val="none"/>
              </w:rPr>
            </w:pPr>
            <w:r>
              <w:rPr>
                <w:rFonts w:hint="eastAsia" w:ascii="宋体" w:hAnsi="宋体"/>
                <w:color w:val="auto"/>
                <w:highlight w:val="none"/>
              </w:rPr>
              <w:t>造价人员承包人代表日期</w:t>
            </w:r>
          </w:p>
        </w:tc>
      </w:tr>
      <w:tr w14:paraId="0C6E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20" w:type="dxa"/>
          </w:tcPr>
          <w:p w14:paraId="67ADC77A">
            <w:pPr>
              <w:spacing w:line="360" w:lineRule="exact"/>
              <w:rPr>
                <w:rFonts w:ascii="宋体" w:hAnsi="宋体"/>
                <w:color w:val="auto"/>
                <w:highlight w:val="none"/>
              </w:rPr>
            </w:pPr>
            <w:r>
              <w:rPr>
                <w:rFonts w:hint="eastAsia" w:ascii="宋体" w:hAnsi="宋体"/>
                <w:color w:val="auto"/>
                <w:highlight w:val="none"/>
              </w:rPr>
              <w:t>复核意见：</w:t>
            </w:r>
          </w:p>
          <w:p w14:paraId="69A17E77">
            <w:pPr>
              <w:spacing w:line="360" w:lineRule="exact"/>
              <w:ind w:firstLine="312"/>
              <w:rPr>
                <w:rFonts w:ascii="宋体" w:hAnsi="宋体"/>
                <w:color w:val="auto"/>
                <w:highlight w:val="none"/>
              </w:rPr>
            </w:pPr>
            <w:r>
              <w:rPr>
                <w:rFonts w:hint="eastAsia" w:ascii="宋体" w:hAnsi="宋体"/>
                <w:color w:val="auto"/>
                <w:highlight w:val="none"/>
              </w:rPr>
              <w:t>□与实际施工情况不相符，修改意见见附件。</w:t>
            </w:r>
          </w:p>
          <w:p w14:paraId="0B6BFDC9">
            <w:pPr>
              <w:spacing w:line="360" w:lineRule="exact"/>
              <w:ind w:firstLine="312"/>
              <w:rPr>
                <w:rFonts w:ascii="宋体" w:hAnsi="宋体"/>
                <w:color w:val="auto"/>
                <w:highlight w:val="none"/>
              </w:rPr>
            </w:pPr>
            <w:r>
              <w:rPr>
                <w:rFonts w:hint="eastAsia" w:ascii="宋体" w:hAnsi="宋体"/>
                <w:color w:val="auto"/>
                <w:highlight w:val="none"/>
              </w:rPr>
              <w:t>□与实际施工情况相符，具体金额由造价工程师复核。</w:t>
            </w:r>
          </w:p>
          <w:p w14:paraId="04569472">
            <w:pPr>
              <w:spacing w:line="360" w:lineRule="exact"/>
              <w:ind w:firstLine="435"/>
              <w:jc w:val="right"/>
              <w:rPr>
                <w:rFonts w:ascii="宋体" w:hAnsi="宋体"/>
                <w:color w:val="auto"/>
                <w:highlight w:val="none"/>
              </w:rPr>
            </w:pPr>
          </w:p>
          <w:p w14:paraId="0D97345B">
            <w:pPr>
              <w:spacing w:line="360" w:lineRule="exact"/>
              <w:ind w:firstLine="435"/>
              <w:jc w:val="center"/>
              <w:rPr>
                <w:rFonts w:ascii="宋体" w:hAnsi="宋体"/>
                <w:color w:val="auto"/>
                <w:highlight w:val="none"/>
                <w:u w:val="single"/>
              </w:rPr>
            </w:pPr>
            <w:r>
              <w:rPr>
                <w:rFonts w:hint="eastAsia" w:ascii="宋体" w:hAnsi="宋体"/>
                <w:color w:val="auto"/>
                <w:highlight w:val="none"/>
              </w:rPr>
              <w:t>监理工程师</w:t>
            </w:r>
          </w:p>
          <w:p w14:paraId="660F6396">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c>
          <w:tcPr>
            <w:tcW w:w="4552" w:type="dxa"/>
            <w:tcBorders>
              <w:left w:val="nil"/>
            </w:tcBorders>
          </w:tcPr>
          <w:p w14:paraId="68046040">
            <w:pPr>
              <w:spacing w:line="360" w:lineRule="exact"/>
              <w:rPr>
                <w:rFonts w:ascii="宋体" w:hAnsi="宋体"/>
                <w:color w:val="auto"/>
                <w:highlight w:val="none"/>
              </w:rPr>
            </w:pPr>
            <w:r>
              <w:rPr>
                <w:rFonts w:hint="eastAsia" w:ascii="宋体" w:hAnsi="宋体"/>
                <w:color w:val="auto"/>
                <w:highlight w:val="none"/>
              </w:rPr>
              <w:t>复核意见：</w:t>
            </w:r>
          </w:p>
          <w:p w14:paraId="156E78AB">
            <w:pPr>
              <w:spacing w:line="360" w:lineRule="exact"/>
              <w:ind w:firstLine="435"/>
              <w:rPr>
                <w:rFonts w:ascii="宋体" w:hAnsi="宋体"/>
                <w:color w:val="auto"/>
                <w:highlight w:val="none"/>
              </w:rPr>
            </w:pPr>
            <w:r>
              <w:rPr>
                <w:rFonts w:hint="eastAsia" w:ascii="宋体" w:hAnsi="宋体"/>
                <w:color w:val="auto"/>
                <w:highlight w:val="none"/>
              </w:rPr>
              <w:t>你方提出的支付申请经复核，本周期已完成工程价款为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元，（小写）</w:t>
            </w:r>
          </w:p>
          <w:p w14:paraId="6249637C">
            <w:pPr>
              <w:spacing w:line="360" w:lineRule="exact"/>
              <w:rPr>
                <w:rFonts w:ascii="宋体" w:hAnsi="宋体"/>
                <w:color w:val="auto"/>
                <w:highlight w:val="none"/>
              </w:rPr>
            </w:pPr>
            <w:r>
              <w:rPr>
                <w:rFonts w:hint="eastAsia" w:ascii="宋体" w:hAnsi="宋体"/>
                <w:color w:val="auto"/>
                <w:highlight w:val="none"/>
              </w:rPr>
              <w:t>元，本期间应支付金额为（大写）</w:t>
            </w:r>
          </w:p>
          <w:p w14:paraId="69A64FE9">
            <w:pPr>
              <w:spacing w:line="360" w:lineRule="exact"/>
              <w:rPr>
                <w:rFonts w:ascii="宋体" w:hAnsi="宋体"/>
                <w:color w:val="auto"/>
                <w:highlight w:val="none"/>
                <w:u w:val="single"/>
              </w:rPr>
            </w:pPr>
            <w:r>
              <w:rPr>
                <w:rFonts w:hint="eastAsia" w:ascii="宋体" w:hAnsi="宋体"/>
                <w:color w:val="auto"/>
                <w:highlight w:val="none"/>
              </w:rPr>
              <w:t>元，（小写）元。</w:t>
            </w:r>
          </w:p>
          <w:p w14:paraId="08B2AE6D">
            <w:pPr>
              <w:spacing w:line="360" w:lineRule="exact"/>
              <w:ind w:firstLine="435"/>
              <w:jc w:val="center"/>
              <w:rPr>
                <w:rFonts w:ascii="宋体" w:hAnsi="宋体"/>
                <w:color w:val="auto"/>
                <w:highlight w:val="none"/>
                <w:u w:val="single"/>
              </w:rPr>
            </w:pPr>
            <w:r>
              <w:rPr>
                <w:rFonts w:hint="eastAsia" w:ascii="宋体" w:hAnsi="宋体"/>
                <w:color w:val="auto"/>
                <w:highlight w:val="none"/>
              </w:rPr>
              <w:t>造价工程师</w:t>
            </w:r>
          </w:p>
          <w:p w14:paraId="3C3627DE">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r>
      <w:tr w14:paraId="20F1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Pr>
          <w:p w14:paraId="5D1290BD">
            <w:pPr>
              <w:spacing w:line="400" w:lineRule="exact"/>
              <w:rPr>
                <w:rFonts w:ascii="宋体" w:hAnsi="宋体"/>
                <w:color w:val="auto"/>
                <w:highlight w:val="none"/>
              </w:rPr>
            </w:pPr>
            <w:r>
              <w:rPr>
                <w:rFonts w:hint="eastAsia" w:ascii="宋体" w:hAnsi="宋体"/>
                <w:color w:val="auto"/>
                <w:highlight w:val="none"/>
              </w:rPr>
              <w:t>审核意见：</w:t>
            </w:r>
          </w:p>
          <w:p w14:paraId="7018053F">
            <w:pPr>
              <w:spacing w:line="400" w:lineRule="exact"/>
              <w:ind w:firstLine="435"/>
              <w:rPr>
                <w:rFonts w:ascii="宋体" w:hAnsi="宋体"/>
                <w:color w:val="auto"/>
                <w:highlight w:val="none"/>
              </w:rPr>
            </w:pPr>
            <w:r>
              <w:rPr>
                <w:rFonts w:hint="eastAsia" w:ascii="宋体" w:hAnsi="宋体"/>
                <w:color w:val="auto"/>
                <w:highlight w:val="none"/>
              </w:rPr>
              <w:t>□不同意。</w:t>
            </w:r>
          </w:p>
          <w:p w14:paraId="54D5AD7E">
            <w:pPr>
              <w:spacing w:line="400" w:lineRule="exact"/>
              <w:ind w:firstLine="420" w:firstLineChars="200"/>
              <w:rPr>
                <w:rFonts w:ascii="宋体" w:hAnsi="宋体"/>
                <w:color w:val="auto"/>
                <w:highlight w:val="none"/>
              </w:rPr>
            </w:pPr>
            <w:r>
              <w:rPr>
                <w:rFonts w:hint="eastAsia" w:ascii="宋体" w:hAnsi="宋体"/>
                <w:color w:val="auto"/>
                <w:highlight w:val="none"/>
              </w:rPr>
              <w:t>□同意，支付时间为本表签发后的</w:t>
            </w:r>
            <w:r>
              <w:rPr>
                <w:rFonts w:ascii="宋体" w:hAnsi="宋体"/>
                <w:color w:val="auto"/>
                <w:highlight w:val="none"/>
              </w:rPr>
              <w:t>15</w:t>
            </w:r>
            <w:r>
              <w:rPr>
                <w:rFonts w:hint="eastAsia" w:ascii="宋体" w:hAnsi="宋体"/>
                <w:color w:val="auto"/>
                <w:highlight w:val="none"/>
              </w:rPr>
              <w:t>天内。</w:t>
            </w:r>
          </w:p>
          <w:p w14:paraId="33A56D9C">
            <w:pPr>
              <w:wordWrap w:val="0"/>
              <w:spacing w:line="400" w:lineRule="exact"/>
              <w:ind w:firstLine="420" w:firstLineChars="200"/>
              <w:jc w:val="right"/>
              <w:rPr>
                <w:rFonts w:ascii="宋体" w:hAnsi="宋体"/>
                <w:color w:val="auto"/>
                <w:highlight w:val="none"/>
              </w:rPr>
            </w:pPr>
            <w:r>
              <w:rPr>
                <w:rFonts w:hint="eastAsia" w:ascii="宋体" w:hAnsi="宋体"/>
                <w:color w:val="auto"/>
                <w:highlight w:val="none"/>
              </w:rPr>
              <w:t>发包人（章）</w:t>
            </w:r>
          </w:p>
          <w:p w14:paraId="6E41034D">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发包人代表</w:t>
            </w:r>
          </w:p>
          <w:p w14:paraId="260D46EE">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日期</w:t>
            </w:r>
          </w:p>
        </w:tc>
      </w:tr>
    </w:tbl>
    <w:p w14:paraId="38397ED5">
      <w:pPr>
        <w:spacing w:beforeLines="50"/>
        <w:ind w:firstLine="360" w:firstLineChars="200"/>
        <w:rPr>
          <w:rFonts w:ascii="宋体" w:hAnsi="宋体"/>
          <w:color w:val="auto"/>
          <w:sz w:val="18"/>
          <w:szCs w:val="18"/>
          <w:highlight w:val="none"/>
        </w:rPr>
      </w:pPr>
      <w:r>
        <w:rPr>
          <w:rFonts w:hint="eastAsia" w:ascii="宋体" w:hAnsi="宋体"/>
          <w:color w:val="auto"/>
          <w:sz w:val="18"/>
          <w:szCs w:val="18"/>
          <w:highlight w:val="none"/>
        </w:rPr>
        <w:t>注：</w:t>
      </w:r>
      <w:r>
        <w:rPr>
          <w:rFonts w:ascii="宋体" w:hAnsi="宋体"/>
          <w:color w:val="auto"/>
          <w:sz w:val="18"/>
          <w:szCs w:val="18"/>
          <w:highlight w:val="none"/>
        </w:rPr>
        <w:t>1.</w:t>
      </w:r>
      <w:r>
        <w:rPr>
          <w:rFonts w:hint="eastAsia" w:ascii="宋体" w:hAnsi="宋体"/>
          <w:color w:val="auto"/>
          <w:sz w:val="18"/>
          <w:szCs w:val="18"/>
          <w:highlight w:val="none"/>
        </w:rPr>
        <w:t>在选择栏中的“□”内作标识“√”。</w:t>
      </w:r>
    </w:p>
    <w:p w14:paraId="62F4029C">
      <w:pPr>
        <w:spacing w:beforeLines="50"/>
        <w:ind w:left="720" w:hanging="720" w:hangingChars="400"/>
        <w:rPr>
          <w:rFonts w:ascii="宋体" w:hAnsi="宋体"/>
          <w:color w:val="auto"/>
          <w:sz w:val="18"/>
          <w:szCs w:val="18"/>
          <w:highlight w:val="none"/>
        </w:rPr>
      </w:pPr>
      <w:r>
        <w:rPr>
          <w:rFonts w:ascii="宋体" w:hAnsi="宋体"/>
          <w:color w:val="auto"/>
          <w:sz w:val="18"/>
          <w:szCs w:val="18"/>
          <w:highlight w:val="none"/>
        </w:rPr>
        <w:t xml:space="preserve">        2.</w:t>
      </w:r>
      <w:r>
        <w:rPr>
          <w:rFonts w:hint="eastAsia" w:ascii="宋体" w:hAnsi="宋体"/>
          <w:color w:val="auto"/>
          <w:sz w:val="18"/>
          <w:szCs w:val="18"/>
          <w:highlight w:val="none"/>
        </w:rPr>
        <w:t>本表一式四份，由承包人填报，发包人、监理人、造价咨询人、承包人各存一份。</w:t>
      </w:r>
    </w:p>
    <w:p w14:paraId="70A2C7C1">
      <w:pPr>
        <w:rPr>
          <w:rFonts w:ascii="宋体" w:hAnsi="宋体"/>
          <w:color w:val="auto"/>
          <w:sz w:val="18"/>
          <w:szCs w:val="18"/>
          <w:highlight w:val="none"/>
        </w:rPr>
      </w:pPr>
      <w:r>
        <w:rPr>
          <w:rFonts w:hint="eastAsia" w:ascii="宋体" w:hAnsi="宋体"/>
          <w:color w:val="auto"/>
          <w:sz w:val="18"/>
          <w:szCs w:val="18"/>
          <w:highlight w:val="none"/>
        </w:rPr>
        <w:br w:type="page"/>
      </w:r>
    </w:p>
    <w:p w14:paraId="172E8D91">
      <w:pPr>
        <w:spacing w:beforeLines="50"/>
        <w:ind w:left="1200" w:hanging="1200" w:hangingChars="400"/>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12</w:t>
      </w:r>
    </w:p>
    <w:p w14:paraId="61B0378B">
      <w:pPr>
        <w:jc w:val="center"/>
        <w:rPr>
          <w:rFonts w:ascii="宋体" w:hAnsi="宋体"/>
          <w:b/>
          <w:bCs/>
          <w:color w:val="auto"/>
          <w:sz w:val="36"/>
          <w:szCs w:val="36"/>
          <w:highlight w:val="none"/>
        </w:rPr>
      </w:pPr>
      <w:r>
        <w:rPr>
          <w:rFonts w:hint="eastAsia" w:ascii="宋体" w:hAnsi="宋体"/>
          <w:b/>
          <w:bCs/>
          <w:color w:val="auto"/>
          <w:sz w:val="36"/>
          <w:szCs w:val="36"/>
          <w:highlight w:val="none"/>
        </w:rPr>
        <w:t>竣工结算款支付申请（核准）表</w:t>
      </w:r>
    </w:p>
    <w:p w14:paraId="37E73B59">
      <w:pPr>
        <w:rPr>
          <w:rFonts w:ascii="宋体" w:hAnsi="宋体"/>
          <w:color w:val="auto"/>
          <w:sz w:val="24"/>
          <w:szCs w:val="24"/>
          <w:highlight w:val="none"/>
        </w:rPr>
      </w:pPr>
      <w:r>
        <w:rPr>
          <w:rFonts w:hint="eastAsia" w:ascii="宋体" w:hAnsi="宋体"/>
          <w:color w:val="auto"/>
          <w:sz w:val="24"/>
          <w:szCs w:val="24"/>
          <w:highlight w:val="none"/>
        </w:rPr>
        <w:t>工程名称：编号：</w:t>
      </w:r>
    </w:p>
    <w:tbl>
      <w:tblPr>
        <w:tblStyle w:val="4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46FF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0" w:hRule="atLeast"/>
          <w:jc w:val="center"/>
        </w:trPr>
        <w:tc>
          <w:tcPr>
            <w:tcW w:w="9072" w:type="dxa"/>
            <w:gridSpan w:val="2"/>
          </w:tcPr>
          <w:p w14:paraId="71E6BA3A">
            <w:pPr>
              <w:spacing w:line="480" w:lineRule="exact"/>
              <w:ind w:left="525" w:leftChars="149" w:hanging="212" w:hangingChars="101"/>
              <w:rPr>
                <w:rFonts w:ascii="宋体" w:hAnsi="宋体"/>
                <w:color w:val="auto"/>
                <w:highlight w:val="none"/>
                <w:u w:val="single"/>
              </w:rPr>
            </w:pPr>
            <w:r>
              <w:rPr>
                <w:rFonts w:hint="eastAsia" w:ascii="宋体" w:hAnsi="宋体"/>
                <w:color w:val="auto"/>
                <w:highlight w:val="none"/>
              </w:rPr>
              <w:t>致：</w:t>
            </w:r>
            <w:r>
              <w:rPr>
                <w:rFonts w:hint="eastAsia" w:ascii="宋体" w:hAnsi="宋体"/>
                <w:color w:val="auto"/>
                <w:highlight w:val="none"/>
                <w:u w:val="single"/>
              </w:rPr>
              <w:t>（发包人全称）</w:t>
            </w:r>
          </w:p>
          <w:p w14:paraId="22CCDF64">
            <w:pPr>
              <w:spacing w:line="400" w:lineRule="exact"/>
              <w:ind w:left="-4" w:leftChars="-2" w:firstLine="315" w:firstLineChars="150"/>
              <w:rPr>
                <w:rFonts w:ascii="宋体" w:hAnsi="宋体"/>
                <w:color w:val="auto"/>
                <w:highlight w:val="none"/>
              </w:rPr>
            </w:pPr>
            <w:r>
              <w:rPr>
                <w:rFonts w:hint="eastAsia" w:ascii="宋体" w:hAnsi="宋体"/>
                <w:color w:val="auto"/>
                <w:highlight w:val="none"/>
              </w:rPr>
              <w:t>我方于至期间已完成了合同约定的工作，根据施工合同的约定，现申请支付竣工结算的工程款额为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w:t>
            </w:r>
            <w:r>
              <w:rPr>
                <w:rFonts w:ascii="宋体" w:hAnsi="宋体"/>
                <w:color w:val="auto"/>
                <w:highlight w:val="none"/>
              </w:rPr>
              <w:t>(</w:t>
            </w:r>
            <w:r>
              <w:rPr>
                <w:rFonts w:hint="eastAsia" w:ascii="宋体" w:hAnsi="宋体"/>
                <w:color w:val="auto"/>
                <w:highlight w:val="none"/>
              </w:rPr>
              <w:t>小写</w:t>
            </w:r>
            <w:r>
              <w:rPr>
                <w:rFonts w:ascii="宋体" w:hAnsi="宋体"/>
                <w:color w:val="auto"/>
                <w:highlight w:val="none"/>
              </w:rPr>
              <w:t>)</w:t>
            </w:r>
            <w:r>
              <w:rPr>
                <w:rFonts w:hint="eastAsia" w:ascii="宋体" w:hAnsi="宋体"/>
                <w:color w:val="auto"/>
                <w:highlight w:val="none"/>
              </w:rPr>
              <w:t>元，请予核准。</w:t>
            </w:r>
          </w:p>
          <w:tbl>
            <w:tblPr>
              <w:tblStyle w:val="47"/>
              <w:tblW w:w="884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420"/>
              <w:gridCol w:w="1620"/>
              <w:gridCol w:w="1620"/>
              <w:gridCol w:w="1651"/>
            </w:tblGrid>
            <w:tr w14:paraId="2011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vAlign w:val="center"/>
                </w:tcPr>
                <w:p w14:paraId="0DA5381C">
                  <w:pPr>
                    <w:spacing w:line="280" w:lineRule="exact"/>
                    <w:jc w:val="center"/>
                    <w:rPr>
                      <w:rFonts w:ascii="宋体" w:hAnsi="宋体"/>
                      <w:color w:val="auto"/>
                      <w:highlight w:val="none"/>
                    </w:rPr>
                  </w:pPr>
                  <w:r>
                    <w:rPr>
                      <w:rFonts w:hint="eastAsia" w:ascii="宋体" w:hAnsi="宋体"/>
                      <w:color w:val="auto"/>
                      <w:highlight w:val="none"/>
                    </w:rPr>
                    <w:t>序号</w:t>
                  </w:r>
                </w:p>
              </w:tc>
              <w:tc>
                <w:tcPr>
                  <w:tcW w:w="3420" w:type="dxa"/>
                  <w:tcBorders>
                    <w:top w:val="single" w:color="auto" w:sz="4" w:space="0"/>
                    <w:left w:val="single" w:color="auto" w:sz="4" w:space="0"/>
                    <w:bottom w:val="single" w:color="auto" w:sz="4" w:space="0"/>
                    <w:right w:val="single" w:color="auto" w:sz="4" w:space="0"/>
                  </w:tcBorders>
                  <w:vAlign w:val="center"/>
                </w:tcPr>
                <w:p w14:paraId="217180E0">
                  <w:pPr>
                    <w:spacing w:line="280" w:lineRule="exact"/>
                    <w:jc w:val="center"/>
                    <w:rPr>
                      <w:rFonts w:ascii="宋体" w:hAnsi="宋体"/>
                      <w:color w:val="auto"/>
                      <w:highlight w:val="none"/>
                    </w:rPr>
                  </w:pPr>
                  <w:r>
                    <w:rPr>
                      <w:rFonts w:hint="eastAsia" w:ascii="宋体" w:hAnsi="宋体"/>
                      <w:color w:val="auto"/>
                      <w:highlight w:val="none"/>
                    </w:rPr>
                    <w:t>名称</w:t>
                  </w:r>
                </w:p>
              </w:tc>
              <w:tc>
                <w:tcPr>
                  <w:tcW w:w="1620" w:type="dxa"/>
                  <w:tcBorders>
                    <w:top w:val="single" w:color="auto" w:sz="4" w:space="0"/>
                    <w:left w:val="single" w:color="auto" w:sz="4" w:space="0"/>
                    <w:bottom w:val="single" w:color="auto" w:sz="4" w:space="0"/>
                    <w:right w:val="single" w:color="auto" w:sz="4" w:space="0"/>
                  </w:tcBorders>
                  <w:vAlign w:val="center"/>
                </w:tcPr>
                <w:p w14:paraId="69775AB8">
                  <w:pPr>
                    <w:spacing w:line="280" w:lineRule="exact"/>
                    <w:jc w:val="center"/>
                    <w:rPr>
                      <w:rFonts w:ascii="宋体" w:hAnsi="宋体"/>
                      <w:color w:val="auto"/>
                      <w:highlight w:val="none"/>
                    </w:rPr>
                  </w:pPr>
                  <w:r>
                    <w:rPr>
                      <w:rFonts w:hint="eastAsia" w:ascii="宋体" w:hAnsi="宋体"/>
                      <w:color w:val="auto"/>
                      <w:highlight w:val="none"/>
                    </w:rPr>
                    <w:t>申请金额（元）</w:t>
                  </w:r>
                </w:p>
              </w:tc>
              <w:tc>
                <w:tcPr>
                  <w:tcW w:w="1620" w:type="dxa"/>
                  <w:tcBorders>
                    <w:top w:val="single" w:color="auto" w:sz="4" w:space="0"/>
                    <w:left w:val="single" w:color="auto" w:sz="4" w:space="0"/>
                    <w:bottom w:val="single" w:color="auto" w:sz="4" w:space="0"/>
                    <w:right w:val="single" w:color="auto" w:sz="4" w:space="0"/>
                  </w:tcBorders>
                  <w:vAlign w:val="center"/>
                </w:tcPr>
                <w:p w14:paraId="2182D735">
                  <w:pPr>
                    <w:spacing w:line="280" w:lineRule="exact"/>
                    <w:jc w:val="center"/>
                    <w:rPr>
                      <w:rFonts w:ascii="宋体" w:hAnsi="宋体"/>
                      <w:color w:val="auto"/>
                      <w:highlight w:val="none"/>
                    </w:rPr>
                  </w:pPr>
                  <w:r>
                    <w:rPr>
                      <w:rFonts w:hint="eastAsia" w:ascii="宋体" w:hAnsi="宋体"/>
                      <w:color w:val="auto"/>
                      <w:highlight w:val="none"/>
                    </w:rPr>
                    <w:t>复核金额（元）</w:t>
                  </w:r>
                </w:p>
              </w:tc>
              <w:tc>
                <w:tcPr>
                  <w:tcW w:w="1651" w:type="dxa"/>
                  <w:tcBorders>
                    <w:top w:val="single" w:color="auto" w:sz="4" w:space="0"/>
                    <w:left w:val="single" w:color="auto" w:sz="4" w:space="0"/>
                    <w:bottom w:val="single" w:color="auto" w:sz="4" w:space="0"/>
                    <w:right w:val="single" w:color="auto" w:sz="4" w:space="0"/>
                  </w:tcBorders>
                  <w:vAlign w:val="center"/>
                </w:tcPr>
                <w:p w14:paraId="76D62EDA">
                  <w:pPr>
                    <w:spacing w:line="280" w:lineRule="exact"/>
                    <w:jc w:val="center"/>
                    <w:rPr>
                      <w:rFonts w:ascii="宋体" w:hAnsi="宋体"/>
                      <w:color w:val="auto"/>
                      <w:highlight w:val="none"/>
                    </w:rPr>
                  </w:pPr>
                  <w:r>
                    <w:rPr>
                      <w:rFonts w:hint="eastAsia" w:ascii="宋体" w:hAnsi="宋体"/>
                      <w:color w:val="auto"/>
                      <w:highlight w:val="none"/>
                    </w:rPr>
                    <w:t>备注</w:t>
                  </w:r>
                </w:p>
              </w:tc>
            </w:tr>
            <w:tr w14:paraId="0362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6DAB73D">
                  <w:pPr>
                    <w:spacing w:line="280" w:lineRule="exact"/>
                    <w:jc w:val="center"/>
                    <w:rPr>
                      <w:rFonts w:ascii="宋体" w:hAnsi="宋体"/>
                      <w:color w:val="auto"/>
                      <w:highlight w:val="none"/>
                    </w:rPr>
                  </w:pPr>
                  <w:r>
                    <w:rPr>
                      <w:rFonts w:ascii="宋体" w:hAnsi="宋体"/>
                      <w:color w:val="auto"/>
                      <w:highlight w:val="none"/>
                    </w:rPr>
                    <w:t>1</w:t>
                  </w:r>
                </w:p>
              </w:tc>
              <w:tc>
                <w:tcPr>
                  <w:tcW w:w="3420" w:type="dxa"/>
                  <w:tcBorders>
                    <w:top w:val="single" w:color="auto" w:sz="4" w:space="0"/>
                    <w:left w:val="single" w:color="auto" w:sz="4" w:space="0"/>
                    <w:bottom w:val="single" w:color="auto" w:sz="4" w:space="0"/>
                    <w:right w:val="single" w:color="auto" w:sz="4" w:space="0"/>
                  </w:tcBorders>
                </w:tcPr>
                <w:p w14:paraId="4FA607F3">
                  <w:pPr>
                    <w:spacing w:line="280" w:lineRule="exact"/>
                    <w:rPr>
                      <w:rFonts w:ascii="宋体" w:hAnsi="宋体"/>
                      <w:color w:val="auto"/>
                      <w:highlight w:val="none"/>
                    </w:rPr>
                  </w:pPr>
                  <w:r>
                    <w:rPr>
                      <w:rFonts w:hint="eastAsia" w:ascii="宋体" w:hAnsi="宋体"/>
                      <w:color w:val="auto"/>
                      <w:highlight w:val="none"/>
                    </w:rPr>
                    <w:t>竣工结算合同价款总额</w:t>
                  </w:r>
                </w:p>
              </w:tc>
              <w:tc>
                <w:tcPr>
                  <w:tcW w:w="1620" w:type="dxa"/>
                  <w:tcBorders>
                    <w:top w:val="single" w:color="auto" w:sz="4" w:space="0"/>
                    <w:left w:val="single" w:color="auto" w:sz="4" w:space="0"/>
                    <w:bottom w:val="single" w:color="auto" w:sz="4" w:space="0"/>
                    <w:right w:val="single" w:color="auto" w:sz="4" w:space="0"/>
                  </w:tcBorders>
                </w:tcPr>
                <w:p w14:paraId="111C1840">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04E71684">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62B82CA4">
                  <w:pPr>
                    <w:spacing w:line="280" w:lineRule="exact"/>
                    <w:rPr>
                      <w:rFonts w:ascii="宋体" w:hAnsi="宋体"/>
                      <w:color w:val="auto"/>
                      <w:highlight w:val="none"/>
                    </w:rPr>
                  </w:pPr>
                </w:p>
              </w:tc>
            </w:tr>
            <w:tr w14:paraId="310D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7BD90BD5">
                  <w:pPr>
                    <w:spacing w:line="280" w:lineRule="exact"/>
                    <w:jc w:val="center"/>
                    <w:rPr>
                      <w:rFonts w:ascii="宋体" w:hAnsi="宋体"/>
                      <w:color w:val="auto"/>
                      <w:highlight w:val="none"/>
                    </w:rPr>
                  </w:pPr>
                  <w:r>
                    <w:rPr>
                      <w:rFonts w:ascii="宋体" w:hAnsi="宋体"/>
                      <w:color w:val="auto"/>
                      <w:highlight w:val="none"/>
                    </w:rPr>
                    <w:t>2</w:t>
                  </w:r>
                </w:p>
              </w:tc>
              <w:tc>
                <w:tcPr>
                  <w:tcW w:w="3420" w:type="dxa"/>
                  <w:tcBorders>
                    <w:top w:val="single" w:color="auto" w:sz="4" w:space="0"/>
                    <w:left w:val="single" w:color="auto" w:sz="4" w:space="0"/>
                    <w:bottom w:val="single" w:color="auto" w:sz="4" w:space="0"/>
                    <w:right w:val="single" w:color="auto" w:sz="4" w:space="0"/>
                  </w:tcBorders>
                </w:tcPr>
                <w:p w14:paraId="65CC3F7B">
                  <w:pPr>
                    <w:spacing w:line="280" w:lineRule="exact"/>
                    <w:rPr>
                      <w:rFonts w:ascii="宋体" w:hAnsi="宋体"/>
                      <w:color w:val="auto"/>
                      <w:highlight w:val="none"/>
                    </w:rPr>
                  </w:pPr>
                  <w:r>
                    <w:rPr>
                      <w:rFonts w:hint="eastAsia" w:ascii="宋体" w:hAnsi="宋体"/>
                      <w:color w:val="auto"/>
                      <w:highlight w:val="none"/>
                    </w:rPr>
                    <w:t>累计已实际支付的合同价款</w:t>
                  </w:r>
                </w:p>
              </w:tc>
              <w:tc>
                <w:tcPr>
                  <w:tcW w:w="1620" w:type="dxa"/>
                  <w:tcBorders>
                    <w:top w:val="single" w:color="auto" w:sz="4" w:space="0"/>
                    <w:left w:val="single" w:color="auto" w:sz="4" w:space="0"/>
                    <w:bottom w:val="single" w:color="auto" w:sz="4" w:space="0"/>
                    <w:right w:val="single" w:color="auto" w:sz="4" w:space="0"/>
                  </w:tcBorders>
                </w:tcPr>
                <w:p w14:paraId="78C923E9">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3ED76B8F">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26619027">
                  <w:pPr>
                    <w:spacing w:line="280" w:lineRule="exact"/>
                    <w:rPr>
                      <w:rFonts w:ascii="宋体" w:hAnsi="宋体"/>
                      <w:color w:val="auto"/>
                      <w:highlight w:val="none"/>
                    </w:rPr>
                  </w:pPr>
                </w:p>
              </w:tc>
            </w:tr>
            <w:tr w14:paraId="66D9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7D770370">
                  <w:pPr>
                    <w:spacing w:line="280" w:lineRule="exact"/>
                    <w:jc w:val="center"/>
                    <w:rPr>
                      <w:rFonts w:ascii="宋体" w:hAnsi="宋体"/>
                      <w:color w:val="auto"/>
                      <w:highlight w:val="none"/>
                    </w:rPr>
                  </w:pPr>
                  <w:r>
                    <w:rPr>
                      <w:rFonts w:ascii="宋体" w:hAnsi="宋体"/>
                      <w:color w:val="auto"/>
                      <w:highlight w:val="none"/>
                    </w:rPr>
                    <w:t>3</w:t>
                  </w:r>
                </w:p>
              </w:tc>
              <w:tc>
                <w:tcPr>
                  <w:tcW w:w="3420" w:type="dxa"/>
                  <w:tcBorders>
                    <w:top w:val="single" w:color="auto" w:sz="4" w:space="0"/>
                    <w:left w:val="single" w:color="auto" w:sz="4" w:space="0"/>
                    <w:bottom w:val="single" w:color="auto" w:sz="4" w:space="0"/>
                    <w:right w:val="single" w:color="auto" w:sz="4" w:space="0"/>
                  </w:tcBorders>
                </w:tcPr>
                <w:p w14:paraId="6095ADB7">
                  <w:pPr>
                    <w:spacing w:line="280" w:lineRule="exact"/>
                    <w:rPr>
                      <w:rFonts w:ascii="宋体" w:hAnsi="宋体"/>
                      <w:color w:val="auto"/>
                      <w:highlight w:val="none"/>
                    </w:rPr>
                  </w:pPr>
                  <w:r>
                    <w:rPr>
                      <w:rFonts w:hint="eastAsia" w:ascii="宋体" w:hAnsi="宋体"/>
                      <w:color w:val="auto"/>
                      <w:highlight w:val="none"/>
                    </w:rPr>
                    <w:t>应预留的质量保证金</w:t>
                  </w:r>
                </w:p>
              </w:tc>
              <w:tc>
                <w:tcPr>
                  <w:tcW w:w="1620" w:type="dxa"/>
                  <w:tcBorders>
                    <w:top w:val="single" w:color="auto" w:sz="4" w:space="0"/>
                    <w:left w:val="single" w:color="auto" w:sz="4" w:space="0"/>
                    <w:bottom w:val="single" w:color="auto" w:sz="4" w:space="0"/>
                    <w:right w:val="single" w:color="auto" w:sz="4" w:space="0"/>
                  </w:tcBorders>
                </w:tcPr>
                <w:p w14:paraId="5E6F315E">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01994F1E">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4E3B1364">
                  <w:pPr>
                    <w:spacing w:line="280" w:lineRule="exact"/>
                    <w:rPr>
                      <w:rFonts w:ascii="宋体" w:hAnsi="宋体"/>
                      <w:color w:val="auto"/>
                      <w:highlight w:val="none"/>
                    </w:rPr>
                  </w:pPr>
                </w:p>
              </w:tc>
            </w:tr>
            <w:tr w14:paraId="493D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0689534E">
                  <w:pPr>
                    <w:spacing w:line="280" w:lineRule="exact"/>
                    <w:jc w:val="center"/>
                    <w:rPr>
                      <w:rFonts w:ascii="宋体" w:hAnsi="宋体"/>
                      <w:color w:val="auto"/>
                      <w:highlight w:val="none"/>
                    </w:rPr>
                  </w:pPr>
                  <w:r>
                    <w:rPr>
                      <w:rFonts w:ascii="宋体" w:hAnsi="宋体"/>
                      <w:color w:val="auto"/>
                      <w:highlight w:val="none"/>
                    </w:rPr>
                    <w:t>4</w:t>
                  </w:r>
                </w:p>
              </w:tc>
              <w:tc>
                <w:tcPr>
                  <w:tcW w:w="3420" w:type="dxa"/>
                  <w:tcBorders>
                    <w:top w:val="single" w:color="auto" w:sz="4" w:space="0"/>
                    <w:left w:val="single" w:color="auto" w:sz="4" w:space="0"/>
                    <w:bottom w:val="single" w:color="auto" w:sz="4" w:space="0"/>
                    <w:right w:val="single" w:color="auto" w:sz="4" w:space="0"/>
                  </w:tcBorders>
                </w:tcPr>
                <w:p w14:paraId="7469B45A">
                  <w:pPr>
                    <w:spacing w:line="280" w:lineRule="exact"/>
                    <w:rPr>
                      <w:rFonts w:ascii="宋体" w:hAnsi="宋体"/>
                      <w:color w:val="auto"/>
                      <w:highlight w:val="none"/>
                    </w:rPr>
                  </w:pPr>
                  <w:r>
                    <w:rPr>
                      <w:rFonts w:hint="eastAsia" w:ascii="宋体" w:hAnsi="宋体"/>
                      <w:color w:val="auto"/>
                      <w:highlight w:val="none"/>
                    </w:rPr>
                    <w:t>应支付的竣工结算款金额</w:t>
                  </w:r>
                </w:p>
              </w:tc>
              <w:tc>
                <w:tcPr>
                  <w:tcW w:w="1620" w:type="dxa"/>
                  <w:tcBorders>
                    <w:top w:val="single" w:color="auto" w:sz="4" w:space="0"/>
                    <w:left w:val="single" w:color="auto" w:sz="4" w:space="0"/>
                    <w:bottom w:val="single" w:color="auto" w:sz="4" w:space="0"/>
                    <w:right w:val="single" w:color="auto" w:sz="4" w:space="0"/>
                  </w:tcBorders>
                </w:tcPr>
                <w:p w14:paraId="7072A0B0">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C898DBE">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74013B9B">
                  <w:pPr>
                    <w:spacing w:line="280" w:lineRule="exact"/>
                    <w:rPr>
                      <w:rFonts w:ascii="宋体" w:hAnsi="宋体"/>
                      <w:color w:val="auto"/>
                      <w:highlight w:val="none"/>
                    </w:rPr>
                  </w:pPr>
                </w:p>
              </w:tc>
            </w:tr>
            <w:tr w14:paraId="029A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B8E2FC8">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4AB43245">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2196767C">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56F6A029">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4CC91646">
                  <w:pPr>
                    <w:spacing w:line="280" w:lineRule="exact"/>
                    <w:rPr>
                      <w:rFonts w:ascii="宋体" w:hAnsi="宋体"/>
                      <w:color w:val="auto"/>
                      <w:highlight w:val="none"/>
                    </w:rPr>
                  </w:pPr>
                </w:p>
              </w:tc>
            </w:tr>
            <w:tr w14:paraId="69D3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D5FEC06">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0FFCFB6D">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78B6F77F">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62C4C6D1">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6C7D9980">
                  <w:pPr>
                    <w:spacing w:line="280" w:lineRule="exact"/>
                    <w:rPr>
                      <w:rFonts w:ascii="宋体" w:hAnsi="宋体"/>
                      <w:color w:val="auto"/>
                      <w:highlight w:val="none"/>
                    </w:rPr>
                  </w:pPr>
                </w:p>
              </w:tc>
            </w:tr>
            <w:tr w14:paraId="71D0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6D0664C8">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27E8237B">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632F5B8A">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111F7F0D">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1C094208">
                  <w:pPr>
                    <w:spacing w:line="280" w:lineRule="exact"/>
                    <w:rPr>
                      <w:rFonts w:ascii="宋体" w:hAnsi="宋体"/>
                      <w:color w:val="auto"/>
                      <w:highlight w:val="none"/>
                    </w:rPr>
                  </w:pPr>
                </w:p>
              </w:tc>
            </w:tr>
            <w:tr w14:paraId="4500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76E1FF5">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67A0EA78">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4EC4DA6">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5A6041C">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08D2ABF6">
                  <w:pPr>
                    <w:spacing w:line="280" w:lineRule="exact"/>
                    <w:rPr>
                      <w:rFonts w:ascii="宋体" w:hAnsi="宋体"/>
                      <w:color w:val="auto"/>
                      <w:highlight w:val="none"/>
                    </w:rPr>
                  </w:pPr>
                </w:p>
              </w:tc>
            </w:tr>
            <w:tr w14:paraId="5D7E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C1A2D9F">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4CDA33E3">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7C516128">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0A0C0340">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2186DFA8">
                  <w:pPr>
                    <w:spacing w:line="280" w:lineRule="exact"/>
                    <w:rPr>
                      <w:rFonts w:ascii="宋体" w:hAnsi="宋体"/>
                      <w:color w:val="auto"/>
                      <w:highlight w:val="none"/>
                    </w:rPr>
                  </w:pPr>
                </w:p>
              </w:tc>
            </w:tr>
          </w:tbl>
          <w:p w14:paraId="45316ED3">
            <w:pPr>
              <w:spacing w:line="400" w:lineRule="exact"/>
              <w:ind w:right="420" w:firstLine="435"/>
              <w:jc w:val="center"/>
              <w:rPr>
                <w:rFonts w:ascii="宋体" w:hAnsi="宋体"/>
                <w:color w:val="auto"/>
                <w:highlight w:val="none"/>
              </w:rPr>
            </w:pPr>
          </w:p>
          <w:p w14:paraId="7AD0AA13">
            <w:pPr>
              <w:spacing w:line="400" w:lineRule="exact"/>
              <w:ind w:right="420" w:firstLine="435"/>
              <w:jc w:val="center"/>
              <w:rPr>
                <w:rFonts w:ascii="宋体" w:hAnsi="宋体"/>
                <w:color w:val="auto"/>
                <w:highlight w:val="none"/>
              </w:rPr>
            </w:pPr>
            <w:r>
              <w:rPr>
                <w:rFonts w:hint="eastAsia" w:ascii="宋体" w:hAnsi="宋体"/>
                <w:color w:val="auto"/>
                <w:highlight w:val="none"/>
              </w:rPr>
              <w:t>承包人（章）</w:t>
            </w:r>
          </w:p>
          <w:p w14:paraId="4439BA13">
            <w:pPr>
              <w:spacing w:line="400" w:lineRule="exact"/>
              <w:ind w:right="420" w:firstLine="435"/>
              <w:rPr>
                <w:rFonts w:ascii="宋体" w:hAnsi="宋体"/>
                <w:color w:val="auto"/>
                <w:highlight w:val="none"/>
              </w:rPr>
            </w:pPr>
            <w:r>
              <w:rPr>
                <w:rFonts w:hint="eastAsia" w:ascii="宋体" w:hAnsi="宋体"/>
                <w:color w:val="auto"/>
                <w:highlight w:val="none"/>
              </w:rPr>
              <w:t>造价人员承包人代表日期</w:t>
            </w:r>
          </w:p>
        </w:tc>
      </w:tr>
      <w:tr w14:paraId="5B28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36" w:type="dxa"/>
          </w:tcPr>
          <w:p w14:paraId="318ADABA">
            <w:pPr>
              <w:spacing w:line="360" w:lineRule="exact"/>
              <w:rPr>
                <w:rFonts w:ascii="宋体" w:hAnsi="宋体"/>
                <w:color w:val="auto"/>
                <w:highlight w:val="none"/>
              </w:rPr>
            </w:pPr>
            <w:r>
              <w:rPr>
                <w:rFonts w:hint="eastAsia" w:ascii="宋体" w:hAnsi="宋体"/>
                <w:color w:val="auto"/>
                <w:highlight w:val="none"/>
              </w:rPr>
              <w:t>复核意见：</w:t>
            </w:r>
          </w:p>
          <w:p w14:paraId="0F76FB91">
            <w:pPr>
              <w:spacing w:line="360" w:lineRule="exact"/>
              <w:ind w:firstLine="312"/>
              <w:rPr>
                <w:rFonts w:ascii="宋体" w:hAnsi="宋体"/>
                <w:color w:val="auto"/>
                <w:highlight w:val="none"/>
              </w:rPr>
            </w:pPr>
            <w:r>
              <w:rPr>
                <w:rFonts w:hint="eastAsia" w:ascii="宋体" w:hAnsi="宋体"/>
                <w:color w:val="auto"/>
                <w:highlight w:val="none"/>
              </w:rPr>
              <w:t>□与实际施工情况不相符，修改意见见附件。</w:t>
            </w:r>
          </w:p>
          <w:p w14:paraId="58CAEF30">
            <w:pPr>
              <w:spacing w:line="360" w:lineRule="exact"/>
              <w:ind w:firstLine="312"/>
              <w:rPr>
                <w:rFonts w:ascii="宋体" w:hAnsi="宋体"/>
                <w:color w:val="auto"/>
                <w:highlight w:val="none"/>
              </w:rPr>
            </w:pPr>
            <w:r>
              <w:rPr>
                <w:rFonts w:hint="eastAsia" w:ascii="宋体" w:hAnsi="宋体"/>
                <w:color w:val="auto"/>
                <w:highlight w:val="none"/>
              </w:rPr>
              <w:t>□与实际施工情况相符，具体金额由造价工程师复核。</w:t>
            </w:r>
          </w:p>
          <w:p w14:paraId="68A312BA">
            <w:pPr>
              <w:spacing w:line="360" w:lineRule="exact"/>
              <w:ind w:firstLine="435"/>
              <w:jc w:val="right"/>
              <w:rPr>
                <w:rFonts w:ascii="宋体" w:hAnsi="宋体"/>
                <w:color w:val="auto"/>
                <w:highlight w:val="none"/>
              </w:rPr>
            </w:pPr>
          </w:p>
          <w:p w14:paraId="47866552">
            <w:pPr>
              <w:spacing w:line="360" w:lineRule="exact"/>
              <w:ind w:firstLine="435"/>
              <w:jc w:val="right"/>
              <w:rPr>
                <w:rFonts w:ascii="宋体" w:hAnsi="宋体"/>
                <w:color w:val="auto"/>
                <w:highlight w:val="none"/>
              </w:rPr>
            </w:pPr>
          </w:p>
          <w:p w14:paraId="6E520559">
            <w:pPr>
              <w:spacing w:line="360" w:lineRule="exact"/>
              <w:ind w:firstLine="435"/>
              <w:jc w:val="center"/>
              <w:rPr>
                <w:rFonts w:ascii="宋体" w:hAnsi="宋体"/>
                <w:color w:val="auto"/>
                <w:highlight w:val="none"/>
              </w:rPr>
            </w:pPr>
          </w:p>
          <w:p w14:paraId="1A3646C7">
            <w:pPr>
              <w:spacing w:line="360" w:lineRule="exact"/>
              <w:ind w:firstLine="435"/>
              <w:jc w:val="center"/>
              <w:rPr>
                <w:rFonts w:ascii="宋体" w:hAnsi="宋体"/>
                <w:color w:val="auto"/>
                <w:highlight w:val="none"/>
                <w:u w:val="single"/>
              </w:rPr>
            </w:pPr>
            <w:r>
              <w:rPr>
                <w:rFonts w:hint="eastAsia" w:ascii="宋体" w:hAnsi="宋体"/>
                <w:color w:val="auto"/>
                <w:highlight w:val="none"/>
              </w:rPr>
              <w:t>监理工程师</w:t>
            </w:r>
          </w:p>
          <w:p w14:paraId="3F13E1F8">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c>
          <w:tcPr>
            <w:tcW w:w="4536" w:type="dxa"/>
            <w:tcBorders>
              <w:left w:val="nil"/>
            </w:tcBorders>
          </w:tcPr>
          <w:p w14:paraId="62631D04">
            <w:pPr>
              <w:spacing w:line="360" w:lineRule="exact"/>
              <w:rPr>
                <w:rFonts w:ascii="宋体" w:hAnsi="宋体"/>
                <w:color w:val="auto"/>
                <w:highlight w:val="none"/>
              </w:rPr>
            </w:pPr>
            <w:r>
              <w:rPr>
                <w:rFonts w:hint="eastAsia" w:ascii="宋体" w:hAnsi="宋体"/>
                <w:color w:val="auto"/>
                <w:highlight w:val="none"/>
              </w:rPr>
              <w:t>复核意见：</w:t>
            </w:r>
          </w:p>
          <w:p w14:paraId="12337822">
            <w:pPr>
              <w:spacing w:line="360" w:lineRule="exact"/>
              <w:ind w:firstLine="435"/>
              <w:rPr>
                <w:rFonts w:ascii="宋体" w:hAnsi="宋体"/>
                <w:color w:val="auto"/>
                <w:highlight w:val="none"/>
                <w:u w:val="single"/>
              </w:rPr>
            </w:pPr>
            <w:r>
              <w:rPr>
                <w:rFonts w:hint="eastAsia" w:ascii="宋体" w:hAnsi="宋体"/>
                <w:color w:val="auto"/>
                <w:highlight w:val="none"/>
              </w:rPr>
              <w:t>你方提出的竣工结算支付申请经复核，竣工结算款总额为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元，（小写）元，扣除前期支付以及质量保证金后应支付金额为（大写）元，（小写）元。</w:t>
            </w:r>
          </w:p>
          <w:p w14:paraId="6CFD4B5F">
            <w:pPr>
              <w:spacing w:line="360" w:lineRule="exact"/>
              <w:ind w:firstLine="435"/>
              <w:jc w:val="center"/>
              <w:rPr>
                <w:rFonts w:ascii="宋体" w:hAnsi="宋体"/>
                <w:color w:val="auto"/>
                <w:highlight w:val="none"/>
              </w:rPr>
            </w:pPr>
          </w:p>
          <w:p w14:paraId="2F0F3EDA">
            <w:pPr>
              <w:spacing w:line="360" w:lineRule="exact"/>
              <w:ind w:firstLine="435"/>
              <w:jc w:val="center"/>
              <w:rPr>
                <w:rFonts w:ascii="宋体" w:hAnsi="宋体"/>
                <w:color w:val="auto"/>
                <w:highlight w:val="none"/>
                <w:u w:val="single"/>
              </w:rPr>
            </w:pPr>
            <w:r>
              <w:rPr>
                <w:rFonts w:hint="eastAsia" w:ascii="宋体" w:hAnsi="宋体"/>
                <w:color w:val="auto"/>
                <w:highlight w:val="none"/>
              </w:rPr>
              <w:t>造价工程师</w:t>
            </w:r>
          </w:p>
          <w:p w14:paraId="514DBB9C">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r>
      <w:tr w14:paraId="5926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Pr>
          <w:p w14:paraId="3861D091">
            <w:pPr>
              <w:spacing w:line="400" w:lineRule="exact"/>
              <w:rPr>
                <w:rFonts w:ascii="宋体" w:hAnsi="宋体"/>
                <w:color w:val="auto"/>
                <w:highlight w:val="none"/>
              </w:rPr>
            </w:pPr>
            <w:r>
              <w:rPr>
                <w:rFonts w:hint="eastAsia" w:ascii="宋体" w:hAnsi="宋体"/>
                <w:color w:val="auto"/>
                <w:highlight w:val="none"/>
              </w:rPr>
              <w:t>审核意见：</w:t>
            </w:r>
          </w:p>
          <w:p w14:paraId="780D2EEC">
            <w:pPr>
              <w:spacing w:line="400" w:lineRule="exact"/>
              <w:ind w:firstLine="435"/>
              <w:rPr>
                <w:rFonts w:ascii="宋体" w:hAnsi="宋体"/>
                <w:color w:val="auto"/>
                <w:highlight w:val="none"/>
              </w:rPr>
            </w:pPr>
            <w:r>
              <w:rPr>
                <w:rFonts w:hint="eastAsia" w:ascii="宋体" w:hAnsi="宋体"/>
                <w:color w:val="auto"/>
                <w:highlight w:val="none"/>
              </w:rPr>
              <w:t>□不同意。</w:t>
            </w:r>
          </w:p>
          <w:p w14:paraId="6FFB79D0">
            <w:pPr>
              <w:spacing w:line="400" w:lineRule="exact"/>
              <w:ind w:firstLine="420" w:firstLineChars="200"/>
              <w:rPr>
                <w:rFonts w:ascii="宋体" w:hAnsi="宋体"/>
                <w:color w:val="auto"/>
                <w:highlight w:val="none"/>
              </w:rPr>
            </w:pPr>
            <w:r>
              <w:rPr>
                <w:rFonts w:hint="eastAsia" w:ascii="宋体" w:hAnsi="宋体"/>
                <w:color w:val="auto"/>
                <w:highlight w:val="none"/>
              </w:rPr>
              <w:t>□同意，支付时间为本表签发后的</w:t>
            </w:r>
            <w:r>
              <w:rPr>
                <w:rFonts w:ascii="宋体" w:hAnsi="宋体"/>
                <w:color w:val="auto"/>
                <w:highlight w:val="none"/>
              </w:rPr>
              <w:t>15</w:t>
            </w:r>
            <w:r>
              <w:rPr>
                <w:rFonts w:hint="eastAsia" w:ascii="宋体" w:hAnsi="宋体"/>
                <w:color w:val="auto"/>
                <w:highlight w:val="none"/>
              </w:rPr>
              <w:t>天内。</w:t>
            </w:r>
          </w:p>
          <w:p w14:paraId="77CE78FF">
            <w:pPr>
              <w:wordWrap w:val="0"/>
              <w:spacing w:line="400" w:lineRule="exact"/>
              <w:ind w:firstLine="420" w:firstLineChars="200"/>
              <w:jc w:val="right"/>
              <w:rPr>
                <w:rFonts w:ascii="宋体" w:hAnsi="宋体"/>
                <w:color w:val="auto"/>
                <w:highlight w:val="none"/>
              </w:rPr>
            </w:pPr>
            <w:r>
              <w:rPr>
                <w:rFonts w:hint="eastAsia" w:ascii="宋体" w:hAnsi="宋体"/>
                <w:color w:val="auto"/>
                <w:highlight w:val="none"/>
              </w:rPr>
              <w:t>发包人（章）</w:t>
            </w:r>
          </w:p>
          <w:p w14:paraId="02F342AF">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发包人代表</w:t>
            </w:r>
          </w:p>
          <w:p w14:paraId="33A050D0">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日期</w:t>
            </w:r>
          </w:p>
        </w:tc>
      </w:tr>
    </w:tbl>
    <w:p w14:paraId="588EF021">
      <w:pPr>
        <w:spacing w:beforeLines="50"/>
        <w:ind w:firstLine="360" w:firstLineChars="200"/>
        <w:rPr>
          <w:rFonts w:ascii="宋体" w:hAnsi="宋体"/>
          <w:color w:val="auto"/>
          <w:sz w:val="18"/>
          <w:szCs w:val="18"/>
          <w:highlight w:val="none"/>
        </w:rPr>
      </w:pPr>
      <w:r>
        <w:rPr>
          <w:rFonts w:hint="eastAsia" w:ascii="宋体" w:hAnsi="宋体"/>
          <w:color w:val="auto"/>
          <w:sz w:val="18"/>
          <w:szCs w:val="18"/>
          <w:highlight w:val="none"/>
        </w:rPr>
        <w:t>注：</w:t>
      </w:r>
      <w:r>
        <w:rPr>
          <w:rFonts w:ascii="宋体" w:hAnsi="宋体"/>
          <w:color w:val="auto"/>
          <w:sz w:val="18"/>
          <w:szCs w:val="18"/>
          <w:highlight w:val="none"/>
        </w:rPr>
        <w:t>1.</w:t>
      </w:r>
      <w:r>
        <w:rPr>
          <w:rFonts w:hint="eastAsia" w:ascii="宋体" w:hAnsi="宋体"/>
          <w:color w:val="auto"/>
          <w:sz w:val="18"/>
          <w:szCs w:val="18"/>
          <w:highlight w:val="none"/>
        </w:rPr>
        <w:t>在选择栏中的“□”内作标识“√”。</w:t>
      </w:r>
    </w:p>
    <w:p w14:paraId="0B819370">
      <w:pPr>
        <w:spacing w:beforeLines="50"/>
        <w:ind w:left="720" w:hanging="720" w:hangingChars="400"/>
        <w:rPr>
          <w:rFonts w:ascii="宋体" w:hAnsi="宋体"/>
          <w:color w:val="auto"/>
          <w:sz w:val="18"/>
          <w:szCs w:val="18"/>
          <w:highlight w:val="none"/>
        </w:rPr>
      </w:pPr>
      <w:r>
        <w:rPr>
          <w:rFonts w:ascii="宋体" w:hAnsi="宋体"/>
          <w:color w:val="auto"/>
          <w:sz w:val="18"/>
          <w:szCs w:val="18"/>
          <w:highlight w:val="none"/>
        </w:rPr>
        <w:t xml:space="preserve">        2.</w:t>
      </w:r>
      <w:r>
        <w:rPr>
          <w:rFonts w:hint="eastAsia" w:ascii="宋体" w:hAnsi="宋体"/>
          <w:color w:val="auto"/>
          <w:sz w:val="18"/>
          <w:szCs w:val="18"/>
          <w:highlight w:val="none"/>
        </w:rPr>
        <w:t>本表一式四份，由承包人填报，发包人、监理人、造价咨询人、承包人各存一份。</w:t>
      </w:r>
    </w:p>
    <w:p w14:paraId="1A237C51">
      <w:pPr>
        <w:rPr>
          <w:rFonts w:ascii="宋体" w:hAnsi="宋体"/>
          <w:color w:val="auto"/>
          <w:sz w:val="30"/>
          <w:szCs w:val="30"/>
          <w:highlight w:val="none"/>
        </w:rPr>
      </w:pPr>
      <w:r>
        <w:rPr>
          <w:rFonts w:hint="eastAsia" w:ascii="宋体" w:hAnsi="宋体"/>
          <w:color w:val="auto"/>
          <w:sz w:val="30"/>
          <w:szCs w:val="30"/>
          <w:highlight w:val="none"/>
        </w:rPr>
        <w:br w:type="page"/>
      </w:r>
    </w:p>
    <w:p w14:paraId="7EF7374A">
      <w:pPr>
        <w:jc w:val="left"/>
        <w:rPr>
          <w:rFonts w:ascii="宋体" w:hAnsi="宋体"/>
          <w:b/>
          <w:bCs/>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13</w:t>
      </w:r>
      <w:r>
        <w:rPr>
          <w:rFonts w:hint="eastAsia" w:ascii="宋体" w:hAnsi="宋体"/>
          <w:color w:val="auto"/>
          <w:sz w:val="30"/>
          <w:szCs w:val="30"/>
          <w:highlight w:val="none"/>
        </w:rPr>
        <w:t>：</w:t>
      </w:r>
    </w:p>
    <w:p w14:paraId="446F6C8B">
      <w:pPr>
        <w:jc w:val="center"/>
        <w:rPr>
          <w:rFonts w:ascii="宋体" w:hAnsi="宋体"/>
          <w:b/>
          <w:bCs/>
          <w:color w:val="auto"/>
          <w:sz w:val="36"/>
          <w:szCs w:val="36"/>
          <w:highlight w:val="none"/>
        </w:rPr>
      </w:pPr>
      <w:r>
        <w:rPr>
          <w:rFonts w:hint="eastAsia" w:ascii="宋体" w:hAnsi="宋体"/>
          <w:b/>
          <w:bCs/>
          <w:color w:val="auto"/>
          <w:sz w:val="36"/>
          <w:szCs w:val="36"/>
          <w:highlight w:val="none"/>
        </w:rPr>
        <w:t>最终结算款支付申请（核准）表</w:t>
      </w:r>
    </w:p>
    <w:p w14:paraId="242C047F">
      <w:pPr>
        <w:rPr>
          <w:rFonts w:ascii="宋体" w:hAnsi="宋体"/>
          <w:color w:val="auto"/>
          <w:sz w:val="24"/>
          <w:szCs w:val="24"/>
          <w:highlight w:val="none"/>
        </w:rPr>
      </w:pPr>
      <w:r>
        <w:rPr>
          <w:rFonts w:hint="eastAsia" w:ascii="宋体" w:hAnsi="宋体"/>
          <w:color w:val="auto"/>
          <w:sz w:val="24"/>
          <w:szCs w:val="24"/>
          <w:highlight w:val="none"/>
        </w:rPr>
        <w:t>工程名称：编号：</w:t>
      </w:r>
    </w:p>
    <w:tbl>
      <w:tblPr>
        <w:tblStyle w:val="4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713E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4" w:hRule="atLeast"/>
          <w:jc w:val="center"/>
        </w:trPr>
        <w:tc>
          <w:tcPr>
            <w:tcW w:w="9072" w:type="dxa"/>
            <w:gridSpan w:val="2"/>
          </w:tcPr>
          <w:p w14:paraId="58FDA746">
            <w:pPr>
              <w:spacing w:line="480" w:lineRule="exact"/>
              <w:ind w:left="525" w:leftChars="149" w:hanging="212" w:hangingChars="101"/>
              <w:rPr>
                <w:rFonts w:ascii="宋体" w:hAnsi="宋体"/>
                <w:color w:val="auto"/>
                <w:highlight w:val="none"/>
                <w:u w:val="single"/>
              </w:rPr>
            </w:pPr>
            <w:r>
              <w:rPr>
                <w:rFonts w:hint="eastAsia" w:ascii="宋体" w:hAnsi="宋体"/>
                <w:color w:val="auto"/>
                <w:highlight w:val="none"/>
              </w:rPr>
              <w:t>致：</w:t>
            </w:r>
            <w:r>
              <w:rPr>
                <w:rFonts w:hint="eastAsia" w:ascii="宋体" w:hAnsi="宋体"/>
                <w:color w:val="auto"/>
                <w:highlight w:val="none"/>
                <w:u w:val="single"/>
              </w:rPr>
              <w:t>（发包人全称）</w:t>
            </w:r>
          </w:p>
          <w:p w14:paraId="20BEF519">
            <w:pPr>
              <w:spacing w:line="400" w:lineRule="exact"/>
              <w:ind w:left="-4" w:leftChars="-2" w:firstLine="315" w:firstLineChars="150"/>
              <w:rPr>
                <w:rFonts w:ascii="宋体" w:hAnsi="宋体"/>
                <w:color w:val="auto"/>
                <w:highlight w:val="none"/>
              </w:rPr>
            </w:pPr>
            <w:r>
              <w:rPr>
                <w:rFonts w:hint="eastAsia" w:ascii="宋体" w:hAnsi="宋体"/>
                <w:color w:val="auto"/>
                <w:highlight w:val="none"/>
              </w:rPr>
              <w:t>我方于至期间已完成了缺陷修复工作，根据施工合同的约定，现申请支付最终结清合同款额为</w:t>
            </w:r>
            <w:r>
              <w:rPr>
                <w:rFonts w:ascii="宋体" w:hAnsi="宋体"/>
                <w:color w:val="auto"/>
                <w:highlight w:val="none"/>
              </w:rPr>
              <w:t>(</w:t>
            </w:r>
            <w:r>
              <w:rPr>
                <w:rFonts w:hint="eastAsia" w:ascii="宋体" w:hAnsi="宋体"/>
                <w:color w:val="auto"/>
                <w:highlight w:val="none"/>
              </w:rPr>
              <w:t>大写</w:t>
            </w:r>
            <w:r>
              <w:rPr>
                <w:rFonts w:ascii="宋体" w:hAnsi="宋体"/>
                <w:color w:val="auto"/>
                <w:highlight w:val="none"/>
              </w:rPr>
              <w:t>)</w:t>
            </w:r>
            <w:r>
              <w:rPr>
                <w:rFonts w:hint="eastAsia" w:ascii="宋体" w:hAnsi="宋体"/>
                <w:color w:val="auto"/>
                <w:highlight w:val="none"/>
              </w:rPr>
              <w:t>元，</w:t>
            </w:r>
            <w:r>
              <w:rPr>
                <w:rFonts w:ascii="宋体" w:hAnsi="宋体"/>
                <w:color w:val="auto"/>
                <w:highlight w:val="none"/>
              </w:rPr>
              <w:t>(</w:t>
            </w:r>
            <w:r>
              <w:rPr>
                <w:rFonts w:hint="eastAsia" w:ascii="宋体" w:hAnsi="宋体"/>
                <w:color w:val="auto"/>
                <w:highlight w:val="none"/>
              </w:rPr>
              <w:t>小写</w:t>
            </w:r>
            <w:r>
              <w:rPr>
                <w:rFonts w:ascii="宋体" w:hAnsi="宋体"/>
                <w:color w:val="auto"/>
                <w:highlight w:val="none"/>
              </w:rPr>
              <w:t>)</w:t>
            </w:r>
            <w:r>
              <w:rPr>
                <w:rFonts w:hint="eastAsia" w:ascii="宋体" w:hAnsi="宋体"/>
                <w:color w:val="auto"/>
                <w:highlight w:val="none"/>
              </w:rPr>
              <w:t>元，请予核准。</w:t>
            </w:r>
          </w:p>
          <w:tbl>
            <w:tblPr>
              <w:tblStyle w:val="47"/>
              <w:tblW w:w="884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420"/>
              <w:gridCol w:w="1620"/>
              <w:gridCol w:w="1620"/>
              <w:gridCol w:w="1651"/>
            </w:tblGrid>
            <w:tr w14:paraId="06B7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vAlign w:val="center"/>
                </w:tcPr>
                <w:p w14:paraId="0D36BC22">
                  <w:pPr>
                    <w:spacing w:line="280" w:lineRule="exact"/>
                    <w:jc w:val="center"/>
                    <w:rPr>
                      <w:rFonts w:ascii="宋体" w:hAnsi="宋体"/>
                      <w:color w:val="auto"/>
                      <w:highlight w:val="none"/>
                    </w:rPr>
                  </w:pPr>
                  <w:r>
                    <w:rPr>
                      <w:rFonts w:hint="eastAsia" w:ascii="宋体" w:hAnsi="宋体"/>
                      <w:color w:val="auto"/>
                      <w:highlight w:val="none"/>
                    </w:rPr>
                    <w:t>序号</w:t>
                  </w:r>
                </w:p>
              </w:tc>
              <w:tc>
                <w:tcPr>
                  <w:tcW w:w="3420" w:type="dxa"/>
                  <w:tcBorders>
                    <w:top w:val="single" w:color="auto" w:sz="4" w:space="0"/>
                    <w:left w:val="single" w:color="auto" w:sz="4" w:space="0"/>
                    <w:bottom w:val="single" w:color="auto" w:sz="4" w:space="0"/>
                    <w:right w:val="single" w:color="auto" w:sz="4" w:space="0"/>
                  </w:tcBorders>
                  <w:vAlign w:val="center"/>
                </w:tcPr>
                <w:p w14:paraId="52E44197">
                  <w:pPr>
                    <w:spacing w:line="280" w:lineRule="exact"/>
                    <w:jc w:val="center"/>
                    <w:rPr>
                      <w:rFonts w:ascii="宋体" w:hAnsi="宋体"/>
                      <w:color w:val="auto"/>
                      <w:highlight w:val="none"/>
                    </w:rPr>
                  </w:pPr>
                  <w:r>
                    <w:rPr>
                      <w:rFonts w:hint="eastAsia" w:ascii="宋体" w:hAnsi="宋体"/>
                      <w:color w:val="auto"/>
                      <w:highlight w:val="none"/>
                    </w:rPr>
                    <w:t>名称</w:t>
                  </w:r>
                </w:p>
              </w:tc>
              <w:tc>
                <w:tcPr>
                  <w:tcW w:w="1620" w:type="dxa"/>
                  <w:tcBorders>
                    <w:top w:val="single" w:color="auto" w:sz="4" w:space="0"/>
                    <w:left w:val="single" w:color="auto" w:sz="4" w:space="0"/>
                    <w:bottom w:val="single" w:color="auto" w:sz="4" w:space="0"/>
                    <w:right w:val="single" w:color="auto" w:sz="4" w:space="0"/>
                  </w:tcBorders>
                  <w:vAlign w:val="center"/>
                </w:tcPr>
                <w:p w14:paraId="071E320F">
                  <w:pPr>
                    <w:spacing w:line="280" w:lineRule="exact"/>
                    <w:jc w:val="center"/>
                    <w:rPr>
                      <w:rFonts w:ascii="宋体" w:hAnsi="宋体"/>
                      <w:color w:val="auto"/>
                      <w:highlight w:val="none"/>
                    </w:rPr>
                  </w:pPr>
                  <w:r>
                    <w:rPr>
                      <w:rFonts w:hint="eastAsia" w:ascii="宋体" w:hAnsi="宋体"/>
                      <w:color w:val="auto"/>
                      <w:highlight w:val="none"/>
                    </w:rPr>
                    <w:t>申请金额（元）</w:t>
                  </w:r>
                </w:p>
              </w:tc>
              <w:tc>
                <w:tcPr>
                  <w:tcW w:w="1620" w:type="dxa"/>
                  <w:tcBorders>
                    <w:top w:val="single" w:color="auto" w:sz="4" w:space="0"/>
                    <w:left w:val="single" w:color="auto" w:sz="4" w:space="0"/>
                    <w:bottom w:val="single" w:color="auto" w:sz="4" w:space="0"/>
                    <w:right w:val="single" w:color="auto" w:sz="4" w:space="0"/>
                  </w:tcBorders>
                  <w:vAlign w:val="center"/>
                </w:tcPr>
                <w:p w14:paraId="0784DEAA">
                  <w:pPr>
                    <w:spacing w:line="280" w:lineRule="exact"/>
                    <w:jc w:val="center"/>
                    <w:rPr>
                      <w:rFonts w:ascii="宋体" w:hAnsi="宋体"/>
                      <w:color w:val="auto"/>
                      <w:highlight w:val="none"/>
                    </w:rPr>
                  </w:pPr>
                  <w:r>
                    <w:rPr>
                      <w:rFonts w:hint="eastAsia" w:ascii="宋体" w:hAnsi="宋体"/>
                      <w:color w:val="auto"/>
                      <w:highlight w:val="none"/>
                    </w:rPr>
                    <w:t>复核金额（元）</w:t>
                  </w:r>
                </w:p>
              </w:tc>
              <w:tc>
                <w:tcPr>
                  <w:tcW w:w="1651" w:type="dxa"/>
                  <w:tcBorders>
                    <w:top w:val="single" w:color="auto" w:sz="4" w:space="0"/>
                    <w:left w:val="single" w:color="auto" w:sz="4" w:space="0"/>
                    <w:bottom w:val="single" w:color="auto" w:sz="4" w:space="0"/>
                    <w:right w:val="single" w:color="auto" w:sz="4" w:space="0"/>
                  </w:tcBorders>
                  <w:vAlign w:val="center"/>
                </w:tcPr>
                <w:p w14:paraId="21F56656">
                  <w:pPr>
                    <w:spacing w:line="280" w:lineRule="exact"/>
                    <w:jc w:val="center"/>
                    <w:rPr>
                      <w:rFonts w:ascii="宋体" w:hAnsi="宋体"/>
                      <w:color w:val="auto"/>
                      <w:highlight w:val="none"/>
                    </w:rPr>
                  </w:pPr>
                  <w:r>
                    <w:rPr>
                      <w:rFonts w:hint="eastAsia" w:ascii="宋体" w:hAnsi="宋体"/>
                      <w:color w:val="auto"/>
                      <w:highlight w:val="none"/>
                    </w:rPr>
                    <w:t>备注</w:t>
                  </w:r>
                </w:p>
              </w:tc>
            </w:tr>
            <w:tr w14:paraId="0A13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585968FA">
                  <w:pPr>
                    <w:spacing w:line="280" w:lineRule="exact"/>
                    <w:jc w:val="center"/>
                    <w:rPr>
                      <w:rFonts w:ascii="宋体" w:hAnsi="宋体"/>
                      <w:color w:val="auto"/>
                      <w:highlight w:val="none"/>
                    </w:rPr>
                  </w:pPr>
                  <w:r>
                    <w:rPr>
                      <w:rFonts w:ascii="宋体" w:hAnsi="宋体"/>
                      <w:color w:val="auto"/>
                      <w:highlight w:val="none"/>
                    </w:rPr>
                    <w:t>1</w:t>
                  </w:r>
                </w:p>
              </w:tc>
              <w:tc>
                <w:tcPr>
                  <w:tcW w:w="3420" w:type="dxa"/>
                  <w:tcBorders>
                    <w:top w:val="single" w:color="auto" w:sz="4" w:space="0"/>
                    <w:left w:val="single" w:color="auto" w:sz="4" w:space="0"/>
                    <w:bottom w:val="single" w:color="auto" w:sz="4" w:space="0"/>
                    <w:right w:val="single" w:color="auto" w:sz="4" w:space="0"/>
                  </w:tcBorders>
                </w:tcPr>
                <w:p w14:paraId="53EB363B">
                  <w:pPr>
                    <w:spacing w:line="280" w:lineRule="exact"/>
                    <w:rPr>
                      <w:rFonts w:ascii="宋体" w:hAnsi="宋体"/>
                      <w:color w:val="auto"/>
                      <w:highlight w:val="none"/>
                    </w:rPr>
                  </w:pPr>
                  <w:r>
                    <w:rPr>
                      <w:rFonts w:hint="eastAsia" w:ascii="宋体" w:hAnsi="宋体"/>
                      <w:color w:val="auto"/>
                      <w:highlight w:val="none"/>
                    </w:rPr>
                    <w:t>已预留的质量保证金</w:t>
                  </w:r>
                </w:p>
              </w:tc>
              <w:tc>
                <w:tcPr>
                  <w:tcW w:w="1620" w:type="dxa"/>
                  <w:tcBorders>
                    <w:top w:val="single" w:color="auto" w:sz="4" w:space="0"/>
                    <w:left w:val="single" w:color="auto" w:sz="4" w:space="0"/>
                    <w:bottom w:val="single" w:color="auto" w:sz="4" w:space="0"/>
                    <w:right w:val="single" w:color="auto" w:sz="4" w:space="0"/>
                  </w:tcBorders>
                </w:tcPr>
                <w:p w14:paraId="632F29C3">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2968889A">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5794A1CB">
                  <w:pPr>
                    <w:spacing w:line="280" w:lineRule="exact"/>
                    <w:rPr>
                      <w:rFonts w:ascii="宋体" w:hAnsi="宋体"/>
                      <w:color w:val="auto"/>
                      <w:highlight w:val="none"/>
                    </w:rPr>
                  </w:pPr>
                </w:p>
              </w:tc>
            </w:tr>
            <w:tr w14:paraId="7565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1271AE99">
                  <w:pPr>
                    <w:spacing w:line="280" w:lineRule="exact"/>
                    <w:jc w:val="center"/>
                    <w:rPr>
                      <w:rFonts w:ascii="宋体" w:hAnsi="宋体"/>
                      <w:color w:val="auto"/>
                      <w:highlight w:val="none"/>
                    </w:rPr>
                  </w:pPr>
                  <w:r>
                    <w:rPr>
                      <w:rFonts w:ascii="宋体" w:hAnsi="宋体"/>
                      <w:color w:val="auto"/>
                      <w:highlight w:val="none"/>
                    </w:rPr>
                    <w:t>2</w:t>
                  </w:r>
                </w:p>
              </w:tc>
              <w:tc>
                <w:tcPr>
                  <w:tcW w:w="3420" w:type="dxa"/>
                  <w:tcBorders>
                    <w:top w:val="single" w:color="auto" w:sz="4" w:space="0"/>
                    <w:left w:val="single" w:color="auto" w:sz="4" w:space="0"/>
                    <w:bottom w:val="single" w:color="auto" w:sz="4" w:space="0"/>
                    <w:right w:val="single" w:color="auto" w:sz="4" w:space="0"/>
                  </w:tcBorders>
                </w:tcPr>
                <w:p w14:paraId="41EF2E87">
                  <w:pPr>
                    <w:spacing w:line="280" w:lineRule="exact"/>
                    <w:rPr>
                      <w:rFonts w:ascii="宋体" w:hAnsi="宋体"/>
                      <w:color w:val="auto"/>
                      <w:highlight w:val="none"/>
                    </w:rPr>
                  </w:pPr>
                  <w:r>
                    <w:rPr>
                      <w:rFonts w:hint="eastAsia" w:ascii="宋体" w:hAnsi="宋体"/>
                      <w:color w:val="auto"/>
                      <w:highlight w:val="none"/>
                    </w:rPr>
                    <w:t>应增加因发包人原因造成缺陷的修复金额</w:t>
                  </w:r>
                </w:p>
              </w:tc>
              <w:tc>
                <w:tcPr>
                  <w:tcW w:w="1620" w:type="dxa"/>
                  <w:tcBorders>
                    <w:top w:val="single" w:color="auto" w:sz="4" w:space="0"/>
                    <w:left w:val="single" w:color="auto" w:sz="4" w:space="0"/>
                    <w:bottom w:val="single" w:color="auto" w:sz="4" w:space="0"/>
                    <w:right w:val="single" w:color="auto" w:sz="4" w:space="0"/>
                  </w:tcBorders>
                </w:tcPr>
                <w:p w14:paraId="48F9EC88">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1D9FA642">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62D04651">
                  <w:pPr>
                    <w:spacing w:line="280" w:lineRule="exact"/>
                    <w:rPr>
                      <w:rFonts w:ascii="宋体" w:hAnsi="宋体"/>
                      <w:color w:val="auto"/>
                      <w:highlight w:val="none"/>
                    </w:rPr>
                  </w:pPr>
                </w:p>
              </w:tc>
            </w:tr>
            <w:tr w14:paraId="1EE5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23F918C7">
                  <w:pPr>
                    <w:spacing w:line="280" w:lineRule="exact"/>
                    <w:jc w:val="center"/>
                    <w:rPr>
                      <w:rFonts w:ascii="宋体" w:hAnsi="宋体"/>
                      <w:color w:val="auto"/>
                      <w:highlight w:val="none"/>
                    </w:rPr>
                  </w:pPr>
                  <w:r>
                    <w:rPr>
                      <w:rFonts w:ascii="宋体" w:hAnsi="宋体"/>
                      <w:color w:val="auto"/>
                      <w:highlight w:val="none"/>
                    </w:rPr>
                    <w:t>3</w:t>
                  </w:r>
                </w:p>
              </w:tc>
              <w:tc>
                <w:tcPr>
                  <w:tcW w:w="3420" w:type="dxa"/>
                  <w:tcBorders>
                    <w:top w:val="single" w:color="auto" w:sz="4" w:space="0"/>
                    <w:left w:val="single" w:color="auto" w:sz="4" w:space="0"/>
                    <w:bottom w:val="single" w:color="auto" w:sz="4" w:space="0"/>
                    <w:right w:val="single" w:color="auto" w:sz="4" w:space="0"/>
                  </w:tcBorders>
                </w:tcPr>
                <w:p w14:paraId="17561AC3">
                  <w:pPr>
                    <w:spacing w:line="280" w:lineRule="exact"/>
                    <w:rPr>
                      <w:rFonts w:ascii="宋体" w:hAnsi="宋体"/>
                      <w:color w:val="auto"/>
                      <w:highlight w:val="none"/>
                    </w:rPr>
                  </w:pPr>
                  <w:r>
                    <w:rPr>
                      <w:rFonts w:hint="eastAsia" w:ascii="宋体" w:hAnsi="宋体"/>
                      <w:color w:val="auto"/>
                      <w:highlight w:val="none"/>
                    </w:rPr>
                    <w:t>应扣减承包人不修复缺陷、发包人组织修复的金额</w:t>
                  </w:r>
                </w:p>
              </w:tc>
              <w:tc>
                <w:tcPr>
                  <w:tcW w:w="1620" w:type="dxa"/>
                  <w:tcBorders>
                    <w:top w:val="single" w:color="auto" w:sz="4" w:space="0"/>
                    <w:left w:val="single" w:color="auto" w:sz="4" w:space="0"/>
                    <w:bottom w:val="single" w:color="auto" w:sz="4" w:space="0"/>
                    <w:right w:val="single" w:color="auto" w:sz="4" w:space="0"/>
                  </w:tcBorders>
                </w:tcPr>
                <w:p w14:paraId="27E6D6F2">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1363ACEB">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07C09AE4">
                  <w:pPr>
                    <w:spacing w:line="280" w:lineRule="exact"/>
                    <w:rPr>
                      <w:rFonts w:ascii="宋体" w:hAnsi="宋体"/>
                      <w:color w:val="auto"/>
                      <w:highlight w:val="none"/>
                    </w:rPr>
                  </w:pPr>
                </w:p>
              </w:tc>
            </w:tr>
            <w:tr w14:paraId="65A2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0417321E">
                  <w:pPr>
                    <w:spacing w:line="280" w:lineRule="exact"/>
                    <w:jc w:val="center"/>
                    <w:rPr>
                      <w:rFonts w:ascii="宋体" w:hAnsi="宋体"/>
                      <w:color w:val="auto"/>
                      <w:highlight w:val="none"/>
                    </w:rPr>
                  </w:pPr>
                  <w:r>
                    <w:rPr>
                      <w:rFonts w:ascii="宋体" w:hAnsi="宋体"/>
                      <w:color w:val="auto"/>
                      <w:highlight w:val="none"/>
                    </w:rPr>
                    <w:t>4</w:t>
                  </w:r>
                </w:p>
              </w:tc>
              <w:tc>
                <w:tcPr>
                  <w:tcW w:w="3420" w:type="dxa"/>
                  <w:tcBorders>
                    <w:top w:val="single" w:color="auto" w:sz="4" w:space="0"/>
                    <w:left w:val="single" w:color="auto" w:sz="4" w:space="0"/>
                    <w:bottom w:val="single" w:color="auto" w:sz="4" w:space="0"/>
                    <w:right w:val="single" w:color="auto" w:sz="4" w:space="0"/>
                  </w:tcBorders>
                </w:tcPr>
                <w:p w14:paraId="36EB575C">
                  <w:pPr>
                    <w:spacing w:line="280" w:lineRule="exact"/>
                    <w:rPr>
                      <w:rFonts w:ascii="宋体" w:hAnsi="宋体"/>
                      <w:color w:val="auto"/>
                      <w:highlight w:val="none"/>
                    </w:rPr>
                  </w:pPr>
                  <w:r>
                    <w:rPr>
                      <w:rFonts w:hint="eastAsia" w:ascii="宋体" w:hAnsi="宋体"/>
                      <w:color w:val="auto"/>
                      <w:highlight w:val="none"/>
                    </w:rPr>
                    <w:t>最终应支付的合同价款</w:t>
                  </w:r>
                </w:p>
              </w:tc>
              <w:tc>
                <w:tcPr>
                  <w:tcW w:w="1620" w:type="dxa"/>
                  <w:tcBorders>
                    <w:top w:val="single" w:color="auto" w:sz="4" w:space="0"/>
                    <w:left w:val="single" w:color="auto" w:sz="4" w:space="0"/>
                    <w:bottom w:val="single" w:color="auto" w:sz="4" w:space="0"/>
                    <w:right w:val="single" w:color="auto" w:sz="4" w:space="0"/>
                  </w:tcBorders>
                </w:tcPr>
                <w:p w14:paraId="704FB4A6">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08C69924">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30764FC0">
                  <w:pPr>
                    <w:spacing w:line="280" w:lineRule="exact"/>
                    <w:rPr>
                      <w:rFonts w:ascii="宋体" w:hAnsi="宋体"/>
                      <w:color w:val="auto"/>
                      <w:highlight w:val="none"/>
                    </w:rPr>
                  </w:pPr>
                </w:p>
              </w:tc>
            </w:tr>
            <w:tr w14:paraId="5B68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6DF967B3">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19F0B0EE">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3629C7B">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53B87A9B">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53AC3A06">
                  <w:pPr>
                    <w:spacing w:line="280" w:lineRule="exact"/>
                    <w:rPr>
                      <w:rFonts w:ascii="宋体" w:hAnsi="宋体"/>
                      <w:color w:val="auto"/>
                      <w:highlight w:val="none"/>
                    </w:rPr>
                  </w:pPr>
                </w:p>
              </w:tc>
            </w:tr>
            <w:tr w14:paraId="2491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12B74CD0">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4307ABFF">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76BC24CD">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0AFBB12C">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47D21AED">
                  <w:pPr>
                    <w:spacing w:line="280" w:lineRule="exact"/>
                    <w:rPr>
                      <w:rFonts w:ascii="宋体" w:hAnsi="宋体"/>
                      <w:color w:val="auto"/>
                      <w:highlight w:val="none"/>
                    </w:rPr>
                  </w:pPr>
                </w:p>
              </w:tc>
            </w:tr>
            <w:tr w14:paraId="386C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C8BE99C">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00A99F42">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080B785">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0E64EC4">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1B6AFB0C">
                  <w:pPr>
                    <w:spacing w:line="280" w:lineRule="exact"/>
                    <w:rPr>
                      <w:rFonts w:ascii="宋体" w:hAnsi="宋体"/>
                      <w:color w:val="auto"/>
                      <w:highlight w:val="none"/>
                    </w:rPr>
                  </w:pPr>
                </w:p>
              </w:tc>
            </w:tr>
            <w:tr w14:paraId="2C1E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14:paraId="34D98278">
                  <w:pPr>
                    <w:spacing w:line="280" w:lineRule="exact"/>
                    <w:jc w:val="center"/>
                    <w:rPr>
                      <w:rFonts w:ascii="宋体" w:hAnsi="宋体"/>
                      <w:color w:val="auto"/>
                      <w:highlight w:val="none"/>
                    </w:rPr>
                  </w:pPr>
                </w:p>
              </w:tc>
              <w:tc>
                <w:tcPr>
                  <w:tcW w:w="3420" w:type="dxa"/>
                  <w:tcBorders>
                    <w:top w:val="single" w:color="auto" w:sz="4" w:space="0"/>
                    <w:left w:val="single" w:color="auto" w:sz="4" w:space="0"/>
                    <w:bottom w:val="single" w:color="auto" w:sz="4" w:space="0"/>
                    <w:right w:val="single" w:color="auto" w:sz="4" w:space="0"/>
                  </w:tcBorders>
                </w:tcPr>
                <w:p w14:paraId="1684D6CA">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4C68C04B">
                  <w:pPr>
                    <w:spacing w:line="280" w:lineRule="exact"/>
                    <w:rPr>
                      <w:rFonts w:ascii="宋体" w:hAnsi="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tcPr>
                <w:p w14:paraId="363C89B8">
                  <w:pPr>
                    <w:spacing w:line="280" w:lineRule="exact"/>
                    <w:rPr>
                      <w:rFonts w:ascii="宋体" w:hAnsi="宋体"/>
                      <w:color w:val="auto"/>
                      <w:highlight w:val="none"/>
                    </w:rPr>
                  </w:pPr>
                </w:p>
              </w:tc>
              <w:tc>
                <w:tcPr>
                  <w:tcW w:w="1651" w:type="dxa"/>
                  <w:tcBorders>
                    <w:top w:val="single" w:color="auto" w:sz="4" w:space="0"/>
                    <w:left w:val="single" w:color="auto" w:sz="4" w:space="0"/>
                    <w:bottom w:val="single" w:color="auto" w:sz="4" w:space="0"/>
                    <w:right w:val="single" w:color="auto" w:sz="4" w:space="0"/>
                  </w:tcBorders>
                </w:tcPr>
                <w:p w14:paraId="46998B68">
                  <w:pPr>
                    <w:spacing w:line="280" w:lineRule="exact"/>
                    <w:rPr>
                      <w:rFonts w:ascii="宋体" w:hAnsi="宋体"/>
                      <w:color w:val="auto"/>
                      <w:highlight w:val="none"/>
                    </w:rPr>
                  </w:pPr>
                </w:p>
              </w:tc>
            </w:tr>
          </w:tbl>
          <w:p w14:paraId="545D5C6B">
            <w:pPr>
              <w:spacing w:line="400" w:lineRule="exact"/>
              <w:ind w:right="420" w:firstLine="435"/>
              <w:jc w:val="center"/>
              <w:rPr>
                <w:rFonts w:ascii="宋体" w:hAnsi="宋体"/>
                <w:color w:val="auto"/>
                <w:highlight w:val="none"/>
              </w:rPr>
            </w:pPr>
            <w:r>
              <w:rPr>
                <w:rFonts w:hint="eastAsia" w:ascii="宋体" w:hAnsi="宋体"/>
                <w:color w:val="auto"/>
                <w:highlight w:val="none"/>
              </w:rPr>
              <w:t>承包人（章）</w:t>
            </w:r>
          </w:p>
          <w:p w14:paraId="11B4A9EA">
            <w:pPr>
              <w:spacing w:line="400" w:lineRule="exact"/>
              <w:ind w:right="420" w:firstLine="435"/>
              <w:rPr>
                <w:rFonts w:ascii="宋体" w:hAnsi="宋体"/>
                <w:color w:val="auto"/>
                <w:highlight w:val="none"/>
              </w:rPr>
            </w:pPr>
            <w:r>
              <w:rPr>
                <w:rFonts w:hint="eastAsia" w:ascii="宋体" w:hAnsi="宋体"/>
                <w:color w:val="auto"/>
                <w:highlight w:val="none"/>
              </w:rPr>
              <w:t>造价人员承包人代表日期</w:t>
            </w:r>
          </w:p>
        </w:tc>
      </w:tr>
      <w:tr w14:paraId="7323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36" w:type="dxa"/>
          </w:tcPr>
          <w:p w14:paraId="58CA33AD">
            <w:pPr>
              <w:spacing w:line="360" w:lineRule="exact"/>
              <w:rPr>
                <w:rFonts w:ascii="宋体" w:hAnsi="宋体"/>
                <w:color w:val="auto"/>
                <w:highlight w:val="none"/>
              </w:rPr>
            </w:pPr>
            <w:r>
              <w:rPr>
                <w:rFonts w:hint="eastAsia" w:ascii="宋体" w:hAnsi="宋体"/>
                <w:color w:val="auto"/>
                <w:highlight w:val="none"/>
              </w:rPr>
              <w:t>复核意见：</w:t>
            </w:r>
          </w:p>
          <w:p w14:paraId="573532D9">
            <w:pPr>
              <w:spacing w:line="360" w:lineRule="exact"/>
              <w:ind w:firstLine="312"/>
              <w:rPr>
                <w:rFonts w:ascii="宋体" w:hAnsi="宋体"/>
                <w:color w:val="auto"/>
                <w:highlight w:val="none"/>
              </w:rPr>
            </w:pPr>
            <w:r>
              <w:rPr>
                <w:rFonts w:hint="eastAsia" w:ascii="宋体" w:hAnsi="宋体"/>
                <w:color w:val="auto"/>
                <w:highlight w:val="none"/>
              </w:rPr>
              <w:t>□与实际施工情况不相符，修改意见见附件。</w:t>
            </w:r>
          </w:p>
          <w:p w14:paraId="37EAE775">
            <w:pPr>
              <w:spacing w:line="360" w:lineRule="exact"/>
              <w:ind w:firstLine="312"/>
              <w:rPr>
                <w:rFonts w:ascii="宋体" w:hAnsi="宋体"/>
                <w:color w:val="auto"/>
                <w:highlight w:val="none"/>
              </w:rPr>
            </w:pPr>
            <w:r>
              <w:rPr>
                <w:rFonts w:hint="eastAsia" w:ascii="宋体" w:hAnsi="宋体"/>
                <w:color w:val="auto"/>
                <w:highlight w:val="none"/>
              </w:rPr>
              <w:t>□与实际施工情况相符，具体金额由造价工程师复核。</w:t>
            </w:r>
          </w:p>
          <w:p w14:paraId="2D266E93">
            <w:pPr>
              <w:spacing w:line="360" w:lineRule="exact"/>
              <w:ind w:firstLine="435"/>
              <w:jc w:val="right"/>
              <w:rPr>
                <w:rFonts w:ascii="宋体" w:hAnsi="宋体"/>
                <w:color w:val="auto"/>
                <w:highlight w:val="none"/>
              </w:rPr>
            </w:pPr>
          </w:p>
          <w:p w14:paraId="4EAA8512">
            <w:pPr>
              <w:spacing w:line="360" w:lineRule="exact"/>
              <w:ind w:firstLine="435"/>
              <w:jc w:val="right"/>
              <w:rPr>
                <w:rFonts w:ascii="宋体" w:hAnsi="宋体"/>
                <w:color w:val="auto"/>
                <w:highlight w:val="none"/>
              </w:rPr>
            </w:pPr>
          </w:p>
          <w:p w14:paraId="02B9F108">
            <w:pPr>
              <w:spacing w:line="360" w:lineRule="exact"/>
              <w:ind w:firstLine="435"/>
              <w:jc w:val="center"/>
              <w:rPr>
                <w:rFonts w:ascii="宋体" w:hAnsi="宋体"/>
                <w:color w:val="auto"/>
                <w:highlight w:val="none"/>
              </w:rPr>
            </w:pPr>
          </w:p>
          <w:p w14:paraId="69573C1C">
            <w:pPr>
              <w:spacing w:line="360" w:lineRule="exact"/>
              <w:ind w:firstLine="435"/>
              <w:jc w:val="center"/>
              <w:rPr>
                <w:rFonts w:ascii="宋体" w:hAnsi="宋体"/>
                <w:color w:val="auto"/>
                <w:highlight w:val="none"/>
                <w:u w:val="single"/>
              </w:rPr>
            </w:pPr>
            <w:r>
              <w:rPr>
                <w:rFonts w:hint="eastAsia" w:ascii="宋体" w:hAnsi="宋体"/>
                <w:color w:val="auto"/>
                <w:highlight w:val="none"/>
              </w:rPr>
              <w:t>监理工程师</w:t>
            </w:r>
          </w:p>
          <w:p w14:paraId="19287909">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c>
          <w:tcPr>
            <w:tcW w:w="4536" w:type="dxa"/>
            <w:tcBorders>
              <w:left w:val="nil"/>
            </w:tcBorders>
          </w:tcPr>
          <w:p w14:paraId="42F7974C">
            <w:pPr>
              <w:spacing w:line="360" w:lineRule="exact"/>
              <w:rPr>
                <w:rFonts w:ascii="宋体" w:hAnsi="宋体"/>
                <w:color w:val="auto"/>
                <w:highlight w:val="none"/>
              </w:rPr>
            </w:pPr>
            <w:r>
              <w:rPr>
                <w:rFonts w:hint="eastAsia" w:ascii="宋体" w:hAnsi="宋体"/>
                <w:color w:val="auto"/>
                <w:highlight w:val="none"/>
              </w:rPr>
              <w:t>复核意见：</w:t>
            </w:r>
          </w:p>
          <w:p w14:paraId="278E1192">
            <w:pPr>
              <w:spacing w:line="360" w:lineRule="exact"/>
              <w:ind w:firstLine="435"/>
              <w:rPr>
                <w:rFonts w:ascii="宋体" w:hAnsi="宋体"/>
                <w:color w:val="auto"/>
                <w:highlight w:val="none"/>
                <w:u w:val="single"/>
              </w:rPr>
            </w:pPr>
            <w:r>
              <w:rPr>
                <w:rFonts w:hint="eastAsia" w:ascii="宋体" w:hAnsi="宋体"/>
                <w:color w:val="auto"/>
                <w:highlight w:val="none"/>
              </w:rPr>
              <w:t>你方提出的支付申请经复核，最终应支付金额为（大写）元，（小写）元。</w:t>
            </w:r>
          </w:p>
          <w:p w14:paraId="4F0D3E62">
            <w:pPr>
              <w:spacing w:line="360" w:lineRule="exact"/>
              <w:ind w:firstLine="435"/>
              <w:jc w:val="center"/>
              <w:rPr>
                <w:rFonts w:ascii="宋体" w:hAnsi="宋体"/>
                <w:color w:val="auto"/>
                <w:highlight w:val="none"/>
              </w:rPr>
            </w:pPr>
          </w:p>
          <w:p w14:paraId="07E0104F">
            <w:pPr>
              <w:spacing w:line="360" w:lineRule="exact"/>
              <w:ind w:firstLine="435"/>
              <w:jc w:val="center"/>
              <w:rPr>
                <w:rFonts w:ascii="宋体" w:hAnsi="宋体"/>
                <w:color w:val="auto"/>
                <w:highlight w:val="none"/>
              </w:rPr>
            </w:pPr>
          </w:p>
          <w:p w14:paraId="03180E0B">
            <w:pPr>
              <w:spacing w:line="360" w:lineRule="exact"/>
              <w:ind w:firstLine="435"/>
              <w:jc w:val="center"/>
              <w:rPr>
                <w:rFonts w:ascii="宋体" w:hAnsi="宋体"/>
                <w:color w:val="auto"/>
                <w:highlight w:val="none"/>
              </w:rPr>
            </w:pPr>
          </w:p>
          <w:p w14:paraId="12BA020A">
            <w:pPr>
              <w:spacing w:line="360" w:lineRule="exact"/>
              <w:ind w:firstLine="435"/>
              <w:jc w:val="center"/>
              <w:rPr>
                <w:rFonts w:ascii="宋体" w:hAnsi="宋体"/>
                <w:color w:val="auto"/>
                <w:highlight w:val="none"/>
              </w:rPr>
            </w:pPr>
          </w:p>
          <w:p w14:paraId="1880334F">
            <w:pPr>
              <w:spacing w:line="360" w:lineRule="exact"/>
              <w:ind w:firstLine="435"/>
              <w:jc w:val="center"/>
              <w:rPr>
                <w:rFonts w:ascii="宋体" w:hAnsi="宋体"/>
                <w:color w:val="auto"/>
                <w:highlight w:val="none"/>
                <w:u w:val="single"/>
              </w:rPr>
            </w:pPr>
            <w:r>
              <w:rPr>
                <w:rFonts w:hint="eastAsia" w:ascii="宋体" w:hAnsi="宋体"/>
                <w:color w:val="auto"/>
                <w:highlight w:val="none"/>
              </w:rPr>
              <w:t>造价工程师</w:t>
            </w:r>
          </w:p>
          <w:p w14:paraId="25C0EFC3">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r>
      <w:tr w14:paraId="052C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Pr>
          <w:p w14:paraId="04DDFB42">
            <w:pPr>
              <w:spacing w:line="400" w:lineRule="exact"/>
              <w:rPr>
                <w:rFonts w:ascii="宋体" w:hAnsi="宋体"/>
                <w:color w:val="auto"/>
                <w:highlight w:val="none"/>
              </w:rPr>
            </w:pPr>
            <w:r>
              <w:rPr>
                <w:rFonts w:hint="eastAsia" w:ascii="宋体" w:hAnsi="宋体"/>
                <w:color w:val="auto"/>
                <w:highlight w:val="none"/>
              </w:rPr>
              <w:t>审核意见：</w:t>
            </w:r>
          </w:p>
          <w:p w14:paraId="48DA32D6">
            <w:pPr>
              <w:spacing w:line="400" w:lineRule="exact"/>
              <w:ind w:firstLine="435"/>
              <w:rPr>
                <w:rFonts w:ascii="宋体" w:hAnsi="宋体"/>
                <w:color w:val="auto"/>
                <w:highlight w:val="none"/>
              </w:rPr>
            </w:pPr>
            <w:r>
              <w:rPr>
                <w:rFonts w:hint="eastAsia" w:ascii="宋体" w:hAnsi="宋体"/>
                <w:color w:val="auto"/>
                <w:highlight w:val="none"/>
              </w:rPr>
              <w:t>□不同意。</w:t>
            </w:r>
          </w:p>
          <w:p w14:paraId="1924C876">
            <w:pPr>
              <w:spacing w:line="400" w:lineRule="exact"/>
              <w:ind w:firstLine="420" w:firstLineChars="200"/>
              <w:rPr>
                <w:rFonts w:ascii="宋体" w:hAnsi="宋体"/>
                <w:color w:val="auto"/>
                <w:highlight w:val="none"/>
              </w:rPr>
            </w:pPr>
            <w:r>
              <w:rPr>
                <w:rFonts w:hint="eastAsia" w:ascii="宋体" w:hAnsi="宋体"/>
                <w:color w:val="auto"/>
                <w:highlight w:val="none"/>
              </w:rPr>
              <w:t>□同意，支付时间为本表签发后的</w:t>
            </w:r>
            <w:r>
              <w:rPr>
                <w:rFonts w:ascii="宋体" w:hAnsi="宋体"/>
                <w:color w:val="auto"/>
                <w:highlight w:val="none"/>
              </w:rPr>
              <w:t>15</w:t>
            </w:r>
            <w:r>
              <w:rPr>
                <w:rFonts w:hint="eastAsia" w:ascii="宋体" w:hAnsi="宋体"/>
                <w:color w:val="auto"/>
                <w:highlight w:val="none"/>
              </w:rPr>
              <w:t>天内。</w:t>
            </w:r>
          </w:p>
          <w:p w14:paraId="75CFE6FE">
            <w:pPr>
              <w:wordWrap w:val="0"/>
              <w:spacing w:line="400" w:lineRule="exact"/>
              <w:ind w:firstLine="420" w:firstLineChars="200"/>
              <w:jc w:val="right"/>
              <w:rPr>
                <w:rFonts w:ascii="宋体" w:hAnsi="宋体"/>
                <w:color w:val="auto"/>
                <w:highlight w:val="none"/>
              </w:rPr>
            </w:pPr>
            <w:r>
              <w:rPr>
                <w:rFonts w:hint="eastAsia" w:ascii="宋体" w:hAnsi="宋体"/>
                <w:color w:val="auto"/>
                <w:highlight w:val="none"/>
              </w:rPr>
              <w:t>发包人（章）</w:t>
            </w:r>
          </w:p>
          <w:p w14:paraId="5F49E791">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发包人代表</w:t>
            </w:r>
          </w:p>
          <w:p w14:paraId="0BFEF729">
            <w:pPr>
              <w:wordWrap w:val="0"/>
              <w:spacing w:line="400" w:lineRule="exact"/>
              <w:ind w:firstLine="420" w:firstLineChars="200"/>
              <w:jc w:val="right"/>
              <w:rPr>
                <w:rFonts w:ascii="宋体" w:hAnsi="宋体"/>
                <w:color w:val="auto"/>
                <w:highlight w:val="none"/>
                <w:u w:val="single"/>
              </w:rPr>
            </w:pPr>
            <w:r>
              <w:rPr>
                <w:rFonts w:hint="eastAsia" w:ascii="宋体" w:hAnsi="宋体"/>
                <w:color w:val="auto"/>
                <w:highlight w:val="none"/>
              </w:rPr>
              <w:t>日期</w:t>
            </w:r>
          </w:p>
        </w:tc>
      </w:tr>
    </w:tbl>
    <w:p w14:paraId="0312CC5A">
      <w:pPr>
        <w:spacing w:beforeLines="50"/>
        <w:ind w:firstLine="360" w:firstLineChars="200"/>
        <w:rPr>
          <w:rFonts w:ascii="宋体" w:hAnsi="宋体"/>
          <w:color w:val="auto"/>
          <w:sz w:val="18"/>
          <w:szCs w:val="18"/>
          <w:highlight w:val="none"/>
        </w:rPr>
      </w:pPr>
      <w:r>
        <w:rPr>
          <w:rFonts w:hint="eastAsia" w:ascii="宋体" w:hAnsi="宋体"/>
          <w:color w:val="auto"/>
          <w:sz w:val="18"/>
          <w:szCs w:val="18"/>
          <w:highlight w:val="none"/>
        </w:rPr>
        <w:t>注：</w:t>
      </w:r>
      <w:r>
        <w:rPr>
          <w:rFonts w:ascii="宋体" w:hAnsi="宋体"/>
          <w:color w:val="auto"/>
          <w:sz w:val="18"/>
          <w:szCs w:val="18"/>
          <w:highlight w:val="none"/>
        </w:rPr>
        <w:t>1.</w:t>
      </w:r>
      <w:r>
        <w:rPr>
          <w:rFonts w:hint="eastAsia" w:ascii="宋体" w:hAnsi="宋体"/>
          <w:color w:val="auto"/>
          <w:sz w:val="18"/>
          <w:szCs w:val="18"/>
          <w:highlight w:val="none"/>
        </w:rPr>
        <w:t>在选择栏中的“□”内作标识“√”。如监理人已退场，监理工程师栏可空缺。</w:t>
      </w:r>
    </w:p>
    <w:p w14:paraId="14D3C69B">
      <w:pPr>
        <w:spacing w:beforeLines="50"/>
        <w:ind w:left="720" w:hanging="720" w:hangingChars="400"/>
        <w:rPr>
          <w:rFonts w:ascii="宋体" w:hAnsi="宋体"/>
          <w:color w:val="auto"/>
          <w:sz w:val="18"/>
          <w:szCs w:val="18"/>
          <w:highlight w:val="none"/>
        </w:rPr>
      </w:pPr>
      <w:r>
        <w:rPr>
          <w:rFonts w:ascii="宋体" w:hAnsi="宋体"/>
          <w:color w:val="auto"/>
          <w:sz w:val="18"/>
          <w:szCs w:val="18"/>
          <w:highlight w:val="none"/>
        </w:rPr>
        <w:t xml:space="preserve">        2.</w:t>
      </w:r>
      <w:r>
        <w:rPr>
          <w:rFonts w:hint="eastAsia" w:ascii="宋体" w:hAnsi="宋体"/>
          <w:color w:val="auto"/>
          <w:sz w:val="18"/>
          <w:szCs w:val="18"/>
          <w:highlight w:val="none"/>
        </w:rPr>
        <w:t>本表一式四份，由承包人填报，发包人、监理人、造价咨询人、承包人各存一份。</w:t>
      </w:r>
    </w:p>
    <w:p w14:paraId="0A57A331">
      <w:pPr>
        <w:spacing w:beforeLines="50"/>
        <w:ind w:left="1200" w:hanging="1200" w:hangingChars="400"/>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14</w:t>
      </w:r>
      <w:r>
        <w:rPr>
          <w:rFonts w:hint="eastAsia" w:ascii="宋体" w:hAnsi="宋体"/>
          <w:color w:val="auto"/>
          <w:sz w:val="30"/>
          <w:szCs w:val="30"/>
          <w:highlight w:val="none"/>
        </w:rPr>
        <w:t>：</w:t>
      </w:r>
    </w:p>
    <w:p w14:paraId="2BCC61FA">
      <w:pPr>
        <w:spacing w:line="360" w:lineRule="auto"/>
        <w:ind w:firstLine="720" w:firstLineChars="200"/>
        <w:jc w:val="center"/>
        <w:rPr>
          <w:rFonts w:ascii="宋体" w:hAnsi="宋体"/>
          <w:color w:val="auto"/>
          <w:kern w:val="0"/>
          <w:sz w:val="36"/>
          <w:szCs w:val="36"/>
          <w:highlight w:val="none"/>
        </w:rPr>
      </w:pPr>
      <w:r>
        <w:rPr>
          <w:rFonts w:hint="eastAsia" w:ascii="宋体" w:hAnsi="宋体"/>
          <w:color w:val="auto"/>
          <w:kern w:val="0"/>
          <w:sz w:val="36"/>
          <w:szCs w:val="36"/>
          <w:highlight w:val="none"/>
        </w:rPr>
        <w:t>总价合同进度款支付分解表</w:t>
      </w:r>
    </w:p>
    <w:p w14:paraId="5F2BFDDF">
      <w:pPr>
        <w:spacing w:line="360" w:lineRule="auto"/>
        <w:rPr>
          <w:rFonts w:ascii="宋体" w:hAnsi="宋体"/>
          <w:color w:val="auto"/>
          <w:kern w:val="0"/>
          <w:highlight w:val="none"/>
        </w:rPr>
      </w:pPr>
      <w:r>
        <w:rPr>
          <w:rFonts w:hint="eastAsia" w:ascii="宋体" w:hAnsi="宋体"/>
          <w:color w:val="auto"/>
          <w:kern w:val="0"/>
          <w:highlight w:val="none"/>
        </w:rPr>
        <w:t>工程名称：</w:t>
      </w:r>
    </w:p>
    <w:tbl>
      <w:tblPr>
        <w:tblStyle w:val="47"/>
        <w:tblW w:w="8867"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231"/>
        <w:gridCol w:w="563"/>
        <w:gridCol w:w="2268"/>
        <w:gridCol w:w="1388"/>
      </w:tblGrid>
      <w:tr w14:paraId="5DF8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D03E570">
            <w:pPr>
              <w:spacing w:line="360" w:lineRule="auto"/>
              <w:jc w:val="center"/>
              <w:rPr>
                <w:rFonts w:ascii="宋体" w:hAnsi="宋体"/>
                <w:color w:val="auto"/>
                <w:kern w:val="0"/>
                <w:highlight w:val="none"/>
              </w:rPr>
            </w:pPr>
            <w:r>
              <w:rPr>
                <w:rFonts w:hint="eastAsia" w:ascii="宋体" w:hAnsi="宋体"/>
                <w:color w:val="auto"/>
                <w:kern w:val="0"/>
                <w:highlight w:val="none"/>
              </w:rPr>
              <w:t>进度款期次</w:t>
            </w:r>
          </w:p>
        </w:tc>
        <w:tc>
          <w:tcPr>
            <w:tcW w:w="3794" w:type="dxa"/>
            <w:gridSpan w:val="2"/>
            <w:tcBorders>
              <w:left w:val="nil"/>
            </w:tcBorders>
          </w:tcPr>
          <w:p w14:paraId="5AA1C865">
            <w:pPr>
              <w:spacing w:line="360" w:lineRule="auto"/>
              <w:jc w:val="center"/>
              <w:rPr>
                <w:rFonts w:ascii="宋体" w:hAnsi="宋体"/>
                <w:color w:val="auto"/>
                <w:kern w:val="0"/>
                <w:highlight w:val="none"/>
              </w:rPr>
            </w:pPr>
            <w:r>
              <w:rPr>
                <w:rFonts w:hint="eastAsia" w:ascii="宋体" w:hAnsi="宋体"/>
                <w:color w:val="auto"/>
                <w:kern w:val="0"/>
                <w:highlight w:val="none"/>
              </w:rPr>
              <w:t>形象进度</w:t>
            </w:r>
          </w:p>
        </w:tc>
        <w:tc>
          <w:tcPr>
            <w:tcW w:w="2268" w:type="dxa"/>
            <w:tcBorders>
              <w:left w:val="nil"/>
            </w:tcBorders>
          </w:tcPr>
          <w:p w14:paraId="54FB0D2C">
            <w:pPr>
              <w:spacing w:line="360" w:lineRule="auto"/>
              <w:jc w:val="center"/>
              <w:rPr>
                <w:rFonts w:ascii="宋体" w:hAnsi="宋体"/>
                <w:color w:val="auto"/>
                <w:kern w:val="0"/>
                <w:highlight w:val="none"/>
              </w:rPr>
            </w:pPr>
            <w:r>
              <w:rPr>
                <w:rFonts w:hint="eastAsia" w:ascii="宋体" w:hAnsi="宋体"/>
                <w:color w:val="auto"/>
                <w:kern w:val="0"/>
                <w:highlight w:val="none"/>
              </w:rPr>
              <w:t>进度款付款金额（元）</w:t>
            </w:r>
          </w:p>
        </w:tc>
        <w:tc>
          <w:tcPr>
            <w:tcW w:w="1388" w:type="dxa"/>
            <w:tcBorders>
              <w:left w:val="nil"/>
            </w:tcBorders>
          </w:tcPr>
          <w:p w14:paraId="4A1C5ECA">
            <w:pPr>
              <w:spacing w:line="360" w:lineRule="auto"/>
              <w:jc w:val="center"/>
              <w:rPr>
                <w:rFonts w:ascii="宋体" w:hAnsi="宋体"/>
                <w:color w:val="auto"/>
                <w:kern w:val="0"/>
                <w:highlight w:val="none"/>
              </w:rPr>
            </w:pPr>
            <w:r>
              <w:rPr>
                <w:rFonts w:hint="eastAsia" w:ascii="宋体" w:hAnsi="宋体"/>
                <w:color w:val="auto"/>
                <w:kern w:val="0"/>
                <w:highlight w:val="none"/>
              </w:rPr>
              <w:t>备注</w:t>
            </w:r>
          </w:p>
        </w:tc>
      </w:tr>
      <w:tr w14:paraId="090C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421D95CB">
            <w:pPr>
              <w:spacing w:line="360" w:lineRule="auto"/>
              <w:jc w:val="center"/>
              <w:rPr>
                <w:rFonts w:ascii="宋体" w:hAnsi="宋体"/>
                <w:color w:val="auto"/>
                <w:kern w:val="0"/>
                <w:highlight w:val="none"/>
              </w:rPr>
            </w:pPr>
            <w:r>
              <w:rPr>
                <w:rFonts w:hint="eastAsia" w:ascii="宋体" w:hAnsi="宋体"/>
                <w:color w:val="auto"/>
                <w:kern w:val="0"/>
                <w:highlight w:val="none"/>
              </w:rPr>
              <w:t>第一期</w:t>
            </w:r>
          </w:p>
        </w:tc>
        <w:tc>
          <w:tcPr>
            <w:tcW w:w="3794" w:type="dxa"/>
            <w:gridSpan w:val="2"/>
            <w:tcBorders>
              <w:left w:val="nil"/>
            </w:tcBorders>
          </w:tcPr>
          <w:p w14:paraId="1365804E">
            <w:pPr>
              <w:spacing w:line="360" w:lineRule="auto"/>
              <w:jc w:val="center"/>
              <w:rPr>
                <w:rFonts w:ascii="宋体" w:hAnsi="宋体"/>
                <w:color w:val="auto"/>
                <w:kern w:val="0"/>
                <w:highlight w:val="none"/>
              </w:rPr>
            </w:pPr>
          </w:p>
        </w:tc>
        <w:tc>
          <w:tcPr>
            <w:tcW w:w="2268" w:type="dxa"/>
            <w:tcBorders>
              <w:left w:val="nil"/>
            </w:tcBorders>
          </w:tcPr>
          <w:p w14:paraId="4844E167">
            <w:pPr>
              <w:spacing w:line="360" w:lineRule="auto"/>
              <w:jc w:val="center"/>
              <w:rPr>
                <w:rFonts w:ascii="宋体" w:hAnsi="宋体"/>
                <w:color w:val="auto"/>
                <w:kern w:val="0"/>
                <w:highlight w:val="none"/>
              </w:rPr>
            </w:pPr>
          </w:p>
        </w:tc>
        <w:tc>
          <w:tcPr>
            <w:tcW w:w="1388" w:type="dxa"/>
            <w:tcBorders>
              <w:left w:val="nil"/>
            </w:tcBorders>
          </w:tcPr>
          <w:p w14:paraId="6D720CEF">
            <w:pPr>
              <w:spacing w:line="360" w:lineRule="auto"/>
              <w:jc w:val="center"/>
              <w:rPr>
                <w:rFonts w:ascii="宋体" w:hAnsi="宋体"/>
                <w:color w:val="auto"/>
                <w:kern w:val="0"/>
                <w:highlight w:val="none"/>
              </w:rPr>
            </w:pPr>
          </w:p>
        </w:tc>
      </w:tr>
      <w:tr w14:paraId="028C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841282E">
            <w:pPr>
              <w:spacing w:line="360" w:lineRule="auto"/>
              <w:jc w:val="center"/>
              <w:rPr>
                <w:rFonts w:ascii="宋体" w:hAnsi="宋体"/>
                <w:color w:val="auto"/>
                <w:kern w:val="0"/>
                <w:highlight w:val="none"/>
              </w:rPr>
            </w:pPr>
            <w:r>
              <w:rPr>
                <w:rFonts w:hint="eastAsia" w:ascii="宋体" w:hAnsi="宋体"/>
                <w:color w:val="auto"/>
                <w:kern w:val="0"/>
                <w:highlight w:val="none"/>
              </w:rPr>
              <w:t>第二期</w:t>
            </w:r>
          </w:p>
        </w:tc>
        <w:tc>
          <w:tcPr>
            <w:tcW w:w="3794" w:type="dxa"/>
            <w:gridSpan w:val="2"/>
            <w:tcBorders>
              <w:left w:val="nil"/>
            </w:tcBorders>
          </w:tcPr>
          <w:p w14:paraId="4CE3953D">
            <w:pPr>
              <w:spacing w:line="360" w:lineRule="auto"/>
              <w:jc w:val="center"/>
              <w:rPr>
                <w:rFonts w:ascii="宋体" w:hAnsi="宋体"/>
                <w:color w:val="auto"/>
                <w:kern w:val="0"/>
                <w:highlight w:val="none"/>
              </w:rPr>
            </w:pPr>
          </w:p>
        </w:tc>
        <w:tc>
          <w:tcPr>
            <w:tcW w:w="2268" w:type="dxa"/>
            <w:tcBorders>
              <w:left w:val="nil"/>
            </w:tcBorders>
          </w:tcPr>
          <w:p w14:paraId="67E3F209">
            <w:pPr>
              <w:spacing w:line="360" w:lineRule="auto"/>
              <w:jc w:val="center"/>
              <w:rPr>
                <w:rFonts w:ascii="宋体" w:hAnsi="宋体"/>
                <w:color w:val="auto"/>
                <w:kern w:val="0"/>
                <w:highlight w:val="none"/>
              </w:rPr>
            </w:pPr>
          </w:p>
        </w:tc>
        <w:tc>
          <w:tcPr>
            <w:tcW w:w="1388" w:type="dxa"/>
            <w:tcBorders>
              <w:left w:val="nil"/>
            </w:tcBorders>
          </w:tcPr>
          <w:p w14:paraId="356B391A">
            <w:pPr>
              <w:spacing w:line="360" w:lineRule="auto"/>
              <w:jc w:val="center"/>
              <w:rPr>
                <w:rFonts w:ascii="宋体" w:hAnsi="宋体"/>
                <w:color w:val="auto"/>
                <w:kern w:val="0"/>
                <w:highlight w:val="none"/>
              </w:rPr>
            </w:pPr>
          </w:p>
        </w:tc>
      </w:tr>
      <w:tr w14:paraId="5F02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C2A5330">
            <w:pPr>
              <w:spacing w:line="360" w:lineRule="auto"/>
              <w:jc w:val="center"/>
              <w:rPr>
                <w:rFonts w:ascii="宋体" w:hAnsi="宋体"/>
                <w:color w:val="auto"/>
                <w:kern w:val="0"/>
                <w:highlight w:val="none"/>
              </w:rPr>
            </w:pPr>
            <w:r>
              <w:rPr>
                <w:rFonts w:hint="eastAsia" w:ascii="宋体" w:hAnsi="宋体"/>
                <w:color w:val="auto"/>
                <w:kern w:val="0"/>
                <w:highlight w:val="none"/>
              </w:rPr>
              <w:t>第三期</w:t>
            </w:r>
          </w:p>
        </w:tc>
        <w:tc>
          <w:tcPr>
            <w:tcW w:w="3794" w:type="dxa"/>
            <w:gridSpan w:val="2"/>
            <w:tcBorders>
              <w:left w:val="nil"/>
            </w:tcBorders>
          </w:tcPr>
          <w:p w14:paraId="6DE43C80">
            <w:pPr>
              <w:spacing w:line="360" w:lineRule="auto"/>
              <w:jc w:val="center"/>
              <w:rPr>
                <w:rFonts w:ascii="宋体" w:hAnsi="宋体"/>
                <w:color w:val="auto"/>
                <w:kern w:val="0"/>
                <w:highlight w:val="none"/>
              </w:rPr>
            </w:pPr>
          </w:p>
        </w:tc>
        <w:tc>
          <w:tcPr>
            <w:tcW w:w="2268" w:type="dxa"/>
            <w:tcBorders>
              <w:left w:val="nil"/>
            </w:tcBorders>
          </w:tcPr>
          <w:p w14:paraId="31BA8EC2">
            <w:pPr>
              <w:spacing w:line="360" w:lineRule="auto"/>
              <w:jc w:val="center"/>
              <w:rPr>
                <w:rFonts w:ascii="宋体" w:hAnsi="宋体"/>
                <w:color w:val="auto"/>
                <w:kern w:val="0"/>
                <w:highlight w:val="none"/>
              </w:rPr>
            </w:pPr>
          </w:p>
        </w:tc>
        <w:tc>
          <w:tcPr>
            <w:tcW w:w="1388" w:type="dxa"/>
            <w:tcBorders>
              <w:left w:val="nil"/>
            </w:tcBorders>
          </w:tcPr>
          <w:p w14:paraId="4C1E5FD8">
            <w:pPr>
              <w:spacing w:line="360" w:lineRule="auto"/>
              <w:jc w:val="center"/>
              <w:rPr>
                <w:rFonts w:ascii="宋体" w:hAnsi="宋体"/>
                <w:color w:val="auto"/>
                <w:kern w:val="0"/>
                <w:highlight w:val="none"/>
              </w:rPr>
            </w:pPr>
          </w:p>
        </w:tc>
      </w:tr>
      <w:tr w14:paraId="5419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729054D">
            <w:pPr>
              <w:spacing w:line="360" w:lineRule="auto"/>
              <w:jc w:val="center"/>
              <w:rPr>
                <w:rFonts w:ascii="宋体" w:hAnsi="宋体"/>
                <w:color w:val="auto"/>
                <w:kern w:val="0"/>
                <w:highlight w:val="none"/>
              </w:rPr>
            </w:pPr>
            <w:r>
              <w:rPr>
                <w:rFonts w:hint="eastAsia" w:ascii="宋体" w:hAnsi="宋体"/>
                <w:color w:val="auto"/>
                <w:kern w:val="0"/>
                <w:highlight w:val="none"/>
              </w:rPr>
              <w:t>……</w:t>
            </w:r>
          </w:p>
        </w:tc>
        <w:tc>
          <w:tcPr>
            <w:tcW w:w="3794" w:type="dxa"/>
            <w:gridSpan w:val="2"/>
            <w:tcBorders>
              <w:left w:val="nil"/>
            </w:tcBorders>
          </w:tcPr>
          <w:p w14:paraId="4109B9F2">
            <w:pPr>
              <w:spacing w:line="360" w:lineRule="auto"/>
              <w:jc w:val="center"/>
              <w:rPr>
                <w:rFonts w:ascii="宋体" w:hAnsi="宋体"/>
                <w:color w:val="auto"/>
                <w:kern w:val="0"/>
                <w:highlight w:val="none"/>
              </w:rPr>
            </w:pPr>
          </w:p>
        </w:tc>
        <w:tc>
          <w:tcPr>
            <w:tcW w:w="2268" w:type="dxa"/>
            <w:tcBorders>
              <w:left w:val="nil"/>
            </w:tcBorders>
          </w:tcPr>
          <w:p w14:paraId="638C84C6">
            <w:pPr>
              <w:spacing w:line="360" w:lineRule="auto"/>
              <w:jc w:val="center"/>
              <w:rPr>
                <w:rFonts w:ascii="宋体" w:hAnsi="宋体"/>
                <w:color w:val="auto"/>
                <w:kern w:val="0"/>
                <w:highlight w:val="none"/>
              </w:rPr>
            </w:pPr>
          </w:p>
        </w:tc>
        <w:tc>
          <w:tcPr>
            <w:tcW w:w="1388" w:type="dxa"/>
            <w:tcBorders>
              <w:left w:val="nil"/>
            </w:tcBorders>
          </w:tcPr>
          <w:p w14:paraId="36119AB2">
            <w:pPr>
              <w:spacing w:line="360" w:lineRule="auto"/>
              <w:jc w:val="center"/>
              <w:rPr>
                <w:rFonts w:ascii="宋体" w:hAnsi="宋体"/>
                <w:color w:val="auto"/>
                <w:kern w:val="0"/>
                <w:highlight w:val="none"/>
              </w:rPr>
            </w:pPr>
          </w:p>
        </w:tc>
      </w:tr>
      <w:tr w14:paraId="03C1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4648" w:type="dxa"/>
            <w:gridSpan w:val="2"/>
          </w:tcPr>
          <w:p w14:paraId="5ADE2FD3">
            <w:pPr>
              <w:spacing w:line="360" w:lineRule="exact"/>
              <w:ind w:firstLine="435"/>
              <w:jc w:val="right"/>
              <w:rPr>
                <w:rFonts w:ascii="宋体" w:hAnsi="宋体"/>
                <w:color w:val="auto"/>
                <w:highlight w:val="none"/>
              </w:rPr>
            </w:pPr>
          </w:p>
          <w:p w14:paraId="0F77F70F">
            <w:pPr>
              <w:spacing w:line="360" w:lineRule="exact"/>
              <w:ind w:firstLine="435"/>
              <w:jc w:val="center"/>
              <w:rPr>
                <w:rFonts w:ascii="宋体" w:hAnsi="宋体"/>
                <w:color w:val="auto"/>
                <w:highlight w:val="none"/>
              </w:rPr>
            </w:pPr>
          </w:p>
          <w:p w14:paraId="206A2133">
            <w:pPr>
              <w:spacing w:line="360" w:lineRule="exact"/>
              <w:ind w:firstLine="435"/>
              <w:jc w:val="center"/>
              <w:rPr>
                <w:rFonts w:ascii="宋体" w:hAnsi="宋体"/>
                <w:color w:val="auto"/>
                <w:highlight w:val="none"/>
              </w:rPr>
            </w:pPr>
            <w:r>
              <w:rPr>
                <w:rFonts w:hint="eastAsia" w:ascii="宋体" w:hAnsi="宋体"/>
                <w:color w:val="auto"/>
                <w:highlight w:val="none"/>
              </w:rPr>
              <w:t>发包人代表签字：</w:t>
            </w:r>
          </w:p>
          <w:p w14:paraId="7A02E533">
            <w:pPr>
              <w:spacing w:line="360" w:lineRule="exact"/>
              <w:ind w:firstLine="435"/>
              <w:jc w:val="center"/>
              <w:rPr>
                <w:rFonts w:ascii="宋体" w:hAnsi="宋体"/>
                <w:color w:val="auto"/>
                <w:highlight w:val="none"/>
              </w:rPr>
            </w:pPr>
          </w:p>
          <w:p w14:paraId="6EA33652">
            <w:pPr>
              <w:spacing w:line="360" w:lineRule="exact"/>
              <w:ind w:firstLine="435"/>
              <w:jc w:val="center"/>
              <w:rPr>
                <w:rFonts w:ascii="宋体" w:hAnsi="宋体"/>
                <w:color w:val="auto"/>
                <w:highlight w:val="none"/>
              </w:rPr>
            </w:pPr>
            <w:r>
              <w:rPr>
                <w:rFonts w:hint="eastAsia" w:ascii="宋体" w:hAnsi="宋体"/>
                <w:color w:val="auto"/>
                <w:highlight w:val="none"/>
              </w:rPr>
              <w:t>发包人（盖公章）</w:t>
            </w:r>
          </w:p>
          <w:p w14:paraId="26297178">
            <w:pPr>
              <w:spacing w:line="360" w:lineRule="exact"/>
              <w:ind w:firstLine="435"/>
              <w:jc w:val="center"/>
              <w:rPr>
                <w:rFonts w:ascii="宋体" w:hAnsi="宋体"/>
                <w:color w:val="auto"/>
                <w:highlight w:val="none"/>
              </w:rPr>
            </w:pPr>
          </w:p>
          <w:p w14:paraId="35BB2541">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c>
          <w:tcPr>
            <w:tcW w:w="4219" w:type="dxa"/>
            <w:gridSpan w:val="3"/>
            <w:tcBorders>
              <w:left w:val="nil"/>
            </w:tcBorders>
          </w:tcPr>
          <w:p w14:paraId="156A8938">
            <w:pPr>
              <w:spacing w:line="360" w:lineRule="exact"/>
              <w:ind w:firstLine="435"/>
              <w:jc w:val="center"/>
              <w:rPr>
                <w:rFonts w:ascii="宋体" w:hAnsi="宋体"/>
                <w:color w:val="auto"/>
                <w:highlight w:val="none"/>
              </w:rPr>
            </w:pPr>
          </w:p>
          <w:p w14:paraId="5CB4C004">
            <w:pPr>
              <w:spacing w:line="360" w:lineRule="exact"/>
              <w:ind w:firstLine="435"/>
              <w:jc w:val="center"/>
              <w:rPr>
                <w:rFonts w:ascii="宋体" w:hAnsi="宋体"/>
                <w:color w:val="auto"/>
                <w:highlight w:val="none"/>
                <w:u w:val="single"/>
              </w:rPr>
            </w:pPr>
          </w:p>
          <w:p w14:paraId="33CDE2A5">
            <w:pPr>
              <w:spacing w:line="360" w:lineRule="exact"/>
              <w:ind w:firstLine="435"/>
              <w:jc w:val="center"/>
              <w:rPr>
                <w:rFonts w:ascii="宋体" w:hAnsi="宋体"/>
                <w:color w:val="auto"/>
                <w:highlight w:val="none"/>
              </w:rPr>
            </w:pPr>
            <w:r>
              <w:rPr>
                <w:rFonts w:hint="eastAsia" w:ascii="宋体" w:hAnsi="宋体"/>
                <w:color w:val="auto"/>
                <w:highlight w:val="none"/>
              </w:rPr>
              <w:t>承包人代表签字：</w:t>
            </w:r>
          </w:p>
          <w:p w14:paraId="2A9B066D">
            <w:pPr>
              <w:spacing w:line="360" w:lineRule="exact"/>
              <w:ind w:firstLine="435"/>
              <w:jc w:val="center"/>
              <w:rPr>
                <w:rFonts w:ascii="宋体" w:hAnsi="宋体"/>
                <w:color w:val="auto"/>
                <w:highlight w:val="none"/>
              </w:rPr>
            </w:pPr>
          </w:p>
          <w:p w14:paraId="6312403F">
            <w:pPr>
              <w:spacing w:line="360" w:lineRule="exact"/>
              <w:ind w:firstLine="435"/>
              <w:jc w:val="center"/>
              <w:rPr>
                <w:rFonts w:ascii="宋体" w:hAnsi="宋体"/>
                <w:color w:val="auto"/>
                <w:highlight w:val="none"/>
              </w:rPr>
            </w:pPr>
            <w:r>
              <w:rPr>
                <w:rFonts w:hint="eastAsia" w:ascii="宋体" w:hAnsi="宋体"/>
                <w:color w:val="auto"/>
                <w:highlight w:val="none"/>
              </w:rPr>
              <w:t>承包人（盖公章）</w:t>
            </w:r>
          </w:p>
          <w:p w14:paraId="6619AEFA">
            <w:pPr>
              <w:spacing w:line="360" w:lineRule="exact"/>
              <w:ind w:firstLine="435"/>
              <w:jc w:val="center"/>
              <w:rPr>
                <w:rFonts w:ascii="宋体" w:hAnsi="宋体"/>
                <w:color w:val="auto"/>
                <w:highlight w:val="none"/>
              </w:rPr>
            </w:pPr>
          </w:p>
          <w:p w14:paraId="1DFFB719">
            <w:pPr>
              <w:spacing w:line="360" w:lineRule="exact"/>
              <w:ind w:firstLine="435"/>
              <w:jc w:val="center"/>
              <w:rPr>
                <w:rFonts w:ascii="宋体" w:hAnsi="宋体"/>
                <w:color w:val="auto"/>
                <w:highlight w:val="none"/>
                <w:u w:val="single"/>
              </w:rPr>
            </w:pPr>
            <w:r>
              <w:rPr>
                <w:rFonts w:hint="eastAsia" w:ascii="宋体" w:hAnsi="宋体"/>
                <w:color w:val="auto"/>
                <w:highlight w:val="none"/>
              </w:rPr>
              <w:t>日期</w:t>
            </w:r>
          </w:p>
        </w:tc>
      </w:tr>
    </w:tbl>
    <w:p w14:paraId="5C2813CB">
      <w:pPr>
        <w:spacing w:line="360" w:lineRule="auto"/>
        <w:rPr>
          <w:rFonts w:ascii="宋体" w:hAnsi="宋体"/>
          <w:color w:val="auto"/>
          <w:highlight w:val="none"/>
        </w:rPr>
      </w:pPr>
    </w:p>
    <w:p w14:paraId="2AD92F26">
      <w:pPr>
        <w:spacing w:beforeLines="50"/>
        <w:ind w:left="1200" w:hanging="1200" w:hangingChars="400"/>
        <w:rPr>
          <w:rFonts w:ascii="宋体" w:hAnsi="宋体"/>
          <w:color w:val="auto"/>
          <w:sz w:val="30"/>
          <w:szCs w:val="30"/>
          <w:highlight w:val="none"/>
        </w:rPr>
      </w:pPr>
    </w:p>
    <w:p w14:paraId="2E96E7A7">
      <w:pPr>
        <w:spacing w:beforeLines="50"/>
        <w:ind w:left="1200" w:hanging="1200" w:hangingChars="400"/>
        <w:rPr>
          <w:rFonts w:ascii="宋体" w:hAnsi="宋体"/>
          <w:color w:val="auto"/>
          <w:sz w:val="30"/>
          <w:szCs w:val="30"/>
          <w:highlight w:val="none"/>
        </w:rPr>
      </w:pPr>
    </w:p>
    <w:p w14:paraId="1FB2B32A">
      <w:pPr>
        <w:spacing w:beforeLines="50"/>
        <w:ind w:left="1200" w:hanging="1200" w:hangingChars="400"/>
        <w:rPr>
          <w:rFonts w:ascii="宋体" w:hAnsi="宋体"/>
          <w:color w:val="auto"/>
          <w:sz w:val="30"/>
          <w:szCs w:val="30"/>
          <w:highlight w:val="none"/>
        </w:rPr>
      </w:pPr>
    </w:p>
    <w:p w14:paraId="460C060F">
      <w:pPr>
        <w:spacing w:beforeLines="50"/>
        <w:ind w:left="1200" w:hanging="1200" w:hangingChars="400"/>
        <w:rPr>
          <w:rFonts w:ascii="宋体" w:hAnsi="宋体"/>
          <w:color w:val="auto"/>
          <w:sz w:val="30"/>
          <w:szCs w:val="30"/>
          <w:highlight w:val="none"/>
        </w:rPr>
      </w:pPr>
    </w:p>
    <w:p w14:paraId="04634B94">
      <w:pPr>
        <w:spacing w:beforeLines="50"/>
        <w:ind w:left="1200" w:hanging="1200" w:hangingChars="400"/>
        <w:rPr>
          <w:rFonts w:ascii="宋体" w:hAnsi="宋体"/>
          <w:color w:val="auto"/>
          <w:sz w:val="30"/>
          <w:szCs w:val="30"/>
          <w:highlight w:val="none"/>
        </w:rPr>
      </w:pPr>
    </w:p>
    <w:p w14:paraId="0C818B07">
      <w:pPr>
        <w:spacing w:beforeLines="50"/>
        <w:ind w:left="1200" w:hanging="1200" w:hangingChars="400"/>
        <w:rPr>
          <w:rFonts w:ascii="宋体" w:hAnsi="宋体"/>
          <w:color w:val="auto"/>
          <w:sz w:val="30"/>
          <w:szCs w:val="30"/>
          <w:highlight w:val="none"/>
        </w:rPr>
      </w:pPr>
    </w:p>
    <w:p w14:paraId="70245018">
      <w:pPr>
        <w:spacing w:beforeLines="50"/>
        <w:ind w:left="1200" w:hanging="1200" w:hangingChars="400"/>
        <w:rPr>
          <w:rFonts w:ascii="宋体" w:hAnsi="宋体"/>
          <w:color w:val="auto"/>
          <w:sz w:val="30"/>
          <w:szCs w:val="30"/>
          <w:highlight w:val="none"/>
        </w:rPr>
      </w:pPr>
    </w:p>
    <w:p w14:paraId="046980BA">
      <w:pPr>
        <w:rPr>
          <w:rFonts w:ascii="宋体" w:hAnsi="宋体"/>
          <w:color w:val="auto"/>
          <w:sz w:val="30"/>
          <w:szCs w:val="30"/>
          <w:highlight w:val="none"/>
        </w:rPr>
      </w:pPr>
      <w:r>
        <w:rPr>
          <w:rFonts w:hint="eastAsia" w:ascii="宋体" w:hAnsi="宋体"/>
          <w:color w:val="auto"/>
          <w:sz w:val="30"/>
          <w:szCs w:val="30"/>
          <w:highlight w:val="none"/>
        </w:rPr>
        <w:br w:type="page"/>
      </w:r>
    </w:p>
    <w:p w14:paraId="25A919B8">
      <w:pPr>
        <w:spacing w:beforeLines="50"/>
        <w:ind w:left="1200" w:hanging="1200" w:hangingChars="400"/>
        <w:rPr>
          <w:rFonts w:ascii="宋体" w:hAnsi="宋体"/>
          <w:color w:val="auto"/>
          <w:sz w:val="30"/>
          <w:szCs w:val="30"/>
          <w:highlight w:val="none"/>
        </w:rPr>
      </w:pPr>
      <w:r>
        <w:rPr>
          <w:rFonts w:hint="eastAsia" w:ascii="宋体" w:hAnsi="宋体"/>
          <w:color w:val="auto"/>
          <w:sz w:val="30"/>
          <w:szCs w:val="30"/>
          <w:highlight w:val="none"/>
        </w:rPr>
        <w:t>附件</w:t>
      </w:r>
      <w:r>
        <w:rPr>
          <w:rFonts w:ascii="宋体" w:hAnsi="宋体"/>
          <w:color w:val="auto"/>
          <w:sz w:val="30"/>
          <w:szCs w:val="30"/>
          <w:highlight w:val="none"/>
        </w:rPr>
        <w:t>1</w:t>
      </w:r>
      <w:r>
        <w:rPr>
          <w:rFonts w:hint="eastAsia" w:ascii="宋体" w:hAnsi="宋体"/>
          <w:color w:val="auto"/>
          <w:sz w:val="30"/>
          <w:szCs w:val="30"/>
          <w:highlight w:val="none"/>
        </w:rPr>
        <w:t>5：</w:t>
      </w:r>
    </w:p>
    <w:p w14:paraId="2D48E400">
      <w:pPr>
        <w:pStyle w:val="188"/>
        <w:ind w:firstLine="2860" w:firstLineChars="650"/>
        <w:rPr>
          <w:rFonts w:ascii="黑体" w:hAnsi="黑体" w:eastAsia="黑体"/>
          <w:color w:val="auto"/>
          <w:sz w:val="44"/>
          <w:szCs w:val="44"/>
          <w:highlight w:val="none"/>
        </w:rPr>
      </w:pPr>
      <w:r>
        <w:rPr>
          <w:rFonts w:hint="eastAsia" w:ascii="黑体" w:hAnsi="黑体" w:eastAsia="黑体"/>
          <w:color w:val="auto"/>
          <w:sz w:val="44"/>
          <w:szCs w:val="44"/>
          <w:highlight w:val="none"/>
        </w:rPr>
        <w:t>施工安全责任协议书</w:t>
      </w:r>
    </w:p>
    <w:p w14:paraId="79994A14">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甲方:</w:t>
      </w:r>
    </w:p>
    <w:p w14:paraId="13E75652">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乙方:</w:t>
      </w:r>
    </w:p>
    <w:p w14:paraId="241DDDAB">
      <w:pPr>
        <w:ind w:firstLine="315" w:firstLineChars="1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为全面落实安全文明施工管理工作,坚持“安全第一,预防为主,综合治理”的方针,根据《中华人民共和国安全生产法》及建筑行业法律规定要求,特签订“施工安全责任书”作为工程承包合同的附件,双方必须共同遵守。协议书具体内容如下</w:t>
      </w:r>
    </w:p>
    <w:p w14:paraId="08E1F3B9">
      <w:pPr>
        <w:ind w:firstLine="413" w:firstLineChars="196"/>
        <w:rPr>
          <w:rFonts w:asciiTheme="minorEastAsia" w:hAnsiTheme="minorEastAsia" w:eastAsiaTheme="minorEastAsia"/>
          <w:b/>
          <w:color w:val="auto"/>
          <w:highlight w:val="none"/>
        </w:rPr>
      </w:pPr>
      <w:r>
        <w:rPr>
          <w:rFonts w:hint="eastAsia" w:asciiTheme="minorEastAsia" w:hAnsiTheme="minorEastAsia"/>
          <w:b/>
          <w:color w:val="auto"/>
          <w:highlight w:val="none"/>
        </w:rPr>
        <w:t>一、</w:t>
      </w:r>
      <w:r>
        <w:rPr>
          <w:rFonts w:hint="eastAsia" w:asciiTheme="minorEastAsia" w:hAnsiTheme="minorEastAsia" w:eastAsiaTheme="minorEastAsia"/>
          <w:b/>
          <w:color w:val="auto"/>
          <w:highlight w:val="none"/>
        </w:rPr>
        <w:t>安全目标</w:t>
      </w:r>
    </w:p>
    <w:p w14:paraId="31A3F0C6">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1.</w:t>
      </w:r>
      <w:r>
        <w:rPr>
          <w:rFonts w:hint="eastAsia" w:asciiTheme="minorEastAsia" w:hAnsiTheme="minorEastAsia" w:eastAsiaTheme="minorEastAsia"/>
          <w:color w:val="auto"/>
          <w:highlight w:val="none"/>
        </w:rPr>
        <w:t>不发生轻伤及以上人身伤害事故</w:t>
      </w:r>
      <w:r>
        <w:rPr>
          <w:rFonts w:hint="eastAsia" w:asciiTheme="minorEastAsia" w:hAnsiTheme="minorEastAsia"/>
          <w:color w:val="auto"/>
          <w:highlight w:val="none"/>
        </w:rPr>
        <w:t>;</w:t>
      </w:r>
    </w:p>
    <w:p w14:paraId="29FC00EB">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2.不发生火灾事故</w:t>
      </w:r>
      <w:r>
        <w:rPr>
          <w:rFonts w:hint="eastAsia" w:asciiTheme="minorEastAsia" w:hAnsiTheme="minorEastAsia"/>
          <w:color w:val="auto"/>
          <w:highlight w:val="none"/>
        </w:rPr>
        <w:t>;</w:t>
      </w:r>
    </w:p>
    <w:p w14:paraId="0F1523AC">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3.不发生环境污染事故</w:t>
      </w:r>
      <w:r>
        <w:rPr>
          <w:rFonts w:hint="eastAsia" w:asciiTheme="minorEastAsia" w:hAnsiTheme="minorEastAsia"/>
          <w:color w:val="auto"/>
          <w:highlight w:val="none"/>
        </w:rPr>
        <w:t>;</w:t>
      </w:r>
    </w:p>
    <w:p w14:paraId="595CB875">
      <w:pPr>
        <w:ind w:firstLine="420" w:firstLineChars="200"/>
        <w:rPr>
          <w:rFonts w:asciiTheme="minorEastAsia" w:hAnsiTheme="minorEastAsia"/>
          <w:color w:val="auto"/>
          <w:highlight w:val="none"/>
        </w:rPr>
      </w:pPr>
      <w:r>
        <w:rPr>
          <w:rFonts w:hint="eastAsia" w:asciiTheme="minorEastAsia" w:hAnsiTheme="minorEastAsia" w:eastAsiaTheme="minorEastAsia"/>
          <w:color w:val="auto"/>
          <w:highlight w:val="none"/>
        </w:rPr>
        <w:t>4.杜绝违章指挥、违章作业违反劳动纪律</w:t>
      </w:r>
      <w:r>
        <w:rPr>
          <w:rFonts w:hint="eastAsia" w:asciiTheme="minorEastAsia" w:hAnsiTheme="minorEastAsia"/>
          <w:color w:val="auto"/>
          <w:highlight w:val="none"/>
        </w:rPr>
        <w:t>。</w:t>
      </w:r>
    </w:p>
    <w:p w14:paraId="15750894">
      <w:pPr>
        <w:ind w:firstLine="413" w:firstLineChars="196"/>
        <w:rPr>
          <w:rFonts w:asciiTheme="minorEastAsia" w:hAnsiTheme="minorEastAsia" w:eastAsiaTheme="minorEastAsia"/>
          <w:b/>
          <w:color w:val="auto"/>
          <w:highlight w:val="none"/>
        </w:rPr>
      </w:pPr>
      <w:r>
        <w:rPr>
          <w:rFonts w:hint="eastAsia" w:asciiTheme="minorEastAsia" w:hAnsiTheme="minorEastAsia"/>
          <w:b/>
          <w:color w:val="auto"/>
          <w:highlight w:val="none"/>
        </w:rPr>
        <w:t>二、</w:t>
      </w:r>
      <w:r>
        <w:rPr>
          <w:rFonts w:hint="eastAsia" w:asciiTheme="minorEastAsia" w:hAnsiTheme="minorEastAsia" w:eastAsiaTheme="minorEastAsia"/>
          <w:b/>
          <w:color w:val="auto"/>
          <w:highlight w:val="none"/>
        </w:rPr>
        <w:t>根据《中华人民共和国安全生产法》规定,双方在工程施工期间应承担的安全责任:</w:t>
      </w:r>
    </w:p>
    <w:p w14:paraId="5187CFBE">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1、甲方安全职责:</w:t>
      </w:r>
    </w:p>
    <w:p w14:paraId="7A34EFB7">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1.1甲方应对乙方的营业执照、施工资质和安全施工资格证书进行审查及备案,并掌握其施工业绩及施工安全情况。</w:t>
      </w:r>
    </w:p>
    <w:p w14:paraId="6AA2A8E1">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1.2甲方应审查乙方施工安全资格,包括施工人员概况、特种作业人员及“上岗证”,审查乙方项目负责入、施工技术负责人、现场安全负责人相关证明。</w:t>
      </w:r>
    </w:p>
    <w:p w14:paraId="5DF1B695">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1.3开工前甲方负责冋现场施工负责人、工程技术人员及施工人员告知现场工作条件及工作环境对有关安全注意事项进行交底。</w:t>
      </w:r>
    </w:p>
    <w:p w14:paraId="5ED5F503">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1.4施工期间甲方有权对施工现场进行的安全监督,发现违章作业及危及人身、设备安全时,可及时制止、纠正,必要时有权停止其工作,并向乙方提出整改要求。</w:t>
      </w:r>
    </w:p>
    <w:p w14:paraId="6E11B800">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1.5负责合同中规定由甲方承担有关职责。</w:t>
      </w:r>
    </w:p>
    <w:p w14:paraId="3B04B2E4">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2.乙方作为工程项目</w:t>
      </w:r>
      <w:r>
        <w:rPr>
          <w:rFonts w:hint="eastAsia" w:asciiTheme="minorEastAsia" w:hAnsiTheme="minorEastAsia"/>
          <w:color w:val="auto"/>
          <w:highlight w:val="none"/>
        </w:rPr>
        <w:t>建设</w:t>
      </w:r>
      <w:r>
        <w:rPr>
          <w:rFonts w:hint="eastAsia" w:asciiTheme="minorEastAsia" w:hAnsiTheme="minorEastAsia" w:eastAsiaTheme="minorEastAsia"/>
          <w:color w:val="auto"/>
          <w:highlight w:val="none"/>
        </w:rPr>
        <w:t>的</w:t>
      </w:r>
      <w:r>
        <w:rPr>
          <w:rFonts w:hint="eastAsia" w:ascii="宋体" w:hAnsi="宋体" w:cs="宋体"/>
          <w:color w:val="auto"/>
          <w:highlight w:val="none"/>
        </w:rPr>
        <w:t>承</w:t>
      </w:r>
      <w:r>
        <w:rPr>
          <w:rFonts w:hint="eastAsia" w:asciiTheme="minorEastAsia" w:hAnsiTheme="minorEastAsia" w:eastAsiaTheme="minorEastAsia"/>
          <w:color w:val="auto"/>
          <w:highlight w:val="none"/>
        </w:rPr>
        <w:t>包单位,对工程施工过程中由乙方原因造成的人身伤害、设备损坏事故承担全部责任。乙方应切实际履行以下安全责任如下</w:t>
      </w:r>
      <w:r>
        <w:rPr>
          <w:rFonts w:hint="eastAsia" w:asciiTheme="minorEastAsia" w:hAnsiTheme="minorEastAsia"/>
          <w:color w:val="auto"/>
          <w:highlight w:val="none"/>
        </w:rPr>
        <w:t>：</w:t>
      </w:r>
    </w:p>
    <w:p w14:paraId="48682673">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2.1乙方进场前,必须把符合法律法规要求的的安全生产许可证和资质证明提供给甲方。</w:t>
      </w:r>
    </w:p>
    <w:p w14:paraId="68C3B94C">
      <w:pPr>
        <w:ind w:firstLine="420" w:firstLineChars="200"/>
        <w:rPr>
          <w:rFonts w:asciiTheme="minorEastAsia" w:hAnsiTheme="minorEastAsia"/>
          <w:color w:val="auto"/>
          <w:highlight w:val="none"/>
        </w:rPr>
      </w:pPr>
      <w:r>
        <w:rPr>
          <w:rFonts w:hint="eastAsia" w:asciiTheme="minorEastAsia" w:hAnsiTheme="minorEastAsia" w:eastAsiaTheme="minorEastAsia"/>
          <w:color w:val="auto"/>
          <w:highlight w:val="none"/>
        </w:rPr>
        <w:t>2.</w:t>
      </w:r>
      <w:r>
        <w:rPr>
          <w:rFonts w:hint="eastAsia" w:asciiTheme="minorEastAsia" w:hAnsiTheme="minorEastAsia"/>
          <w:color w:val="auto"/>
          <w:highlight w:val="none"/>
        </w:rPr>
        <w:t>2乙方开工前组织对全体现场施工作业人员进行安全、技术交底,明确工作任务,使全体施工现场各级人员掌握工程特点及安全操作规程、施工安全措施、安全注意事项。对施工作业人员定期进行安全活动和总结,并有记录。</w:t>
      </w:r>
    </w:p>
    <w:p w14:paraId="54FC6D13">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2.3开工前编制工程的施工组织方案、施工作业计划、安全管理制度、组织措施和技术措施,对复杂或危险性较大的工程必须订立专项施工方案措施。</w:t>
      </w:r>
    </w:p>
    <w:p w14:paraId="6C4F108B">
      <w:pPr>
        <w:ind w:firstLine="525" w:firstLineChars="2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2.4乙方进场前,必须把作业人员的花名册、操作证、上岗证和身份证等证件提供给甲方;对新入人员必须进行入厂教育及告知现场安全注意事项,相关记录、资料正确齐全,方可进场作业。</w:t>
      </w:r>
    </w:p>
    <w:p w14:paraId="1E8AC280">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2.5施工期间,各种交通工具、设备和工具等均由乙方自备,并保证状态良好。交通工具、设备和工具的维修与保养,以及在使用过程中发生故障或伤亡事故的费用由乙方负责承担。甲方不负任何连带责任</w:t>
      </w:r>
      <w:r>
        <w:rPr>
          <w:rFonts w:hint="eastAsia" w:asciiTheme="minorEastAsia" w:hAnsiTheme="minorEastAsia"/>
          <w:color w:val="auto"/>
          <w:highlight w:val="none"/>
        </w:rPr>
        <w:t>。</w:t>
      </w:r>
    </w:p>
    <w:p w14:paraId="68B83BE9">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2.6施工时,乙方严格执行安全操作规程,并做好各种安全防范措施,指定专人负责安全工作,明确安全员。施工中一旦发现有安全隐患的,乙方应立即停工,并报告甲方,采取措施整治消除后继续施工。施工人员进行作业时必须正确穿戴好安全防护用品,切实保证施工中的人身、设备安全。</w:t>
      </w:r>
    </w:p>
    <w:p w14:paraId="415150B9">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2.7乙方施工人员应持有劳动部门颁发的上岗证。从事起重机械、安装拆卸、焊接作业等特种作业人员,必须按照国家有关规定取得特种作业操作资格证书后方可上岗作业。</w:t>
      </w:r>
    </w:p>
    <w:p w14:paraId="403DEFC8">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乙方应在施工现场的危险部位设置明显的安全警示标志。乙方对工程施工可能造成损害的毗邻建筑物、构筑物和地下管线、电力、通信线辟等,应当采取专项防护措施。如没有防护,或防护不当而导致既有设施损坏,由乙方承担一切责任</w:t>
      </w:r>
    </w:p>
    <w:p w14:paraId="543B2DEE">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2.9乙方必须接受甲方监督和指导,发生人身事故或危及施工安全情况,必须立即报告甲方。乙方对甲方提出的有效意见必须及时整改。</w:t>
      </w:r>
    </w:p>
    <w:p w14:paraId="7253A626">
      <w:pPr>
        <w:ind w:firstLine="525" w:firstLineChars="2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2.10负责合同中规定由乙方承担有关职责。</w:t>
      </w:r>
    </w:p>
    <w:p w14:paraId="3F376A78">
      <w:pPr>
        <w:ind w:firstLine="422" w:firstLineChars="200"/>
        <w:rPr>
          <w:rFonts w:asciiTheme="minorEastAsia" w:hAnsiTheme="minorEastAsia" w:eastAsiaTheme="minorEastAsia"/>
          <w:b/>
          <w:color w:val="auto"/>
          <w:highlight w:val="none"/>
        </w:rPr>
      </w:pPr>
      <w:r>
        <w:rPr>
          <w:rFonts w:hint="eastAsia" w:asciiTheme="minorEastAsia" w:hAnsiTheme="minorEastAsia"/>
          <w:b/>
          <w:color w:val="auto"/>
          <w:highlight w:val="none"/>
        </w:rPr>
        <w:t>三、</w:t>
      </w:r>
      <w:r>
        <w:rPr>
          <w:rFonts w:hint="eastAsia" w:asciiTheme="minorEastAsia" w:hAnsiTheme="minorEastAsia" w:eastAsiaTheme="minorEastAsia"/>
          <w:b/>
          <w:color w:val="auto"/>
          <w:highlight w:val="none"/>
        </w:rPr>
        <w:t>甲方有权对乙方现场安全管理进行监督,对现场违章操作行为进行考核,甲、乙双方约定从在承包工程结束时从工程款中扣除,具体扣款细则如下</w:t>
      </w:r>
      <w:r>
        <w:rPr>
          <w:rFonts w:hint="eastAsia" w:asciiTheme="minorEastAsia" w:hAnsiTheme="minorEastAsia"/>
          <w:b/>
          <w:color w:val="auto"/>
          <w:highlight w:val="none"/>
        </w:rPr>
        <w:t>：</w:t>
      </w:r>
    </w:p>
    <w:p w14:paraId="0890A945">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1由于乙方责任造成人员伤亡、设备损坏、环境污染事故,一切损失由乙方负责赔偿。</w:t>
      </w:r>
    </w:p>
    <w:p w14:paraId="3D674B37">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2</w:t>
      </w:r>
      <w:r>
        <w:rPr>
          <w:rFonts w:hint="eastAsia" w:asciiTheme="minorEastAsia" w:hAnsiTheme="minorEastAsia" w:eastAsiaTheme="minorEastAsia"/>
          <w:color w:val="auto"/>
          <w:highlight w:val="none"/>
        </w:rPr>
        <w:t>.施工人员不按规定佩戴安全帽。每发现一人/次,罚款100元。</w:t>
      </w:r>
    </w:p>
    <w:p w14:paraId="4F4F167E">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3</w:t>
      </w:r>
      <w:r>
        <w:rPr>
          <w:rFonts w:hint="eastAsia" w:asciiTheme="minorEastAsia" w:hAnsiTheme="minorEastAsia" w:eastAsiaTheme="minorEastAsia"/>
          <w:color w:val="auto"/>
          <w:highlight w:val="none"/>
        </w:rPr>
        <w:t>.高空作业不系安全带或安全带未系在牢固的构架上。每发现一人/次,罚款200元。</w:t>
      </w:r>
    </w:p>
    <w:p w14:paraId="7EC5BD7F">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4.</w:t>
      </w:r>
      <w:r>
        <w:rPr>
          <w:rFonts w:hint="eastAsia" w:asciiTheme="minorEastAsia" w:hAnsiTheme="minorEastAsia" w:eastAsiaTheme="minorEastAsia"/>
          <w:color w:val="auto"/>
          <w:highlight w:val="none"/>
        </w:rPr>
        <w:t>搭设的脚手架不符合安全要求。每发现一次,罚款100元。</w:t>
      </w:r>
    </w:p>
    <w:p w14:paraId="2890A54E">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5</w:t>
      </w:r>
      <w:r>
        <w:rPr>
          <w:rFonts w:hint="eastAsia" w:asciiTheme="minorEastAsia" w:hAnsiTheme="minorEastAsia" w:eastAsiaTheme="minorEastAsia"/>
          <w:color w:val="auto"/>
          <w:highlight w:val="none"/>
        </w:rPr>
        <w:t>.特种作业人员无证作业。每发现一人/次,罚款100元。</w:t>
      </w:r>
    </w:p>
    <w:p w14:paraId="6393E1A0">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6</w:t>
      </w:r>
      <w:r>
        <w:rPr>
          <w:rFonts w:hint="eastAsia" w:asciiTheme="minorEastAsia" w:hAnsiTheme="minorEastAsia" w:eastAsiaTheme="minorEastAsia"/>
          <w:color w:val="auto"/>
          <w:highlight w:val="none"/>
        </w:rPr>
        <w:t>.现场施工用电管理不符合“一机一闸一保护”要求</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每发现一处,罚款100元。</w:t>
      </w:r>
    </w:p>
    <w:p w14:paraId="6F8E42E5">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7.</w:t>
      </w:r>
      <w:r>
        <w:rPr>
          <w:rFonts w:hint="eastAsia" w:asciiTheme="minorEastAsia" w:hAnsiTheme="minorEastAsia" w:eastAsiaTheme="minorEastAsia"/>
          <w:color w:val="auto"/>
          <w:highlight w:val="none"/>
        </w:rPr>
        <w:t>高处临边作业未设置围栏、警告标志。每发现一处,罚款200元。</w:t>
      </w:r>
    </w:p>
    <w:p w14:paraId="6DAE66E4">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8.</w:t>
      </w:r>
      <w:r>
        <w:rPr>
          <w:rFonts w:hint="eastAsia" w:asciiTheme="minorEastAsia" w:hAnsiTheme="minorEastAsia" w:eastAsiaTheme="minorEastAsia"/>
          <w:color w:val="auto"/>
          <w:highlight w:val="none"/>
        </w:rPr>
        <w:t>不对高温高压、易燃易爆物品进行隔离,即从事电、气焊作业。每发现一次,罚款200元。</w:t>
      </w:r>
    </w:p>
    <w:p w14:paraId="2C504422">
      <w:pPr>
        <w:ind w:firstLine="420" w:firstLineChars="200"/>
        <w:rPr>
          <w:rFonts w:asciiTheme="minorEastAsia" w:hAnsiTheme="minorEastAsia" w:eastAsiaTheme="minorEastAsia"/>
          <w:color w:val="auto"/>
          <w:highlight w:val="none"/>
        </w:rPr>
      </w:pPr>
      <w:r>
        <w:rPr>
          <w:rFonts w:hint="eastAsia" w:asciiTheme="minorEastAsia" w:hAnsiTheme="minorEastAsia"/>
          <w:color w:val="auto"/>
          <w:highlight w:val="none"/>
        </w:rPr>
        <w:t>9</w:t>
      </w:r>
      <w:r>
        <w:rPr>
          <w:rFonts w:hint="eastAsia" w:asciiTheme="minorEastAsia" w:hAnsiTheme="minorEastAsia" w:eastAsiaTheme="minorEastAsia"/>
          <w:color w:val="auto"/>
          <w:highlight w:val="none"/>
        </w:rPr>
        <w:t>.焊接工作用的氧气、乙炔瓶未固定立放,气瓶与气瓶、明火、电气设备安全间距不足。每发现处,罚款100元。</w:t>
      </w:r>
    </w:p>
    <w:p w14:paraId="54E18E48">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Theme="minorEastAsia" w:hAnsiTheme="minorEastAsia"/>
          <w:color w:val="auto"/>
          <w:highlight w:val="none"/>
        </w:rPr>
        <w:t>0</w:t>
      </w:r>
      <w:r>
        <w:rPr>
          <w:rFonts w:hint="eastAsia" w:asciiTheme="minorEastAsia" w:hAnsiTheme="minorEastAsia" w:eastAsiaTheme="minorEastAsia"/>
          <w:color w:val="auto"/>
          <w:highlight w:val="none"/>
        </w:rPr>
        <w:t>.焊接、切割工作前,未清理周围的易燃牣或未釆取隔离防护措施,工作后未检査、凊理现场遗留物。每发现一次,罚款100元。</w:t>
      </w:r>
    </w:p>
    <w:p w14:paraId="48C0FA02">
      <w:pPr>
        <w:ind w:firstLine="413" w:firstLineChars="196"/>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四、安全责任及其他</w:t>
      </w:r>
    </w:p>
    <w:p w14:paraId="4F4277F8">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1、若因乙方人员末遵守本安全责任协议书或相</w:t>
      </w:r>
      <w:r>
        <w:rPr>
          <w:rFonts w:hint="eastAsia" w:asciiTheme="minorEastAsia" w:hAnsiTheme="minorEastAsia"/>
          <w:color w:val="auto"/>
          <w:highlight w:val="none"/>
        </w:rPr>
        <w:t>关</w:t>
      </w:r>
      <w:r>
        <w:rPr>
          <w:rFonts w:hint="eastAsia" w:asciiTheme="minorEastAsia" w:hAnsiTheme="minorEastAsia" w:eastAsiaTheme="minorEastAsia"/>
          <w:color w:val="auto"/>
          <w:highlight w:val="none"/>
        </w:rPr>
        <w:t>安全规章制度、标准,违章作业,由此造成的</w:t>
      </w:r>
      <w:r>
        <w:rPr>
          <w:rFonts w:hint="eastAsia" w:asciiTheme="minorEastAsia" w:hAnsiTheme="minorEastAsia"/>
          <w:color w:val="auto"/>
          <w:highlight w:val="none"/>
        </w:rPr>
        <w:t>一</w:t>
      </w:r>
      <w:r>
        <w:rPr>
          <w:rFonts w:hint="eastAsia" w:asciiTheme="minorEastAsia" w:hAnsiTheme="minorEastAsia" w:eastAsiaTheme="minorEastAsia"/>
          <w:color w:val="auto"/>
          <w:highlight w:val="none"/>
        </w:rPr>
        <w:t>切后果均由乙方承担全部安全责任。</w:t>
      </w:r>
    </w:p>
    <w:p w14:paraId="45D327CD">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2、若因合同期内乙方安全管理不力或安全防护措施不到位,造成重大安全责任事故,一切后果均由乙方承担全部责任。</w:t>
      </w:r>
    </w:p>
    <w:p w14:paraId="79D3E786">
      <w:pPr>
        <w:ind w:firstLine="315" w:firstLineChars="1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本责任书一式四份方各执二份,责任书中未尽事宜,双方协商解决。本责任书经双方签字或盖章后生效。</w:t>
      </w:r>
    </w:p>
    <w:p w14:paraId="13FA1F27">
      <w:pPr>
        <w:rPr>
          <w:rFonts w:asciiTheme="minorEastAsia" w:hAnsiTheme="minorEastAsia"/>
          <w:color w:val="auto"/>
          <w:highlight w:val="none"/>
        </w:rPr>
      </w:pPr>
    </w:p>
    <w:p w14:paraId="75E1EAD3">
      <w:pPr>
        <w:rPr>
          <w:rFonts w:asciiTheme="minorEastAsia" w:hAnsiTheme="minorEastAsia" w:eastAsiaTheme="minorEastAsia"/>
          <w:color w:val="auto"/>
          <w:highlight w:val="none"/>
        </w:rPr>
      </w:pPr>
    </w:p>
    <w:p w14:paraId="30D39B46">
      <w:pPr>
        <w:rPr>
          <w:rFonts w:asciiTheme="minorEastAsia" w:hAnsiTheme="minorEastAsia" w:eastAsiaTheme="minorEastAsia"/>
          <w:color w:val="auto"/>
          <w:highlight w:val="none"/>
        </w:rPr>
      </w:pPr>
    </w:p>
    <w:p w14:paraId="309C14B4">
      <w:pPr>
        <w:rPr>
          <w:rFonts w:asciiTheme="minorEastAsia" w:hAnsiTheme="minorEastAsia" w:eastAsiaTheme="minorEastAsia"/>
          <w:color w:val="auto"/>
          <w:highlight w:val="none"/>
        </w:rPr>
      </w:pPr>
    </w:p>
    <w:p w14:paraId="6B29362E">
      <w:pPr>
        <w:rPr>
          <w:rFonts w:asciiTheme="minorEastAsia" w:hAnsiTheme="minorEastAsia" w:eastAsiaTheme="minorEastAsia"/>
          <w:color w:val="auto"/>
          <w:highlight w:val="none"/>
        </w:rPr>
      </w:pPr>
    </w:p>
    <w:p w14:paraId="2FD3B5E1">
      <w:pPr>
        <w:rPr>
          <w:rFonts w:asciiTheme="minorEastAsia" w:hAnsiTheme="minorEastAsia" w:eastAsiaTheme="minorEastAsia"/>
          <w:color w:val="auto"/>
          <w:highlight w:val="none"/>
        </w:rPr>
      </w:pPr>
    </w:p>
    <w:p w14:paraId="20423F53">
      <w:pPr>
        <w:ind w:firstLine="420" w:firstLineChars="200"/>
        <w:rPr>
          <w:rFonts w:asciiTheme="minorEastAsia" w:hAnsiTheme="minorEastAsia"/>
          <w:color w:val="auto"/>
          <w:highlight w:val="none"/>
        </w:rPr>
      </w:pPr>
      <w:r>
        <w:rPr>
          <w:rFonts w:hint="eastAsia" w:asciiTheme="minorEastAsia" w:hAnsiTheme="minorEastAsia" w:eastAsiaTheme="minorEastAsia"/>
          <w:color w:val="auto"/>
          <w:highlight w:val="none"/>
        </w:rPr>
        <w:t>甲方</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盖章</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:乙方</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盖章</w:t>
      </w:r>
      <w:r>
        <w:rPr>
          <w:rFonts w:hint="eastAsia" w:asciiTheme="minorEastAsia" w:hAnsiTheme="minorEastAsia"/>
          <w:color w:val="auto"/>
          <w:highlight w:val="none"/>
        </w:rPr>
        <w:t>）</w:t>
      </w:r>
      <w:r>
        <w:rPr>
          <w:rFonts w:hint="eastAsia" w:asciiTheme="minorEastAsia" w:hAnsiTheme="minorEastAsia" w:eastAsiaTheme="minorEastAsia"/>
          <w:color w:val="auto"/>
          <w:highlight w:val="none"/>
        </w:rPr>
        <w:t>:</w:t>
      </w:r>
    </w:p>
    <w:p w14:paraId="73855407">
      <w:pPr>
        <w:rPr>
          <w:rFonts w:asciiTheme="minorEastAsia" w:hAnsiTheme="minorEastAsia"/>
          <w:color w:val="auto"/>
          <w:highlight w:val="none"/>
        </w:rPr>
      </w:pPr>
    </w:p>
    <w:p w14:paraId="1A40214D">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代表</w:t>
      </w:r>
      <w:r>
        <w:rPr>
          <w:rFonts w:hint="eastAsia" w:asciiTheme="minorEastAsia" w:hAnsiTheme="minorEastAsia"/>
          <w:color w:val="auto"/>
          <w:highlight w:val="none"/>
        </w:rPr>
        <w:t>（</w:t>
      </w:r>
      <w:r>
        <w:rPr>
          <w:rFonts w:hint="eastAsia" w:ascii="宋体" w:hAnsi="宋体" w:cs="宋体"/>
          <w:color w:val="auto"/>
          <w:highlight w:val="none"/>
        </w:rPr>
        <w:t>签字）</w:t>
      </w:r>
      <w:r>
        <w:rPr>
          <w:rFonts w:hint="eastAsia" w:asciiTheme="minorEastAsia" w:hAnsiTheme="minorEastAsia" w:eastAsiaTheme="minorEastAsia"/>
          <w:color w:val="auto"/>
          <w:highlight w:val="none"/>
        </w:rPr>
        <w:t>:代表</w:t>
      </w:r>
      <w:r>
        <w:rPr>
          <w:rFonts w:hint="eastAsia" w:asciiTheme="minorEastAsia" w:hAnsiTheme="minorEastAsia"/>
          <w:color w:val="auto"/>
          <w:highlight w:val="none"/>
        </w:rPr>
        <w:t>（</w:t>
      </w:r>
      <w:r>
        <w:rPr>
          <w:rFonts w:hint="eastAsia" w:ascii="宋体" w:hAnsi="宋体" w:cs="宋体"/>
          <w:color w:val="auto"/>
          <w:highlight w:val="none"/>
        </w:rPr>
        <w:t>签字）</w:t>
      </w:r>
      <w:r>
        <w:rPr>
          <w:rFonts w:hint="eastAsia" w:asciiTheme="minorEastAsia" w:hAnsiTheme="minorEastAsia" w:eastAsiaTheme="minorEastAsia"/>
          <w:color w:val="auto"/>
          <w:highlight w:val="none"/>
        </w:rPr>
        <w:t>:</w:t>
      </w:r>
    </w:p>
    <w:p w14:paraId="68DBE925">
      <w:pPr>
        <w:rPr>
          <w:rFonts w:asciiTheme="minorEastAsia" w:hAnsiTheme="minorEastAsia"/>
          <w:color w:val="auto"/>
          <w:highlight w:val="none"/>
        </w:rPr>
      </w:pPr>
    </w:p>
    <w:p w14:paraId="5A20E322">
      <w:pPr>
        <w:ind w:firstLine="420" w:firstLineChars="200"/>
        <w:rPr>
          <w:rFonts w:ascii="宋体" w:hAnsi="宋体"/>
          <w:color w:val="auto"/>
          <w:highlight w:val="none"/>
          <w:lang w:val="zh-CN"/>
        </w:rPr>
      </w:pPr>
      <w:r>
        <w:rPr>
          <w:rFonts w:hint="eastAsia" w:asciiTheme="minorEastAsia" w:hAnsiTheme="minorEastAsia" w:eastAsiaTheme="minorEastAsia"/>
          <w:color w:val="auto"/>
          <w:highlight w:val="none"/>
        </w:rPr>
        <w:t>签订日期</w:t>
      </w:r>
      <w:r>
        <w:rPr>
          <w:rFonts w:hint="eastAsia" w:asciiTheme="minorEastAsia" w:hAnsiTheme="minorEastAsia"/>
          <w:color w:val="auto"/>
          <w:highlight w:val="none"/>
        </w:rPr>
        <w:t xml:space="preserve"> ：</w:t>
      </w:r>
      <w:r>
        <w:rPr>
          <w:rFonts w:hint="eastAsia" w:asciiTheme="minorEastAsia" w:hAnsiTheme="minorEastAsia" w:eastAsiaTheme="minorEastAsia"/>
          <w:color w:val="auto"/>
          <w:highlight w:val="none"/>
        </w:rPr>
        <w:t>签订</w:t>
      </w:r>
      <w:r>
        <w:rPr>
          <w:rFonts w:hint="eastAsia"/>
          <w:color w:val="auto"/>
          <w:highlight w:val="none"/>
        </w:rPr>
        <w:t>日期：</w:t>
      </w:r>
    </w:p>
    <w:p w14:paraId="740C74EF">
      <w:pPr>
        <w:rPr>
          <w:rFonts w:ascii="宋体" w:hAnsi="宋体"/>
          <w:color w:val="auto"/>
          <w:highlight w:val="none"/>
          <w:lang w:val="zh-CN"/>
        </w:rPr>
      </w:pPr>
    </w:p>
    <w:p w14:paraId="722E18E1">
      <w:pPr>
        <w:rPr>
          <w:rFonts w:ascii="宋体" w:hAnsi="宋体"/>
          <w:color w:val="auto"/>
          <w:highlight w:val="none"/>
          <w:lang w:val="zh-CN"/>
        </w:rPr>
      </w:pPr>
    </w:p>
    <w:p w14:paraId="4CB30C94">
      <w:pPr>
        <w:rPr>
          <w:rFonts w:ascii="宋体" w:hAnsi="宋体"/>
          <w:color w:val="auto"/>
          <w:highlight w:val="none"/>
          <w:lang w:val="zh-CN"/>
        </w:rPr>
      </w:pPr>
    </w:p>
    <w:p w14:paraId="0D708484">
      <w:pPr>
        <w:rPr>
          <w:rFonts w:ascii="宋体" w:hAnsi="宋体"/>
          <w:color w:val="auto"/>
          <w:highlight w:val="none"/>
          <w:lang w:val="zh-CN"/>
        </w:rPr>
      </w:pPr>
    </w:p>
    <w:sectPr>
      <w:headerReference r:id="rId11" w:type="default"/>
      <w:footerReference r:id="rId12"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理德小标宋简">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78A6A">
    <w:pPr>
      <w:pStyle w:val="30"/>
      <w:jc w:val="center"/>
    </w:pPr>
    <w:r>
      <w:fldChar w:fldCharType="begin"/>
    </w:r>
    <w:r>
      <w:instrText xml:space="preserve"> PAGE   \* MERGEFORMAT </w:instrText>
    </w:r>
    <w:r>
      <w:fldChar w:fldCharType="separate"/>
    </w:r>
    <w:r>
      <w:rPr>
        <w:lang w:val="zh-CN"/>
      </w:rPr>
      <w:t>1</w:t>
    </w:r>
    <w:r>
      <w:rPr>
        <w:lang w:val="zh-CN"/>
      </w:rPr>
      <w:fldChar w:fldCharType="end"/>
    </w:r>
  </w:p>
  <w:p w14:paraId="7941E06C">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52868">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0D87">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D347A">
    <w:pPr>
      <w:pStyle w:val="3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872931">
                          <w:pPr>
                            <w:pStyle w:val="30"/>
                          </w:pPr>
                          <w:r>
                            <w:fldChar w:fldCharType="begin"/>
                          </w:r>
                          <w:r>
                            <w:instrText xml:space="preserve"> PAGE  \* MERGEFORMAT </w:instrText>
                          </w:r>
                          <w:r>
                            <w:fldChar w:fldCharType="separate"/>
                          </w:r>
                          <w:r>
                            <w:t>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14:paraId="38872931">
                    <w:pPr>
                      <w:pStyle w:val="30"/>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1593C">
    <w:pPr>
      <w:pStyle w:val="30"/>
      <w:jc w:val="center"/>
    </w:pPr>
    <w:r>
      <w:fldChar w:fldCharType="begin"/>
    </w:r>
    <w:r>
      <w:instrText xml:space="preserve"> PAGE  \* MERGEFORMAT </w:instrText>
    </w:r>
    <w:r>
      <w:fldChar w:fldCharType="separate"/>
    </w:r>
    <w: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E9382">
    <w:pPr>
      <w:pStyle w:val="3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8463050">
                          <w:pPr>
                            <w:pStyle w:val="30"/>
                          </w:pPr>
                          <w:r>
                            <w:fldChar w:fldCharType="begin"/>
                          </w:r>
                          <w:r>
                            <w:instrText xml:space="preserve"> PAGE  \* MERGEFORMAT </w:instrText>
                          </w:r>
                          <w:r>
                            <w:fldChar w:fldCharType="separate"/>
                          </w:r>
                          <w:r>
                            <w:t>92</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5gnJ80BAACnAwAADgAAAGRycy9lMm9Eb2MueG1srVPNjtMwEL4j8Q6W&#10;7zRpD0sVNV2BqkVICJAWHsB1nMaS7bE8bpO+ALwBJy7cea4+B2Mn6S7LZQ9cnPnzN/N9nmxuB2vY&#10;SQXU4Gq+XJScKSeh0e5Q869f7l6tOcMoXCMMOFXzs0J+u335YtP7Sq2gA9OowAjEYdX7mncx+qoo&#10;UHbKClyAV46SLQQrIrnhUDRB9IRuTbEqy5uih9D4AFIhUnQ3JvmEGJ4DCG2rpdqBPFrl4ogalBGR&#10;KGGnPfJtnrZtlYyf2hZVZKbmxDTmk5qQvU9nsd2I6hCE77ScRhDPGeEJJyu0o6ZXqJ2Igh2D/gfK&#10;ahkAoY0LCbYYiWRFiMWyfKLNfSe8ylxIavRX0fH/wcqPp8+B6abmN5w5YenBLz++X37+vvz6xl4n&#10;eXqPFVXde6qLw1sYaGnmOFIwsR7aYNOX+DDKk7jnq7hqiEymS+vVel1SSlJudgi/eLjuA8Z3CixL&#10;Rs0DvV4WVZw+YBxL55LUzcGdNia/oHF/BQhzjKi8AtPtxGScOFlx2A8TvT00Z2LX0xrU3NHWc2be&#10;O1I5bcxshNnYz8bRB33oaNBlnhL9m2OkkfKkqcMISwyTQ++XuU67lhbksZ+rHv6v7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p5gnJ80BAACnAwAADgAAAAAAAAABACAAAAAeAQAAZHJzL2Uy&#10;b0RvYy54bWxQSwUGAAAAAAYABgBZAQAAXQUAAAAA&#10;">
              <v:fill on="f" focussize="0,0"/>
              <v:stroke on="f"/>
              <v:imagedata o:title=""/>
              <o:lock v:ext="edit" aspectratio="f"/>
              <v:textbox inset="0mm,0mm,0mm,0mm" style="mso-fit-shape-to-text:t;">
                <w:txbxContent>
                  <w:p w14:paraId="48463050">
                    <w:pPr>
                      <w:pStyle w:val="30"/>
                    </w:pPr>
                    <w:r>
                      <w:fldChar w:fldCharType="begin"/>
                    </w:r>
                    <w:r>
                      <w:instrText xml:space="preserve"> PAGE  \* MERGEFORMAT </w:instrText>
                    </w:r>
                    <w:r>
                      <w:fldChar w:fldCharType="separate"/>
                    </w:r>
                    <w:r>
                      <w:t>92</w:t>
                    </w:r>
                    <w:r>
                      <w:fldChar w:fldCharType="end"/>
                    </w:r>
                  </w:p>
                </w:txbxContent>
              </v:textbox>
            </v:shape>
          </w:pict>
        </mc:Fallback>
      </mc:AlternateContent>
    </w:r>
  </w:p>
  <w:p w14:paraId="05300BFD">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5F457">
    <w:pPr>
      <w:pStyle w:val="32"/>
    </w:pPr>
    <w:r>
      <w:rPr>
        <w:rFonts w:hint="eastAsia"/>
      </w:rPr>
      <w:t>竞争性磋商采购文件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AEDEA">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495F2">
    <w:pPr>
      <w:pStyle w:val="3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9C1AB">
    <w:pPr>
      <w:pStyle w:val="3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87FAC"/>
    <w:multiLevelType w:val="singleLevel"/>
    <w:tmpl w:val="BBA87FAC"/>
    <w:lvl w:ilvl="0" w:tentative="0">
      <w:start w:val="2"/>
      <w:numFmt w:val="decimal"/>
      <w:suff w:val="nothing"/>
      <w:lvlText w:val="%1、"/>
      <w:lvlJc w:val="left"/>
    </w:lvl>
  </w:abstractNum>
  <w:abstractNum w:abstractNumId="1">
    <w:nsid w:val="049E55D1"/>
    <w:multiLevelType w:val="multilevel"/>
    <w:tmpl w:val="049E55D1"/>
    <w:lvl w:ilvl="0" w:tentative="0">
      <w:start w:val="1"/>
      <w:numFmt w:val="decimal"/>
      <w:pStyle w:val="151"/>
      <w:lvlText w:val="%1."/>
      <w:lvlJc w:val="left"/>
      <w:pPr>
        <w:tabs>
          <w:tab w:val="left" w:pos="624"/>
        </w:tabs>
        <w:ind w:left="624" w:hanging="624"/>
      </w:pPr>
      <w:rPr>
        <w:rFonts w:hint="default" w:ascii="Arial" w:hAnsi="Arial" w:cs="Arial"/>
        <w:b/>
        <w:bCs/>
        <w:i w:val="0"/>
        <w:iCs w:val="0"/>
        <w:sz w:val="24"/>
        <w:szCs w:val="24"/>
      </w:rPr>
    </w:lvl>
    <w:lvl w:ilvl="1" w:tentative="0">
      <w:start w:val="1"/>
      <w:numFmt w:val="decimal"/>
      <w:pStyle w:val="172"/>
      <w:lvlText w:val="%1.%2"/>
      <w:lvlJc w:val="left"/>
      <w:pPr>
        <w:tabs>
          <w:tab w:val="left" w:pos="624"/>
        </w:tabs>
        <w:ind w:left="624" w:hanging="624"/>
      </w:pPr>
      <w:rPr>
        <w:rFonts w:hint="default" w:ascii="Arial" w:hAnsi="Arial" w:cs="Arial"/>
        <w:b w:val="0"/>
        <w:bCs w:val="0"/>
        <w:i w:val="0"/>
        <w:iCs w:val="0"/>
        <w:sz w:val="24"/>
        <w:szCs w:val="24"/>
      </w:rPr>
    </w:lvl>
    <w:lvl w:ilvl="2" w:tentative="0">
      <w:start w:val="1"/>
      <w:numFmt w:val="decimal"/>
      <w:pStyle w:val="169"/>
      <w:lvlText w:val="(%3)"/>
      <w:lvlJc w:val="left"/>
      <w:pPr>
        <w:tabs>
          <w:tab w:val="left" w:pos="624"/>
        </w:tabs>
        <w:ind w:left="624" w:hanging="624"/>
      </w:pPr>
      <w:rPr>
        <w:rFonts w:hint="default" w:ascii="Arial" w:hAnsi="Arial" w:cs="Arial"/>
        <w:b w:val="0"/>
        <w:bCs w:val="0"/>
        <w:i w:val="0"/>
        <w:iCs w:val="0"/>
        <w:sz w:val="24"/>
        <w:szCs w:val="24"/>
      </w:rPr>
    </w:lvl>
    <w:lvl w:ilvl="3" w:tentative="0">
      <w:start w:val="1"/>
      <w:numFmt w:val="decimal"/>
      <w:pStyle w:val="156"/>
      <w:lvlText w:val="%1.%2.%4"/>
      <w:lvlJc w:val="left"/>
      <w:pPr>
        <w:tabs>
          <w:tab w:val="left" w:pos="1361"/>
        </w:tabs>
        <w:ind w:left="1361" w:hanging="737"/>
      </w:pPr>
      <w:rPr>
        <w:rFonts w:hint="default" w:ascii="Arial" w:hAnsi="Arial" w:cs="Arial"/>
        <w:b w:val="0"/>
        <w:bCs w:val="0"/>
        <w:i w:val="0"/>
        <w:iCs w:val="0"/>
        <w:sz w:val="24"/>
        <w:szCs w:val="24"/>
      </w:rPr>
    </w:lvl>
    <w:lvl w:ilvl="4" w:tentative="0">
      <w:start w:val="1"/>
      <w:numFmt w:val="lowerLetter"/>
      <w:pStyle w:val="155"/>
      <w:lvlText w:val="(%5)"/>
      <w:lvlJc w:val="left"/>
      <w:pPr>
        <w:tabs>
          <w:tab w:val="left" w:pos="1361"/>
        </w:tabs>
        <w:ind w:left="1361" w:hanging="737"/>
      </w:pPr>
      <w:rPr>
        <w:rFonts w:hint="default" w:ascii="Arial" w:hAnsi="Arial" w:cs="Arial"/>
        <w:b w:val="0"/>
        <w:bCs w:val="0"/>
        <w:i w:val="0"/>
        <w:iCs w:val="0"/>
        <w:sz w:val="20"/>
        <w:szCs w:val="20"/>
      </w:rPr>
    </w:lvl>
    <w:lvl w:ilvl="5" w:tentative="0">
      <w:start w:val="1"/>
      <w:numFmt w:val="lowerRoman"/>
      <w:pStyle w:val="161"/>
      <w:lvlText w:val="(%6)"/>
      <w:lvlJc w:val="left"/>
      <w:pPr>
        <w:tabs>
          <w:tab w:val="left" w:pos="2041"/>
        </w:tabs>
        <w:ind w:left="2041" w:hanging="680"/>
      </w:pPr>
      <w:rPr>
        <w:rFonts w:hint="default" w:ascii="Arial" w:hAnsi="Arial" w:cs="Arial"/>
        <w:b w:val="0"/>
        <w:bCs w:val="0"/>
        <w:i w:val="0"/>
        <w:iCs w:val="0"/>
        <w:sz w:val="20"/>
        <w:szCs w:val="20"/>
      </w:rPr>
    </w:lvl>
    <w:lvl w:ilvl="6" w:tentative="0">
      <w:start w:val="1"/>
      <w:numFmt w:val="upperLetter"/>
      <w:pStyle w:val="162"/>
      <w:lvlText w:val="(%7)"/>
      <w:lvlJc w:val="left"/>
      <w:pPr>
        <w:tabs>
          <w:tab w:val="left" w:pos="2041"/>
        </w:tabs>
        <w:ind w:left="2041" w:hanging="680"/>
      </w:pPr>
      <w:rPr>
        <w:rFonts w:hint="default" w:ascii="Arial" w:hAnsi="Arial" w:cs="Arial"/>
        <w:b w:val="0"/>
        <w:bCs w:val="0"/>
        <w:i w:val="0"/>
        <w:iCs w:val="0"/>
        <w:sz w:val="20"/>
        <w:szCs w:val="20"/>
      </w:rPr>
    </w:lvl>
    <w:lvl w:ilvl="7" w:tentative="0">
      <w:start w:val="1"/>
      <w:numFmt w:val="upperLetter"/>
      <w:pStyle w:val="152"/>
      <w:lvlText w:val="(%8)"/>
      <w:lvlJc w:val="left"/>
      <w:pPr>
        <w:tabs>
          <w:tab w:val="left" w:pos="2722"/>
        </w:tabs>
        <w:ind w:left="2722" w:hanging="681"/>
      </w:pPr>
      <w:rPr>
        <w:rFonts w:hint="default" w:ascii="Arial" w:hAnsi="Arial" w:cs="Arial"/>
        <w:b w:val="0"/>
        <w:bCs w:val="0"/>
        <w:i w:val="0"/>
        <w:iCs w:val="0"/>
        <w:sz w:val="20"/>
        <w:szCs w:val="20"/>
      </w:rPr>
    </w:lvl>
    <w:lvl w:ilvl="8" w:tentative="0">
      <w:start w:val="1"/>
      <w:numFmt w:val="none"/>
      <w:lvlText w:val=""/>
      <w:lvlJc w:val="left"/>
      <w:pPr>
        <w:tabs>
          <w:tab w:val="left" w:pos="4320"/>
        </w:tabs>
        <w:ind w:left="4320" w:hanging="1440"/>
      </w:pPr>
      <w:rPr>
        <w:rFonts w:hint="eastAsia" w:cs="Times New Roman"/>
      </w:rPr>
    </w:lvl>
  </w:abstractNum>
  <w:abstractNum w:abstractNumId="2">
    <w:nsid w:val="0B2F8E47"/>
    <w:multiLevelType w:val="singleLevel"/>
    <w:tmpl w:val="0B2F8E47"/>
    <w:lvl w:ilvl="0" w:tentative="0">
      <w:start w:val="3"/>
      <w:numFmt w:val="chineseCounting"/>
      <w:suff w:val="nothing"/>
      <w:lvlText w:val="%1、"/>
      <w:lvlJc w:val="left"/>
      <w:rPr>
        <w:rFonts w:hint="eastAsia"/>
      </w:rPr>
    </w:lvl>
  </w:abstractNum>
  <w:abstractNum w:abstractNumId="3">
    <w:nsid w:val="0C48645C"/>
    <w:multiLevelType w:val="multilevel"/>
    <w:tmpl w:val="0C48645C"/>
    <w:lvl w:ilvl="0" w:tentative="0">
      <w:start w:val="1"/>
      <w:numFmt w:val="decimal"/>
      <w:pStyle w:val="154"/>
      <w:lvlText w:val="(%1)"/>
      <w:lvlJc w:val="left"/>
      <w:pPr>
        <w:tabs>
          <w:tab w:val="left" w:pos="680"/>
        </w:tabs>
        <w:ind w:left="680" w:hanging="680"/>
      </w:pPr>
      <w:rPr>
        <w:rFonts w:hint="default" w:cs="Times New Roman"/>
        <w:b/>
        <w:bCs/>
        <w:i w:val="0"/>
        <w:iCs w:val="0"/>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14EF5680"/>
    <w:multiLevelType w:val="singleLevel"/>
    <w:tmpl w:val="14EF5680"/>
    <w:lvl w:ilvl="0" w:tentative="0">
      <w:start w:val="1"/>
      <w:numFmt w:val="decimal"/>
      <w:pStyle w:val="164"/>
      <w:lvlText w:val="%1."/>
      <w:lvlJc w:val="left"/>
      <w:pPr>
        <w:tabs>
          <w:tab w:val="left" w:pos="480"/>
        </w:tabs>
        <w:ind w:left="480" w:hanging="480"/>
      </w:pPr>
      <w:rPr>
        <w:rFonts w:hint="default" w:cs="Times New Roman"/>
        <w:sz w:val="23"/>
        <w:szCs w:val="23"/>
      </w:rPr>
    </w:lvl>
  </w:abstractNum>
  <w:abstractNum w:abstractNumId="5">
    <w:nsid w:val="2960675C"/>
    <w:multiLevelType w:val="singleLevel"/>
    <w:tmpl w:val="2960675C"/>
    <w:lvl w:ilvl="0" w:tentative="0">
      <w:start w:val="1"/>
      <w:numFmt w:val="decimal"/>
      <w:lvlText w:val="%1."/>
      <w:lvlJc w:val="left"/>
      <w:pPr>
        <w:tabs>
          <w:tab w:val="left" w:pos="312"/>
        </w:tabs>
      </w:pPr>
    </w:lvl>
  </w:abstractNum>
  <w:abstractNum w:abstractNumId="6">
    <w:nsid w:val="57EC4BDC"/>
    <w:multiLevelType w:val="multilevel"/>
    <w:tmpl w:val="57EC4BDC"/>
    <w:lvl w:ilvl="0" w:tentative="0">
      <w:start w:val="1"/>
      <w:numFmt w:val="chineseCountingThousand"/>
      <w:pStyle w:val="2"/>
      <w:lvlText w:val="第%1条."/>
      <w:lvlJc w:val="left"/>
      <w:pPr>
        <w:tabs>
          <w:tab w:val="left" w:pos="1080"/>
        </w:tabs>
      </w:pPr>
      <w:rPr>
        <w:rFonts w:cs="Times New Roman"/>
      </w:rPr>
    </w:lvl>
    <w:lvl w:ilvl="1" w:tentative="0">
      <w:start w:val="1"/>
      <w:numFmt w:val="decimal"/>
      <w:lvlText w:val="3.%2."/>
      <w:lvlJc w:val="left"/>
      <w:pPr>
        <w:tabs>
          <w:tab w:val="left" w:pos="1140"/>
        </w:tabs>
        <w:ind w:left="420"/>
      </w:pPr>
      <w:rPr>
        <w:rFonts w:hint="eastAsia" w:cs="Times New Roman"/>
        <w:b/>
        <w:bCs/>
        <w:i w:val="0"/>
        <w:iCs w:val="0"/>
        <w:caps w:val="0"/>
        <w:strike w:val="0"/>
        <w:dstrike w:val="0"/>
        <w:shadow w:val="0"/>
        <w:emboss w:val="0"/>
        <w:imprint w:val="0"/>
        <w:vanish w:val="0"/>
        <w:sz w:val="24"/>
        <w:szCs w:val="24"/>
        <w:vertAlign w:val="baseline"/>
      </w:rPr>
    </w:lvl>
    <w:lvl w:ilvl="2" w:tentative="0">
      <w:start w:val="1"/>
      <w:numFmt w:val="decimal"/>
      <w:lvlText w:val="4.%3."/>
      <w:lvlJc w:val="left"/>
      <w:pPr>
        <w:tabs>
          <w:tab w:val="left" w:pos="1560"/>
        </w:tabs>
        <w:ind w:left="840"/>
      </w:pPr>
      <w:rPr>
        <w:rFonts w:hint="eastAsia" w:ascii="宋体" w:eastAsia="宋体" w:cs="Times New Roman"/>
        <w:b/>
        <w:bCs/>
        <w:i w:val="0"/>
        <w:iCs w:val="0"/>
        <w:caps w:val="0"/>
        <w:strike w:val="0"/>
        <w:dstrike w:val="0"/>
        <w:outline w:val="0"/>
        <w:shadow w:val="0"/>
        <w:emboss w:val="0"/>
        <w:imprint w:val="0"/>
        <w:vanish w:val="0"/>
        <w:sz w:val="24"/>
        <w:szCs w:val="24"/>
        <w:vertAlign w:val="baseline"/>
      </w:rPr>
    </w:lvl>
    <w:lvl w:ilvl="3" w:tentative="0">
      <w:start w:val="1"/>
      <w:numFmt w:val="decimal"/>
      <w:lvlText w:val="6.%4."/>
      <w:lvlJc w:val="left"/>
      <w:pPr>
        <w:tabs>
          <w:tab w:val="left" w:pos="1980"/>
        </w:tabs>
        <w:ind w:left="1260"/>
      </w:pPr>
      <w:rPr>
        <w:rFonts w:hint="eastAsia" w:ascii="宋体" w:eastAsia="宋体" w:cs="Times New Roman"/>
        <w:b/>
        <w:bCs/>
        <w:i w:val="0"/>
        <w:iCs w:val="0"/>
        <w:caps w:val="0"/>
        <w:strike w:val="0"/>
        <w:dstrike w:val="0"/>
        <w:outline w:val="0"/>
        <w:shadow w:val="0"/>
        <w:emboss w:val="0"/>
        <w:imprint w:val="0"/>
        <w:vanish w:val="0"/>
        <w:sz w:val="24"/>
        <w:szCs w:val="24"/>
        <w:vertAlign w:val="baseline"/>
      </w:rPr>
    </w:lvl>
    <w:lvl w:ilvl="4" w:tentative="0">
      <w:start w:val="1"/>
      <w:numFmt w:val="decimal"/>
      <w:lvlText w:val="12.%5."/>
      <w:lvlJc w:val="left"/>
      <w:pPr>
        <w:tabs>
          <w:tab w:val="left" w:pos="2400"/>
        </w:tabs>
        <w:ind w:left="1680"/>
      </w:pPr>
      <w:rPr>
        <w:rFonts w:hint="eastAsia" w:ascii="宋体" w:eastAsia="宋体" w:cs="Times New Roman"/>
        <w:b/>
        <w:bCs/>
        <w:i w:val="0"/>
        <w:iCs w:val="0"/>
        <w:caps w:val="0"/>
        <w:strike w:val="0"/>
        <w:dstrike w:val="0"/>
        <w:outline w:val="0"/>
        <w:shadow w:val="0"/>
        <w:emboss w:val="0"/>
        <w:imprint w:val="0"/>
        <w:vanish w:val="0"/>
        <w:sz w:val="24"/>
        <w:szCs w:val="24"/>
        <w:vertAlign w:val="baseline"/>
      </w:rPr>
    </w:lvl>
    <w:lvl w:ilvl="5" w:tentative="0">
      <w:start w:val="10"/>
      <w:numFmt w:val="decimal"/>
      <w:lvlText w:val="%6．"/>
      <w:lvlJc w:val="left"/>
      <w:pPr>
        <w:tabs>
          <w:tab w:val="left" w:pos="2820"/>
        </w:tabs>
        <w:ind w:left="2820" w:hanging="72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67079CA4"/>
    <w:multiLevelType w:val="singleLevel"/>
    <w:tmpl w:val="67079CA4"/>
    <w:lvl w:ilvl="0" w:tentative="0">
      <w:start w:val="6"/>
      <w:numFmt w:val="decimal"/>
      <w:lvlText w:val="%1."/>
      <w:lvlJc w:val="left"/>
      <w:pPr>
        <w:tabs>
          <w:tab w:val="left" w:pos="312"/>
        </w:tabs>
      </w:pPr>
    </w:lvl>
  </w:abstractNum>
  <w:abstractNum w:abstractNumId="8">
    <w:nsid w:val="6B5030ED"/>
    <w:multiLevelType w:val="singleLevel"/>
    <w:tmpl w:val="6B5030ED"/>
    <w:lvl w:ilvl="0" w:tentative="0">
      <w:start w:val="1"/>
      <w:numFmt w:val="decimal"/>
      <w:pStyle w:val="166"/>
      <w:lvlText w:val="(%1)"/>
      <w:lvlJc w:val="left"/>
      <w:pPr>
        <w:tabs>
          <w:tab w:val="left" w:pos="567"/>
        </w:tabs>
        <w:ind w:left="567" w:hanging="567"/>
      </w:pPr>
      <w:rPr>
        <w:rFonts w:hint="eastAsia" w:cs="Times New Roman"/>
        <w:b/>
        <w:bCs/>
        <w:i w:val="0"/>
        <w:iCs w:val="0"/>
        <w:sz w:val="23"/>
        <w:szCs w:val="23"/>
      </w:rPr>
    </w:lvl>
  </w:abstractNum>
  <w:abstractNum w:abstractNumId="9">
    <w:nsid w:val="6EDD6597"/>
    <w:multiLevelType w:val="singleLevel"/>
    <w:tmpl w:val="6EDD6597"/>
    <w:lvl w:ilvl="0" w:tentative="0">
      <w:start w:val="2"/>
      <w:numFmt w:val="decimal"/>
      <w:suff w:val="space"/>
      <w:lvlText w:val="%1."/>
      <w:lvlJc w:val="left"/>
      <w:rPr>
        <w:rFonts w:cs="Times New Roman"/>
      </w:rPr>
    </w:lvl>
  </w:abstractNum>
  <w:abstractNum w:abstractNumId="10">
    <w:nsid w:val="6EDD6598"/>
    <w:multiLevelType w:val="singleLevel"/>
    <w:tmpl w:val="6EDD6598"/>
    <w:lvl w:ilvl="0" w:tentative="0">
      <w:start w:val="2"/>
      <w:numFmt w:val="decimal"/>
      <w:suff w:val="nothing"/>
      <w:lvlText w:val="（%1）"/>
      <w:lvlJc w:val="left"/>
      <w:pPr>
        <w:ind w:left="525"/>
      </w:pPr>
      <w:rPr>
        <w:rFonts w:cs="Times New Roman"/>
      </w:rPr>
    </w:lvl>
  </w:abstractNum>
  <w:num w:numId="1">
    <w:abstractNumId w:val="6"/>
  </w:num>
  <w:num w:numId="2">
    <w:abstractNumId w:val="1"/>
  </w:num>
  <w:num w:numId="3">
    <w:abstractNumId w:val="3"/>
  </w:num>
  <w:num w:numId="4">
    <w:abstractNumId w:val="4"/>
  </w:num>
  <w:num w:numId="5">
    <w:abstractNumId w:val="8"/>
  </w:num>
  <w:num w:numId="6">
    <w:abstractNumId w:val="2"/>
  </w:num>
  <w:num w:numId="7">
    <w:abstractNumId w:val="7"/>
  </w:num>
  <w:num w:numId="8">
    <w:abstractNumId w:val="5"/>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0NWQ5M2Q4NDlhMDUyYTlmZGZhYjRhNDkwZDU0ZjcifQ=="/>
  </w:docVars>
  <w:rsids>
    <w:rsidRoot w:val="002418ED"/>
    <w:rsid w:val="00000571"/>
    <w:rsid w:val="00002432"/>
    <w:rsid w:val="00002AC6"/>
    <w:rsid w:val="00004FB1"/>
    <w:rsid w:val="00006C62"/>
    <w:rsid w:val="00020F1B"/>
    <w:rsid w:val="00023AB5"/>
    <w:rsid w:val="00024C49"/>
    <w:rsid w:val="00024CAC"/>
    <w:rsid w:val="00030597"/>
    <w:rsid w:val="00037602"/>
    <w:rsid w:val="00045693"/>
    <w:rsid w:val="00047CA4"/>
    <w:rsid w:val="00056AB7"/>
    <w:rsid w:val="00056B68"/>
    <w:rsid w:val="00057228"/>
    <w:rsid w:val="000603E2"/>
    <w:rsid w:val="00065D5A"/>
    <w:rsid w:val="00071BB1"/>
    <w:rsid w:val="00074218"/>
    <w:rsid w:val="00075288"/>
    <w:rsid w:val="0007799F"/>
    <w:rsid w:val="00085BA8"/>
    <w:rsid w:val="00090281"/>
    <w:rsid w:val="000A0240"/>
    <w:rsid w:val="000A1548"/>
    <w:rsid w:val="000A28CF"/>
    <w:rsid w:val="000A6A38"/>
    <w:rsid w:val="000A6B0D"/>
    <w:rsid w:val="000B1AFE"/>
    <w:rsid w:val="000B3389"/>
    <w:rsid w:val="000B5D0A"/>
    <w:rsid w:val="000C55D2"/>
    <w:rsid w:val="000D0C9B"/>
    <w:rsid w:val="000D24B2"/>
    <w:rsid w:val="000D63A5"/>
    <w:rsid w:val="000E2087"/>
    <w:rsid w:val="000E3F09"/>
    <w:rsid w:val="000E54DB"/>
    <w:rsid w:val="000E68D2"/>
    <w:rsid w:val="000F062B"/>
    <w:rsid w:val="000F2F4C"/>
    <w:rsid w:val="000F3282"/>
    <w:rsid w:val="000F3CAD"/>
    <w:rsid w:val="000F51B9"/>
    <w:rsid w:val="000F5BF0"/>
    <w:rsid w:val="000F7B82"/>
    <w:rsid w:val="00101AF8"/>
    <w:rsid w:val="0010762D"/>
    <w:rsid w:val="00107C9A"/>
    <w:rsid w:val="001104B7"/>
    <w:rsid w:val="0011258E"/>
    <w:rsid w:val="0012177C"/>
    <w:rsid w:val="001236EF"/>
    <w:rsid w:val="00124F01"/>
    <w:rsid w:val="00127034"/>
    <w:rsid w:val="001306D8"/>
    <w:rsid w:val="001316E5"/>
    <w:rsid w:val="00136896"/>
    <w:rsid w:val="00136E4F"/>
    <w:rsid w:val="00137881"/>
    <w:rsid w:val="00141261"/>
    <w:rsid w:val="00142893"/>
    <w:rsid w:val="00147035"/>
    <w:rsid w:val="00150FCA"/>
    <w:rsid w:val="00151EEB"/>
    <w:rsid w:val="0015297B"/>
    <w:rsid w:val="00152BA5"/>
    <w:rsid w:val="00156250"/>
    <w:rsid w:val="00160618"/>
    <w:rsid w:val="00160D22"/>
    <w:rsid w:val="00161FC5"/>
    <w:rsid w:val="0016262D"/>
    <w:rsid w:val="00162EB5"/>
    <w:rsid w:val="00163A3A"/>
    <w:rsid w:val="0017125A"/>
    <w:rsid w:val="00177E1A"/>
    <w:rsid w:val="00185F44"/>
    <w:rsid w:val="0018680F"/>
    <w:rsid w:val="001A10A0"/>
    <w:rsid w:val="001A4DC2"/>
    <w:rsid w:val="001A55A7"/>
    <w:rsid w:val="001A5C13"/>
    <w:rsid w:val="001A5FCF"/>
    <w:rsid w:val="001B2348"/>
    <w:rsid w:val="001B4D56"/>
    <w:rsid w:val="001C07FB"/>
    <w:rsid w:val="001C2C5D"/>
    <w:rsid w:val="001C30E0"/>
    <w:rsid w:val="001C315D"/>
    <w:rsid w:val="001C67F2"/>
    <w:rsid w:val="001C750F"/>
    <w:rsid w:val="001D2B86"/>
    <w:rsid w:val="001D4F53"/>
    <w:rsid w:val="001D671C"/>
    <w:rsid w:val="001E7DC9"/>
    <w:rsid w:val="001F07DF"/>
    <w:rsid w:val="001F1164"/>
    <w:rsid w:val="001F238E"/>
    <w:rsid w:val="001F5793"/>
    <w:rsid w:val="001F591C"/>
    <w:rsid w:val="001F6CF9"/>
    <w:rsid w:val="00207976"/>
    <w:rsid w:val="00212D84"/>
    <w:rsid w:val="00214A9D"/>
    <w:rsid w:val="002173BB"/>
    <w:rsid w:val="002214B1"/>
    <w:rsid w:val="00223E97"/>
    <w:rsid w:val="00232EFA"/>
    <w:rsid w:val="00237045"/>
    <w:rsid w:val="00240A5D"/>
    <w:rsid w:val="002418ED"/>
    <w:rsid w:val="002423EF"/>
    <w:rsid w:val="00242576"/>
    <w:rsid w:val="00242AF8"/>
    <w:rsid w:val="002445EC"/>
    <w:rsid w:val="00245C6F"/>
    <w:rsid w:val="00246C1F"/>
    <w:rsid w:val="002472F6"/>
    <w:rsid w:val="00250696"/>
    <w:rsid w:val="00250B2E"/>
    <w:rsid w:val="00250BF0"/>
    <w:rsid w:val="00251F98"/>
    <w:rsid w:val="002532DF"/>
    <w:rsid w:val="00256659"/>
    <w:rsid w:val="00261A0B"/>
    <w:rsid w:val="00261E34"/>
    <w:rsid w:val="0026648C"/>
    <w:rsid w:val="00267695"/>
    <w:rsid w:val="002702B3"/>
    <w:rsid w:val="00271A32"/>
    <w:rsid w:val="00273957"/>
    <w:rsid w:val="00277E48"/>
    <w:rsid w:val="00281769"/>
    <w:rsid w:val="00282AF8"/>
    <w:rsid w:val="00284568"/>
    <w:rsid w:val="00284DAF"/>
    <w:rsid w:val="00287120"/>
    <w:rsid w:val="00290584"/>
    <w:rsid w:val="002915F0"/>
    <w:rsid w:val="002921FF"/>
    <w:rsid w:val="002922D3"/>
    <w:rsid w:val="002924E9"/>
    <w:rsid w:val="00293A03"/>
    <w:rsid w:val="00294F16"/>
    <w:rsid w:val="002A0632"/>
    <w:rsid w:val="002A0F39"/>
    <w:rsid w:val="002A4CB1"/>
    <w:rsid w:val="002A4E1B"/>
    <w:rsid w:val="002A60D6"/>
    <w:rsid w:val="002B2944"/>
    <w:rsid w:val="002B68AB"/>
    <w:rsid w:val="002B7566"/>
    <w:rsid w:val="002C1B7C"/>
    <w:rsid w:val="002C2C3E"/>
    <w:rsid w:val="002C39A0"/>
    <w:rsid w:val="002C59CF"/>
    <w:rsid w:val="002C7286"/>
    <w:rsid w:val="002D467C"/>
    <w:rsid w:val="002D5F2A"/>
    <w:rsid w:val="002D63E2"/>
    <w:rsid w:val="002D7A03"/>
    <w:rsid w:val="002E023C"/>
    <w:rsid w:val="002E046F"/>
    <w:rsid w:val="002E06AB"/>
    <w:rsid w:val="002E3A2E"/>
    <w:rsid w:val="002E598C"/>
    <w:rsid w:val="002F301B"/>
    <w:rsid w:val="002F372B"/>
    <w:rsid w:val="002F583F"/>
    <w:rsid w:val="002F7D06"/>
    <w:rsid w:val="00303276"/>
    <w:rsid w:val="003041D2"/>
    <w:rsid w:val="00306BE5"/>
    <w:rsid w:val="003073C8"/>
    <w:rsid w:val="00307B31"/>
    <w:rsid w:val="00320F84"/>
    <w:rsid w:val="00325D45"/>
    <w:rsid w:val="003279C1"/>
    <w:rsid w:val="00331791"/>
    <w:rsid w:val="00335BF2"/>
    <w:rsid w:val="00336387"/>
    <w:rsid w:val="00343955"/>
    <w:rsid w:val="00346547"/>
    <w:rsid w:val="00346649"/>
    <w:rsid w:val="00351D7D"/>
    <w:rsid w:val="003524E2"/>
    <w:rsid w:val="003538B6"/>
    <w:rsid w:val="00357422"/>
    <w:rsid w:val="003617F9"/>
    <w:rsid w:val="0036384E"/>
    <w:rsid w:val="00365754"/>
    <w:rsid w:val="00365CFD"/>
    <w:rsid w:val="00367592"/>
    <w:rsid w:val="00370B99"/>
    <w:rsid w:val="003717A6"/>
    <w:rsid w:val="0037347A"/>
    <w:rsid w:val="0037372F"/>
    <w:rsid w:val="00376C37"/>
    <w:rsid w:val="00395214"/>
    <w:rsid w:val="0039566E"/>
    <w:rsid w:val="003974FF"/>
    <w:rsid w:val="00397AED"/>
    <w:rsid w:val="003A2D36"/>
    <w:rsid w:val="003A6EA5"/>
    <w:rsid w:val="003B1277"/>
    <w:rsid w:val="003B1F0D"/>
    <w:rsid w:val="003B3FC0"/>
    <w:rsid w:val="003B4A20"/>
    <w:rsid w:val="003B5039"/>
    <w:rsid w:val="003B5CE6"/>
    <w:rsid w:val="003B7696"/>
    <w:rsid w:val="003B7E8B"/>
    <w:rsid w:val="003C0A0D"/>
    <w:rsid w:val="003C2B2B"/>
    <w:rsid w:val="003C4C7D"/>
    <w:rsid w:val="003C7406"/>
    <w:rsid w:val="003D23AC"/>
    <w:rsid w:val="003D2F3D"/>
    <w:rsid w:val="003D3913"/>
    <w:rsid w:val="003D6A75"/>
    <w:rsid w:val="003E5670"/>
    <w:rsid w:val="003E5F5A"/>
    <w:rsid w:val="003E7992"/>
    <w:rsid w:val="003E7C9C"/>
    <w:rsid w:val="003F00F8"/>
    <w:rsid w:val="003F17D4"/>
    <w:rsid w:val="003F2CBF"/>
    <w:rsid w:val="003F6380"/>
    <w:rsid w:val="003F7B4A"/>
    <w:rsid w:val="003F7DBB"/>
    <w:rsid w:val="00403C24"/>
    <w:rsid w:val="00405FE8"/>
    <w:rsid w:val="00407E53"/>
    <w:rsid w:val="00410871"/>
    <w:rsid w:val="0041162E"/>
    <w:rsid w:val="00427E6C"/>
    <w:rsid w:val="0043126B"/>
    <w:rsid w:val="00432284"/>
    <w:rsid w:val="004343E1"/>
    <w:rsid w:val="00437CCB"/>
    <w:rsid w:val="0044406E"/>
    <w:rsid w:val="00444591"/>
    <w:rsid w:val="004465EE"/>
    <w:rsid w:val="00446D84"/>
    <w:rsid w:val="00447406"/>
    <w:rsid w:val="004477BC"/>
    <w:rsid w:val="00460FCD"/>
    <w:rsid w:val="00463C09"/>
    <w:rsid w:val="00470F18"/>
    <w:rsid w:val="00472461"/>
    <w:rsid w:val="00472FFB"/>
    <w:rsid w:val="004A5CE9"/>
    <w:rsid w:val="004A64C1"/>
    <w:rsid w:val="004A7837"/>
    <w:rsid w:val="004B54E9"/>
    <w:rsid w:val="004B604B"/>
    <w:rsid w:val="004C0616"/>
    <w:rsid w:val="004C394D"/>
    <w:rsid w:val="004D333F"/>
    <w:rsid w:val="004E0FEC"/>
    <w:rsid w:val="004E31E9"/>
    <w:rsid w:val="004E49D5"/>
    <w:rsid w:val="004E574B"/>
    <w:rsid w:val="004F14A0"/>
    <w:rsid w:val="004F49D0"/>
    <w:rsid w:val="004F5A61"/>
    <w:rsid w:val="00506DC4"/>
    <w:rsid w:val="00511B20"/>
    <w:rsid w:val="005126BC"/>
    <w:rsid w:val="0051434F"/>
    <w:rsid w:val="005206D4"/>
    <w:rsid w:val="005220B1"/>
    <w:rsid w:val="005228CA"/>
    <w:rsid w:val="00526F20"/>
    <w:rsid w:val="0052705D"/>
    <w:rsid w:val="0053093C"/>
    <w:rsid w:val="00531CA1"/>
    <w:rsid w:val="005334C9"/>
    <w:rsid w:val="00543553"/>
    <w:rsid w:val="00544E1D"/>
    <w:rsid w:val="005457FA"/>
    <w:rsid w:val="00547BCA"/>
    <w:rsid w:val="005518BE"/>
    <w:rsid w:val="00552F5A"/>
    <w:rsid w:val="005537DD"/>
    <w:rsid w:val="00556A8F"/>
    <w:rsid w:val="0055745C"/>
    <w:rsid w:val="00557988"/>
    <w:rsid w:val="00560684"/>
    <w:rsid w:val="00565366"/>
    <w:rsid w:val="00572E56"/>
    <w:rsid w:val="00572EA7"/>
    <w:rsid w:val="005757F0"/>
    <w:rsid w:val="00580893"/>
    <w:rsid w:val="005821FE"/>
    <w:rsid w:val="00582D23"/>
    <w:rsid w:val="00582FDB"/>
    <w:rsid w:val="00583184"/>
    <w:rsid w:val="00584C8F"/>
    <w:rsid w:val="00586B75"/>
    <w:rsid w:val="00587A99"/>
    <w:rsid w:val="00592A80"/>
    <w:rsid w:val="00594677"/>
    <w:rsid w:val="005949FD"/>
    <w:rsid w:val="005A32B3"/>
    <w:rsid w:val="005B0D84"/>
    <w:rsid w:val="005B1167"/>
    <w:rsid w:val="005B37DD"/>
    <w:rsid w:val="005B402C"/>
    <w:rsid w:val="005B4C12"/>
    <w:rsid w:val="005C115F"/>
    <w:rsid w:val="005D0991"/>
    <w:rsid w:val="005D410E"/>
    <w:rsid w:val="005D527E"/>
    <w:rsid w:val="005D74F1"/>
    <w:rsid w:val="005E023A"/>
    <w:rsid w:val="005E312A"/>
    <w:rsid w:val="005E4F1D"/>
    <w:rsid w:val="005E6B61"/>
    <w:rsid w:val="005F1F68"/>
    <w:rsid w:val="005F23CC"/>
    <w:rsid w:val="005F5881"/>
    <w:rsid w:val="00605813"/>
    <w:rsid w:val="00605E37"/>
    <w:rsid w:val="00606F8F"/>
    <w:rsid w:val="00607105"/>
    <w:rsid w:val="00615FB2"/>
    <w:rsid w:val="00616221"/>
    <w:rsid w:val="00616655"/>
    <w:rsid w:val="00620C10"/>
    <w:rsid w:val="00625C3B"/>
    <w:rsid w:val="00626090"/>
    <w:rsid w:val="0062644F"/>
    <w:rsid w:val="006271C2"/>
    <w:rsid w:val="00627843"/>
    <w:rsid w:val="0063359A"/>
    <w:rsid w:val="00635011"/>
    <w:rsid w:val="00635663"/>
    <w:rsid w:val="00636B9A"/>
    <w:rsid w:val="00637D82"/>
    <w:rsid w:val="0064730F"/>
    <w:rsid w:val="00652B07"/>
    <w:rsid w:val="00652F80"/>
    <w:rsid w:val="00655F78"/>
    <w:rsid w:val="00661399"/>
    <w:rsid w:val="006635C9"/>
    <w:rsid w:val="006710FF"/>
    <w:rsid w:val="00680EB9"/>
    <w:rsid w:val="006A0DD3"/>
    <w:rsid w:val="006A2192"/>
    <w:rsid w:val="006A3532"/>
    <w:rsid w:val="006A42BE"/>
    <w:rsid w:val="006A436E"/>
    <w:rsid w:val="006A71B6"/>
    <w:rsid w:val="006B03BA"/>
    <w:rsid w:val="006B1578"/>
    <w:rsid w:val="006C29E5"/>
    <w:rsid w:val="006C34CF"/>
    <w:rsid w:val="006C48B9"/>
    <w:rsid w:val="006C5D7C"/>
    <w:rsid w:val="006C7266"/>
    <w:rsid w:val="006D2DBA"/>
    <w:rsid w:val="006E0BEA"/>
    <w:rsid w:val="006E74E9"/>
    <w:rsid w:val="006F1267"/>
    <w:rsid w:val="006F341A"/>
    <w:rsid w:val="006F48E6"/>
    <w:rsid w:val="006F5836"/>
    <w:rsid w:val="006F62C2"/>
    <w:rsid w:val="00700BFD"/>
    <w:rsid w:val="00701F9C"/>
    <w:rsid w:val="00702EAC"/>
    <w:rsid w:val="00705191"/>
    <w:rsid w:val="0070613A"/>
    <w:rsid w:val="007114B3"/>
    <w:rsid w:val="00716A9F"/>
    <w:rsid w:val="00722751"/>
    <w:rsid w:val="0072469C"/>
    <w:rsid w:val="0072738E"/>
    <w:rsid w:val="0073273B"/>
    <w:rsid w:val="00733090"/>
    <w:rsid w:val="007376B6"/>
    <w:rsid w:val="00737EAA"/>
    <w:rsid w:val="007403C3"/>
    <w:rsid w:val="00742B20"/>
    <w:rsid w:val="007442E0"/>
    <w:rsid w:val="007442FC"/>
    <w:rsid w:val="00746687"/>
    <w:rsid w:val="0075003A"/>
    <w:rsid w:val="00751256"/>
    <w:rsid w:val="00753809"/>
    <w:rsid w:val="00753C42"/>
    <w:rsid w:val="00756DA5"/>
    <w:rsid w:val="00756DFE"/>
    <w:rsid w:val="00757317"/>
    <w:rsid w:val="00757FBE"/>
    <w:rsid w:val="007615EE"/>
    <w:rsid w:val="00770F03"/>
    <w:rsid w:val="007748AF"/>
    <w:rsid w:val="007766C0"/>
    <w:rsid w:val="007804B0"/>
    <w:rsid w:val="0078108B"/>
    <w:rsid w:val="00786127"/>
    <w:rsid w:val="00786861"/>
    <w:rsid w:val="007944EA"/>
    <w:rsid w:val="007A140A"/>
    <w:rsid w:val="007A3CA8"/>
    <w:rsid w:val="007A54AA"/>
    <w:rsid w:val="007A7DC5"/>
    <w:rsid w:val="007B1A94"/>
    <w:rsid w:val="007B3BFD"/>
    <w:rsid w:val="007B3DFD"/>
    <w:rsid w:val="007C4789"/>
    <w:rsid w:val="007C5900"/>
    <w:rsid w:val="007C5C0F"/>
    <w:rsid w:val="007D27DC"/>
    <w:rsid w:val="007D41A5"/>
    <w:rsid w:val="007E3A74"/>
    <w:rsid w:val="007E4811"/>
    <w:rsid w:val="007E64F6"/>
    <w:rsid w:val="007F23C4"/>
    <w:rsid w:val="007F4837"/>
    <w:rsid w:val="0080091A"/>
    <w:rsid w:val="008030A6"/>
    <w:rsid w:val="00805ECC"/>
    <w:rsid w:val="00814214"/>
    <w:rsid w:val="00814FDA"/>
    <w:rsid w:val="0081503D"/>
    <w:rsid w:val="0081751C"/>
    <w:rsid w:val="008175E2"/>
    <w:rsid w:val="00820E2E"/>
    <w:rsid w:val="008222F1"/>
    <w:rsid w:val="00826CD6"/>
    <w:rsid w:val="0082753E"/>
    <w:rsid w:val="00832B96"/>
    <w:rsid w:val="00833B0D"/>
    <w:rsid w:val="00834A26"/>
    <w:rsid w:val="00837C17"/>
    <w:rsid w:val="008429DD"/>
    <w:rsid w:val="00842ECC"/>
    <w:rsid w:val="008431F4"/>
    <w:rsid w:val="00845ECE"/>
    <w:rsid w:val="008478EA"/>
    <w:rsid w:val="00854E3E"/>
    <w:rsid w:val="00860D24"/>
    <w:rsid w:val="0086353C"/>
    <w:rsid w:val="00867E3C"/>
    <w:rsid w:val="008716B9"/>
    <w:rsid w:val="00874E0B"/>
    <w:rsid w:val="00876637"/>
    <w:rsid w:val="00880944"/>
    <w:rsid w:val="0088437E"/>
    <w:rsid w:val="0088518E"/>
    <w:rsid w:val="008939EB"/>
    <w:rsid w:val="00893A36"/>
    <w:rsid w:val="00893A84"/>
    <w:rsid w:val="0089756E"/>
    <w:rsid w:val="008A280C"/>
    <w:rsid w:val="008A29D3"/>
    <w:rsid w:val="008A3760"/>
    <w:rsid w:val="008A6D1A"/>
    <w:rsid w:val="008B0451"/>
    <w:rsid w:val="008B2087"/>
    <w:rsid w:val="008B31D2"/>
    <w:rsid w:val="008B349F"/>
    <w:rsid w:val="008B3CE0"/>
    <w:rsid w:val="008B6574"/>
    <w:rsid w:val="008C38BF"/>
    <w:rsid w:val="008D0BA6"/>
    <w:rsid w:val="008D2BE9"/>
    <w:rsid w:val="008D524D"/>
    <w:rsid w:val="008E6758"/>
    <w:rsid w:val="008E6FC8"/>
    <w:rsid w:val="008E7C49"/>
    <w:rsid w:val="008F43E9"/>
    <w:rsid w:val="008F693E"/>
    <w:rsid w:val="00902526"/>
    <w:rsid w:val="009029B3"/>
    <w:rsid w:val="00902B66"/>
    <w:rsid w:val="0091575E"/>
    <w:rsid w:val="00917680"/>
    <w:rsid w:val="009176DA"/>
    <w:rsid w:val="00920E05"/>
    <w:rsid w:val="00922400"/>
    <w:rsid w:val="00925C29"/>
    <w:rsid w:val="00926F91"/>
    <w:rsid w:val="0093103F"/>
    <w:rsid w:val="00932399"/>
    <w:rsid w:val="009335C6"/>
    <w:rsid w:val="00935851"/>
    <w:rsid w:val="00941D13"/>
    <w:rsid w:val="00946B53"/>
    <w:rsid w:val="0095169E"/>
    <w:rsid w:val="00955002"/>
    <w:rsid w:val="00956064"/>
    <w:rsid w:val="00960737"/>
    <w:rsid w:val="009613BC"/>
    <w:rsid w:val="00966C54"/>
    <w:rsid w:val="009673F3"/>
    <w:rsid w:val="009707B9"/>
    <w:rsid w:val="009737F6"/>
    <w:rsid w:val="009750E4"/>
    <w:rsid w:val="00976B41"/>
    <w:rsid w:val="009806CB"/>
    <w:rsid w:val="00981C23"/>
    <w:rsid w:val="0098360D"/>
    <w:rsid w:val="00991042"/>
    <w:rsid w:val="009A0576"/>
    <w:rsid w:val="009A149D"/>
    <w:rsid w:val="009B0695"/>
    <w:rsid w:val="009B583A"/>
    <w:rsid w:val="009C07B8"/>
    <w:rsid w:val="009C3709"/>
    <w:rsid w:val="009C4C59"/>
    <w:rsid w:val="009C5D62"/>
    <w:rsid w:val="009C7137"/>
    <w:rsid w:val="009D2879"/>
    <w:rsid w:val="009D3C1C"/>
    <w:rsid w:val="009D5146"/>
    <w:rsid w:val="009D7469"/>
    <w:rsid w:val="009E2495"/>
    <w:rsid w:val="009E4858"/>
    <w:rsid w:val="009F00A4"/>
    <w:rsid w:val="009F15FE"/>
    <w:rsid w:val="009F1600"/>
    <w:rsid w:val="009F5AD0"/>
    <w:rsid w:val="009F68F4"/>
    <w:rsid w:val="009F6ACD"/>
    <w:rsid w:val="00A0463C"/>
    <w:rsid w:val="00A04F71"/>
    <w:rsid w:val="00A06630"/>
    <w:rsid w:val="00A07608"/>
    <w:rsid w:val="00A12A1A"/>
    <w:rsid w:val="00A14214"/>
    <w:rsid w:val="00A163DB"/>
    <w:rsid w:val="00A205FB"/>
    <w:rsid w:val="00A20952"/>
    <w:rsid w:val="00A22DAD"/>
    <w:rsid w:val="00A25D9C"/>
    <w:rsid w:val="00A273BB"/>
    <w:rsid w:val="00A336F7"/>
    <w:rsid w:val="00A34128"/>
    <w:rsid w:val="00A342C2"/>
    <w:rsid w:val="00A36605"/>
    <w:rsid w:val="00A3742A"/>
    <w:rsid w:val="00A40C36"/>
    <w:rsid w:val="00A4304B"/>
    <w:rsid w:val="00A46506"/>
    <w:rsid w:val="00A479FE"/>
    <w:rsid w:val="00A5182E"/>
    <w:rsid w:val="00A53061"/>
    <w:rsid w:val="00A61F2E"/>
    <w:rsid w:val="00A629A7"/>
    <w:rsid w:val="00A630F3"/>
    <w:rsid w:val="00A67B34"/>
    <w:rsid w:val="00A70478"/>
    <w:rsid w:val="00A71D66"/>
    <w:rsid w:val="00A753C6"/>
    <w:rsid w:val="00A75A10"/>
    <w:rsid w:val="00A7618E"/>
    <w:rsid w:val="00A85519"/>
    <w:rsid w:val="00A85D3A"/>
    <w:rsid w:val="00A85F5F"/>
    <w:rsid w:val="00A90202"/>
    <w:rsid w:val="00A938B8"/>
    <w:rsid w:val="00A944C0"/>
    <w:rsid w:val="00A96D2B"/>
    <w:rsid w:val="00A97810"/>
    <w:rsid w:val="00AA1EA9"/>
    <w:rsid w:val="00AA67F6"/>
    <w:rsid w:val="00AB17A4"/>
    <w:rsid w:val="00AB340A"/>
    <w:rsid w:val="00AB474E"/>
    <w:rsid w:val="00AB4960"/>
    <w:rsid w:val="00AB5084"/>
    <w:rsid w:val="00AB5B71"/>
    <w:rsid w:val="00AC459C"/>
    <w:rsid w:val="00AC4711"/>
    <w:rsid w:val="00AC7E9D"/>
    <w:rsid w:val="00AD1AA2"/>
    <w:rsid w:val="00AD1FFD"/>
    <w:rsid w:val="00AD3FD3"/>
    <w:rsid w:val="00AD4244"/>
    <w:rsid w:val="00AD42E3"/>
    <w:rsid w:val="00AD484B"/>
    <w:rsid w:val="00AE096F"/>
    <w:rsid w:val="00AE4DEB"/>
    <w:rsid w:val="00AE7FA1"/>
    <w:rsid w:val="00AF2A5F"/>
    <w:rsid w:val="00AF313C"/>
    <w:rsid w:val="00B023C2"/>
    <w:rsid w:val="00B119C1"/>
    <w:rsid w:val="00B11AF8"/>
    <w:rsid w:val="00B1549E"/>
    <w:rsid w:val="00B20843"/>
    <w:rsid w:val="00B20C97"/>
    <w:rsid w:val="00B2632F"/>
    <w:rsid w:val="00B279E8"/>
    <w:rsid w:val="00B30750"/>
    <w:rsid w:val="00B345CC"/>
    <w:rsid w:val="00B50E47"/>
    <w:rsid w:val="00B52B82"/>
    <w:rsid w:val="00B5575C"/>
    <w:rsid w:val="00B56EC4"/>
    <w:rsid w:val="00B87D3E"/>
    <w:rsid w:val="00B9101A"/>
    <w:rsid w:val="00B94476"/>
    <w:rsid w:val="00B97C35"/>
    <w:rsid w:val="00BA23CC"/>
    <w:rsid w:val="00BA29CB"/>
    <w:rsid w:val="00BA4404"/>
    <w:rsid w:val="00BA6729"/>
    <w:rsid w:val="00BA7F0A"/>
    <w:rsid w:val="00BB414F"/>
    <w:rsid w:val="00BB42C0"/>
    <w:rsid w:val="00BB4CC9"/>
    <w:rsid w:val="00BB57D2"/>
    <w:rsid w:val="00BC1F74"/>
    <w:rsid w:val="00BC2F68"/>
    <w:rsid w:val="00BC5790"/>
    <w:rsid w:val="00BD2121"/>
    <w:rsid w:val="00BD3139"/>
    <w:rsid w:val="00BD4B19"/>
    <w:rsid w:val="00BE29FE"/>
    <w:rsid w:val="00BE4084"/>
    <w:rsid w:val="00BE5708"/>
    <w:rsid w:val="00BE6F06"/>
    <w:rsid w:val="00BE7250"/>
    <w:rsid w:val="00BE750B"/>
    <w:rsid w:val="00BF0CC2"/>
    <w:rsid w:val="00BF23E2"/>
    <w:rsid w:val="00BF4B42"/>
    <w:rsid w:val="00BF5535"/>
    <w:rsid w:val="00BF57CE"/>
    <w:rsid w:val="00C00ACC"/>
    <w:rsid w:val="00C01F53"/>
    <w:rsid w:val="00C03F7D"/>
    <w:rsid w:val="00C074B4"/>
    <w:rsid w:val="00C07D8D"/>
    <w:rsid w:val="00C1032D"/>
    <w:rsid w:val="00C144C7"/>
    <w:rsid w:val="00C15F89"/>
    <w:rsid w:val="00C257E6"/>
    <w:rsid w:val="00C27264"/>
    <w:rsid w:val="00C27508"/>
    <w:rsid w:val="00C32CE2"/>
    <w:rsid w:val="00C34751"/>
    <w:rsid w:val="00C34857"/>
    <w:rsid w:val="00C35432"/>
    <w:rsid w:val="00C37297"/>
    <w:rsid w:val="00C373E9"/>
    <w:rsid w:val="00C43271"/>
    <w:rsid w:val="00C4329B"/>
    <w:rsid w:val="00C456A9"/>
    <w:rsid w:val="00C4570F"/>
    <w:rsid w:val="00C5149B"/>
    <w:rsid w:val="00C523A2"/>
    <w:rsid w:val="00C529C1"/>
    <w:rsid w:val="00C53BA4"/>
    <w:rsid w:val="00C54953"/>
    <w:rsid w:val="00C622E4"/>
    <w:rsid w:val="00C637D5"/>
    <w:rsid w:val="00C64402"/>
    <w:rsid w:val="00C66EE0"/>
    <w:rsid w:val="00C679A7"/>
    <w:rsid w:val="00C82081"/>
    <w:rsid w:val="00C84926"/>
    <w:rsid w:val="00C85656"/>
    <w:rsid w:val="00C87ADF"/>
    <w:rsid w:val="00C9473C"/>
    <w:rsid w:val="00CA4E7E"/>
    <w:rsid w:val="00CB0F65"/>
    <w:rsid w:val="00CB3531"/>
    <w:rsid w:val="00CB3C01"/>
    <w:rsid w:val="00CB3F33"/>
    <w:rsid w:val="00CB6652"/>
    <w:rsid w:val="00CC4C3C"/>
    <w:rsid w:val="00CD0564"/>
    <w:rsid w:val="00CD1FC9"/>
    <w:rsid w:val="00CD24DC"/>
    <w:rsid w:val="00CD4482"/>
    <w:rsid w:val="00CD5604"/>
    <w:rsid w:val="00CD5F37"/>
    <w:rsid w:val="00CE2866"/>
    <w:rsid w:val="00CE3CB9"/>
    <w:rsid w:val="00CE48EE"/>
    <w:rsid w:val="00CE62D5"/>
    <w:rsid w:val="00CE7A05"/>
    <w:rsid w:val="00CF19BF"/>
    <w:rsid w:val="00CF7D87"/>
    <w:rsid w:val="00D00BC8"/>
    <w:rsid w:val="00D02750"/>
    <w:rsid w:val="00D03D22"/>
    <w:rsid w:val="00D11CEA"/>
    <w:rsid w:val="00D13885"/>
    <w:rsid w:val="00D14698"/>
    <w:rsid w:val="00D201D6"/>
    <w:rsid w:val="00D2062C"/>
    <w:rsid w:val="00D21143"/>
    <w:rsid w:val="00D260D1"/>
    <w:rsid w:val="00D26E4A"/>
    <w:rsid w:val="00D305C6"/>
    <w:rsid w:val="00D30C56"/>
    <w:rsid w:val="00D3382E"/>
    <w:rsid w:val="00D3391E"/>
    <w:rsid w:val="00D36E9C"/>
    <w:rsid w:val="00D4142A"/>
    <w:rsid w:val="00D4339C"/>
    <w:rsid w:val="00D44A27"/>
    <w:rsid w:val="00D479E9"/>
    <w:rsid w:val="00D50296"/>
    <w:rsid w:val="00D50F6D"/>
    <w:rsid w:val="00D51F7C"/>
    <w:rsid w:val="00D539A8"/>
    <w:rsid w:val="00D545DC"/>
    <w:rsid w:val="00D56432"/>
    <w:rsid w:val="00D573E5"/>
    <w:rsid w:val="00D575F2"/>
    <w:rsid w:val="00D60A69"/>
    <w:rsid w:val="00D65FB7"/>
    <w:rsid w:val="00D73CB8"/>
    <w:rsid w:val="00D74A39"/>
    <w:rsid w:val="00D85DD4"/>
    <w:rsid w:val="00D865C8"/>
    <w:rsid w:val="00D8718B"/>
    <w:rsid w:val="00D90483"/>
    <w:rsid w:val="00D90E4D"/>
    <w:rsid w:val="00D92166"/>
    <w:rsid w:val="00D9371E"/>
    <w:rsid w:val="00D95CD6"/>
    <w:rsid w:val="00D977C1"/>
    <w:rsid w:val="00DA1F06"/>
    <w:rsid w:val="00DA3D79"/>
    <w:rsid w:val="00DA42D7"/>
    <w:rsid w:val="00DB0452"/>
    <w:rsid w:val="00DB74F4"/>
    <w:rsid w:val="00DC1A87"/>
    <w:rsid w:val="00DC516F"/>
    <w:rsid w:val="00DC51C1"/>
    <w:rsid w:val="00DD2337"/>
    <w:rsid w:val="00DD3249"/>
    <w:rsid w:val="00DD50FA"/>
    <w:rsid w:val="00DD54C6"/>
    <w:rsid w:val="00DD687F"/>
    <w:rsid w:val="00DE0185"/>
    <w:rsid w:val="00DE2F79"/>
    <w:rsid w:val="00DE51CF"/>
    <w:rsid w:val="00DF15A0"/>
    <w:rsid w:val="00DF1D2D"/>
    <w:rsid w:val="00DF2D8B"/>
    <w:rsid w:val="00DF44D4"/>
    <w:rsid w:val="00DF6CA5"/>
    <w:rsid w:val="00DF6FDB"/>
    <w:rsid w:val="00E00171"/>
    <w:rsid w:val="00E0024B"/>
    <w:rsid w:val="00E033FB"/>
    <w:rsid w:val="00E039FD"/>
    <w:rsid w:val="00E05743"/>
    <w:rsid w:val="00E05D5F"/>
    <w:rsid w:val="00E0728C"/>
    <w:rsid w:val="00E112D0"/>
    <w:rsid w:val="00E13841"/>
    <w:rsid w:val="00E13D6E"/>
    <w:rsid w:val="00E159D4"/>
    <w:rsid w:val="00E23A8D"/>
    <w:rsid w:val="00E24942"/>
    <w:rsid w:val="00E256C0"/>
    <w:rsid w:val="00E27757"/>
    <w:rsid w:val="00E33964"/>
    <w:rsid w:val="00E34E04"/>
    <w:rsid w:val="00E37777"/>
    <w:rsid w:val="00E423DA"/>
    <w:rsid w:val="00E4522F"/>
    <w:rsid w:val="00E501BB"/>
    <w:rsid w:val="00E50C9B"/>
    <w:rsid w:val="00E52ECA"/>
    <w:rsid w:val="00E53D18"/>
    <w:rsid w:val="00E55F73"/>
    <w:rsid w:val="00E60A2E"/>
    <w:rsid w:val="00E60A62"/>
    <w:rsid w:val="00E60C8C"/>
    <w:rsid w:val="00E65C47"/>
    <w:rsid w:val="00E66BAF"/>
    <w:rsid w:val="00E67363"/>
    <w:rsid w:val="00E70461"/>
    <w:rsid w:val="00E707CF"/>
    <w:rsid w:val="00E7321F"/>
    <w:rsid w:val="00E80E2B"/>
    <w:rsid w:val="00E82C8C"/>
    <w:rsid w:val="00E850A4"/>
    <w:rsid w:val="00E8664E"/>
    <w:rsid w:val="00E93ECB"/>
    <w:rsid w:val="00E968F6"/>
    <w:rsid w:val="00EA10BB"/>
    <w:rsid w:val="00EA3700"/>
    <w:rsid w:val="00EA5C5B"/>
    <w:rsid w:val="00EB0A60"/>
    <w:rsid w:val="00EB16D7"/>
    <w:rsid w:val="00EB2428"/>
    <w:rsid w:val="00EB61AF"/>
    <w:rsid w:val="00EB796D"/>
    <w:rsid w:val="00EC2F9D"/>
    <w:rsid w:val="00EC505F"/>
    <w:rsid w:val="00EC6976"/>
    <w:rsid w:val="00EC6E20"/>
    <w:rsid w:val="00EC757C"/>
    <w:rsid w:val="00EC79F3"/>
    <w:rsid w:val="00ED05A1"/>
    <w:rsid w:val="00ED09AB"/>
    <w:rsid w:val="00ED30A0"/>
    <w:rsid w:val="00ED5EAD"/>
    <w:rsid w:val="00EE2B69"/>
    <w:rsid w:val="00EE462C"/>
    <w:rsid w:val="00EE57EC"/>
    <w:rsid w:val="00EE6949"/>
    <w:rsid w:val="00EE7782"/>
    <w:rsid w:val="00EE7999"/>
    <w:rsid w:val="00EF0908"/>
    <w:rsid w:val="00F002BD"/>
    <w:rsid w:val="00F02747"/>
    <w:rsid w:val="00F10E46"/>
    <w:rsid w:val="00F14078"/>
    <w:rsid w:val="00F16F62"/>
    <w:rsid w:val="00F17750"/>
    <w:rsid w:val="00F229CB"/>
    <w:rsid w:val="00F23F91"/>
    <w:rsid w:val="00F249B3"/>
    <w:rsid w:val="00F24E46"/>
    <w:rsid w:val="00F30444"/>
    <w:rsid w:val="00F35878"/>
    <w:rsid w:val="00F35D54"/>
    <w:rsid w:val="00F364A2"/>
    <w:rsid w:val="00F36E09"/>
    <w:rsid w:val="00F409AE"/>
    <w:rsid w:val="00F40DFD"/>
    <w:rsid w:val="00F41236"/>
    <w:rsid w:val="00F437E9"/>
    <w:rsid w:val="00F45F0C"/>
    <w:rsid w:val="00F474E7"/>
    <w:rsid w:val="00F50CEC"/>
    <w:rsid w:val="00F52AEE"/>
    <w:rsid w:val="00F607AE"/>
    <w:rsid w:val="00F662FF"/>
    <w:rsid w:val="00F675F0"/>
    <w:rsid w:val="00F73723"/>
    <w:rsid w:val="00F75047"/>
    <w:rsid w:val="00F828BD"/>
    <w:rsid w:val="00F82954"/>
    <w:rsid w:val="00F85C8C"/>
    <w:rsid w:val="00F92FC8"/>
    <w:rsid w:val="00F932FF"/>
    <w:rsid w:val="00F94B61"/>
    <w:rsid w:val="00F94C39"/>
    <w:rsid w:val="00F97BFD"/>
    <w:rsid w:val="00FA356D"/>
    <w:rsid w:val="00FB07AC"/>
    <w:rsid w:val="00FB1063"/>
    <w:rsid w:val="00FB2A2D"/>
    <w:rsid w:val="00FC2035"/>
    <w:rsid w:val="00FC35C9"/>
    <w:rsid w:val="00FC5F24"/>
    <w:rsid w:val="00FC6F09"/>
    <w:rsid w:val="00FC7354"/>
    <w:rsid w:val="00FD0010"/>
    <w:rsid w:val="00FD1E04"/>
    <w:rsid w:val="00FD283A"/>
    <w:rsid w:val="00FD314F"/>
    <w:rsid w:val="00FE0856"/>
    <w:rsid w:val="00FE1AB1"/>
    <w:rsid w:val="00FE3EAF"/>
    <w:rsid w:val="00FE6391"/>
    <w:rsid w:val="00FE66A4"/>
    <w:rsid w:val="00FF072E"/>
    <w:rsid w:val="00FF361F"/>
    <w:rsid w:val="00FF4380"/>
    <w:rsid w:val="00FF45FD"/>
    <w:rsid w:val="00FF5A62"/>
    <w:rsid w:val="00FF5CD8"/>
    <w:rsid w:val="00FF703B"/>
    <w:rsid w:val="012704DB"/>
    <w:rsid w:val="012E067D"/>
    <w:rsid w:val="013405D7"/>
    <w:rsid w:val="013F48E7"/>
    <w:rsid w:val="015D3BCE"/>
    <w:rsid w:val="015F2C67"/>
    <w:rsid w:val="01790A5A"/>
    <w:rsid w:val="01912C7E"/>
    <w:rsid w:val="01BB6868"/>
    <w:rsid w:val="01EA60EA"/>
    <w:rsid w:val="02076F1C"/>
    <w:rsid w:val="027B5769"/>
    <w:rsid w:val="02810A7C"/>
    <w:rsid w:val="028F1EE0"/>
    <w:rsid w:val="03034B27"/>
    <w:rsid w:val="043864D8"/>
    <w:rsid w:val="04470273"/>
    <w:rsid w:val="04497378"/>
    <w:rsid w:val="045A614E"/>
    <w:rsid w:val="04806315"/>
    <w:rsid w:val="04EA530A"/>
    <w:rsid w:val="050636AE"/>
    <w:rsid w:val="054B5045"/>
    <w:rsid w:val="05805FFE"/>
    <w:rsid w:val="05F2473E"/>
    <w:rsid w:val="05FF1C4E"/>
    <w:rsid w:val="06704B45"/>
    <w:rsid w:val="06945DB7"/>
    <w:rsid w:val="07311744"/>
    <w:rsid w:val="073B11D3"/>
    <w:rsid w:val="075653D9"/>
    <w:rsid w:val="077E468B"/>
    <w:rsid w:val="07A101A1"/>
    <w:rsid w:val="07F20CD1"/>
    <w:rsid w:val="083624D1"/>
    <w:rsid w:val="086E7717"/>
    <w:rsid w:val="08A8306C"/>
    <w:rsid w:val="08B44386"/>
    <w:rsid w:val="099A23C9"/>
    <w:rsid w:val="09A3577C"/>
    <w:rsid w:val="09A456FA"/>
    <w:rsid w:val="0A194655"/>
    <w:rsid w:val="0A552A4D"/>
    <w:rsid w:val="0A565938"/>
    <w:rsid w:val="0A931198"/>
    <w:rsid w:val="0AD760DE"/>
    <w:rsid w:val="0B2B7565"/>
    <w:rsid w:val="0B7853E8"/>
    <w:rsid w:val="0BA4403B"/>
    <w:rsid w:val="0BBC5DBC"/>
    <w:rsid w:val="0BE81219"/>
    <w:rsid w:val="0BED0A3E"/>
    <w:rsid w:val="0C2A23F3"/>
    <w:rsid w:val="0C342609"/>
    <w:rsid w:val="0C404141"/>
    <w:rsid w:val="0C454A9F"/>
    <w:rsid w:val="0CAD246E"/>
    <w:rsid w:val="0CD50E36"/>
    <w:rsid w:val="0D0E64E4"/>
    <w:rsid w:val="0D2F4768"/>
    <w:rsid w:val="0D531842"/>
    <w:rsid w:val="0D5665DB"/>
    <w:rsid w:val="0D9216A0"/>
    <w:rsid w:val="0DC2070D"/>
    <w:rsid w:val="0DCD55C4"/>
    <w:rsid w:val="0DE63B13"/>
    <w:rsid w:val="0E2B7FE9"/>
    <w:rsid w:val="0E4A471C"/>
    <w:rsid w:val="0E980E6F"/>
    <w:rsid w:val="0EAD07FD"/>
    <w:rsid w:val="0EB36461"/>
    <w:rsid w:val="0ED04756"/>
    <w:rsid w:val="0EFF0191"/>
    <w:rsid w:val="0F276495"/>
    <w:rsid w:val="0F441A90"/>
    <w:rsid w:val="0F586C59"/>
    <w:rsid w:val="0F723307"/>
    <w:rsid w:val="0F850869"/>
    <w:rsid w:val="0F880DBE"/>
    <w:rsid w:val="0F995C92"/>
    <w:rsid w:val="0FF40CEC"/>
    <w:rsid w:val="10866BAD"/>
    <w:rsid w:val="10890045"/>
    <w:rsid w:val="10C72F97"/>
    <w:rsid w:val="11054CC2"/>
    <w:rsid w:val="11273C7A"/>
    <w:rsid w:val="11715B79"/>
    <w:rsid w:val="11783A21"/>
    <w:rsid w:val="1186305E"/>
    <w:rsid w:val="119C17B8"/>
    <w:rsid w:val="11B9476A"/>
    <w:rsid w:val="11E40DC0"/>
    <w:rsid w:val="11FF551A"/>
    <w:rsid w:val="123273F3"/>
    <w:rsid w:val="124B5355"/>
    <w:rsid w:val="12683EA9"/>
    <w:rsid w:val="127C6B6A"/>
    <w:rsid w:val="12A04F4F"/>
    <w:rsid w:val="12AF277F"/>
    <w:rsid w:val="1303032C"/>
    <w:rsid w:val="130378C1"/>
    <w:rsid w:val="134B6BA7"/>
    <w:rsid w:val="135D2E40"/>
    <w:rsid w:val="137D5A29"/>
    <w:rsid w:val="13A64F3B"/>
    <w:rsid w:val="13D0520F"/>
    <w:rsid w:val="13E53B59"/>
    <w:rsid w:val="14013E64"/>
    <w:rsid w:val="144A13CC"/>
    <w:rsid w:val="14591805"/>
    <w:rsid w:val="149B2910"/>
    <w:rsid w:val="14AB6807"/>
    <w:rsid w:val="14BE7911"/>
    <w:rsid w:val="14EB23A1"/>
    <w:rsid w:val="15086A2A"/>
    <w:rsid w:val="151352B3"/>
    <w:rsid w:val="15396F94"/>
    <w:rsid w:val="15483420"/>
    <w:rsid w:val="15665530"/>
    <w:rsid w:val="15952A0C"/>
    <w:rsid w:val="159C3869"/>
    <w:rsid w:val="15DD12E4"/>
    <w:rsid w:val="16257CC8"/>
    <w:rsid w:val="162B0E36"/>
    <w:rsid w:val="1633035C"/>
    <w:rsid w:val="164914A7"/>
    <w:rsid w:val="16492A93"/>
    <w:rsid w:val="16586527"/>
    <w:rsid w:val="167232D9"/>
    <w:rsid w:val="168F7978"/>
    <w:rsid w:val="16A63130"/>
    <w:rsid w:val="16DE1BA1"/>
    <w:rsid w:val="16F94B6D"/>
    <w:rsid w:val="171A4BA4"/>
    <w:rsid w:val="17FC48F2"/>
    <w:rsid w:val="18027B12"/>
    <w:rsid w:val="183631C1"/>
    <w:rsid w:val="18915F90"/>
    <w:rsid w:val="18AA16F9"/>
    <w:rsid w:val="18EC0C74"/>
    <w:rsid w:val="195374E2"/>
    <w:rsid w:val="195F60B9"/>
    <w:rsid w:val="197D4AAF"/>
    <w:rsid w:val="198427F4"/>
    <w:rsid w:val="19A9778D"/>
    <w:rsid w:val="19B10D41"/>
    <w:rsid w:val="19B90B4A"/>
    <w:rsid w:val="19EF425B"/>
    <w:rsid w:val="1A72516B"/>
    <w:rsid w:val="1A837030"/>
    <w:rsid w:val="1A947E2C"/>
    <w:rsid w:val="1AFA1194"/>
    <w:rsid w:val="1B062F66"/>
    <w:rsid w:val="1B7F06C9"/>
    <w:rsid w:val="1B81291B"/>
    <w:rsid w:val="1B871EF3"/>
    <w:rsid w:val="1B883914"/>
    <w:rsid w:val="1B9054B2"/>
    <w:rsid w:val="1B927C9C"/>
    <w:rsid w:val="1BD74F18"/>
    <w:rsid w:val="1BF12FFF"/>
    <w:rsid w:val="1C042C12"/>
    <w:rsid w:val="1C0A70EE"/>
    <w:rsid w:val="1C2312C1"/>
    <w:rsid w:val="1C362480"/>
    <w:rsid w:val="1C5D337B"/>
    <w:rsid w:val="1CA170E3"/>
    <w:rsid w:val="1CBE5E33"/>
    <w:rsid w:val="1CED4506"/>
    <w:rsid w:val="1D1218AC"/>
    <w:rsid w:val="1D26331A"/>
    <w:rsid w:val="1D6955CD"/>
    <w:rsid w:val="1D7179E9"/>
    <w:rsid w:val="1D980780"/>
    <w:rsid w:val="1D986F46"/>
    <w:rsid w:val="1DEE4072"/>
    <w:rsid w:val="1DF23CCF"/>
    <w:rsid w:val="1E000C86"/>
    <w:rsid w:val="1E2E076E"/>
    <w:rsid w:val="1E780B2E"/>
    <w:rsid w:val="1E8E6FD2"/>
    <w:rsid w:val="1F036180"/>
    <w:rsid w:val="1F0E4815"/>
    <w:rsid w:val="1F706448"/>
    <w:rsid w:val="1F7339D2"/>
    <w:rsid w:val="1F7657A1"/>
    <w:rsid w:val="1F8B27DC"/>
    <w:rsid w:val="20061553"/>
    <w:rsid w:val="201721F9"/>
    <w:rsid w:val="20173212"/>
    <w:rsid w:val="20173B08"/>
    <w:rsid w:val="207D33CF"/>
    <w:rsid w:val="20877B0E"/>
    <w:rsid w:val="20CA497E"/>
    <w:rsid w:val="20D539AB"/>
    <w:rsid w:val="20E222B9"/>
    <w:rsid w:val="20E406FC"/>
    <w:rsid w:val="21056E8C"/>
    <w:rsid w:val="21287BDA"/>
    <w:rsid w:val="21357AEA"/>
    <w:rsid w:val="21613A26"/>
    <w:rsid w:val="217726A5"/>
    <w:rsid w:val="219E2E2F"/>
    <w:rsid w:val="219F1BD8"/>
    <w:rsid w:val="21C0275C"/>
    <w:rsid w:val="21C3606D"/>
    <w:rsid w:val="21DC16C8"/>
    <w:rsid w:val="21F05E39"/>
    <w:rsid w:val="223905D4"/>
    <w:rsid w:val="22436A29"/>
    <w:rsid w:val="226E3D8A"/>
    <w:rsid w:val="228D6B72"/>
    <w:rsid w:val="23046754"/>
    <w:rsid w:val="231E58C7"/>
    <w:rsid w:val="23B20D45"/>
    <w:rsid w:val="23DE19FA"/>
    <w:rsid w:val="24213096"/>
    <w:rsid w:val="24423C1E"/>
    <w:rsid w:val="245365B0"/>
    <w:rsid w:val="248A2001"/>
    <w:rsid w:val="24B1230B"/>
    <w:rsid w:val="24FE2F03"/>
    <w:rsid w:val="250B51FF"/>
    <w:rsid w:val="2566688E"/>
    <w:rsid w:val="25A51464"/>
    <w:rsid w:val="25BF7F89"/>
    <w:rsid w:val="25E60BBA"/>
    <w:rsid w:val="25E72FE2"/>
    <w:rsid w:val="26393199"/>
    <w:rsid w:val="265A757F"/>
    <w:rsid w:val="26600825"/>
    <w:rsid w:val="266C4AF6"/>
    <w:rsid w:val="26BB5A5B"/>
    <w:rsid w:val="26E00191"/>
    <w:rsid w:val="271E408B"/>
    <w:rsid w:val="274138C0"/>
    <w:rsid w:val="275274F6"/>
    <w:rsid w:val="2755096A"/>
    <w:rsid w:val="278020AB"/>
    <w:rsid w:val="27C0053B"/>
    <w:rsid w:val="27C3573B"/>
    <w:rsid w:val="27CE5E49"/>
    <w:rsid w:val="27FE1FDF"/>
    <w:rsid w:val="2811359A"/>
    <w:rsid w:val="281B7740"/>
    <w:rsid w:val="2832268C"/>
    <w:rsid w:val="284A1478"/>
    <w:rsid w:val="287C24CA"/>
    <w:rsid w:val="28932FED"/>
    <w:rsid w:val="28B60022"/>
    <w:rsid w:val="28BF177F"/>
    <w:rsid w:val="28C066BD"/>
    <w:rsid w:val="28E45012"/>
    <w:rsid w:val="28E61253"/>
    <w:rsid w:val="28FC235B"/>
    <w:rsid w:val="293161DA"/>
    <w:rsid w:val="2941255B"/>
    <w:rsid w:val="29435137"/>
    <w:rsid w:val="294A1BBC"/>
    <w:rsid w:val="295F5223"/>
    <w:rsid w:val="29604F2E"/>
    <w:rsid w:val="29D1696D"/>
    <w:rsid w:val="29D30045"/>
    <w:rsid w:val="29DA7646"/>
    <w:rsid w:val="2A0E5216"/>
    <w:rsid w:val="2A330D27"/>
    <w:rsid w:val="2A415B82"/>
    <w:rsid w:val="2A4D31D6"/>
    <w:rsid w:val="2AEB3327"/>
    <w:rsid w:val="2B074E5D"/>
    <w:rsid w:val="2B257C36"/>
    <w:rsid w:val="2B2F29A0"/>
    <w:rsid w:val="2B8149FB"/>
    <w:rsid w:val="2BA21430"/>
    <w:rsid w:val="2BCB244D"/>
    <w:rsid w:val="2BD577AB"/>
    <w:rsid w:val="2BD71426"/>
    <w:rsid w:val="2BFC4AA1"/>
    <w:rsid w:val="2C1918BE"/>
    <w:rsid w:val="2C4A0B5C"/>
    <w:rsid w:val="2CC06EE7"/>
    <w:rsid w:val="2D46784B"/>
    <w:rsid w:val="2D47202A"/>
    <w:rsid w:val="2D670137"/>
    <w:rsid w:val="2D687FBF"/>
    <w:rsid w:val="2DB262B6"/>
    <w:rsid w:val="2DE17EE4"/>
    <w:rsid w:val="2DEE0741"/>
    <w:rsid w:val="2E2A0EA0"/>
    <w:rsid w:val="2E5F1030"/>
    <w:rsid w:val="2E68284E"/>
    <w:rsid w:val="2E8E0AD5"/>
    <w:rsid w:val="2EC2556A"/>
    <w:rsid w:val="2F1A43C9"/>
    <w:rsid w:val="2F211625"/>
    <w:rsid w:val="2F3E4485"/>
    <w:rsid w:val="2F543264"/>
    <w:rsid w:val="2F5701F9"/>
    <w:rsid w:val="2F6649D2"/>
    <w:rsid w:val="2FA200F5"/>
    <w:rsid w:val="2FB92D54"/>
    <w:rsid w:val="2FF762B7"/>
    <w:rsid w:val="305133E0"/>
    <w:rsid w:val="306830E1"/>
    <w:rsid w:val="309F7FA0"/>
    <w:rsid w:val="30A663ED"/>
    <w:rsid w:val="30BD5A4F"/>
    <w:rsid w:val="30C506DF"/>
    <w:rsid w:val="30FF6E8C"/>
    <w:rsid w:val="311D61C1"/>
    <w:rsid w:val="31432340"/>
    <w:rsid w:val="316B2774"/>
    <w:rsid w:val="318B18EE"/>
    <w:rsid w:val="31DD7EBC"/>
    <w:rsid w:val="31FE5396"/>
    <w:rsid w:val="320202F5"/>
    <w:rsid w:val="320F7213"/>
    <w:rsid w:val="32A74A1C"/>
    <w:rsid w:val="32B34592"/>
    <w:rsid w:val="32FA5B80"/>
    <w:rsid w:val="333C2603"/>
    <w:rsid w:val="337374C2"/>
    <w:rsid w:val="33A46E93"/>
    <w:rsid w:val="340B56B8"/>
    <w:rsid w:val="345E39B7"/>
    <w:rsid w:val="34711FC0"/>
    <w:rsid w:val="348A76E8"/>
    <w:rsid w:val="34A17A33"/>
    <w:rsid w:val="34BF0E0C"/>
    <w:rsid w:val="352525E4"/>
    <w:rsid w:val="352D1035"/>
    <w:rsid w:val="35517B74"/>
    <w:rsid w:val="35581F15"/>
    <w:rsid w:val="358E6188"/>
    <w:rsid w:val="358F386C"/>
    <w:rsid w:val="35967988"/>
    <w:rsid w:val="35987D28"/>
    <w:rsid w:val="35AB0AA9"/>
    <w:rsid w:val="35AD57A0"/>
    <w:rsid w:val="35C42453"/>
    <w:rsid w:val="36063E9A"/>
    <w:rsid w:val="36203281"/>
    <w:rsid w:val="36297806"/>
    <w:rsid w:val="36494A85"/>
    <w:rsid w:val="36753345"/>
    <w:rsid w:val="368B3B0A"/>
    <w:rsid w:val="369D12D4"/>
    <w:rsid w:val="36BC7AB0"/>
    <w:rsid w:val="36BD312A"/>
    <w:rsid w:val="36D6243D"/>
    <w:rsid w:val="36DE298D"/>
    <w:rsid w:val="370570E4"/>
    <w:rsid w:val="37735EDE"/>
    <w:rsid w:val="37744E25"/>
    <w:rsid w:val="377743BC"/>
    <w:rsid w:val="379C319E"/>
    <w:rsid w:val="37B35AF0"/>
    <w:rsid w:val="37FA2D45"/>
    <w:rsid w:val="38424827"/>
    <w:rsid w:val="38471B32"/>
    <w:rsid w:val="384721F9"/>
    <w:rsid w:val="3872214D"/>
    <w:rsid w:val="38AF2BBC"/>
    <w:rsid w:val="391D7E0B"/>
    <w:rsid w:val="39363667"/>
    <w:rsid w:val="39460A64"/>
    <w:rsid w:val="396A0DCC"/>
    <w:rsid w:val="3986347F"/>
    <w:rsid w:val="39B9172A"/>
    <w:rsid w:val="39C42A21"/>
    <w:rsid w:val="39D80976"/>
    <w:rsid w:val="3A085E58"/>
    <w:rsid w:val="3A14196F"/>
    <w:rsid w:val="3A1738C4"/>
    <w:rsid w:val="3A4868E7"/>
    <w:rsid w:val="3A705684"/>
    <w:rsid w:val="3A7262E1"/>
    <w:rsid w:val="3A7C4E32"/>
    <w:rsid w:val="3A9E239D"/>
    <w:rsid w:val="3AA45C63"/>
    <w:rsid w:val="3AA84454"/>
    <w:rsid w:val="3AA84B39"/>
    <w:rsid w:val="3ABC25EB"/>
    <w:rsid w:val="3AEC683B"/>
    <w:rsid w:val="3B8C14CD"/>
    <w:rsid w:val="3BA76847"/>
    <w:rsid w:val="3BA84926"/>
    <w:rsid w:val="3BE53167"/>
    <w:rsid w:val="3BEC03C8"/>
    <w:rsid w:val="3C081952"/>
    <w:rsid w:val="3C0A60C7"/>
    <w:rsid w:val="3C120CA5"/>
    <w:rsid w:val="3C5A141B"/>
    <w:rsid w:val="3C6D639F"/>
    <w:rsid w:val="3C9C4BCB"/>
    <w:rsid w:val="3C9E1C4F"/>
    <w:rsid w:val="3CA51C13"/>
    <w:rsid w:val="3CAC2372"/>
    <w:rsid w:val="3CC75E61"/>
    <w:rsid w:val="3CF60913"/>
    <w:rsid w:val="3D104F55"/>
    <w:rsid w:val="3D2C2DB7"/>
    <w:rsid w:val="3D37175C"/>
    <w:rsid w:val="3D5E5F74"/>
    <w:rsid w:val="3D612CA5"/>
    <w:rsid w:val="3D716F95"/>
    <w:rsid w:val="3D936CC0"/>
    <w:rsid w:val="3DBA03C3"/>
    <w:rsid w:val="3E084A48"/>
    <w:rsid w:val="3E410AE4"/>
    <w:rsid w:val="3E4F5B96"/>
    <w:rsid w:val="3E7F33BB"/>
    <w:rsid w:val="3EB0669C"/>
    <w:rsid w:val="3EF945B9"/>
    <w:rsid w:val="3EFC064A"/>
    <w:rsid w:val="3F0C02D1"/>
    <w:rsid w:val="3F131C8D"/>
    <w:rsid w:val="3F3A0D7D"/>
    <w:rsid w:val="3F6A5356"/>
    <w:rsid w:val="3FBD3A58"/>
    <w:rsid w:val="3FED7FA6"/>
    <w:rsid w:val="40157C88"/>
    <w:rsid w:val="40503261"/>
    <w:rsid w:val="40576FF8"/>
    <w:rsid w:val="40A514B5"/>
    <w:rsid w:val="40CD2B03"/>
    <w:rsid w:val="41002074"/>
    <w:rsid w:val="41536E2A"/>
    <w:rsid w:val="419D2D01"/>
    <w:rsid w:val="41C73C04"/>
    <w:rsid w:val="41DB68B8"/>
    <w:rsid w:val="41E66D36"/>
    <w:rsid w:val="41E77E27"/>
    <w:rsid w:val="41ED08A1"/>
    <w:rsid w:val="4214206C"/>
    <w:rsid w:val="421D53C4"/>
    <w:rsid w:val="424B0183"/>
    <w:rsid w:val="42544D5A"/>
    <w:rsid w:val="427058BA"/>
    <w:rsid w:val="4271167E"/>
    <w:rsid w:val="42915711"/>
    <w:rsid w:val="42955521"/>
    <w:rsid w:val="42EA017B"/>
    <w:rsid w:val="43044AFD"/>
    <w:rsid w:val="431840D5"/>
    <w:rsid w:val="432F0503"/>
    <w:rsid w:val="43320581"/>
    <w:rsid w:val="437A4BBB"/>
    <w:rsid w:val="439D4D73"/>
    <w:rsid w:val="43A51B15"/>
    <w:rsid w:val="43A57701"/>
    <w:rsid w:val="43DC61B5"/>
    <w:rsid w:val="4406358E"/>
    <w:rsid w:val="44557B02"/>
    <w:rsid w:val="44781C81"/>
    <w:rsid w:val="44AF21B8"/>
    <w:rsid w:val="44B17EEF"/>
    <w:rsid w:val="44B46DE9"/>
    <w:rsid w:val="44D85880"/>
    <w:rsid w:val="44D94E62"/>
    <w:rsid w:val="452058E6"/>
    <w:rsid w:val="452327CD"/>
    <w:rsid w:val="45434DFE"/>
    <w:rsid w:val="45717A64"/>
    <w:rsid w:val="458E4FFA"/>
    <w:rsid w:val="45AA3E6F"/>
    <w:rsid w:val="46405B25"/>
    <w:rsid w:val="4640697A"/>
    <w:rsid w:val="468334EF"/>
    <w:rsid w:val="46F7359A"/>
    <w:rsid w:val="472E4E77"/>
    <w:rsid w:val="47306EFC"/>
    <w:rsid w:val="473F2B61"/>
    <w:rsid w:val="47507B9E"/>
    <w:rsid w:val="479A60F8"/>
    <w:rsid w:val="47E32F23"/>
    <w:rsid w:val="47FD4A05"/>
    <w:rsid w:val="480432D2"/>
    <w:rsid w:val="481257DB"/>
    <w:rsid w:val="483D16DA"/>
    <w:rsid w:val="487123E0"/>
    <w:rsid w:val="4876582E"/>
    <w:rsid w:val="48937664"/>
    <w:rsid w:val="489B3EB0"/>
    <w:rsid w:val="48E77F92"/>
    <w:rsid w:val="48FF5BAF"/>
    <w:rsid w:val="49656870"/>
    <w:rsid w:val="496B33F2"/>
    <w:rsid w:val="4971631B"/>
    <w:rsid w:val="49A10856"/>
    <w:rsid w:val="49D14436"/>
    <w:rsid w:val="4A015FBB"/>
    <w:rsid w:val="4A210409"/>
    <w:rsid w:val="4A446088"/>
    <w:rsid w:val="4A556518"/>
    <w:rsid w:val="4A762B79"/>
    <w:rsid w:val="4A78130E"/>
    <w:rsid w:val="4A913F14"/>
    <w:rsid w:val="4AA14BDF"/>
    <w:rsid w:val="4AC11BA0"/>
    <w:rsid w:val="4AE0056A"/>
    <w:rsid w:val="4B31495A"/>
    <w:rsid w:val="4B315A3D"/>
    <w:rsid w:val="4B3D74C1"/>
    <w:rsid w:val="4B6422B6"/>
    <w:rsid w:val="4B7340ED"/>
    <w:rsid w:val="4BA310B6"/>
    <w:rsid w:val="4BB16B1F"/>
    <w:rsid w:val="4BFF5FFB"/>
    <w:rsid w:val="4C0F19A6"/>
    <w:rsid w:val="4C194D44"/>
    <w:rsid w:val="4C357668"/>
    <w:rsid w:val="4CB22BAD"/>
    <w:rsid w:val="4CDE39A2"/>
    <w:rsid w:val="4D1678EF"/>
    <w:rsid w:val="4DA05799"/>
    <w:rsid w:val="4DB36BDD"/>
    <w:rsid w:val="4E002804"/>
    <w:rsid w:val="4E0127EE"/>
    <w:rsid w:val="4E114FCF"/>
    <w:rsid w:val="4E260E10"/>
    <w:rsid w:val="4E355844"/>
    <w:rsid w:val="4E4E74AE"/>
    <w:rsid w:val="4EBC3EF5"/>
    <w:rsid w:val="4ED24733"/>
    <w:rsid w:val="4F162402"/>
    <w:rsid w:val="4F442B6C"/>
    <w:rsid w:val="4F595958"/>
    <w:rsid w:val="4F7E394E"/>
    <w:rsid w:val="4F994A0F"/>
    <w:rsid w:val="4FB56C3C"/>
    <w:rsid w:val="4FBC6AAC"/>
    <w:rsid w:val="4FCE3F37"/>
    <w:rsid w:val="4FF03193"/>
    <w:rsid w:val="4FF97D5B"/>
    <w:rsid w:val="50461D9A"/>
    <w:rsid w:val="50532E44"/>
    <w:rsid w:val="505D30F8"/>
    <w:rsid w:val="506A5317"/>
    <w:rsid w:val="50731F61"/>
    <w:rsid w:val="50A43A3C"/>
    <w:rsid w:val="50A52CF2"/>
    <w:rsid w:val="50C75D4E"/>
    <w:rsid w:val="50E21C1C"/>
    <w:rsid w:val="513E62D5"/>
    <w:rsid w:val="51621DAE"/>
    <w:rsid w:val="51A742B0"/>
    <w:rsid w:val="51B942B5"/>
    <w:rsid w:val="51E24E71"/>
    <w:rsid w:val="521C3F67"/>
    <w:rsid w:val="524D5EC2"/>
    <w:rsid w:val="525C25DD"/>
    <w:rsid w:val="52672B69"/>
    <w:rsid w:val="528A2602"/>
    <w:rsid w:val="52A01E26"/>
    <w:rsid w:val="5307059D"/>
    <w:rsid w:val="532A06DD"/>
    <w:rsid w:val="533E555E"/>
    <w:rsid w:val="535A703B"/>
    <w:rsid w:val="53C90F08"/>
    <w:rsid w:val="53D665BC"/>
    <w:rsid w:val="541D77BD"/>
    <w:rsid w:val="54452097"/>
    <w:rsid w:val="54A036F9"/>
    <w:rsid w:val="54A41D6E"/>
    <w:rsid w:val="550E397A"/>
    <w:rsid w:val="551C6320"/>
    <w:rsid w:val="553C2C89"/>
    <w:rsid w:val="559502BF"/>
    <w:rsid w:val="55967510"/>
    <w:rsid w:val="559D2D4D"/>
    <w:rsid w:val="55A21A11"/>
    <w:rsid w:val="55A26361"/>
    <w:rsid w:val="55A71E77"/>
    <w:rsid w:val="55AB0C83"/>
    <w:rsid w:val="55E04FCF"/>
    <w:rsid w:val="55EC1538"/>
    <w:rsid w:val="55F61D5C"/>
    <w:rsid w:val="55F83D27"/>
    <w:rsid w:val="56312035"/>
    <w:rsid w:val="567E7EB5"/>
    <w:rsid w:val="56897873"/>
    <w:rsid w:val="56FD204D"/>
    <w:rsid w:val="57276637"/>
    <w:rsid w:val="57C9767E"/>
    <w:rsid w:val="57DA0118"/>
    <w:rsid w:val="58112E7E"/>
    <w:rsid w:val="587E492C"/>
    <w:rsid w:val="58C40F65"/>
    <w:rsid w:val="58CD57FD"/>
    <w:rsid w:val="58D71487"/>
    <w:rsid w:val="58EC03D0"/>
    <w:rsid w:val="5913345A"/>
    <w:rsid w:val="59184025"/>
    <w:rsid w:val="59575208"/>
    <w:rsid w:val="595E5516"/>
    <w:rsid w:val="597A2533"/>
    <w:rsid w:val="59903789"/>
    <w:rsid w:val="59D979CB"/>
    <w:rsid w:val="59F4508B"/>
    <w:rsid w:val="5A0709DC"/>
    <w:rsid w:val="5A1845D9"/>
    <w:rsid w:val="5A3B614B"/>
    <w:rsid w:val="5A407735"/>
    <w:rsid w:val="5A4420E9"/>
    <w:rsid w:val="5A4C5484"/>
    <w:rsid w:val="5A6E2499"/>
    <w:rsid w:val="5A73671E"/>
    <w:rsid w:val="5A8D6BFD"/>
    <w:rsid w:val="5A9C2C12"/>
    <w:rsid w:val="5ABB1C56"/>
    <w:rsid w:val="5AEA6513"/>
    <w:rsid w:val="5B236772"/>
    <w:rsid w:val="5B2E08FC"/>
    <w:rsid w:val="5B2E2996"/>
    <w:rsid w:val="5B426A88"/>
    <w:rsid w:val="5B754EAE"/>
    <w:rsid w:val="5B7B0F25"/>
    <w:rsid w:val="5BC92FE2"/>
    <w:rsid w:val="5C1B12E8"/>
    <w:rsid w:val="5C5C7996"/>
    <w:rsid w:val="5C6A2FBB"/>
    <w:rsid w:val="5CB90BFE"/>
    <w:rsid w:val="5CF506C0"/>
    <w:rsid w:val="5D005CB0"/>
    <w:rsid w:val="5D1B21AF"/>
    <w:rsid w:val="5D333896"/>
    <w:rsid w:val="5D5A78D3"/>
    <w:rsid w:val="5D621320"/>
    <w:rsid w:val="5D772B57"/>
    <w:rsid w:val="5DBB5E0E"/>
    <w:rsid w:val="5DDB1F64"/>
    <w:rsid w:val="5EEB379F"/>
    <w:rsid w:val="5F215538"/>
    <w:rsid w:val="5F3F3E4D"/>
    <w:rsid w:val="5F7808C2"/>
    <w:rsid w:val="5F8A08C7"/>
    <w:rsid w:val="5FB30C74"/>
    <w:rsid w:val="602E4AE1"/>
    <w:rsid w:val="603622AE"/>
    <w:rsid w:val="60557495"/>
    <w:rsid w:val="60771CEC"/>
    <w:rsid w:val="609965FC"/>
    <w:rsid w:val="60A536C2"/>
    <w:rsid w:val="60C11ADB"/>
    <w:rsid w:val="60C13CE5"/>
    <w:rsid w:val="60F26278"/>
    <w:rsid w:val="610B067A"/>
    <w:rsid w:val="61103C96"/>
    <w:rsid w:val="617E5D5F"/>
    <w:rsid w:val="61815B25"/>
    <w:rsid w:val="61882403"/>
    <w:rsid w:val="61933D97"/>
    <w:rsid w:val="625B0771"/>
    <w:rsid w:val="628366AA"/>
    <w:rsid w:val="62C758AC"/>
    <w:rsid w:val="62E1060C"/>
    <w:rsid w:val="63093F9F"/>
    <w:rsid w:val="632A038C"/>
    <w:rsid w:val="633E564D"/>
    <w:rsid w:val="63677B7A"/>
    <w:rsid w:val="63EC3675"/>
    <w:rsid w:val="64115F52"/>
    <w:rsid w:val="6439366D"/>
    <w:rsid w:val="6473120F"/>
    <w:rsid w:val="64797FAF"/>
    <w:rsid w:val="64BE373F"/>
    <w:rsid w:val="650555DB"/>
    <w:rsid w:val="65131FC3"/>
    <w:rsid w:val="65194AE2"/>
    <w:rsid w:val="653100E2"/>
    <w:rsid w:val="656071F2"/>
    <w:rsid w:val="656F3AF5"/>
    <w:rsid w:val="65891DC8"/>
    <w:rsid w:val="65914422"/>
    <w:rsid w:val="65E15826"/>
    <w:rsid w:val="65F91B21"/>
    <w:rsid w:val="66020763"/>
    <w:rsid w:val="66061B48"/>
    <w:rsid w:val="6650642D"/>
    <w:rsid w:val="66B417D6"/>
    <w:rsid w:val="66D93A20"/>
    <w:rsid w:val="673068E7"/>
    <w:rsid w:val="676B5770"/>
    <w:rsid w:val="677A790E"/>
    <w:rsid w:val="67811876"/>
    <w:rsid w:val="678D6547"/>
    <w:rsid w:val="67A07D7A"/>
    <w:rsid w:val="68241258"/>
    <w:rsid w:val="68654188"/>
    <w:rsid w:val="686B02E8"/>
    <w:rsid w:val="690064B8"/>
    <w:rsid w:val="692D004E"/>
    <w:rsid w:val="69431BF0"/>
    <w:rsid w:val="69583DAB"/>
    <w:rsid w:val="697D2FFF"/>
    <w:rsid w:val="69831C42"/>
    <w:rsid w:val="6A905372"/>
    <w:rsid w:val="6AA302AD"/>
    <w:rsid w:val="6B00304C"/>
    <w:rsid w:val="6B3D051E"/>
    <w:rsid w:val="6B721796"/>
    <w:rsid w:val="6B7F0F86"/>
    <w:rsid w:val="6B8808D9"/>
    <w:rsid w:val="6BBE35BD"/>
    <w:rsid w:val="6BD81A83"/>
    <w:rsid w:val="6BF30539"/>
    <w:rsid w:val="6BFD230F"/>
    <w:rsid w:val="6C0B6891"/>
    <w:rsid w:val="6C0E6392"/>
    <w:rsid w:val="6C1309EF"/>
    <w:rsid w:val="6C2D5C19"/>
    <w:rsid w:val="6C59174F"/>
    <w:rsid w:val="6CCF54CB"/>
    <w:rsid w:val="6CFB7CAC"/>
    <w:rsid w:val="6D293AB8"/>
    <w:rsid w:val="6D631F76"/>
    <w:rsid w:val="6D732E5A"/>
    <w:rsid w:val="6D810D79"/>
    <w:rsid w:val="6D876183"/>
    <w:rsid w:val="6DA429FE"/>
    <w:rsid w:val="6DCF24D4"/>
    <w:rsid w:val="6E0C59B3"/>
    <w:rsid w:val="6E2D7DAE"/>
    <w:rsid w:val="6E671E09"/>
    <w:rsid w:val="6E684745"/>
    <w:rsid w:val="6E875F7C"/>
    <w:rsid w:val="6EA10A17"/>
    <w:rsid w:val="6EA93C7A"/>
    <w:rsid w:val="6EAC575D"/>
    <w:rsid w:val="6F094457"/>
    <w:rsid w:val="6F3B2C38"/>
    <w:rsid w:val="6F6873CF"/>
    <w:rsid w:val="6F7252E9"/>
    <w:rsid w:val="6F861CE9"/>
    <w:rsid w:val="6F9311E9"/>
    <w:rsid w:val="6FC11426"/>
    <w:rsid w:val="6FD86A20"/>
    <w:rsid w:val="70050BE1"/>
    <w:rsid w:val="701B3AAA"/>
    <w:rsid w:val="70474110"/>
    <w:rsid w:val="70756248"/>
    <w:rsid w:val="70997E78"/>
    <w:rsid w:val="70A02DE9"/>
    <w:rsid w:val="713E2ADE"/>
    <w:rsid w:val="719D7C46"/>
    <w:rsid w:val="71C00BCE"/>
    <w:rsid w:val="71F122CA"/>
    <w:rsid w:val="71F916BA"/>
    <w:rsid w:val="720505B1"/>
    <w:rsid w:val="72093B4F"/>
    <w:rsid w:val="723E400B"/>
    <w:rsid w:val="72580F09"/>
    <w:rsid w:val="729854D9"/>
    <w:rsid w:val="72B5273C"/>
    <w:rsid w:val="72D03065"/>
    <w:rsid w:val="72F9730B"/>
    <w:rsid w:val="734C6D5E"/>
    <w:rsid w:val="735C09E1"/>
    <w:rsid w:val="73727CCE"/>
    <w:rsid w:val="73D96006"/>
    <w:rsid w:val="73E22F7C"/>
    <w:rsid w:val="73FF3C39"/>
    <w:rsid w:val="741C4C2C"/>
    <w:rsid w:val="742835D1"/>
    <w:rsid w:val="745534CA"/>
    <w:rsid w:val="74604020"/>
    <w:rsid w:val="748702F8"/>
    <w:rsid w:val="748902EA"/>
    <w:rsid w:val="749063A1"/>
    <w:rsid w:val="74940C67"/>
    <w:rsid w:val="74E37DF5"/>
    <w:rsid w:val="750D31DD"/>
    <w:rsid w:val="75177096"/>
    <w:rsid w:val="751A73BE"/>
    <w:rsid w:val="75230ECD"/>
    <w:rsid w:val="7528159A"/>
    <w:rsid w:val="75352D49"/>
    <w:rsid w:val="75495E5A"/>
    <w:rsid w:val="75800191"/>
    <w:rsid w:val="75A12046"/>
    <w:rsid w:val="75A31A71"/>
    <w:rsid w:val="75B82733"/>
    <w:rsid w:val="75BF1D13"/>
    <w:rsid w:val="75EB0D5A"/>
    <w:rsid w:val="75EB4BA5"/>
    <w:rsid w:val="75F759BC"/>
    <w:rsid w:val="75F96FD3"/>
    <w:rsid w:val="762A0C73"/>
    <w:rsid w:val="764E542E"/>
    <w:rsid w:val="76A12B58"/>
    <w:rsid w:val="76A50F09"/>
    <w:rsid w:val="76BC1D1E"/>
    <w:rsid w:val="76D761B6"/>
    <w:rsid w:val="76E23F0B"/>
    <w:rsid w:val="76EA27F4"/>
    <w:rsid w:val="76F97A28"/>
    <w:rsid w:val="776C5A44"/>
    <w:rsid w:val="78054355"/>
    <w:rsid w:val="7855780E"/>
    <w:rsid w:val="78806C09"/>
    <w:rsid w:val="78E201F2"/>
    <w:rsid w:val="79242615"/>
    <w:rsid w:val="792823B4"/>
    <w:rsid w:val="79346574"/>
    <w:rsid w:val="796B02C1"/>
    <w:rsid w:val="7976529F"/>
    <w:rsid w:val="79915775"/>
    <w:rsid w:val="79A33E26"/>
    <w:rsid w:val="79C63033"/>
    <w:rsid w:val="7A12757A"/>
    <w:rsid w:val="7A1C7560"/>
    <w:rsid w:val="7A630C3D"/>
    <w:rsid w:val="7A6C46FD"/>
    <w:rsid w:val="7A7D5F38"/>
    <w:rsid w:val="7A945B1D"/>
    <w:rsid w:val="7AC01624"/>
    <w:rsid w:val="7B206E8C"/>
    <w:rsid w:val="7BC674A8"/>
    <w:rsid w:val="7BF00E78"/>
    <w:rsid w:val="7BF8768E"/>
    <w:rsid w:val="7C0340C2"/>
    <w:rsid w:val="7C624509"/>
    <w:rsid w:val="7C705897"/>
    <w:rsid w:val="7CAE4A69"/>
    <w:rsid w:val="7CF65EBB"/>
    <w:rsid w:val="7D291FA0"/>
    <w:rsid w:val="7D2F45AA"/>
    <w:rsid w:val="7DD332BE"/>
    <w:rsid w:val="7DD66D16"/>
    <w:rsid w:val="7E5B2598"/>
    <w:rsid w:val="7E78623A"/>
    <w:rsid w:val="7E857FD1"/>
    <w:rsid w:val="7E9F72B9"/>
    <w:rsid w:val="7EBA03B3"/>
    <w:rsid w:val="7ECB266C"/>
    <w:rsid w:val="7ED00AED"/>
    <w:rsid w:val="7F1A56DC"/>
    <w:rsid w:val="7F273959"/>
    <w:rsid w:val="7F573E39"/>
    <w:rsid w:val="7F6C6737"/>
    <w:rsid w:val="7F787A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qFormat="1" w:unhideWhenUsed="0" w:uiPriority="0" w:semiHidden="0"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qFormat="1" w:uiPriority="99" w:semiHidden="0"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qFormat="1" w:unhideWhenUsed="0" w:uiPriority="99" w:name="Salutation"/>
    <w:lsdException w:qFormat="1" w:unhideWhenUsed="0" w:uiPriority="99" w:semiHidden="0" w:name="Date"/>
    <w:lsdException w:qFormat="1" w:unhideWhenUsed="0" w:uiPriority="99" w:semiHidden="0" w:name="Body Text First Indent" w:locked="1"/>
    <w:lsdException w:qFormat="1" w:uiPriority="99" w:semiHidden="0" w:name="Body Text First Indent 2" w:locked="1"/>
    <w:lsdException w:qFormat="1" w:unhideWhenUsed="0" w:uiPriority="99" w:name="Note Heading"/>
    <w:lsdException w:qFormat="1" w:uiPriority="99" w:semiHidden="0" w:name="Body Text 2" w:locked="1"/>
    <w:lsdException w:uiPriority="99" w:name="Body Text 3" w:locked="1"/>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96"/>
    <w:qFormat/>
    <w:uiPriority w:val="99"/>
    <w:pPr>
      <w:numPr>
        <w:ilvl w:val="0"/>
        <w:numId w:val="1"/>
      </w:numPr>
      <w:overflowPunct w:val="0"/>
      <w:autoSpaceDE w:val="0"/>
      <w:autoSpaceDN w:val="0"/>
      <w:adjustRightInd w:val="0"/>
      <w:snapToGrid w:val="0"/>
      <w:spacing w:before="120" w:line="360" w:lineRule="auto"/>
      <w:textAlignment w:val="baseline"/>
      <w:outlineLvl w:val="0"/>
    </w:pPr>
    <w:rPr>
      <w:rFonts w:eastAsia="理德小标宋简"/>
      <w:b/>
      <w:kern w:val="44"/>
      <w:sz w:val="44"/>
      <w:szCs w:val="20"/>
    </w:rPr>
  </w:style>
  <w:style w:type="paragraph" w:styleId="3">
    <w:name w:val="heading 2"/>
    <w:basedOn w:val="1"/>
    <w:next w:val="1"/>
    <w:link w:val="97"/>
    <w:qFormat/>
    <w:uiPriority w:val="99"/>
    <w:pPr>
      <w:keepNext/>
      <w:keepLines/>
      <w:spacing w:before="260" w:after="260" w:line="416" w:lineRule="auto"/>
      <w:outlineLvl w:val="1"/>
    </w:pPr>
    <w:rPr>
      <w:rFonts w:ascii="Cambria" w:hAnsi="Cambria"/>
      <w:b/>
      <w:kern w:val="0"/>
      <w:sz w:val="32"/>
      <w:szCs w:val="20"/>
    </w:rPr>
  </w:style>
  <w:style w:type="paragraph" w:styleId="4">
    <w:name w:val="heading 3"/>
    <w:basedOn w:val="1"/>
    <w:next w:val="1"/>
    <w:link w:val="98"/>
    <w:qFormat/>
    <w:uiPriority w:val="99"/>
    <w:pPr>
      <w:keepNext/>
      <w:keepLines/>
      <w:spacing w:before="260" w:after="260" w:line="416" w:lineRule="auto"/>
      <w:outlineLvl w:val="2"/>
    </w:pPr>
    <w:rPr>
      <w:b/>
      <w:kern w:val="0"/>
      <w:sz w:val="32"/>
      <w:szCs w:val="20"/>
    </w:rPr>
  </w:style>
  <w:style w:type="paragraph" w:styleId="5">
    <w:name w:val="heading 4"/>
    <w:basedOn w:val="1"/>
    <w:next w:val="1"/>
    <w:link w:val="99"/>
    <w:qFormat/>
    <w:uiPriority w:val="99"/>
    <w:pPr>
      <w:keepNext/>
      <w:keepLines/>
      <w:spacing w:line="360" w:lineRule="auto"/>
      <w:jc w:val="center"/>
      <w:outlineLvl w:val="3"/>
    </w:pPr>
    <w:rPr>
      <w:rFonts w:ascii="Cambria" w:hAnsi="Cambria"/>
      <w:b/>
      <w:kern w:val="0"/>
      <w:sz w:val="36"/>
      <w:szCs w:val="20"/>
    </w:rPr>
  </w:style>
  <w:style w:type="paragraph" w:styleId="6">
    <w:name w:val="heading 5"/>
    <w:basedOn w:val="1"/>
    <w:next w:val="7"/>
    <w:link w:val="100"/>
    <w:qFormat/>
    <w:uiPriority w:val="9"/>
    <w:pPr>
      <w:keepNext/>
      <w:keepLines/>
      <w:spacing w:before="280" w:after="290" w:line="376" w:lineRule="auto"/>
      <w:outlineLvl w:val="4"/>
    </w:pPr>
    <w:rPr>
      <w:b/>
      <w:kern w:val="0"/>
      <w:sz w:val="28"/>
      <w:szCs w:val="20"/>
    </w:rPr>
  </w:style>
  <w:style w:type="paragraph" w:styleId="8">
    <w:name w:val="heading 6"/>
    <w:basedOn w:val="1"/>
    <w:next w:val="1"/>
    <w:link w:val="74"/>
    <w:qFormat/>
    <w:uiPriority w:val="99"/>
    <w:pPr>
      <w:keepNext/>
      <w:keepLines/>
      <w:spacing w:before="240" w:after="64" w:line="316" w:lineRule="auto"/>
      <w:outlineLvl w:val="5"/>
    </w:pPr>
    <w:rPr>
      <w:rFonts w:ascii="Cambria" w:hAnsi="Cambria"/>
      <w:b/>
      <w:bCs/>
      <w:kern w:val="0"/>
      <w:sz w:val="24"/>
      <w:szCs w:val="24"/>
    </w:rPr>
  </w:style>
  <w:style w:type="paragraph" w:styleId="9">
    <w:name w:val="heading 7"/>
    <w:basedOn w:val="1"/>
    <w:next w:val="1"/>
    <w:link w:val="75"/>
    <w:qFormat/>
    <w:uiPriority w:val="99"/>
    <w:pPr>
      <w:keepNext/>
      <w:keepLines/>
      <w:spacing w:before="240" w:after="64" w:line="316" w:lineRule="auto"/>
      <w:outlineLvl w:val="6"/>
    </w:pPr>
    <w:rPr>
      <w:rFonts w:ascii="Calibri" w:hAnsi="Calibri"/>
      <w:b/>
      <w:bCs/>
      <w:kern w:val="0"/>
      <w:sz w:val="24"/>
      <w:szCs w:val="24"/>
    </w:rPr>
  </w:style>
  <w:style w:type="paragraph" w:styleId="10">
    <w:name w:val="heading 8"/>
    <w:basedOn w:val="1"/>
    <w:next w:val="1"/>
    <w:link w:val="76"/>
    <w:qFormat/>
    <w:uiPriority w:val="99"/>
    <w:pPr>
      <w:keepNext/>
      <w:keepLines/>
      <w:spacing w:before="240" w:after="64" w:line="316" w:lineRule="auto"/>
      <w:outlineLvl w:val="7"/>
    </w:pPr>
    <w:rPr>
      <w:rFonts w:ascii="Cambria" w:hAnsi="Cambria"/>
      <w:kern w:val="0"/>
      <w:sz w:val="24"/>
      <w:szCs w:val="24"/>
    </w:rPr>
  </w:style>
  <w:style w:type="paragraph" w:styleId="11">
    <w:name w:val="heading 9"/>
    <w:basedOn w:val="1"/>
    <w:next w:val="1"/>
    <w:link w:val="77"/>
    <w:qFormat/>
    <w:uiPriority w:val="99"/>
    <w:pPr>
      <w:keepNext/>
      <w:keepLines/>
      <w:spacing w:before="240" w:after="64" w:line="316" w:lineRule="auto"/>
      <w:outlineLvl w:val="8"/>
    </w:pPr>
    <w:rPr>
      <w:rFonts w:ascii="Cambria" w:hAnsi="Cambria"/>
      <w:kern w:val="0"/>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7">
    <w:name w:val="Normal Indent"/>
    <w:basedOn w:val="1"/>
    <w:qFormat/>
    <w:uiPriority w:val="99"/>
    <w:pPr>
      <w:widowControl/>
      <w:ind w:firstLine="420"/>
      <w:jc w:val="left"/>
    </w:pPr>
    <w:rPr>
      <w:sz w:val="20"/>
      <w:szCs w:val="20"/>
    </w:rPr>
  </w:style>
  <w:style w:type="paragraph" w:styleId="12">
    <w:name w:val="toc 7"/>
    <w:basedOn w:val="1"/>
    <w:next w:val="1"/>
    <w:qFormat/>
    <w:uiPriority w:val="99"/>
    <w:pPr>
      <w:adjustRightInd w:val="0"/>
      <w:spacing w:line="312" w:lineRule="atLeast"/>
      <w:ind w:left="1260"/>
      <w:jc w:val="left"/>
      <w:textAlignment w:val="baseline"/>
    </w:pPr>
    <w:rPr>
      <w:kern w:val="0"/>
      <w:sz w:val="18"/>
      <w:szCs w:val="18"/>
    </w:rPr>
  </w:style>
  <w:style w:type="paragraph" w:styleId="13">
    <w:name w:val="Note Heading"/>
    <w:basedOn w:val="1"/>
    <w:next w:val="1"/>
    <w:link w:val="78"/>
    <w:semiHidden/>
    <w:qFormat/>
    <w:uiPriority w:val="99"/>
    <w:pPr>
      <w:spacing w:beforeLines="20" w:afterLines="50"/>
      <w:jc w:val="center"/>
    </w:pPr>
    <w:rPr>
      <w:kern w:val="0"/>
      <w:sz w:val="20"/>
      <w:szCs w:val="20"/>
    </w:rPr>
  </w:style>
  <w:style w:type="paragraph" w:styleId="14">
    <w:name w:val="index 8"/>
    <w:basedOn w:val="1"/>
    <w:next w:val="1"/>
    <w:qFormat/>
    <w:locked/>
    <w:uiPriority w:val="0"/>
    <w:pPr>
      <w:ind w:left="2940"/>
    </w:pPr>
  </w:style>
  <w:style w:type="paragraph" w:styleId="15">
    <w:name w:val="caption"/>
    <w:basedOn w:val="1"/>
    <w:next w:val="1"/>
    <w:qFormat/>
    <w:uiPriority w:val="99"/>
    <w:pPr>
      <w:spacing w:before="152" w:after="160"/>
    </w:pPr>
    <w:rPr>
      <w:rFonts w:ascii="Arial" w:hAnsi="Arial" w:eastAsia="黑体" w:cs="Arial"/>
      <w:sz w:val="20"/>
      <w:szCs w:val="20"/>
    </w:rPr>
  </w:style>
  <w:style w:type="paragraph" w:styleId="16">
    <w:name w:val="Document Map"/>
    <w:basedOn w:val="1"/>
    <w:link w:val="101"/>
    <w:semiHidden/>
    <w:qFormat/>
    <w:uiPriority w:val="99"/>
    <w:pPr>
      <w:adjustRightInd w:val="0"/>
      <w:spacing w:line="312" w:lineRule="atLeast"/>
      <w:textAlignment w:val="baseline"/>
    </w:pPr>
    <w:rPr>
      <w:rFonts w:ascii="宋体"/>
      <w:kern w:val="0"/>
      <w:sz w:val="18"/>
      <w:szCs w:val="20"/>
    </w:rPr>
  </w:style>
  <w:style w:type="paragraph" w:styleId="17">
    <w:name w:val="annotation text"/>
    <w:basedOn w:val="1"/>
    <w:link w:val="102"/>
    <w:qFormat/>
    <w:uiPriority w:val="99"/>
    <w:pPr>
      <w:adjustRightInd w:val="0"/>
      <w:spacing w:line="312" w:lineRule="atLeast"/>
      <w:jc w:val="left"/>
      <w:textAlignment w:val="baseline"/>
    </w:pPr>
    <w:rPr>
      <w:kern w:val="0"/>
      <w:sz w:val="20"/>
      <w:szCs w:val="20"/>
    </w:rPr>
  </w:style>
  <w:style w:type="paragraph" w:styleId="18">
    <w:name w:val="Salutation"/>
    <w:basedOn w:val="1"/>
    <w:next w:val="1"/>
    <w:link w:val="81"/>
    <w:semiHidden/>
    <w:qFormat/>
    <w:uiPriority w:val="99"/>
    <w:rPr>
      <w:kern w:val="0"/>
      <w:sz w:val="20"/>
      <w:szCs w:val="20"/>
    </w:rPr>
  </w:style>
  <w:style w:type="paragraph" w:styleId="19">
    <w:name w:val="Body Text"/>
    <w:basedOn w:val="1"/>
    <w:link w:val="82"/>
    <w:qFormat/>
    <w:uiPriority w:val="99"/>
    <w:pPr>
      <w:adjustRightInd w:val="0"/>
      <w:spacing w:line="312" w:lineRule="atLeast"/>
      <w:jc w:val="center"/>
      <w:textAlignment w:val="baseline"/>
    </w:pPr>
    <w:rPr>
      <w:kern w:val="0"/>
      <w:sz w:val="20"/>
      <w:szCs w:val="20"/>
    </w:rPr>
  </w:style>
  <w:style w:type="paragraph" w:styleId="20">
    <w:name w:val="Body Text Indent"/>
    <w:basedOn w:val="1"/>
    <w:link w:val="103"/>
    <w:qFormat/>
    <w:uiPriority w:val="99"/>
    <w:pPr>
      <w:ind w:left="420" w:leftChars="200"/>
      <w:jc w:val="left"/>
    </w:pPr>
    <w:rPr>
      <w:kern w:val="0"/>
      <w:sz w:val="20"/>
      <w:szCs w:val="20"/>
    </w:rPr>
  </w:style>
  <w:style w:type="paragraph" w:styleId="21">
    <w:name w:val="List 2"/>
    <w:basedOn w:val="1"/>
    <w:unhideWhenUsed/>
    <w:qFormat/>
    <w:locked/>
    <w:uiPriority w:val="99"/>
    <w:pPr>
      <w:ind w:left="100" w:leftChars="200" w:hanging="200" w:hangingChars="200"/>
      <w:contextualSpacing/>
    </w:pPr>
  </w:style>
  <w:style w:type="paragraph" w:styleId="22">
    <w:name w:val="index 4"/>
    <w:basedOn w:val="1"/>
    <w:next w:val="1"/>
    <w:semiHidden/>
    <w:qFormat/>
    <w:uiPriority w:val="99"/>
    <w:pPr>
      <w:ind w:left="600" w:leftChars="600"/>
    </w:pPr>
  </w:style>
  <w:style w:type="paragraph" w:styleId="23">
    <w:name w:val="toc 5"/>
    <w:basedOn w:val="1"/>
    <w:next w:val="1"/>
    <w:qFormat/>
    <w:uiPriority w:val="99"/>
    <w:pPr>
      <w:adjustRightInd w:val="0"/>
      <w:spacing w:line="312" w:lineRule="atLeast"/>
      <w:ind w:left="840"/>
      <w:jc w:val="left"/>
      <w:textAlignment w:val="baseline"/>
    </w:pPr>
    <w:rPr>
      <w:kern w:val="0"/>
      <w:sz w:val="18"/>
      <w:szCs w:val="18"/>
    </w:rPr>
  </w:style>
  <w:style w:type="paragraph" w:styleId="24">
    <w:name w:val="toc 3"/>
    <w:basedOn w:val="1"/>
    <w:next w:val="1"/>
    <w:qFormat/>
    <w:uiPriority w:val="99"/>
    <w:pPr>
      <w:adjustRightInd w:val="0"/>
      <w:spacing w:line="312" w:lineRule="atLeast"/>
      <w:ind w:left="420"/>
      <w:jc w:val="left"/>
      <w:textAlignment w:val="baseline"/>
    </w:pPr>
    <w:rPr>
      <w:i/>
      <w:iCs/>
      <w:kern w:val="0"/>
      <w:sz w:val="20"/>
      <w:szCs w:val="20"/>
    </w:rPr>
  </w:style>
  <w:style w:type="paragraph" w:styleId="25">
    <w:name w:val="Plain Text"/>
    <w:basedOn w:val="1"/>
    <w:link w:val="104"/>
    <w:qFormat/>
    <w:uiPriority w:val="99"/>
    <w:rPr>
      <w:rFonts w:ascii="宋体" w:hAnsi="Courier New"/>
      <w:kern w:val="0"/>
      <w:szCs w:val="20"/>
    </w:rPr>
  </w:style>
  <w:style w:type="paragraph" w:styleId="26">
    <w:name w:val="toc 8"/>
    <w:basedOn w:val="1"/>
    <w:next w:val="1"/>
    <w:qFormat/>
    <w:uiPriority w:val="99"/>
    <w:pPr>
      <w:adjustRightInd w:val="0"/>
      <w:spacing w:line="312" w:lineRule="atLeast"/>
      <w:ind w:left="1470"/>
      <w:jc w:val="left"/>
      <w:textAlignment w:val="baseline"/>
    </w:pPr>
    <w:rPr>
      <w:kern w:val="0"/>
      <w:sz w:val="18"/>
      <w:szCs w:val="18"/>
    </w:rPr>
  </w:style>
  <w:style w:type="paragraph" w:styleId="27">
    <w:name w:val="Date"/>
    <w:basedOn w:val="1"/>
    <w:next w:val="1"/>
    <w:link w:val="105"/>
    <w:qFormat/>
    <w:uiPriority w:val="99"/>
    <w:pPr>
      <w:ind w:left="100" w:leftChars="2500"/>
    </w:pPr>
    <w:rPr>
      <w:rFonts w:ascii="Calibri" w:hAnsi="Calibri" w:cs="Calibri"/>
    </w:rPr>
  </w:style>
  <w:style w:type="paragraph" w:styleId="28">
    <w:name w:val="Body Text Indent 2"/>
    <w:basedOn w:val="1"/>
    <w:link w:val="106"/>
    <w:qFormat/>
    <w:uiPriority w:val="99"/>
    <w:pPr>
      <w:spacing w:after="120" w:line="480" w:lineRule="auto"/>
      <w:ind w:left="420" w:leftChars="200"/>
    </w:pPr>
    <w:rPr>
      <w:kern w:val="0"/>
      <w:sz w:val="24"/>
      <w:szCs w:val="20"/>
    </w:rPr>
  </w:style>
  <w:style w:type="paragraph" w:styleId="29">
    <w:name w:val="Balloon Text"/>
    <w:basedOn w:val="1"/>
    <w:link w:val="107"/>
    <w:qFormat/>
    <w:uiPriority w:val="99"/>
    <w:rPr>
      <w:kern w:val="0"/>
      <w:sz w:val="18"/>
      <w:szCs w:val="20"/>
    </w:rPr>
  </w:style>
  <w:style w:type="paragraph" w:styleId="30">
    <w:name w:val="footer"/>
    <w:basedOn w:val="1"/>
    <w:next w:val="31"/>
    <w:link w:val="108"/>
    <w:qFormat/>
    <w:uiPriority w:val="99"/>
    <w:pPr>
      <w:tabs>
        <w:tab w:val="center" w:pos="4153"/>
        <w:tab w:val="right" w:pos="8306"/>
      </w:tabs>
      <w:snapToGrid w:val="0"/>
      <w:jc w:val="left"/>
    </w:pPr>
    <w:rPr>
      <w:kern w:val="0"/>
      <w:sz w:val="18"/>
      <w:szCs w:val="20"/>
    </w:rPr>
  </w:style>
  <w:style w:type="paragraph" w:customStyle="1" w:styleId="31">
    <w:name w:val="font5"/>
    <w:basedOn w:val="1"/>
    <w:next w:val="26"/>
    <w:qFormat/>
    <w:uiPriority w:val="0"/>
    <w:pPr>
      <w:widowControl/>
      <w:spacing w:beforeAutospacing="1" w:afterAutospacing="1"/>
      <w:jc w:val="left"/>
    </w:pPr>
    <w:rPr>
      <w:rFonts w:eastAsia="Verdana" w:cs="Verdana"/>
      <w:kern w:val="0"/>
      <w:sz w:val="18"/>
      <w:szCs w:val="18"/>
    </w:rPr>
  </w:style>
  <w:style w:type="paragraph" w:styleId="32">
    <w:name w:val="header"/>
    <w:basedOn w:val="1"/>
    <w:link w:val="109"/>
    <w:qFormat/>
    <w:uiPriority w:val="99"/>
    <w:pPr>
      <w:pBdr>
        <w:bottom w:val="single" w:color="auto" w:sz="6" w:space="1"/>
      </w:pBdr>
      <w:tabs>
        <w:tab w:val="center" w:pos="4153"/>
        <w:tab w:val="right" w:pos="8306"/>
      </w:tabs>
      <w:snapToGrid w:val="0"/>
      <w:jc w:val="center"/>
    </w:pPr>
    <w:rPr>
      <w:kern w:val="0"/>
      <w:sz w:val="18"/>
      <w:szCs w:val="20"/>
    </w:rPr>
  </w:style>
  <w:style w:type="paragraph" w:styleId="33">
    <w:name w:val="toc 1"/>
    <w:basedOn w:val="1"/>
    <w:next w:val="1"/>
    <w:qFormat/>
    <w:uiPriority w:val="99"/>
    <w:pPr>
      <w:adjustRightInd w:val="0"/>
      <w:spacing w:before="120" w:after="120" w:line="312" w:lineRule="atLeast"/>
      <w:jc w:val="left"/>
      <w:textAlignment w:val="baseline"/>
    </w:pPr>
    <w:rPr>
      <w:b/>
      <w:bCs/>
      <w:caps/>
      <w:kern w:val="0"/>
      <w:sz w:val="20"/>
      <w:szCs w:val="20"/>
    </w:rPr>
  </w:style>
  <w:style w:type="paragraph" w:styleId="34">
    <w:name w:val="toc 4"/>
    <w:basedOn w:val="1"/>
    <w:next w:val="1"/>
    <w:qFormat/>
    <w:uiPriority w:val="99"/>
    <w:pPr>
      <w:adjustRightInd w:val="0"/>
      <w:spacing w:line="312" w:lineRule="atLeast"/>
      <w:ind w:left="630"/>
      <w:jc w:val="left"/>
      <w:textAlignment w:val="baseline"/>
    </w:pPr>
    <w:rPr>
      <w:kern w:val="0"/>
      <w:sz w:val="18"/>
      <w:szCs w:val="18"/>
    </w:rPr>
  </w:style>
  <w:style w:type="paragraph" w:styleId="35">
    <w:name w:val="Subtitle"/>
    <w:basedOn w:val="1"/>
    <w:next w:val="1"/>
    <w:link w:val="110"/>
    <w:qFormat/>
    <w:uiPriority w:val="99"/>
    <w:pPr>
      <w:spacing w:before="240" w:after="60" w:line="312" w:lineRule="auto"/>
      <w:jc w:val="center"/>
      <w:outlineLvl w:val="1"/>
    </w:pPr>
    <w:rPr>
      <w:rFonts w:ascii="Cambria" w:hAnsi="Cambria"/>
      <w:b/>
      <w:kern w:val="28"/>
      <w:sz w:val="32"/>
      <w:szCs w:val="20"/>
    </w:rPr>
  </w:style>
  <w:style w:type="paragraph" w:styleId="36">
    <w:name w:val="footnote text"/>
    <w:basedOn w:val="1"/>
    <w:link w:val="111"/>
    <w:semiHidden/>
    <w:qFormat/>
    <w:uiPriority w:val="99"/>
    <w:pPr>
      <w:adjustRightInd w:val="0"/>
      <w:spacing w:line="312" w:lineRule="atLeast"/>
      <w:jc w:val="left"/>
    </w:pPr>
    <w:rPr>
      <w:kern w:val="0"/>
      <w:sz w:val="18"/>
      <w:szCs w:val="20"/>
    </w:rPr>
  </w:style>
  <w:style w:type="paragraph" w:styleId="37">
    <w:name w:val="toc 6"/>
    <w:basedOn w:val="1"/>
    <w:next w:val="1"/>
    <w:qFormat/>
    <w:uiPriority w:val="99"/>
    <w:pPr>
      <w:adjustRightInd w:val="0"/>
      <w:spacing w:line="312" w:lineRule="atLeast"/>
      <w:ind w:left="1050"/>
      <w:jc w:val="left"/>
      <w:textAlignment w:val="baseline"/>
    </w:pPr>
    <w:rPr>
      <w:kern w:val="0"/>
      <w:sz w:val="18"/>
      <w:szCs w:val="18"/>
    </w:rPr>
  </w:style>
  <w:style w:type="paragraph" w:styleId="38">
    <w:name w:val="Body Text Indent 3"/>
    <w:basedOn w:val="1"/>
    <w:link w:val="92"/>
    <w:qFormat/>
    <w:uiPriority w:val="99"/>
    <w:pPr>
      <w:adjustRightInd w:val="0"/>
      <w:spacing w:line="360" w:lineRule="auto"/>
      <w:ind w:firstLine="480"/>
      <w:textAlignment w:val="baseline"/>
    </w:pPr>
    <w:rPr>
      <w:kern w:val="0"/>
      <w:sz w:val="16"/>
      <w:szCs w:val="16"/>
    </w:rPr>
  </w:style>
  <w:style w:type="paragraph" w:styleId="39">
    <w:name w:val="toc 2"/>
    <w:basedOn w:val="1"/>
    <w:next w:val="1"/>
    <w:qFormat/>
    <w:uiPriority w:val="99"/>
    <w:pPr>
      <w:adjustRightInd w:val="0"/>
      <w:spacing w:line="312" w:lineRule="atLeast"/>
      <w:ind w:left="210"/>
      <w:jc w:val="left"/>
      <w:textAlignment w:val="baseline"/>
    </w:pPr>
    <w:rPr>
      <w:smallCaps/>
      <w:kern w:val="0"/>
      <w:sz w:val="20"/>
      <w:szCs w:val="20"/>
    </w:rPr>
  </w:style>
  <w:style w:type="paragraph" w:styleId="40">
    <w:name w:val="toc 9"/>
    <w:basedOn w:val="1"/>
    <w:next w:val="1"/>
    <w:qFormat/>
    <w:uiPriority w:val="99"/>
    <w:pPr>
      <w:adjustRightInd w:val="0"/>
      <w:spacing w:line="312" w:lineRule="atLeast"/>
      <w:ind w:left="1680"/>
      <w:jc w:val="left"/>
      <w:textAlignment w:val="baseline"/>
    </w:pPr>
    <w:rPr>
      <w:kern w:val="0"/>
      <w:sz w:val="18"/>
      <w:szCs w:val="18"/>
    </w:rPr>
  </w:style>
  <w:style w:type="paragraph" w:styleId="41">
    <w:name w:val="Body Text 2"/>
    <w:basedOn w:val="1"/>
    <w:unhideWhenUsed/>
    <w:qFormat/>
    <w:locked/>
    <w:uiPriority w:val="99"/>
    <w:pPr>
      <w:jc w:val="left"/>
    </w:pPr>
    <w:rPr>
      <w:rFonts w:ascii="仿宋_GB2312" w:hAnsi="宋体" w:eastAsia="仿宋_GB2312"/>
    </w:rPr>
  </w:style>
  <w:style w:type="paragraph" w:styleId="4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3">
    <w:name w:val="Title"/>
    <w:basedOn w:val="1"/>
    <w:next w:val="1"/>
    <w:link w:val="112"/>
    <w:qFormat/>
    <w:uiPriority w:val="99"/>
    <w:pPr>
      <w:spacing w:before="240" w:after="60"/>
      <w:jc w:val="center"/>
      <w:outlineLvl w:val="0"/>
    </w:pPr>
    <w:rPr>
      <w:rFonts w:ascii="Cambria" w:hAnsi="Cambria"/>
      <w:b/>
      <w:kern w:val="0"/>
      <w:sz w:val="32"/>
      <w:szCs w:val="20"/>
    </w:rPr>
  </w:style>
  <w:style w:type="paragraph" w:styleId="44">
    <w:name w:val="annotation subject"/>
    <w:basedOn w:val="17"/>
    <w:next w:val="17"/>
    <w:link w:val="113"/>
    <w:semiHidden/>
    <w:qFormat/>
    <w:uiPriority w:val="99"/>
    <w:rPr>
      <w:b/>
    </w:rPr>
  </w:style>
  <w:style w:type="paragraph" w:styleId="45">
    <w:name w:val="Body Text First Indent"/>
    <w:basedOn w:val="19"/>
    <w:link w:val="95"/>
    <w:qFormat/>
    <w:locked/>
    <w:uiPriority w:val="99"/>
    <w:pPr>
      <w:adjustRightInd/>
      <w:spacing w:after="120" w:line="240" w:lineRule="auto"/>
      <w:ind w:firstLine="420" w:firstLineChars="100"/>
      <w:jc w:val="both"/>
    </w:pPr>
    <w:rPr>
      <w:szCs w:val="24"/>
    </w:rPr>
  </w:style>
  <w:style w:type="paragraph" w:styleId="46">
    <w:name w:val="Body Text First Indent 2"/>
    <w:basedOn w:val="20"/>
    <w:unhideWhenUsed/>
    <w:qFormat/>
    <w:locked/>
    <w:uiPriority w:val="99"/>
    <w:pPr>
      <w:spacing w:after="120"/>
      <w:ind w:firstLine="420" w:firstLineChars="200"/>
    </w:pPr>
    <w:rPr>
      <w:sz w:val="21"/>
      <w:szCs w:val="24"/>
    </w:rPr>
  </w:style>
  <w:style w:type="table" w:styleId="48">
    <w:name w:val="Table Grid"/>
    <w:basedOn w:val="47"/>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basedOn w:val="49"/>
    <w:qFormat/>
    <w:uiPriority w:val="99"/>
    <w:rPr>
      <w:rFonts w:cs="Times New Roman"/>
      <w:b/>
    </w:rPr>
  </w:style>
  <w:style w:type="character" w:styleId="51">
    <w:name w:val="page number"/>
    <w:basedOn w:val="49"/>
    <w:qFormat/>
    <w:uiPriority w:val="99"/>
    <w:rPr>
      <w:rFonts w:cs="Times New Roman"/>
    </w:rPr>
  </w:style>
  <w:style w:type="character" w:styleId="52">
    <w:name w:val="FollowedHyperlink"/>
    <w:basedOn w:val="49"/>
    <w:qFormat/>
    <w:uiPriority w:val="99"/>
    <w:rPr>
      <w:rFonts w:cs="Times New Roman"/>
      <w:color w:val="auto"/>
      <w:u w:val="none"/>
    </w:rPr>
  </w:style>
  <w:style w:type="character" w:styleId="53">
    <w:name w:val="Emphasis"/>
    <w:basedOn w:val="49"/>
    <w:qFormat/>
    <w:locked/>
    <w:uiPriority w:val="20"/>
    <w:rPr>
      <w:rFonts w:cs="Times New Roman"/>
      <w:i/>
    </w:rPr>
  </w:style>
  <w:style w:type="character" w:styleId="54">
    <w:name w:val="HTML Definition"/>
    <w:basedOn w:val="49"/>
    <w:qFormat/>
    <w:uiPriority w:val="99"/>
    <w:rPr>
      <w:rFonts w:cs="Times New Roman"/>
    </w:rPr>
  </w:style>
  <w:style w:type="character" w:styleId="55">
    <w:name w:val="HTML Typewriter"/>
    <w:basedOn w:val="49"/>
    <w:qFormat/>
    <w:uiPriority w:val="99"/>
    <w:rPr>
      <w:rFonts w:ascii="monospace" w:hAnsi="monospace" w:cs="Times New Roman"/>
      <w:sz w:val="20"/>
    </w:rPr>
  </w:style>
  <w:style w:type="character" w:styleId="56">
    <w:name w:val="HTML Acronym"/>
    <w:basedOn w:val="49"/>
    <w:qFormat/>
    <w:uiPriority w:val="99"/>
    <w:rPr>
      <w:rFonts w:cs="Times New Roman"/>
    </w:rPr>
  </w:style>
  <w:style w:type="character" w:styleId="57">
    <w:name w:val="HTML Variable"/>
    <w:basedOn w:val="49"/>
    <w:qFormat/>
    <w:uiPriority w:val="99"/>
    <w:rPr>
      <w:rFonts w:cs="Times New Roman"/>
    </w:rPr>
  </w:style>
  <w:style w:type="character" w:styleId="58">
    <w:name w:val="Hyperlink"/>
    <w:basedOn w:val="49"/>
    <w:qFormat/>
    <w:uiPriority w:val="99"/>
    <w:rPr>
      <w:rFonts w:cs="Times New Roman"/>
      <w:color w:val="auto"/>
      <w:u w:val="none"/>
    </w:rPr>
  </w:style>
  <w:style w:type="character" w:styleId="59">
    <w:name w:val="HTML Code"/>
    <w:basedOn w:val="49"/>
    <w:qFormat/>
    <w:uiPriority w:val="99"/>
    <w:rPr>
      <w:rFonts w:ascii="monospace" w:hAnsi="monospace" w:cs="Times New Roman"/>
      <w:sz w:val="20"/>
    </w:rPr>
  </w:style>
  <w:style w:type="character" w:styleId="60">
    <w:name w:val="annotation reference"/>
    <w:basedOn w:val="49"/>
    <w:qFormat/>
    <w:uiPriority w:val="99"/>
    <w:rPr>
      <w:rFonts w:cs="Times New Roman"/>
      <w:sz w:val="21"/>
    </w:rPr>
  </w:style>
  <w:style w:type="character" w:styleId="61">
    <w:name w:val="HTML Cite"/>
    <w:basedOn w:val="49"/>
    <w:qFormat/>
    <w:uiPriority w:val="99"/>
    <w:rPr>
      <w:rFonts w:cs="Times New Roman"/>
    </w:rPr>
  </w:style>
  <w:style w:type="character" w:styleId="62">
    <w:name w:val="HTML Keyboard"/>
    <w:basedOn w:val="49"/>
    <w:qFormat/>
    <w:uiPriority w:val="99"/>
    <w:rPr>
      <w:rFonts w:ascii="monospace" w:hAnsi="monospace" w:cs="Times New Roman"/>
      <w:sz w:val="20"/>
    </w:rPr>
  </w:style>
  <w:style w:type="character" w:styleId="63">
    <w:name w:val="HTML Sample"/>
    <w:basedOn w:val="49"/>
    <w:qFormat/>
    <w:uiPriority w:val="99"/>
    <w:rPr>
      <w:rFonts w:ascii="monospace" w:hAnsi="monospace" w:cs="Times New Roman"/>
    </w:rPr>
  </w:style>
  <w:style w:type="paragraph" w:customStyle="1" w:styleId="64">
    <w:name w:val="样式1"/>
    <w:basedOn w:val="1"/>
    <w:next w:val="5"/>
    <w:qFormat/>
    <w:uiPriority w:val="99"/>
    <w:pPr>
      <w:spacing w:line="360" w:lineRule="auto"/>
      <w:ind w:firstLine="420" w:firstLineChars="200"/>
    </w:pPr>
    <w:rPr>
      <w:rFonts w:ascii="宋体" w:hAnsi="宋体" w:cs="宋体"/>
      <w:szCs w:val="22"/>
    </w:rPr>
  </w:style>
  <w:style w:type="character" w:customStyle="1" w:styleId="65">
    <w:name w:val="标题 4 Char"/>
    <w:link w:val="5"/>
    <w:qFormat/>
    <w:locked/>
    <w:uiPriority w:val="99"/>
    <w:rPr>
      <w:rFonts w:ascii="Cambria" w:hAnsi="Cambria" w:eastAsia="宋体"/>
      <w:b/>
      <w:sz w:val="36"/>
    </w:rPr>
  </w:style>
  <w:style w:type="character" w:customStyle="1" w:styleId="66">
    <w:name w:val="标题 3 Char"/>
    <w:link w:val="4"/>
    <w:qFormat/>
    <w:locked/>
    <w:uiPriority w:val="99"/>
    <w:rPr>
      <w:rFonts w:ascii="Times New Roman" w:hAnsi="Times New Roman" w:eastAsia="宋体"/>
      <w:b/>
      <w:sz w:val="32"/>
    </w:rPr>
  </w:style>
  <w:style w:type="paragraph" w:customStyle="1" w:styleId="67">
    <w:name w:val="明显引用1"/>
    <w:basedOn w:val="1"/>
    <w:next w:val="1"/>
    <w:qFormat/>
    <w:uiPriority w:val="99"/>
    <w:pPr>
      <w:pBdr>
        <w:bottom w:val="single" w:color="4F81BD" w:sz="4" w:space="4"/>
      </w:pBdr>
      <w:spacing w:before="200" w:after="280"/>
      <w:ind w:left="936" w:right="936"/>
    </w:pPr>
    <w:rPr>
      <w:b/>
      <w:bCs/>
      <w:i/>
      <w:iCs/>
      <w:color w:val="4F81BD"/>
      <w:kern w:val="0"/>
      <w:sz w:val="20"/>
      <w:szCs w:val="20"/>
    </w:rPr>
  </w:style>
  <w:style w:type="paragraph" w:customStyle="1" w:styleId="68">
    <w:name w:val="toc 12"/>
    <w:next w:val="1"/>
    <w:qFormat/>
    <w:uiPriority w:val="0"/>
    <w:pPr>
      <w:wordWrap w:val="0"/>
      <w:jc w:val="both"/>
    </w:pPr>
    <w:rPr>
      <w:rFonts w:ascii="宋体" w:hAnsi="宋体" w:eastAsia="宋体" w:cs="Times New Roman"/>
      <w:sz w:val="21"/>
      <w:lang w:val="en-US" w:eastAsia="zh-CN" w:bidi="ar-SA"/>
    </w:rPr>
  </w:style>
  <w:style w:type="paragraph" w:customStyle="1" w:styleId="69">
    <w:name w:val="Default"/>
    <w:basedOn w:val="70"/>
    <w:next w:val="1"/>
    <w:qFormat/>
    <w:uiPriority w:val="99"/>
    <w:pPr>
      <w:autoSpaceDE w:val="0"/>
      <w:autoSpaceDN w:val="0"/>
      <w:adjustRightInd w:val="0"/>
    </w:pPr>
    <w:rPr>
      <w:rFonts w:ascii="宋体" w:hAnsi="Times New Roman" w:cs="宋体"/>
      <w:color w:val="000000"/>
      <w:sz w:val="24"/>
      <w:szCs w:val="24"/>
    </w:rPr>
  </w:style>
  <w:style w:type="paragraph" w:customStyle="1" w:styleId="70">
    <w:name w:val="正文1"/>
    <w:qFormat/>
    <w:uiPriority w:val="99"/>
    <w:rPr>
      <w:rFonts w:ascii="Times New Roman" w:hAnsi="Times New Roman" w:eastAsia="宋体" w:cs="Times New Roman"/>
      <w:sz w:val="24"/>
      <w:szCs w:val="24"/>
      <w:lang w:val="en-US" w:eastAsia="zh-CN" w:bidi="ar-SA"/>
    </w:rPr>
  </w:style>
  <w:style w:type="character" w:customStyle="1" w:styleId="71">
    <w:name w:val="标题 5 Char"/>
    <w:link w:val="6"/>
    <w:qFormat/>
    <w:locked/>
    <w:uiPriority w:val="9"/>
    <w:rPr>
      <w:rFonts w:ascii="Times New Roman" w:hAnsi="Times New Roman" w:eastAsia="宋体"/>
      <w:b/>
      <w:sz w:val="28"/>
    </w:rPr>
  </w:style>
  <w:style w:type="character" w:customStyle="1" w:styleId="72">
    <w:name w:val="标题 1 Char"/>
    <w:link w:val="2"/>
    <w:qFormat/>
    <w:locked/>
    <w:uiPriority w:val="99"/>
    <w:rPr>
      <w:rFonts w:ascii="Times New Roman" w:hAnsi="Times New Roman" w:eastAsia="理德小标宋简"/>
      <w:b/>
      <w:kern w:val="44"/>
      <w:sz w:val="44"/>
    </w:rPr>
  </w:style>
  <w:style w:type="character" w:customStyle="1" w:styleId="73">
    <w:name w:val="标题 2 Char"/>
    <w:link w:val="3"/>
    <w:qFormat/>
    <w:locked/>
    <w:uiPriority w:val="99"/>
    <w:rPr>
      <w:rFonts w:ascii="Cambria" w:hAnsi="Cambria" w:eastAsia="宋体"/>
      <w:b/>
      <w:sz w:val="32"/>
    </w:rPr>
  </w:style>
  <w:style w:type="character" w:customStyle="1" w:styleId="74">
    <w:name w:val="标题 6 Char"/>
    <w:basedOn w:val="49"/>
    <w:link w:val="8"/>
    <w:qFormat/>
    <w:locked/>
    <w:uiPriority w:val="99"/>
    <w:rPr>
      <w:rFonts w:ascii="Cambria" w:hAnsi="Cambria" w:eastAsia="宋体" w:cs="Times New Roman"/>
      <w:b/>
      <w:sz w:val="24"/>
    </w:rPr>
  </w:style>
  <w:style w:type="character" w:customStyle="1" w:styleId="75">
    <w:name w:val="标题 7 Char"/>
    <w:basedOn w:val="49"/>
    <w:link w:val="9"/>
    <w:qFormat/>
    <w:locked/>
    <w:uiPriority w:val="99"/>
    <w:rPr>
      <w:rFonts w:ascii="Calibri" w:hAnsi="Calibri" w:eastAsia="宋体" w:cs="Times New Roman"/>
      <w:b/>
      <w:sz w:val="24"/>
    </w:rPr>
  </w:style>
  <w:style w:type="character" w:customStyle="1" w:styleId="76">
    <w:name w:val="标题 8 Char"/>
    <w:basedOn w:val="49"/>
    <w:link w:val="10"/>
    <w:qFormat/>
    <w:locked/>
    <w:uiPriority w:val="99"/>
    <w:rPr>
      <w:rFonts w:ascii="Cambria" w:hAnsi="Cambria" w:eastAsia="宋体" w:cs="Times New Roman"/>
      <w:sz w:val="24"/>
    </w:rPr>
  </w:style>
  <w:style w:type="character" w:customStyle="1" w:styleId="77">
    <w:name w:val="标题 9 Char"/>
    <w:basedOn w:val="49"/>
    <w:link w:val="11"/>
    <w:qFormat/>
    <w:locked/>
    <w:uiPriority w:val="99"/>
    <w:rPr>
      <w:rFonts w:ascii="Cambria" w:hAnsi="Cambria" w:eastAsia="宋体" w:cs="Times New Roman"/>
      <w:sz w:val="21"/>
    </w:rPr>
  </w:style>
  <w:style w:type="character" w:customStyle="1" w:styleId="78">
    <w:name w:val="注释标题 Char1"/>
    <w:basedOn w:val="49"/>
    <w:link w:val="13"/>
    <w:semiHidden/>
    <w:qFormat/>
    <w:locked/>
    <w:uiPriority w:val="99"/>
    <w:rPr>
      <w:rFonts w:ascii="Times New Roman" w:hAnsi="Times New Roman" w:eastAsia="宋体" w:cs="Times New Roman"/>
    </w:rPr>
  </w:style>
  <w:style w:type="character" w:customStyle="1" w:styleId="79">
    <w:name w:val="文档结构图 Char1"/>
    <w:link w:val="16"/>
    <w:qFormat/>
    <w:locked/>
    <w:uiPriority w:val="99"/>
    <w:rPr>
      <w:rFonts w:ascii="宋体" w:hAnsi="Times New Roman" w:eastAsia="宋体"/>
      <w:sz w:val="18"/>
    </w:rPr>
  </w:style>
  <w:style w:type="character" w:customStyle="1" w:styleId="80">
    <w:name w:val="批注文字 Char1"/>
    <w:link w:val="17"/>
    <w:qFormat/>
    <w:locked/>
    <w:uiPriority w:val="99"/>
    <w:rPr>
      <w:rFonts w:ascii="Times New Roman" w:hAnsi="Times New Roman" w:eastAsia="宋体"/>
    </w:rPr>
  </w:style>
  <w:style w:type="character" w:customStyle="1" w:styleId="81">
    <w:name w:val="称呼 Char1"/>
    <w:basedOn w:val="49"/>
    <w:link w:val="18"/>
    <w:semiHidden/>
    <w:qFormat/>
    <w:locked/>
    <w:uiPriority w:val="99"/>
    <w:rPr>
      <w:rFonts w:ascii="Times New Roman" w:hAnsi="Times New Roman" w:eastAsia="宋体" w:cs="Times New Roman"/>
    </w:rPr>
  </w:style>
  <w:style w:type="character" w:customStyle="1" w:styleId="82">
    <w:name w:val="正文文本 Char2"/>
    <w:basedOn w:val="49"/>
    <w:link w:val="19"/>
    <w:semiHidden/>
    <w:qFormat/>
    <w:locked/>
    <w:uiPriority w:val="99"/>
    <w:rPr>
      <w:rFonts w:ascii="Times New Roman" w:hAnsi="Times New Roman" w:eastAsia="宋体" w:cs="Times New Roman"/>
    </w:rPr>
  </w:style>
  <w:style w:type="character" w:customStyle="1" w:styleId="83">
    <w:name w:val="正文文本缩进 Char1"/>
    <w:link w:val="20"/>
    <w:semiHidden/>
    <w:qFormat/>
    <w:locked/>
    <w:uiPriority w:val="99"/>
    <w:rPr>
      <w:rFonts w:ascii="Times New Roman" w:hAnsi="Times New Roman" w:eastAsia="宋体"/>
    </w:rPr>
  </w:style>
  <w:style w:type="character" w:customStyle="1" w:styleId="84">
    <w:name w:val="纯文本 Char3"/>
    <w:link w:val="25"/>
    <w:semiHidden/>
    <w:qFormat/>
    <w:locked/>
    <w:uiPriority w:val="99"/>
    <w:rPr>
      <w:rFonts w:ascii="宋体" w:hAnsi="Courier New" w:eastAsia="宋体"/>
      <w:sz w:val="21"/>
    </w:rPr>
  </w:style>
  <w:style w:type="character" w:customStyle="1" w:styleId="85">
    <w:name w:val="日期 Char"/>
    <w:basedOn w:val="49"/>
    <w:link w:val="27"/>
    <w:qFormat/>
    <w:locked/>
    <w:uiPriority w:val="99"/>
    <w:rPr>
      <w:rFonts w:cs="Times New Roman"/>
    </w:rPr>
  </w:style>
  <w:style w:type="character" w:customStyle="1" w:styleId="86">
    <w:name w:val="正文文本缩进 2 Char1"/>
    <w:link w:val="28"/>
    <w:qFormat/>
    <w:locked/>
    <w:uiPriority w:val="99"/>
    <w:rPr>
      <w:sz w:val="24"/>
    </w:rPr>
  </w:style>
  <w:style w:type="character" w:customStyle="1" w:styleId="87">
    <w:name w:val="批注框文本 Char1"/>
    <w:link w:val="29"/>
    <w:qFormat/>
    <w:locked/>
    <w:uiPriority w:val="99"/>
    <w:rPr>
      <w:rFonts w:ascii="Times New Roman" w:hAnsi="Times New Roman" w:eastAsia="宋体"/>
      <w:sz w:val="18"/>
    </w:rPr>
  </w:style>
  <w:style w:type="character" w:customStyle="1" w:styleId="88">
    <w:name w:val="页脚 Char1"/>
    <w:link w:val="30"/>
    <w:semiHidden/>
    <w:qFormat/>
    <w:locked/>
    <w:uiPriority w:val="99"/>
    <w:rPr>
      <w:rFonts w:ascii="Times New Roman" w:hAnsi="Times New Roman" w:eastAsia="宋体"/>
      <w:sz w:val="18"/>
    </w:rPr>
  </w:style>
  <w:style w:type="character" w:customStyle="1" w:styleId="89">
    <w:name w:val="页眉 Char1"/>
    <w:link w:val="32"/>
    <w:semiHidden/>
    <w:qFormat/>
    <w:locked/>
    <w:uiPriority w:val="99"/>
    <w:rPr>
      <w:rFonts w:ascii="Times New Roman" w:hAnsi="Times New Roman" w:eastAsia="宋体"/>
      <w:sz w:val="18"/>
    </w:rPr>
  </w:style>
  <w:style w:type="character" w:customStyle="1" w:styleId="90">
    <w:name w:val="副标题 Char1"/>
    <w:link w:val="35"/>
    <w:qFormat/>
    <w:locked/>
    <w:uiPriority w:val="99"/>
    <w:rPr>
      <w:rFonts w:ascii="Cambria" w:hAnsi="Cambria"/>
      <w:b/>
      <w:kern w:val="28"/>
      <w:sz w:val="32"/>
    </w:rPr>
  </w:style>
  <w:style w:type="character" w:customStyle="1" w:styleId="91">
    <w:name w:val="脚注文本 Char1"/>
    <w:link w:val="36"/>
    <w:qFormat/>
    <w:locked/>
    <w:uiPriority w:val="99"/>
    <w:rPr>
      <w:sz w:val="18"/>
    </w:rPr>
  </w:style>
  <w:style w:type="character" w:customStyle="1" w:styleId="92">
    <w:name w:val="正文文本缩进 3 Char1"/>
    <w:basedOn w:val="49"/>
    <w:link w:val="38"/>
    <w:semiHidden/>
    <w:qFormat/>
    <w:locked/>
    <w:uiPriority w:val="99"/>
    <w:rPr>
      <w:rFonts w:ascii="Times New Roman" w:hAnsi="Times New Roman" w:eastAsia="宋体" w:cs="Times New Roman"/>
      <w:sz w:val="16"/>
    </w:rPr>
  </w:style>
  <w:style w:type="character" w:customStyle="1" w:styleId="93">
    <w:name w:val="标题 Char1"/>
    <w:link w:val="43"/>
    <w:qFormat/>
    <w:locked/>
    <w:uiPriority w:val="99"/>
    <w:rPr>
      <w:rFonts w:ascii="Cambria" w:hAnsi="Cambria" w:eastAsia="宋体"/>
      <w:b/>
      <w:sz w:val="32"/>
    </w:rPr>
  </w:style>
  <w:style w:type="character" w:customStyle="1" w:styleId="94">
    <w:name w:val="批注主题 Char1"/>
    <w:link w:val="44"/>
    <w:qFormat/>
    <w:locked/>
    <w:uiPriority w:val="99"/>
    <w:rPr>
      <w:rFonts w:ascii="Times New Roman" w:hAnsi="Times New Roman" w:eastAsia="宋体"/>
      <w:b/>
    </w:rPr>
  </w:style>
  <w:style w:type="character" w:customStyle="1" w:styleId="95">
    <w:name w:val="正文首行缩进 Char"/>
    <w:basedOn w:val="82"/>
    <w:link w:val="45"/>
    <w:semiHidden/>
    <w:qFormat/>
    <w:locked/>
    <w:uiPriority w:val="99"/>
    <w:rPr>
      <w:sz w:val="21"/>
      <w:szCs w:val="21"/>
    </w:rPr>
  </w:style>
  <w:style w:type="character" w:customStyle="1" w:styleId="96">
    <w:name w:val="标题 1 Char1"/>
    <w:basedOn w:val="49"/>
    <w:link w:val="2"/>
    <w:qFormat/>
    <w:locked/>
    <w:uiPriority w:val="99"/>
    <w:rPr>
      <w:rFonts w:eastAsia="宋体" w:cs="Times New Roman"/>
      <w:b/>
      <w:kern w:val="44"/>
      <w:sz w:val="44"/>
      <w:lang w:val="en-US" w:eastAsia="zh-CN"/>
    </w:rPr>
  </w:style>
  <w:style w:type="character" w:customStyle="1" w:styleId="97">
    <w:name w:val="标题 2 Char1"/>
    <w:basedOn w:val="49"/>
    <w:link w:val="3"/>
    <w:qFormat/>
    <w:locked/>
    <w:uiPriority w:val="99"/>
    <w:rPr>
      <w:rFonts w:ascii="Arial" w:hAnsi="Arial" w:eastAsia="黑体" w:cs="Times New Roman"/>
      <w:b/>
      <w:kern w:val="2"/>
      <w:sz w:val="32"/>
      <w:lang w:val="en-US" w:eastAsia="zh-CN"/>
    </w:rPr>
  </w:style>
  <w:style w:type="character" w:customStyle="1" w:styleId="98">
    <w:name w:val="标题 3 Char1"/>
    <w:basedOn w:val="49"/>
    <w:link w:val="4"/>
    <w:qFormat/>
    <w:locked/>
    <w:uiPriority w:val="99"/>
    <w:rPr>
      <w:rFonts w:cs="Times New Roman"/>
      <w:b/>
      <w:kern w:val="2"/>
      <w:sz w:val="32"/>
    </w:rPr>
  </w:style>
  <w:style w:type="character" w:customStyle="1" w:styleId="99">
    <w:name w:val="标题 4 Char1"/>
    <w:basedOn w:val="49"/>
    <w:link w:val="5"/>
    <w:qFormat/>
    <w:locked/>
    <w:uiPriority w:val="99"/>
    <w:rPr>
      <w:rFonts w:ascii="Arial" w:hAnsi="Arial" w:eastAsia="宋体" w:cs="Times New Roman"/>
      <w:b/>
      <w:kern w:val="2"/>
      <w:sz w:val="28"/>
      <w:lang w:val="en-US" w:eastAsia="zh-CN"/>
    </w:rPr>
  </w:style>
  <w:style w:type="character" w:customStyle="1" w:styleId="100">
    <w:name w:val="标题 5 Char1"/>
    <w:basedOn w:val="49"/>
    <w:link w:val="6"/>
    <w:qFormat/>
    <w:locked/>
    <w:uiPriority w:val="99"/>
    <w:rPr>
      <w:rFonts w:eastAsia="宋体" w:cs="Times New Roman"/>
      <w:b/>
      <w:kern w:val="2"/>
      <w:sz w:val="28"/>
      <w:lang w:val="en-US" w:eastAsia="zh-CN"/>
    </w:rPr>
  </w:style>
  <w:style w:type="character" w:customStyle="1" w:styleId="101">
    <w:name w:val="文档结构图 Char2"/>
    <w:basedOn w:val="49"/>
    <w:link w:val="16"/>
    <w:qFormat/>
    <w:locked/>
    <w:uiPriority w:val="99"/>
    <w:rPr>
      <w:rFonts w:eastAsia="宋体" w:cs="Times New Roman"/>
      <w:kern w:val="2"/>
      <w:sz w:val="24"/>
      <w:lang w:val="en-US" w:eastAsia="zh-CN"/>
    </w:rPr>
  </w:style>
  <w:style w:type="character" w:customStyle="1" w:styleId="102">
    <w:name w:val="批注文字 Char3"/>
    <w:basedOn w:val="49"/>
    <w:link w:val="17"/>
    <w:qFormat/>
    <w:locked/>
    <w:uiPriority w:val="99"/>
    <w:rPr>
      <w:rFonts w:cs="Times New Roman"/>
      <w:sz w:val="24"/>
    </w:rPr>
  </w:style>
  <w:style w:type="character" w:customStyle="1" w:styleId="103">
    <w:name w:val="正文文本缩进 Char2"/>
    <w:basedOn w:val="49"/>
    <w:link w:val="20"/>
    <w:qFormat/>
    <w:locked/>
    <w:uiPriority w:val="99"/>
    <w:rPr>
      <w:rFonts w:ascii="宋体" w:hAnsi="宋体" w:eastAsia="宋体" w:cs="Times New Roman"/>
      <w:kern w:val="2"/>
      <w:sz w:val="21"/>
      <w:lang w:val="en-US" w:eastAsia="zh-CN"/>
    </w:rPr>
  </w:style>
  <w:style w:type="character" w:customStyle="1" w:styleId="104">
    <w:name w:val="纯文本 Char4"/>
    <w:basedOn w:val="49"/>
    <w:link w:val="25"/>
    <w:qFormat/>
    <w:locked/>
    <w:uiPriority w:val="99"/>
    <w:rPr>
      <w:rFonts w:ascii="宋体" w:hAnsi="Courier New" w:eastAsia="宋体" w:cs="Times New Roman"/>
      <w:sz w:val="24"/>
    </w:rPr>
  </w:style>
  <w:style w:type="character" w:customStyle="1" w:styleId="105">
    <w:name w:val="日期 Char2"/>
    <w:basedOn w:val="49"/>
    <w:link w:val="27"/>
    <w:qFormat/>
    <w:locked/>
    <w:uiPriority w:val="99"/>
    <w:rPr>
      <w:rFonts w:ascii="Times New Roman" w:hAnsi="Times New Roman" w:eastAsia="宋体" w:cs="Times New Roman"/>
    </w:rPr>
  </w:style>
  <w:style w:type="character" w:customStyle="1" w:styleId="106">
    <w:name w:val="正文文本缩进 2 Char2"/>
    <w:basedOn w:val="49"/>
    <w:link w:val="28"/>
    <w:qFormat/>
    <w:locked/>
    <w:uiPriority w:val="99"/>
    <w:rPr>
      <w:rFonts w:ascii="Times New Roman" w:hAnsi="Times New Roman" w:eastAsia="宋体" w:cs="Times New Roman"/>
    </w:rPr>
  </w:style>
  <w:style w:type="character" w:customStyle="1" w:styleId="107">
    <w:name w:val="批注框文本 Char2"/>
    <w:basedOn w:val="49"/>
    <w:link w:val="29"/>
    <w:qFormat/>
    <w:locked/>
    <w:uiPriority w:val="99"/>
    <w:rPr>
      <w:rFonts w:cs="Times New Roman"/>
      <w:sz w:val="18"/>
    </w:rPr>
  </w:style>
  <w:style w:type="character" w:customStyle="1" w:styleId="108">
    <w:name w:val="页脚 Char2"/>
    <w:basedOn w:val="49"/>
    <w:link w:val="30"/>
    <w:qFormat/>
    <w:locked/>
    <w:uiPriority w:val="99"/>
    <w:rPr>
      <w:rFonts w:eastAsia="宋体" w:cs="Times New Roman"/>
      <w:kern w:val="2"/>
      <w:sz w:val="18"/>
      <w:lang w:val="en-US" w:eastAsia="zh-CN"/>
    </w:rPr>
  </w:style>
  <w:style w:type="character" w:customStyle="1" w:styleId="109">
    <w:name w:val="页眉 Char2"/>
    <w:basedOn w:val="49"/>
    <w:link w:val="32"/>
    <w:qFormat/>
    <w:locked/>
    <w:uiPriority w:val="99"/>
    <w:rPr>
      <w:rFonts w:eastAsia="宋体" w:cs="Times New Roman"/>
      <w:kern w:val="2"/>
      <w:sz w:val="18"/>
      <w:lang w:val="en-US" w:eastAsia="zh-CN"/>
    </w:rPr>
  </w:style>
  <w:style w:type="character" w:customStyle="1" w:styleId="110">
    <w:name w:val="副标题 Char2"/>
    <w:basedOn w:val="49"/>
    <w:link w:val="35"/>
    <w:qFormat/>
    <w:locked/>
    <w:uiPriority w:val="99"/>
    <w:rPr>
      <w:rFonts w:ascii="Cambria" w:hAnsi="Cambria" w:eastAsia="宋体" w:cs="Times New Roman"/>
      <w:b/>
      <w:kern w:val="28"/>
      <w:sz w:val="32"/>
    </w:rPr>
  </w:style>
  <w:style w:type="character" w:customStyle="1" w:styleId="111">
    <w:name w:val="脚注文本 Char2"/>
    <w:basedOn w:val="49"/>
    <w:link w:val="36"/>
    <w:qFormat/>
    <w:locked/>
    <w:uiPriority w:val="99"/>
    <w:rPr>
      <w:rFonts w:ascii="Times New Roman" w:hAnsi="Times New Roman" w:eastAsia="宋体" w:cs="Times New Roman"/>
      <w:sz w:val="18"/>
    </w:rPr>
  </w:style>
  <w:style w:type="character" w:customStyle="1" w:styleId="112">
    <w:name w:val="标题 Char3"/>
    <w:basedOn w:val="49"/>
    <w:link w:val="43"/>
    <w:qFormat/>
    <w:locked/>
    <w:uiPriority w:val="99"/>
    <w:rPr>
      <w:rFonts w:ascii="Cambria" w:hAnsi="Cambria" w:cs="Times New Roman"/>
      <w:b/>
      <w:sz w:val="32"/>
    </w:rPr>
  </w:style>
  <w:style w:type="character" w:customStyle="1" w:styleId="113">
    <w:name w:val="批注主题 Char2"/>
    <w:basedOn w:val="102"/>
    <w:link w:val="44"/>
    <w:qFormat/>
    <w:locked/>
    <w:uiPriority w:val="99"/>
    <w:rPr>
      <w:b/>
    </w:rPr>
  </w:style>
  <w:style w:type="character" w:customStyle="1" w:styleId="114">
    <w:name w:val="正文文本 Char"/>
    <w:qFormat/>
    <w:uiPriority w:val="99"/>
    <w:rPr>
      <w:rFonts w:ascii="楷体_GB2312" w:eastAsia="楷体_GB2312"/>
      <w:b/>
      <w:sz w:val="48"/>
    </w:rPr>
  </w:style>
  <w:style w:type="character" w:customStyle="1" w:styleId="115">
    <w:name w:val="明显引用 Char1"/>
    <w:qFormat/>
    <w:locked/>
    <w:uiPriority w:val="99"/>
    <w:rPr>
      <w:b/>
      <w:i/>
      <w:color w:val="4F81BD"/>
    </w:rPr>
  </w:style>
  <w:style w:type="paragraph" w:customStyle="1" w:styleId="116">
    <w:name w:val="明显引用111"/>
    <w:basedOn w:val="1"/>
    <w:next w:val="1"/>
    <w:link w:val="117"/>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17">
    <w:name w:val="明显引用 Char2"/>
    <w:basedOn w:val="49"/>
    <w:link w:val="116"/>
    <w:qFormat/>
    <w:locked/>
    <w:uiPriority w:val="99"/>
    <w:rPr>
      <w:rFonts w:ascii="Times New Roman" w:hAnsi="Times New Roman" w:eastAsia="宋体" w:cs="Times New Roman"/>
      <w:b/>
      <w:i/>
      <w:color w:val="4F81BD"/>
    </w:rPr>
  </w:style>
  <w:style w:type="character" w:customStyle="1" w:styleId="118">
    <w:name w:val="页眉 Char"/>
    <w:qFormat/>
    <w:uiPriority w:val="99"/>
    <w:rPr>
      <w:sz w:val="18"/>
    </w:rPr>
  </w:style>
  <w:style w:type="character" w:customStyle="1" w:styleId="119">
    <w:name w:val="批注框文本 Char"/>
    <w:qFormat/>
    <w:uiPriority w:val="99"/>
    <w:rPr>
      <w:sz w:val="18"/>
    </w:rPr>
  </w:style>
  <w:style w:type="character" w:customStyle="1" w:styleId="120">
    <w:name w:val="l2"/>
    <w:basedOn w:val="49"/>
    <w:qFormat/>
    <w:uiPriority w:val="99"/>
    <w:rPr>
      <w:rFonts w:cs="Times New Roman"/>
    </w:rPr>
  </w:style>
  <w:style w:type="character" w:customStyle="1" w:styleId="121">
    <w:name w:val="文档结构图 Char"/>
    <w:qFormat/>
    <w:uiPriority w:val="99"/>
    <w:rPr>
      <w:rFonts w:ascii="宋体"/>
      <w:sz w:val="18"/>
    </w:rPr>
  </w:style>
  <w:style w:type="character" w:customStyle="1" w:styleId="122">
    <w:name w:val="正文文本 Char1"/>
    <w:qFormat/>
    <w:locked/>
    <w:uiPriority w:val="99"/>
    <w:rPr>
      <w:kern w:val="2"/>
      <w:sz w:val="22"/>
    </w:rPr>
  </w:style>
  <w:style w:type="character" w:customStyle="1" w:styleId="123">
    <w:name w:val="正文文本缩进 2 Char"/>
    <w:qFormat/>
    <w:uiPriority w:val="99"/>
    <w:rPr>
      <w:kern w:val="2"/>
      <w:sz w:val="22"/>
    </w:rPr>
  </w:style>
  <w:style w:type="character" w:customStyle="1" w:styleId="124">
    <w:name w:val="r2"/>
    <w:basedOn w:val="49"/>
    <w:qFormat/>
    <w:uiPriority w:val="99"/>
    <w:rPr>
      <w:rFonts w:cs="Times New Roman"/>
    </w:rPr>
  </w:style>
  <w:style w:type="character" w:customStyle="1" w:styleId="125">
    <w:name w:val="批注主题 Char"/>
    <w:qFormat/>
    <w:uiPriority w:val="99"/>
    <w:rPr>
      <w:b/>
    </w:rPr>
  </w:style>
  <w:style w:type="character" w:customStyle="1" w:styleId="126">
    <w:name w:val="副标题 Char"/>
    <w:qFormat/>
    <w:uiPriority w:val="99"/>
    <w:rPr>
      <w:rFonts w:ascii="Cambria" w:hAnsi="Cambria"/>
      <w:b/>
      <w:kern w:val="28"/>
      <w:sz w:val="32"/>
    </w:rPr>
  </w:style>
  <w:style w:type="character" w:customStyle="1" w:styleId="127">
    <w:name w:val="明显引用 Char"/>
    <w:link w:val="128"/>
    <w:qFormat/>
    <w:locked/>
    <w:uiPriority w:val="99"/>
    <w:rPr>
      <w:b/>
      <w:i/>
      <w:color w:val="4F81BD"/>
      <w:kern w:val="2"/>
      <w:sz w:val="22"/>
    </w:rPr>
  </w:style>
  <w:style w:type="paragraph" w:customStyle="1" w:styleId="128">
    <w:name w:val="明显引用11"/>
    <w:basedOn w:val="1"/>
    <w:next w:val="1"/>
    <w:link w:val="127"/>
    <w:qFormat/>
    <w:uiPriority w:val="99"/>
    <w:pPr>
      <w:pBdr>
        <w:bottom w:val="single" w:color="4F81BD" w:sz="4" w:space="4"/>
      </w:pBdr>
      <w:spacing w:before="200" w:after="280"/>
      <w:ind w:left="936" w:right="936"/>
    </w:pPr>
    <w:rPr>
      <w:b/>
      <w:i/>
      <w:color w:val="4F81BD"/>
      <w:sz w:val="22"/>
      <w:szCs w:val="20"/>
    </w:rPr>
  </w:style>
  <w:style w:type="character" w:customStyle="1" w:styleId="129">
    <w:name w:val="引用 Char1"/>
    <w:qFormat/>
    <w:locked/>
    <w:uiPriority w:val="99"/>
    <w:rPr>
      <w:i/>
      <w:color w:val="000000"/>
    </w:rPr>
  </w:style>
  <w:style w:type="paragraph" w:customStyle="1" w:styleId="130">
    <w:name w:val="引用1"/>
    <w:basedOn w:val="1"/>
    <w:next w:val="1"/>
    <w:link w:val="131"/>
    <w:qFormat/>
    <w:uiPriority w:val="99"/>
    <w:rPr>
      <w:i/>
      <w:iCs/>
      <w:color w:val="000000"/>
      <w:kern w:val="0"/>
      <w:sz w:val="20"/>
      <w:szCs w:val="20"/>
    </w:rPr>
  </w:style>
  <w:style w:type="character" w:customStyle="1" w:styleId="131">
    <w:name w:val="引用 Char2"/>
    <w:basedOn w:val="49"/>
    <w:link w:val="130"/>
    <w:qFormat/>
    <w:locked/>
    <w:uiPriority w:val="99"/>
    <w:rPr>
      <w:rFonts w:ascii="Times New Roman" w:hAnsi="Times New Roman" w:eastAsia="宋体" w:cs="Times New Roman"/>
      <w:i/>
      <w:color w:val="000000"/>
    </w:rPr>
  </w:style>
  <w:style w:type="character" w:customStyle="1" w:styleId="132">
    <w:name w:val="注释标题 Char"/>
    <w:semiHidden/>
    <w:qFormat/>
    <w:uiPriority w:val="99"/>
    <w:rPr>
      <w:sz w:val="24"/>
    </w:rPr>
  </w:style>
  <w:style w:type="character" w:customStyle="1" w:styleId="133">
    <w:name w:val="正文文本缩进 3 Char"/>
    <w:qFormat/>
    <w:uiPriority w:val="99"/>
    <w:rPr>
      <w:rFonts w:ascii="宋体"/>
      <w:sz w:val="28"/>
    </w:rPr>
  </w:style>
  <w:style w:type="character" w:customStyle="1" w:styleId="134">
    <w:name w:val="称呼 Char"/>
    <w:semiHidden/>
    <w:qFormat/>
    <w:uiPriority w:val="99"/>
    <w:rPr>
      <w:sz w:val="24"/>
    </w:rPr>
  </w:style>
  <w:style w:type="character" w:customStyle="1" w:styleId="135">
    <w:name w:val="批注文字 Char"/>
    <w:qFormat/>
    <w:uiPriority w:val="99"/>
  </w:style>
  <w:style w:type="character" w:customStyle="1" w:styleId="136">
    <w:name w:val="纯文本 Char2"/>
    <w:qFormat/>
    <w:uiPriority w:val="99"/>
    <w:rPr>
      <w:rFonts w:ascii="宋体" w:hAnsi="Courier New"/>
      <w:kern w:val="2"/>
      <w:sz w:val="21"/>
    </w:rPr>
  </w:style>
  <w:style w:type="character" w:customStyle="1" w:styleId="137">
    <w:name w:val="标题4 Char Char"/>
    <w:link w:val="138"/>
    <w:qFormat/>
    <w:locked/>
    <w:uiPriority w:val="99"/>
    <w:rPr>
      <w:rFonts w:ascii="Arial" w:hAnsi="Arial"/>
      <w:b/>
      <w:sz w:val="32"/>
    </w:rPr>
  </w:style>
  <w:style w:type="paragraph" w:customStyle="1" w:styleId="138">
    <w:name w:val="标题4"/>
    <w:basedOn w:val="3"/>
    <w:next w:val="22"/>
    <w:link w:val="137"/>
    <w:qFormat/>
    <w:uiPriority w:val="99"/>
    <w:pPr>
      <w:spacing w:before="60" w:after="60" w:line="412" w:lineRule="auto"/>
    </w:pPr>
    <w:rPr>
      <w:rFonts w:ascii="Arial" w:hAnsi="Arial"/>
    </w:rPr>
  </w:style>
  <w:style w:type="character" w:customStyle="1" w:styleId="139">
    <w:name w:val="标题5 Char Char"/>
    <w:link w:val="140"/>
    <w:qFormat/>
    <w:locked/>
    <w:uiPriority w:val="99"/>
    <w:rPr>
      <w:rFonts w:ascii="Arial" w:hAnsi="Arial"/>
      <w:b/>
      <w:sz w:val="32"/>
    </w:rPr>
  </w:style>
  <w:style w:type="paragraph" w:customStyle="1" w:styleId="140">
    <w:name w:val="标题5"/>
    <w:basedOn w:val="4"/>
    <w:link w:val="139"/>
    <w:qFormat/>
    <w:uiPriority w:val="99"/>
    <w:pPr>
      <w:spacing w:line="412" w:lineRule="auto"/>
    </w:pPr>
    <w:rPr>
      <w:rFonts w:ascii="Arial" w:hAnsi="Arial"/>
    </w:rPr>
  </w:style>
  <w:style w:type="character" w:customStyle="1" w:styleId="141">
    <w:name w:val="纯文本 Char"/>
    <w:qFormat/>
    <w:uiPriority w:val="99"/>
    <w:rPr>
      <w:rFonts w:ascii="宋体" w:hAnsi="Courier New"/>
      <w:sz w:val="21"/>
    </w:rPr>
  </w:style>
  <w:style w:type="character" w:customStyle="1" w:styleId="142">
    <w:name w:val="页脚 Char"/>
    <w:qFormat/>
    <w:uiPriority w:val="99"/>
    <w:rPr>
      <w:sz w:val="18"/>
    </w:rPr>
  </w:style>
  <w:style w:type="character" w:customStyle="1" w:styleId="143">
    <w:name w:val="标题 Char"/>
    <w:qFormat/>
    <w:uiPriority w:val="99"/>
    <w:rPr>
      <w:rFonts w:ascii="Arial" w:hAnsi="Arial"/>
      <w:b/>
      <w:sz w:val="32"/>
    </w:rPr>
  </w:style>
  <w:style w:type="character" w:customStyle="1" w:styleId="144">
    <w:name w:val="脚注文本 Char"/>
    <w:qFormat/>
    <w:uiPriority w:val="99"/>
    <w:rPr>
      <w:kern w:val="2"/>
      <w:sz w:val="18"/>
    </w:rPr>
  </w:style>
  <w:style w:type="character" w:customStyle="1" w:styleId="145">
    <w:name w:val="正文文本缩进 Char"/>
    <w:qFormat/>
    <w:uiPriority w:val="99"/>
    <w:rPr>
      <w:sz w:val="24"/>
    </w:rPr>
  </w:style>
  <w:style w:type="character" w:customStyle="1" w:styleId="146">
    <w:name w:val="纯文本 Char1"/>
    <w:qFormat/>
    <w:uiPriority w:val="99"/>
    <w:rPr>
      <w:rFonts w:ascii="宋体" w:hAnsi="Courier New" w:eastAsia="宋体"/>
      <w:sz w:val="20"/>
    </w:rPr>
  </w:style>
  <w:style w:type="character" w:customStyle="1" w:styleId="147">
    <w:name w:val="引用 Char"/>
    <w:link w:val="148"/>
    <w:qFormat/>
    <w:locked/>
    <w:uiPriority w:val="99"/>
    <w:rPr>
      <w:i/>
      <w:color w:val="000000"/>
      <w:kern w:val="2"/>
      <w:sz w:val="22"/>
    </w:rPr>
  </w:style>
  <w:style w:type="paragraph" w:customStyle="1" w:styleId="148">
    <w:name w:val="引用11"/>
    <w:basedOn w:val="1"/>
    <w:next w:val="1"/>
    <w:link w:val="147"/>
    <w:qFormat/>
    <w:uiPriority w:val="99"/>
    <w:rPr>
      <w:i/>
      <w:color w:val="000000"/>
      <w:sz w:val="22"/>
      <w:szCs w:val="20"/>
    </w:rPr>
  </w:style>
  <w:style w:type="character" w:customStyle="1" w:styleId="149">
    <w:name w:val="普通文字 Char Char2"/>
    <w:qFormat/>
    <w:uiPriority w:val="99"/>
    <w:rPr>
      <w:rFonts w:ascii="宋体" w:hAnsi="Courier New" w:eastAsia="宋体"/>
      <w:kern w:val="2"/>
      <w:sz w:val="21"/>
      <w:lang w:val="en-US" w:eastAsia="zh-CN"/>
    </w:rPr>
  </w:style>
  <w:style w:type="paragraph" w:customStyle="1" w:styleId="150">
    <w:name w:val="Table Paragraph"/>
    <w:basedOn w:val="1"/>
    <w:qFormat/>
    <w:uiPriority w:val="99"/>
    <w:pPr>
      <w:autoSpaceDE w:val="0"/>
      <w:autoSpaceDN w:val="0"/>
      <w:adjustRightInd w:val="0"/>
      <w:jc w:val="left"/>
    </w:pPr>
    <w:rPr>
      <w:rFonts w:ascii="黑体" w:eastAsia="黑体" w:cs="黑体"/>
      <w:kern w:val="0"/>
      <w:sz w:val="24"/>
      <w:szCs w:val="24"/>
    </w:rPr>
  </w:style>
  <w:style w:type="paragraph" w:customStyle="1" w:styleId="151">
    <w:name w:val="Level 1"/>
    <w:basedOn w:val="1"/>
    <w:next w:val="1"/>
    <w:qFormat/>
    <w:uiPriority w:val="99"/>
    <w:pPr>
      <w:keepNext/>
      <w:widowControl/>
      <w:numPr>
        <w:ilvl w:val="0"/>
        <w:numId w:val="2"/>
      </w:numPr>
      <w:spacing w:line="360" w:lineRule="auto"/>
      <w:outlineLvl w:val="0"/>
    </w:pPr>
    <w:rPr>
      <w:rFonts w:ascii="Arial" w:hAnsi="Arial" w:eastAsia="黑体" w:cs="Arial"/>
      <w:b/>
      <w:bCs/>
      <w:caps/>
      <w:w w:val="105"/>
      <w:kern w:val="20"/>
      <w:sz w:val="24"/>
      <w:szCs w:val="24"/>
      <w:lang w:val="en-GB" w:eastAsia="en-US"/>
    </w:rPr>
  </w:style>
  <w:style w:type="paragraph" w:customStyle="1" w:styleId="152">
    <w:name w:val="Level 8"/>
    <w:basedOn w:val="1"/>
    <w:qFormat/>
    <w:uiPriority w:val="99"/>
    <w:pPr>
      <w:widowControl/>
      <w:numPr>
        <w:ilvl w:val="7"/>
        <w:numId w:val="2"/>
      </w:numPr>
      <w:spacing w:after="120" w:line="336" w:lineRule="auto"/>
      <w:outlineLvl w:val="7"/>
    </w:pPr>
    <w:rPr>
      <w:rFonts w:ascii="Arial" w:hAnsi="Arial" w:cs="Arial"/>
      <w:w w:val="105"/>
      <w:kern w:val="20"/>
      <w:sz w:val="24"/>
      <w:szCs w:val="24"/>
      <w:lang w:val="en-GB" w:eastAsia="en-US"/>
    </w:rPr>
  </w:style>
  <w:style w:type="paragraph" w:customStyle="1" w:styleId="153">
    <w:name w:val="05 Body"/>
    <w:basedOn w:val="1"/>
    <w:qFormat/>
    <w:uiPriority w:val="99"/>
    <w:pPr>
      <w:widowControl/>
      <w:spacing w:line="290" w:lineRule="auto"/>
    </w:pPr>
    <w:rPr>
      <w:rFonts w:ascii="Arial" w:hAnsi="Arial" w:cs="Arial"/>
      <w:kern w:val="20"/>
      <w:sz w:val="24"/>
      <w:szCs w:val="24"/>
      <w:lang w:val="en-GB" w:eastAsia="en-US"/>
    </w:rPr>
  </w:style>
  <w:style w:type="paragraph" w:customStyle="1" w:styleId="154">
    <w:name w:val="Parties"/>
    <w:basedOn w:val="1"/>
    <w:qFormat/>
    <w:uiPriority w:val="99"/>
    <w:pPr>
      <w:widowControl/>
      <w:numPr>
        <w:ilvl w:val="0"/>
        <w:numId w:val="3"/>
      </w:numPr>
      <w:spacing w:after="140" w:line="290" w:lineRule="auto"/>
    </w:pPr>
    <w:rPr>
      <w:rFonts w:ascii="Arial" w:hAnsi="Arial" w:cs="Arial"/>
      <w:kern w:val="20"/>
      <w:sz w:val="20"/>
      <w:szCs w:val="20"/>
      <w:lang w:val="en-GB" w:eastAsia="en-US"/>
    </w:rPr>
  </w:style>
  <w:style w:type="paragraph" w:customStyle="1" w:styleId="155">
    <w:name w:val="Level 5"/>
    <w:basedOn w:val="156"/>
    <w:qFormat/>
    <w:uiPriority w:val="99"/>
    <w:pPr>
      <w:numPr>
        <w:ilvl w:val="4"/>
      </w:numPr>
      <w:tabs>
        <w:tab w:val="left" w:pos="1361"/>
      </w:tabs>
      <w:outlineLvl w:val="4"/>
    </w:pPr>
  </w:style>
  <w:style w:type="paragraph" w:customStyle="1" w:styleId="156">
    <w:name w:val="Level 4"/>
    <w:basedOn w:val="1"/>
    <w:qFormat/>
    <w:uiPriority w:val="99"/>
    <w:pPr>
      <w:numPr>
        <w:ilvl w:val="3"/>
        <w:numId w:val="2"/>
      </w:numPr>
      <w:spacing w:after="120" w:line="336" w:lineRule="auto"/>
      <w:outlineLvl w:val="3"/>
    </w:pPr>
    <w:rPr>
      <w:rFonts w:ascii="Arial" w:hAnsi="Arial" w:cs="Arial"/>
      <w:w w:val="105"/>
      <w:kern w:val="20"/>
      <w:sz w:val="24"/>
      <w:szCs w:val="24"/>
      <w:lang w:val="en-GB" w:eastAsia="en-US"/>
    </w:rPr>
  </w:style>
  <w:style w:type="paragraph" w:customStyle="1" w:styleId="157">
    <w:name w:val="Body"/>
    <w:basedOn w:val="1"/>
    <w:qFormat/>
    <w:uiPriority w:val="99"/>
    <w:pPr>
      <w:widowControl/>
      <w:spacing w:after="140" w:line="290" w:lineRule="auto"/>
    </w:pPr>
    <w:rPr>
      <w:rFonts w:ascii="Arial" w:hAnsi="Arial" w:cs="Arial"/>
      <w:kern w:val="20"/>
      <w:sz w:val="20"/>
      <w:szCs w:val="20"/>
      <w:lang w:val="en-GB" w:eastAsia="en-US"/>
    </w:rPr>
  </w:style>
  <w:style w:type="paragraph" w:customStyle="1" w:styleId="158">
    <w:name w:val="Char"/>
    <w:basedOn w:val="1"/>
    <w:qFormat/>
    <w:uiPriority w:val="99"/>
    <w:pPr>
      <w:snapToGrid w:val="0"/>
      <w:spacing w:line="440" w:lineRule="atLeast"/>
    </w:pPr>
    <w:rPr>
      <w:rFonts w:ascii="宋体" w:cs="宋体"/>
      <w:sz w:val="24"/>
      <w:szCs w:val="24"/>
    </w:rPr>
  </w:style>
  <w:style w:type="paragraph" w:customStyle="1" w:styleId="159">
    <w:name w:val="样式 标题 2 + Times New Roman 四号 非加粗 段前: 5 磅 段后: 0 磅 行距: 固定值 20..."/>
    <w:basedOn w:val="3"/>
    <w:next w:val="1"/>
    <w:qFormat/>
    <w:uiPriority w:val="99"/>
    <w:pPr>
      <w:spacing w:before="100" w:after="0" w:line="400" w:lineRule="exact"/>
    </w:pPr>
    <w:rPr>
      <w:rFonts w:ascii="Times New Roman" w:hAnsi="Times New Roman" w:eastAsia="黑体"/>
      <w:b w:val="0"/>
      <w:sz w:val="28"/>
      <w:szCs w:val="28"/>
    </w:rPr>
  </w:style>
  <w:style w:type="paragraph" w:customStyle="1" w:styleId="160">
    <w:name w:val="03 Wheras"/>
    <w:basedOn w:val="1"/>
    <w:qFormat/>
    <w:uiPriority w:val="99"/>
    <w:pPr>
      <w:widowControl/>
      <w:spacing w:line="290" w:lineRule="auto"/>
    </w:pPr>
    <w:rPr>
      <w:rFonts w:ascii="Arial" w:hAnsi="Arial" w:eastAsia="黑体" w:cs="Arial"/>
      <w:b/>
      <w:bCs/>
      <w:kern w:val="20"/>
      <w:sz w:val="24"/>
      <w:szCs w:val="24"/>
      <w:lang w:val="en-GB" w:eastAsia="en-US"/>
    </w:rPr>
  </w:style>
  <w:style w:type="paragraph" w:customStyle="1" w:styleId="161">
    <w:name w:val="Level 6"/>
    <w:basedOn w:val="155"/>
    <w:qFormat/>
    <w:uiPriority w:val="99"/>
    <w:pPr>
      <w:numPr>
        <w:ilvl w:val="5"/>
      </w:numPr>
      <w:outlineLvl w:val="5"/>
    </w:pPr>
  </w:style>
  <w:style w:type="paragraph" w:customStyle="1" w:styleId="162">
    <w:name w:val="Level 7"/>
    <w:basedOn w:val="1"/>
    <w:qFormat/>
    <w:uiPriority w:val="99"/>
    <w:pPr>
      <w:widowControl/>
      <w:numPr>
        <w:ilvl w:val="6"/>
        <w:numId w:val="2"/>
      </w:numPr>
      <w:spacing w:after="120" w:line="336" w:lineRule="auto"/>
      <w:outlineLvl w:val="6"/>
    </w:pPr>
    <w:rPr>
      <w:rFonts w:ascii="Arial" w:hAnsi="Arial" w:cs="Arial"/>
      <w:w w:val="105"/>
      <w:kern w:val="20"/>
      <w:sz w:val="24"/>
      <w:szCs w:val="24"/>
      <w:lang w:val="en-GB" w:eastAsia="en-US"/>
    </w:rPr>
  </w:style>
  <w:style w:type="paragraph" w:customStyle="1" w:styleId="163">
    <w:name w:val="WPSOffice手动目录 1"/>
    <w:qFormat/>
    <w:uiPriority w:val="99"/>
    <w:rPr>
      <w:rFonts w:ascii="Times New Roman" w:hAnsi="Times New Roman" w:eastAsia="宋体" w:cs="Times New Roman"/>
      <w:lang w:val="en-US" w:eastAsia="zh-CN" w:bidi="ar-SA"/>
    </w:rPr>
  </w:style>
  <w:style w:type="paragraph" w:customStyle="1" w:styleId="164">
    <w:name w:val="04 Recitals"/>
    <w:basedOn w:val="153"/>
    <w:qFormat/>
    <w:uiPriority w:val="99"/>
    <w:pPr>
      <w:numPr>
        <w:ilvl w:val="0"/>
        <w:numId w:val="4"/>
      </w:numPr>
    </w:pPr>
  </w:style>
  <w:style w:type="paragraph" w:customStyle="1" w:styleId="165">
    <w:name w:val="zFSNarrative"/>
    <w:basedOn w:val="1"/>
    <w:qFormat/>
    <w:uiPriority w:val="99"/>
    <w:pPr>
      <w:widowControl/>
      <w:spacing w:before="120" w:after="120" w:line="290" w:lineRule="auto"/>
      <w:jc w:val="center"/>
    </w:pPr>
    <w:rPr>
      <w:rFonts w:ascii="Arial" w:hAnsi="Arial" w:cs="Arial"/>
      <w:kern w:val="20"/>
      <w:sz w:val="20"/>
      <w:szCs w:val="20"/>
      <w:lang w:val="en-GB" w:eastAsia="en-US"/>
    </w:rPr>
  </w:style>
  <w:style w:type="paragraph" w:customStyle="1" w:styleId="166">
    <w:name w:val="02 Parties"/>
    <w:basedOn w:val="1"/>
    <w:qFormat/>
    <w:uiPriority w:val="99"/>
    <w:pPr>
      <w:widowControl/>
      <w:numPr>
        <w:ilvl w:val="0"/>
        <w:numId w:val="5"/>
      </w:numPr>
      <w:spacing w:line="290" w:lineRule="auto"/>
    </w:pPr>
    <w:rPr>
      <w:rFonts w:ascii="Arial" w:hAnsi="Arial" w:cs="Arial"/>
      <w:kern w:val="20"/>
      <w:sz w:val="24"/>
      <w:szCs w:val="24"/>
      <w:lang w:val="en-GB" w:eastAsia="en-US"/>
    </w:rPr>
  </w:style>
  <w:style w:type="paragraph" w:customStyle="1" w:styleId="167">
    <w:name w:val="修订1"/>
    <w:qFormat/>
    <w:uiPriority w:val="99"/>
    <w:rPr>
      <w:rFonts w:ascii="Times New Roman" w:hAnsi="Times New Roman" w:eastAsia="宋体" w:cs="Times New Roman"/>
      <w:kern w:val="2"/>
      <w:sz w:val="21"/>
      <w:szCs w:val="21"/>
      <w:lang w:val="en-US" w:eastAsia="zh-CN" w:bidi="ar-SA"/>
    </w:rPr>
  </w:style>
  <w:style w:type="paragraph" w:customStyle="1" w:styleId="168">
    <w:name w:val="Char Char Char Char Char Char Char"/>
    <w:basedOn w:val="1"/>
    <w:qFormat/>
    <w:uiPriority w:val="99"/>
    <w:rPr>
      <w:rFonts w:ascii="仿宋_GB2312" w:eastAsia="仿宋_GB2312" w:cs="仿宋_GB2312"/>
      <w:spacing w:val="-4"/>
      <w:sz w:val="32"/>
      <w:szCs w:val="32"/>
    </w:rPr>
  </w:style>
  <w:style w:type="paragraph" w:customStyle="1" w:styleId="169">
    <w:name w:val="Level 3"/>
    <w:basedOn w:val="1"/>
    <w:qFormat/>
    <w:uiPriority w:val="99"/>
    <w:pPr>
      <w:numPr>
        <w:ilvl w:val="2"/>
        <w:numId w:val="2"/>
      </w:numPr>
      <w:spacing w:after="120" w:line="336" w:lineRule="auto"/>
      <w:outlineLvl w:val="2"/>
    </w:pPr>
    <w:rPr>
      <w:rFonts w:ascii="Arial" w:hAnsi="Arial" w:cs="Arial"/>
      <w:w w:val="105"/>
      <w:kern w:val="20"/>
      <w:sz w:val="24"/>
      <w:szCs w:val="24"/>
      <w:lang w:val="en-GB" w:eastAsia="en-US"/>
    </w:rPr>
  </w:style>
  <w:style w:type="paragraph" w:customStyle="1" w:styleId="170">
    <w:name w:val="列出段落1"/>
    <w:basedOn w:val="1"/>
    <w:qFormat/>
    <w:uiPriority w:val="99"/>
    <w:pPr>
      <w:ind w:firstLine="420" w:firstLineChars="200"/>
    </w:pPr>
  </w:style>
  <w:style w:type="paragraph" w:customStyle="1" w:styleId="171">
    <w:name w:val="zFSco-names"/>
    <w:basedOn w:val="1"/>
    <w:next w:val="1"/>
    <w:qFormat/>
    <w:uiPriority w:val="99"/>
    <w:pPr>
      <w:widowControl/>
      <w:spacing w:before="120" w:after="120" w:line="290" w:lineRule="auto"/>
      <w:jc w:val="center"/>
    </w:pPr>
    <w:rPr>
      <w:rFonts w:ascii="Arial" w:hAnsi="Arial" w:cs="Arial"/>
      <w:kern w:val="24"/>
      <w:sz w:val="24"/>
      <w:szCs w:val="24"/>
      <w:lang w:val="en-GB" w:eastAsia="en-US"/>
    </w:rPr>
  </w:style>
  <w:style w:type="paragraph" w:customStyle="1" w:styleId="172">
    <w:name w:val="Level 2"/>
    <w:basedOn w:val="1"/>
    <w:next w:val="1"/>
    <w:qFormat/>
    <w:uiPriority w:val="99"/>
    <w:pPr>
      <w:numPr>
        <w:ilvl w:val="1"/>
        <w:numId w:val="2"/>
      </w:numPr>
      <w:spacing w:line="360" w:lineRule="auto"/>
      <w:outlineLvl w:val="1"/>
    </w:pPr>
    <w:rPr>
      <w:rFonts w:ascii="Arial" w:hAnsi="Arial" w:cs="Arial"/>
      <w:w w:val="105"/>
      <w:kern w:val="20"/>
      <w:sz w:val="24"/>
      <w:szCs w:val="24"/>
      <w:lang w:val="en-GB" w:eastAsia="en-US"/>
    </w:rPr>
  </w:style>
  <w:style w:type="paragraph" w:customStyle="1" w:styleId="173">
    <w:name w:val="PT-WZ"/>
    <w:qFormat/>
    <w:uiPriority w:val="99"/>
    <w:pPr>
      <w:widowControl w:val="0"/>
      <w:adjustRightInd w:val="0"/>
      <w:snapToGrid w:val="0"/>
      <w:spacing w:line="50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174">
    <w:name w:val="Heading 81"/>
    <w:basedOn w:val="1"/>
    <w:qFormat/>
    <w:uiPriority w:val="99"/>
    <w:pPr>
      <w:autoSpaceDE w:val="0"/>
      <w:autoSpaceDN w:val="0"/>
      <w:ind w:left="765"/>
      <w:jc w:val="left"/>
      <w:outlineLvl w:val="8"/>
    </w:pPr>
    <w:rPr>
      <w:rFonts w:ascii="宋体" w:hAnsi="宋体" w:cs="宋体"/>
      <w:b/>
      <w:bCs/>
      <w:kern w:val="0"/>
      <w:lang w:val="zh-CN"/>
    </w:rPr>
  </w:style>
  <w:style w:type="paragraph" w:customStyle="1" w:styleId="175">
    <w:name w:val="标题 81"/>
    <w:basedOn w:val="1"/>
    <w:qFormat/>
    <w:uiPriority w:val="99"/>
    <w:pPr>
      <w:autoSpaceDE w:val="0"/>
      <w:autoSpaceDN w:val="0"/>
      <w:ind w:left="765"/>
      <w:jc w:val="left"/>
      <w:outlineLvl w:val="8"/>
    </w:pPr>
    <w:rPr>
      <w:rFonts w:ascii="宋体" w:hAnsi="宋体" w:cs="宋体"/>
      <w:b/>
      <w:bCs/>
      <w:kern w:val="0"/>
      <w:lang w:val="zh-CN"/>
    </w:rPr>
  </w:style>
  <w:style w:type="character" w:customStyle="1" w:styleId="176">
    <w:name w:val="fontstyle01"/>
    <w:qFormat/>
    <w:uiPriority w:val="99"/>
    <w:rPr>
      <w:rFonts w:ascii="Times New Roman" w:hAnsi="Times New Roman" w:eastAsia="宋体"/>
      <w:color w:val="000000"/>
      <w:sz w:val="22"/>
    </w:rPr>
  </w:style>
  <w:style w:type="paragraph" w:customStyle="1" w:styleId="177">
    <w:name w:val="_Style 2"/>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78">
    <w:name w:val="1"/>
    <w:basedOn w:val="1"/>
    <w:next w:val="25"/>
    <w:qFormat/>
    <w:uiPriority w:val="99"/>
    <w:rPr>
      <w:rFonts w:ascii="宋体" w:hAnsi="Courier New"/>
      <w:szCs w:val="20"/>
    </w:rPr>
  </w:style>
  <w:style w:type="paragraph" w:customStyle="1" w:styleId="179">
    <w:name w:val="2"/>
    <w:basedOn w:val="1"/>
    <w:next w:val="25"/>
    <w:qFormat/>
    <w:uiPriority w:val="99"/>
    <w:rPr>
      <w:rFonts w:ascii="宋体" w:hAnsi="Courier New"/>
      <w:szCs w:val="20"/>
    </w:rPr>
  </w:style>
  <w:style w:type="paragraph" w:customStyle="1" w:styleId="180">
    <w:name w:val="标题 1_0"/>
    <w:basedOn w:val="181"/>
    <w:next w:val="181"/>
    <w:qFormat/>
    <w:uiPriority w:val="99"/>
    <w:pPr>
      <w:keepNext/>
      <w:keepLines/>
      <w:spacing w:line="360" w:lineRule="auto"/>
      <w:outlineLvl w:val="0"/>
    </w:pPr>
    <w:rPr>
      <w:rFonts w:ascii="Times New Roman" w:hAnsi="Times New Roman" w:eastAsia="黑体" w:cs="Times New Roman"/>
      <w:b/>
      <w:bCs/>
      <w:kern w:val="44"/>
      <w:sz w:val="32"/>
      <w:szCs w:val="32"/>
    </w:rPr>
  </w:style>
  <w:style w:type="paragraph" w:customStyle="1" w:styleId="181">
    <w:name w:val="正文_2_0"/>
    <w:basedOn w:val="182"/>
    <w:qFormat/>
    <w:uiPriority w:val="99"/>
  </w:style>
  <w:style w:type="paragraph" w:customStyle="1" w:styleId="182">
    <w:name w:val="正文_3"/>
    <w:basedOn w:val="183"/>
    <w:qFormat/>
    <w:uiPriority w:val="99"/>
    <w:rPr>
      <w:rFonts w:cs="宋体"/>
      <w:szCs w:val="21"/>
    </w:rPr>
  </w:style>
  <w:style w:type="paragraph" w:customStyle="1" w:styleId="183">
    <w:name w:val="正文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4">
    <w:name w:val="标题 4_0"/>
    <w:basedOn w:val="185"/>
    <w:next w:val="186"/>
    <w:qFormat/>
    <w:uiPriority w:val="99"/>
    <w:pPr>
      <w:keepNext/>
      <w:keepLines/>
      <w:spacing w:line="360" w:lineRule="auto"/>
      <w:outlineLvl w:val="3"/>
    </w:pPr>
    <w:rPr>
      <w:rFonts w:ascii="Arial" w:hAnsi="Arial"/>
      <w:b/>
      <w:bCs/>
      <w:szCs w:val="28"/>
    </w:rPr>
  </w:style>
  <w:style w:type="paragraph" w:customStyle="1" w:styleId="185">
    <w:name w:val="正文_0"/>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86">
    <w:name w:val="正文_2"/>
    <w:basedOn w:val="182"/>
    <w:next w:val="184"/>
    <w:qFormat/>
    <w:uiPriority w:val="99"/>
    <w:rPr>
      <w:szCs w:val="22"/>
    </w:rPr>
  </w:style>
  <w:style w:type="paragraph" w:customStyle="1" w:styleId="187">
    <w:name w:val="正文_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8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89">
    <w:name w:val="无间隔11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0">
    <w:name w:val="正文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1">
    <w:name w:val="正文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2">
    <w:name w:val="正文_0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3">
    <w:name w:val="标题 2_0"/>
    <w:basedOn w:val="185"/>
    <w:next w:val="185"/>
    <w:qFormat/>
    <w:uiPriority w:val="99"/>
    <w:pPr>
      <w:keepNext/>
      <w:keepLines/>
      <w:spacing w:before="260" w:after="260" w:line="416" w:lineRule="auto"/>
      <w:outlineLvl w:val="1"/>
    </w:pPr>
    <w:rPr>
      <w:rFonts w:ascii="Cambria" w:hAnsi="Cambria"/>
      <w:b/>
      <w:bCs/>
      <w:sz w:val="32"/>
      <w:szCs w:val="32"/>
    </w:rPr>
  </w:style>
  <w:style w:type="paragraph" w:customStyle="1" w:styleId="194">
    <w:name w:val="正文_3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5">
    <w:name w:val="标题 4_0_0"/>
    <w:basedOn w:val="196"/>
    <w:next w:val="197"/>
    <w:qFormat/>
    <w:uiPriority w:val="99"/>
    <w:pPr>
      <w:keepNext/>
      <w:keepLines/>
      <w:spacing w:line="360" w:lineRule="auto"/>
      <w:outlineLvl w:val="3"/>
    </w:pPr>
    <w:rPr>
      <w:rFonts w:ascii="Arial" w:hAnsi="Arial"/>
      <w:b/>
      <w:bCs/>
      <w:szCs w:val="28"/>
    </w:rPr>
  </w:style>
  <w:style w:type="paragraph" w:customStyle="1" w:styleId="196">
    <w:name w:val="正文_0_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97">
    <w:name w:val="正文_2_0_0"/>
    <w:basedOn w:val="194"/>
    <w:next w:val="195"/>
    <w:qFormat/>
    <w:uiPriority w:val="99"/>
  </w:style>
  <w:style w:type="paragraph" w:customStyle="1" w:styleId="198">
    <w:name w:val="标题 3_0"/>
    <w:basedOn w:val="197"/>
    <w:next w:val="181"/>
    <w:qFormat/>
    <w:uiPriority w:val="99"/>
    <w:pPr>
      <w:keepNext/>
      <w:keepLines/>
      <w:spacing w:before="260" w:after="260" w:line="416" w:lineRule="auto"/>
      <w:outlineLvl w:val="2"/>
    </w:pPr>
    <w:rPr>
      <w:rFonts w:ascii="Times New Roman" w:hAnsi="Times New Roman"/>
      <w:b/>
      <w:bCs/>
      <w:sz w:val="32"/>
      <w:szCs w:val="32"/>
    </w:rPr>
  </w:style>
  <w:style w:type="paragraph" w:customStyle="1" w:styleId="199">
    <w:name w:val="纯文本_0"/>
    <w:basedOn w:val="181"/>
    <w:qFormat/>
    <w:uiPriority w:val="99"/>
    <w:rPr>
      <w:rFonts w:ascii="宋体" w:hAnsi="Courier New" w:cs="Times New Roman"/>
      <w:sz w:val="24"/>
      <w:szCs w:val="24"/>
    </w:rPr>
  </w:style>
  <w:style w:type="paragraph" w:customStyle="1" w:styleId="200">
    <w:name w:val="标题 3_1"/>
    <w:basedOn w:val="182"/>
    <w:next w:val="182"/>
    <w:qFormat/>
    <w:uiPriority w:val="99"/>
    <w:pPr>
      <w:keepNext/>
      <w:keepLines/>
      <w:spacing w:before="260" w:after="260" w:line="416" w:lineRule="auto"/>
      <w:outlineLvl w:val="2"/>
    </w:pPr>
    <w:rPr>
      <w:rFonts w:ascii="Times New Roman" w:hAnsi="Times New Roman" w:cs="Times New Roman"/>
      <w:b/>
      <w:bCs/>
      <w:sz w:val="32"/>
      <w:szCs w:val="32"/>
    </w:rPr>
  </w:style>
  <w:style w:type="paragraph" w:customStyle="1" w:styleId="201">
    <w:name w:val="正文_2_0_0_0"/>
    <w:basedOn w:val="194"/>
    <w:qFormat/>
    <w:uiPriority w:val="99"/>
  </w:style>
  <w:style w:type="paragraph" w:customStyle="1" w:styleId="202">
    <w:name w:val="标题 4_1"/>
    <w:basedOn w:val="181"/>
    <w:next w:val="181"/>
    <w:qFormat/>
    <w:uiPriority w:val="99"/>
    <w:pPr>
      <w:keepNext/>
      <w:keepLines/>
      <w:spacing w:before="280" w:after="290" w:line="372" w:lineRule="auto"/>
      <w:outlineLvl w:val="3"/>
    </w:pPr>
    <w:rPr>
      <w:rFonts w:ascii="Cambria" w:hAnsi="Cambria" w:cs="Times New Roman"/>
      <w:b/>
      <w:bCs/>
      <w:kern w:val="0"/>
      <w:sz w:val="28"/>
      <w:szCs w:val="28"/>
    </w:rPr>
  </w:style>
  <w:style w:type="paragraph" w:customStyle="1" w:styleId="203">
    <w:name w:val="正文文本_0"/>
    <w:basedOn w:val="194"/>
    <w:qFormat/>
    <w:uiPriority w:val="99"/>
    <w:pPr>
      <w:adjustRightInd w:val="0"/>
      <w:spacing w:after="60" w:line="360" w:lineRule="atLeast"/>
      <w:ind w:left="72" w:leftChars="30" w:right="30" w:rightChars="30"/>
      <w:jc w:val="center"/>
      <w:textAlignment w:val="baseline"/>
    </w:pPr>
  </w:style>
  <w:style w:type="character" w:customStyle="1" w:styleId="204">
    <w:name w:val="hover3"/>
    <w:basedOn w:val="49"/>
    <w:qFormat/>
    <w:uiPriority w:val="99"/>
    <w:rPr>
      <w:rFonts w:cs="Times New Roman"/>
      <w:shd w:val="clear" w:color="auto" w:fill="9370DB"/>
    </w:rPr>
  </w:style>
  <w:style w:type="character" w:customStyle="1" w:styleId="205">
    <w:name w:val="hover1"/>
    <w:basedOn w:val="49"/>
    <w:qFormat/>
    <w:uiPriority w:val="99"/>
    <w:rPr>
      <w:rFonts w:cs="Times New Roman"/>
      <w:shd w:val="clear" w:color="auto" w:fill="9370DB"/>
    </w:rPr>
  </w:style>
  <w:style w:type="character" w:customStyle="1" w:styleId="206">
    <w:name w:val="hover"/>
    <w:basedOn w:val="49"/>
    <w:qFormat/>
    <w:uiPriority w:val="99"/>
    <w:rPr>
      <w:rFonts w:cs="Times New Roman"/>
      <w:shd w:val="clear" w:color="auto" w:fill="9370DB"/>
    </w:rPr>
  </w:style>
  <w:style w:type="character" w:customStyle="1" w:styleId="207">
    <w:name w:val="批注文字 Char Char"/>
    <w:qFormat/>
    <w:uiPriority w:val="99"/>
    <w:rPr>
      <w:rFonts w:ascii="宋体" w:hAnsi="Times New Roman" w:eastAsia="宋体"/>
      <w:sz w:val="20"/>
    </w:rPr>
  </w:style>
  <w:style w:type="character" w:customStyle="1" w:styleId="208">
    <w:name w:val="Char Char21"/>
    <w:qFormat/>
    <w:uiPriority w:val="99"/>
    <w:rPr>
      <w:rFonts w:ascii="Arial" w:hAnsi="Arial" w:eastAsia="黑体"/>
      <w:b/>
      <w:sz w:val="32"/>
    </w:rPr>
  </w:style>
  <w:style w:type="character" w:customStyle="1" w:styleId="209">
    <w:name w:val="不明显参考1"/>
    <w:qFormat/>
    <w:uiPriority w:val="99"/>
    <w:rPr>
      <w:smallCaps/>
      <w:color w:val="auto"/>
      <w:u w:val="single"/>
    </w:rPr>
  </w:style>
  <w:style w:type="character" w:customStyle="1" w:styleId="210">
    <w:name w:val="Char Char20"/>
    <w:qFormat/>
    <w:uiPriority w:val="99"/>
    <w:rPr>
      <w:rFonts w:ascii="Times New Roman" w:hAnsi="Times New Roman" w:eastAsia="宋体"/>
      <w:b/>
      <w:sz w:val="32"/>
    </w:rPr>
  </w:style>
  <w:style w:type="character" w:customStyle="1" w:styleId="211">
    <w:name w:val="Char Char6"/>
    <w:qFormat/>
    <w:uiPriority w:val="99"/>
    <w:rPr>
      <w:rFonts w:eastAsia="宋体"/>
      <w:b/>
      <w:kern w:val="44"/>
      <w:sz w:val="44"/>
      <w:lang w:val="en-US" w:eastAsia="zh-CN"/>
    </w:rPr>
  </w:style>
  <w:style w:type="character" w:customStyle="1" w:styleId="212">
    <w:name w:val="Char Char18"/>
    <w:qFormat/>
    <w:uiPriority w:val="99"/>
    <w:rPr>
      <w:rFonts w:ascii="Times New Roman" w:hAnsi="Times New Roman" w:eastAsia="宋体"/>
      <w:b/>
      <w:sz w:val="28"/>
    </w:rPr>
  </w:style>
  <w:style w:type="character" w:customStyle="1" w:styleId="213">
    <w:name w:val="Comment Text Char1"/>
    <w:qFormat/>
    <w:uiPriority w:val="99"/>
    <w:rPr>
      <w:sz w:val="24"/>
    </w:rPr>
  </w:style>
  <w:style w:type="character" w:customStyle="1" w:styleId="214">
    <w:name w:val="批注文字 Char2"/>
    <w:qFormat/>
    <w:locked/>
    <w:uiPriority w:val="99"/>
    <w:rPr>
      <w:rFonts w:eastAsia="宋体"/>
      <w:kern w:val="2"/>
      <w:sz w:val="24"/>
      <w:lang w:val="en-US" w:eastAsia="zh-CN"/>
    </w:rPr>
  </w:style>
  <w:style w:type="character" w:customStyle="1" w:styleId="215">
    <w:name w:val="Char Char24"/>
    <w:qFormat/>
    <w:uiPriority w:val="99"/>
    <w:rPr>
      <w:rFonts w:eastAsia="宋体"/>
      <w:b/>
      <w:kern w:val="44"/>
      <w:sz w:val="44"/>
      <w:lang w:val="en-US" w:eastAsia="zh-CN"/>
    </w:rPr>
  </w:style>
  <w:style w:type="character" w:customStyle="1" w:styleId="216">
    <w:name w:val="Char Char9"/>
    <w:qFormat/>
    <w:uiPriority w:val="99"/>
    <w:rPr>
      <w:rFonts w:eastAsia="宋体"/>
      <w:b/>
      <w:kern w:val="44"/>
      <w:sz w:val="44"/>
      <w:lang w:val="en-US" w:eastAsia="zh-CN"/>
    </w:rPr>
  </w:style>
  <w:style w:type="character" w:customStyle="1" w:styleId="217">
    <w:name w:val="Heading 3 Char1"/>
    <w:qFormat/>
    <w:uiPriority w:val="99"/>
    <w:rPr>
      <w:rFonts w:eastAsia="宋体"/>
      <w:b/>
      <w:kern w:val="2"/>
      <w:sz w:val="32"/>
      <w:lang w:val="en-US" w:eastAsia="zh-CN"/>
    </w:rPr>
  </w:style>
  <w:style w:type="character" w:customStyle="1" w:styleId="218">
    <w:name w:val="Char Char22"/>
    <w:qFormat/>
    <w:uiPriority w:val="99"/>
    <w:rPr>
      <w:rFonts w:ascii="Times New Roman" w:hAnsi="Times New Roman" w:eastAsia="宋体"/>
      <w:b/>
      <w:kern w:val="44"/>
      <w:sz w:val="44"/>
    </w:rPr>
  </w:style>
  <w:style w:type="character" w:customStyle="1" w:styleId="219">
    <w:name w:val="明显参考1"/>
    <w:qFormat/>
    <w:uiPriority w:val="99"/>
    <w:rPr>
      <w:b/>
      <w:smallCaps/>
      <w:color w:val="auto"/>
      <w:spacing w:val="5"/>
      <w:u w:val="single"/>
    </w:rPr>
  </w:style>
  <w:style w:type="character" w:customStyle="1" w:styleId="220">
    <w:name w:val="明显强调1"/>
    <w:qFormat/>
    <w:uiPriority w:val="99"/>
    <w:rPr>
      <w:b/>
      <w:i/>
      <w:color w:val="4F81BD"/>
    </w:rPr>
  </w:style>
  <w:style w:type="character" w:customStyle="1" w:styleId="221">
    <w:name w:val="标题 Char2"/>
    <w:qFormat/>
    <w:uiPriority w:val="99"/>
    <w:rPr>
      <w:rFonts w:ascii="Cambria" w:hAnsi="Cambria" w:eastAsia="宋体"/>
      <w:b/>
      <w:sz w:val="32"/>
    </w:rPr>
  </w:style>
  <w:style w:type="character" w:customStyle="1" w:styleId="222">
    <w:name w:val="Char Char23"/>
    <w:qFormat/>
    <w:uiPriority w:val="99"/>
    <w:rPr>
      <w:rFonts w:eastAsia="宋体"/>
      <w:b/>
      <w:kern w:val="44"/>
      <w:sz w:val="44"/>
      <w:lang w:val="en-US" w:eastAsia="zh-CN"/>
    </w:rPr>
  </w:style>
  <w:style w:type="character" w:customStyle="1" w:styleId="223">
    <w:name w:val="Char Char91"/>
    <w:qFormat/>
    <w:uiPriority w:val="99"/>
    <w:rPr>
      <w:rFonts w:eastAsia="宋体"/>
      <w:b/>
      <w:kern w:val="44"/>
      <w:sz w:val="44"/>
      <w:lang w:val="en-US" w:eastAsia="zh-CN"/>
    </w:rPr>
  </w:style>
  <w:style w:type="character" w:customStyle="1" w:styleId="224">
    <w:name w:val="Char Char181"/>
    <w:qFormat/>
    <w:uiPriority w:val="99"/>
    <w:rPr>
      <w:b/>
      <w:kern w:val="44"/>
      <w:sz w:val="44"/>
    </w:rPr>
  </w:style>
  <w:style w:type="character" w:customStyle="1" w:styleId="225">
    <w:name w:val="Char Char19"/>
    <w:qFormat/>
    <w:uiPriority w:val="99"/>
    <w:rPr>
      <w:rFonts w:ascii="Arial" w:hAnsi="Arial" w:eastAsia="宋体"/>
      <w:b/>
      <w:sz w:val="28"/>
    </w:rPr>
  </w:style>
  <w:style w:type="character" w:customStyle="1" w:styleId="226">
    <w:name w:val="日期 Char1"/>
    <w:qFormat/>
    <w:uiPriority w:val="99"/>
    <w:rPr>
      <w:rFonts w:ascii="Times New Roman" w:hAnsi="Times New Roman" w:eastAsia="宋体"/>
      <w:sz w:val="24"/>
    </w:rPr>
  </w:style>
  <w:style w:type="character" w:customStyle="1" w:styleId="227">
    <w:name w:val="书籍标题1"/>
    <w:qFormat/>
    <w:uiPriority w:val="99"/>
    <w:rPr>
      <w:b/>
      <w:smallCaps/>
      <w:spacing w:val="5"/>
    </w:rPr>
  </w:style>
  <w:style w:type="character" w:customStyle="1" w:styleId="228">
    <w:name w:val="不明显强调1"/>
    <w:qFormat/>
    <w:uiPriority w:val="99"/>
    <w:rPr>
      <w:i/>
      <w:color w:val="808080"/>
    </w:rPr>
  </w:style>
  <w:style w:type="character" w:customStyle="1" w:styleId="229">
    <w:name w:val="textcontents"/>
    <w:qFormat/>
    <w:uiPriority w:val="99"/>
  </w:style>
  <w:style w:type="paragraph" w:customStyle="1" w:styleId="230">
    <w:name w:val="TOC 标题1"/>
    <w:basedOn w:val="2"/>
    <w:next w:val="1"/>
    <w:qFormat/>
    <w:uiPriority w:val="99"/>
    <w:pPr>
      <w:keepNext/>
      <w:keepLines/>
      <w:numPr>
        <w:numId w:val="0"/>
      </w:numPr>
      <w:tabs>
        <w:tab w:val="clear" w:pos="1080"/>
      </w:tabs>
      <w:overflowPunct/>
      <w:autoSpaceDE/>
      <w:autoSpaceDN/>
      <w:adjustRightInd/>
      <w:snapToGrid/>
      <w:spacing w:before="340" w:after="330" w:line="576" w:lineRule="auto"/>
      <w:textAlignment w:val="auto"/>
      <w:outlineLvl w:val="9"/>
    </w:pPr>
    <w:rPr>
      <w:rFonts w:ascii="Calibri" w:hAnsi="Calibri" w:eastAsia="黑体" w:cs="Calibri"/>
      <w:lang w:val="zh-CN"/>
    </w:rPr>
  </w:style>
  <w:style w:type="paragraph" w:customStyle="1" w:styleId="231">
    <w:name w:val="空半行"/>
    <w:basedOn w:val="1"/>
    <w:qFormat/>
    <w:uiPriority w:val="99"/>
    <w:pPr>
      <w:adjustRightInd w:val="0"/>
      <w:spacing w:line="120" w:lineRule="exact"/>
      <w:textAlignment w:val="baseline"/>
    </w:pPr>
    <w:rPr>
      <w:rFonts w:ascii="Calibri" w:hAnsi="Calibri" w:eastAsia="仿宋_GB2312"/>
      <w:color w:val="FFFFFF"/>
      <w:kern w:val="0"/>
      <w:sz w:val="30"/>
      <w:szCs w:val="30"/>
    </w:rPr>
  </w:style>
  <w:style w:type="paragraph" w:customStyle="1" w:styleId="232">
    <w:name w:val="p0"/>
    <w:basedOn w:val="1"/>
    <w:qFormat/>
    <w:uiPriority w:val="99"/>
    <w:pPr>
      <w:widowControl/>
    </w:pPr>
    <w:rPr>
      <w:rFonts w:ascii="Calibri" w:hAnsi="Calibri" w:cs="Calibri"/>
      <w:kern w:val="0"/>
      <w:szCs w:val="22"/>
    </w:rPr>
  </w:style>
  <w:style w:type="paragraph" w:customStyle="1" w:styleId="233">
    <w:name w:val="列出段落2"/>
    <w:basedOn w:val="1"/>
    <w:qFormat/>
    <w:uiPriority w:val="99"/>
    <w:pPr>
      <w:ind w:firstLine="420" w:firstLineChars="200"/>
    </w:pPr>
    <w:rPr>
      <w:rFonts w:ascii="Calibri" w:hAnsi="Calibri" w:cs="Calibri"/>
      <w:szCs w:val="22"/>
    </w:rPr>
  </w:style>
  <w:style w:type="paragraph" w:customStyle="1" w:styleId="234">
    <w:name w:val="修订2"/>
    <w:semiHidden/>
    <w:qFormat/>
    <w:uiPriority w:val="99"/>
    <w:rPr>
      <w:rFonts w:ascii="Times New Roman" w:hAnsi="Times New Roman" w:eastAsia="宋体" w:cs="Times New Roman"/>
      <w:kern w:val="2"/>
      <w:sz w:val="21"/>
      <w:szCs w:val="21"/>
      <w:lang w:val="en-US" w:eastAsia="zh-CN" w:bidi="ar-SA"/>
    </w:rPr>
  </w:style>
  <w:style w:type="paragraph" w:customStyle="1" w:styleId="235">
    <w:name w:val="无间隔1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36">
    <w:name w:val="2-2ji"/>
    <w:basedOn w:val="3"/>
    <w:qFormat/>
    <w:uiPriority w:val="99"/>
    <w:pPr>
      <w:spacing w:before="0" w:after="0" w:line="360" w:lineRule="auto"/>
      <w:jc w:val="center"/>
    </w:pPr>
    <w:rPr>
      <w:rFonts w:ascii="宋体" w:hAnsi="宋体" w:cs="宋体"/>
      <w:sz w:val="36"/>
      <w:szCs w:val="36"/>
      <w:lang w:val="zh-CN"/>
    </w:rPr>
  </w:style>
  <w:style w:type="paragraph" w:customStyle="1" w:styleId="237">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8">
    <w:name w:val="flNote"/>
    <w:basedOn w:val="1"/>
    <w:qFormat/>
    <w:uiPriority w:val="99"/>
    <w:pPr>
      <w:adjustRightInd w:val="0"/>
      <w:spacing w:before="320" w:after="160" w:line="360" w:lineRule="atLeast"/>
      <w:jc w:val="center"/>
      <w:textAlignment w:val="baseline"/>
    </w:pPr>
    <w:rPr>
      <w:rFonts w:ascii="Arial" w:hAnsi="Calibri" w:eastAsia="黑体" w:cs="Arial"/>
      <w:kern w:val="0"/>
      <w:sz w:val="30"/>
      <w:szCs w:val="30"/>
    </w:rPr>
  </w:style>
  <w:style w:type="paragraph" w:customStyle="1" w:styleId="239">
    <w:name w:val="列出段落11"/>
    <w:basedOn w:val="1"/>
    <w:qFormat/>
    <w:uiPriority w:val="99"/>
    <w:pPr>
      <w:ind w:firstLine="420" w:firstLineChars="200"/>
    </w:pPr>
    <w:rPr>
      <w:rFonts w:ascii="Calibri" w:hAnsi="Calibri" w:cs="Calibri"/>
      <w:szCs w:val="22"/>
    </w:rPr>
  </w:style>
  <w:style w:type="paragraph" w:customStyle="1" w:styleId="240">
    <w:name w:val="Char Char Char Char"/>
    <w:basedOn w:val="1"/>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41">
    <w:name w:val="Char1"/>
    <w:basedOn w:val="1"/>
    <w:qFormat/>
    <w:uiPriority w:val="99"/>
    <w:pPr>
      <w:widowControl/>
      <w:spacing w:after="160" w:line="240" w:lineRule="exact"/>
      <w:jc w:val="left"/>
    </w:pPr>
    <w:rPr>
      <w:rFonts w:ascii="Calibri" w:hAnsi="Calibri"/>
      <w:szCs w:val="22"/>
    </w:rPr>
  </w:style>
  <w:style w:type="paragraph" w:customStyle="1" w:styleId="242">
    <w:name w:val="_Style 37"/>
    <w:basedOn w:val="1"/>
    <w:next w:val="1"/>
    <w:qFormat/>
    <w:uiPriority w:val="99"/>
    <w:rPr>
      <w:rFonts w:ascii="Calibri" w:hAnsi="Calibri"/>
      <w:szCs w:val="22"/>
    </w:rPr>
  </w:style>
  <w:style w:type="paragraph" w:customStyle="1" w:styleId="243">
    <w:name w:val="样式 标题 3 + (中文) 黑体 小四 非加粗 段前: 7.8 磅 段后: 0 磅 行距: 固定值 20 磅"/>
    <w:basedOn w:val="4"/>
    <w:qFormat/>
    <w:uiPriority w:val="99"/>
    <w:pPr>
      <w:spacing w:before="0" w:after="0" w:line="400" w:lineRule="exact"/>
    </w:pPr>
    <w:rPr>
      <w:rFonts w:eastAsia="黑体"/>
      <w:b w:val="0"/>
      <w:lang w:val="zh-CN"/>
    </w:rPr>
  </w:style>
  <w:style w:type="paragraph" w:customStyle="1" w:styleId="244">
    <w:name w:val="Normal_0"/>
    <w:next w:val="245"/>
    <w:qFormat/>
    <w:uiPriority w:val="99"/>
    <w:pPr>
      <w:widowControl w:val="0"/>
      <w:jc w:val="both"/>
    </w:pPr>
    <w:rPr>
      <w:rFonts w:ascii="Calibri" w:hAnsi="Calibri" w:eastAsia="宋体" w:cs="Times New Roman"/>
      <w:lang w:val="en-US" w:eastAsia="zh-CN" w:bidi="ar-SA"/>
    </w:rPr>
  </w:style>
  <w:style w:type="paragraph" w:customStyle="1" w:styleId="245">
    <w:name w:val="11111"/>
    <w:basedOn w:val="244"/>
    <w:next w:val="244"/>
    <w:qFormat/>
    <w:uiPriority w:val="99"/>
    <w:rPr>
      <w:rFonts w:ascii="宋体" w:hAnsi="宋体" w:cs="宋体"/>
      <w:sz w:val="24"/>
    </w:rPr>
  </w:style>
  <w:style w:type="paragraph" w:customStyle="1" w:styleId="246">
    <w:name w:val="正文_2_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47">
    <w:name w:val="Normal_1"/>
    <w:qFormat/>
    <w:uiPriority w:val="99"/>
    <w:rPr>
      <w:rFonts w:ascii="Times New Roman" w:hAnsi="Times New Roman" w:eastAsia="宋体" w:cs="Times New Roman"/>
      <w:sz w:val="24"/>
      <w:szCs w:val="24"/>
      <w:lang w:val="en-US" w:eastAsia="zh-CN" w:bidi="ar-SA"/>
    </w:rPr>
  </w:style>
  <w:style w:type="character" w:customStyle="1" w:styleId="248">
    <w:name w:val="bjh-p"/>
    <w:basedOn w:val="49"/>
    <w:qFormat/>
    <w:uiPriority w:val="0"/>
  </w:style>
  <w:style w:type="paragraph" w:customStyle="1" w:styleId="249">
    <w:name w:val="表格文字"/>
    <w:basedOn w:val="1"/>
    <w:qFormat/>
    <w:uiPriority w:val="99"/>
    <w:pPr>
      <w:jc w:val="left"/>
    </w:pPr>
    <w:rPr>
      <w:bCs/>
      <w:spacing w:val="10"/>
      <w:sz w:val="24"/>
    </w:rPr>
  </w:style>
  <w:style w:type="paragraph" w:customStyle="1" w:styleId="250">
    <w:name w:val="PlainText"/>
    <w:basedOn w:val="1"/>
    <w:next w:val="251"/>
    <w:qFormat/>
    <w:uiPriority w:val="0"/>
    <w:pPr>
      <w:textAlignment w:val="baseline"/>
    </w:pPr>
    <w:rPr>
      <w:rFonts w:ascii="宋体" w:hAnsi="Courier New"/>
      <w:kern w:val="0"/>
      <w:sz w:val="20"/>
    </w:rPr>
  </w:style>
  <w:style w:type="paragraph" w:customStyle="1" w:styleId="251">
    <w:name w:val="Index8"/>
    <w:basedOn w:val="1"/>
    <w:next w:val="1"/>
    <w:qFormat/>
    <w:uiPriority w:val="0"/>
    <w:pPr>
      <w:ind w:left="2940"/>
      <w:textAlignment w:val="baseline"/>
    </w:pPr>
    <w:rPr>
      <w:szCs w:val="24"/>
    </w:rPr>
  </w:style>
  <w:style w:type="character" w:customStyle="1" w:styleId="252">
    <w:name w:val="NormalCharacter"/>
    <w:qFormat/>
    <w:uiPriority w:val="0"/>
    <w:rPr>
      <w:kern w:val="2"/>
      <w:sz w:val="21"/>
      <w:szCs w:val="24"/>
      <w:lang w:val="en-US" w:eastAsia="zh-CN" w:bidi="ar-SA"/>
    </w:rPr>
  </w:style>
  <w:style w:type="table" w:customStyle="1" w:styleId="253">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125</Pages>
  <Words>31191</Words>
  <Characters>32621</Characters>
  <Lines>564</Lines>
  <Paragraphs>158</Paragraphs>
  <TotalTime>75</TotalTime>
  <ScaleCrop>false</ScaleCrop>
  <LinksUpToDate>false</LinksUpToDate>
  <CharactersWithSpaces>33326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2024-09-26T01:48:00Z</dcterms:created>
  <dc:creator>NTKO</dc:creator>
  <cp:lastModifiedBy>tingting </cp:lastModifiedBy>
  <cp:lastPrinted>2024-10-18T03:31:00Z</cp:lastPrinted>
  <dcterms:modified xsi:type="dcterms:W3CDTF">2025-11-11T08:50:05Z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F1482C7836794F3DB50A46994479BF2E_13</vt:lpwstr>
  </property>
  <property fmtid="{D5CDD505-2E9C-101B-9397-08002B2CF9AE}" pid="4" name="KSOTemplateDocerSaveRecord">
    <vt:lpwstr>eyJoZGlkIjoiMDFmNWRmYTcwYjU2YjFkMjE4NzFlM2NjOGY0MzFkYTMiLCJ1c2VySWQiOiI1MDA0MzY4MjMifQ==</vt:lpwstr>
  </property>
</Properties>
</file>