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E3CAE">
      <w:pPr>
        <w:spacing w:before="165"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lang w:val="en-US" w:eastAsia="zh-CN"/>
        </w:rPr>
        <w:t>防城港市上思县</w:t>
      </w:r>
      <w:r>
        <w:rPr>
          <w:rFonts w:hint="eastAsia" w:ascii="宋体" w:hAnsi="宋体" w:cs="宋体"/>
          <w:color w:val="auto"/>
          <w:sz w:val="52"/>
          <w:szCs w:val="52"/>
          <w:highlight w:val="none"/>
        </w:rPr>
        <w:t>政府采购</w:t>
      </w:r>
    </w:p>
    <w:p w14:paraId="17CBF4FC">
      <w:pPr>
        <w:spacing w:before="165" w:beforeLines="50" w:line="360" w:lineRule="auto"/>
        <w:jc w:val="center"/>
        <w:rPr>
          <w:rFonts w:ascii="宋体" w:hAnsi="宋体" w:cs="宋体"/>
          <w:color w:val="auto"/>
          <w:sz w:val="36"/>
          <w:szCs w:val="36"/>
          <w:highlight w:val="none"/>
        </w:rPr>
      </w:pPr>
    </w:p>
    <w:p w14:paraId="42B44E4A">
      <w:pPr>
        <w:snapToGrid w:val="0"/>
        <w:spacing w:before="165" w:beforeLines="50" w:line="360" w:lineRule="auto"/>
        <w:jc w:val="center"/>
        <w:rPr>
          <w:rFonts w:ascii="宋体" w:hAnsi="宋体" w:cs="宋体"/>
          <w:color w:val="auto"/>
          <w:sz w:val="44"/>
          <w:szCs w:val="44"/>
          <w:highlight w:val="none"/>
        </w:rPr>
      </w:pPr>
      <w:r>
        <w:rPr>
          <w:rFonts w:hint="eastAsia" w:ascii="宋体" w:hAnsi="宋体" w:cs="宋体"/>
          <w:color w:val="auto"/>
          <w:sz w:val="72"/>
          <w:szCs w:val="72"/>
          <w:highlight w:val="none"/>
        </w:rPr>
        <w:t>竞争性磋商文件</w:t>
      </w:r>
    </w:p>
    <w:p w14:paraId="76F70EBB">
      <w:pPr>
        <w:spacing w:before="331" w:beforeLines="100" w:after="165"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（全流程电子化评标）</w:t>
      </w:r>
    </w:p>
    <w:p w14:paraId="00ACE4CA">
      <w:pPr>
        <w:spacing w:line="360" w:lineRule="auto"/>
        <w:rPr>
          <w:rFonts w:ascii="宋体" w:hAnsi="宋体" w:cs="宋体"/>
          <w:b/>
          <w:color w:val="auto"/>
          <w:sz w:val="32"/>
          <w:szCs w:val="32"/>
          <w:highlight w:val="none"/>
        </w:rPr>
      </w:pPr>
    </w:p>
    <w:p w14:paraId="3FEC3126">
      <w:pPr>
        <w:spacing w:line="360" w:lineRule="auto"/>
        <w:jc w:val="center"/>
        <w:rPr>
          <w:rFonts w:ascii="宋体" w:hAnsi="宋体" w:cs="宋体"/>
          <w:b/>
          <w:color w:val="auto"/>
          <w:sz w:val="32"/>
          <w:szCs w:val="32"/>
          <w:highlight w:val="none"/>
        </w:rPr>
      </w:pPr>
    </w:p>
    <w:p w14:paraId="4C027CE0">
      <w:pPr>
        <w:pStyle w:val="15"/>
        <w:snapToGrid w:val="0"/>
        <w:spacing w:before="50" w:after="120" w:line="360" w:lineRule="auto"/>
        <w:ind w:left="3295" w:leftChars="852" w:hanging="1506" w:hangingChars="500"/>
        <w:rPr>
          <w:rFonts w:hint="eastAsia" w:hAnsi="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2025年在妙镇佛子村那目屯产业道路项目</w:t>
      </w:r>
    </w:p>
    <w:p w14:paraId="575086AF">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0" w:name="_Toc681"/>
      <w:bookmarkStart w:id="1" w:name="_Toc7308"/>
      <w:r>
        <w:rPr>
          <w:rFonts w:hint="eastAsia" w:hAnsi="宋体" w:cs="宋体"/>
          <w:b/>
          <w:bCs/>
          <w:color w:val="auto"/>
          <w:sz w:val="30"/>
          <w:szCs w:val="30"/>
          <w:highlight w:val="none"/>
        </w:rPr>
        <w:t>项目编号：</w:t>
      </w:r>
      <w:bookmarkEnd w:id="0"/>
      <w:bookmarkEnd w:id="1"/>
      <w:r>
        <w:rPr>
          <w:rFonts w:hint="eastAsia" w:hAnsi="宋体" w:cs="宋体"/>
          <w:b/>
          <w:bCs/>
          <w:color w:val="auto"/>
          <w:sz w:val="30"/>
          <w:szCs w:val="30"/>
          <w:highlight w:val="none"/>
          <w:lang w:eastAsia="zh-CN"/>
        </w:rPr>
        <w:t>FCZC2025-C2-210099-GXHT</w:t>
      </w:r>
    </w:p>
    <w:p w14:paraId="5439C2E3">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2" w:name="_Toc31224"/>
      <w:bookmarkStart w:id="3" w:name="_Toc23882"/>
      <w:r>
        <w:rPr>
          <w:rFonts w:hint="eastAsia" w:hAnsi="宋体" w:cs="宋体"/>
          <w:b/>
          <w:bCs/>
          <w:color w:val="auto"/>
          <w:sz w:val="30"/>
          <w:szCs w:val="30"/>
          <w:highlight w:val="none"/>
        </w:rPr>
        <w:t>采购文号：</w:t>
      </w:r>
      <w:bookmarkEnd w:id="2"/>
      <w:bookmarkEnd w:id="3"/>
      <w:r>
        <w:rPr>
          <w:rFonts w:hint="eastAsia" w:hAnsi="宋体" w:cs="宋体"/>
          <w:b/>
          <w:bCs/>
          <w:color w:val="auto"/>
          <w:sz w:val="30"/>
          <w:szCs w:val="30"/>
          <w:highlight w:val="none"/>
        </w:rPr>
        <w:t>SSZC2025-C2-00983</w:t>
      </w:r>
    </w:p>
    <w:p w14:paraId="689DF322">
      <w:pPr>
        <w:pStyle w:val="15"/>
        <w:snapToGrid w:val="0"/>
        <w:spacing w:before="50" w:after="120" w:line="360" w:lineRule="auto"/>
        <w:ind w:firstLine="1783" w:firstLineChars="592"/>
        <w:rPr>
          <w:rFonts w:hAnsi="宋体" w:cs="宋体"/>
          <w:b/>
          <w:bCs/>
          <w:color w:val="auto"/>
          <w:sz w:val="30"/>
          <w:szCs w:val="30"/>
          <w:highlight w:val="none"/>
        </w:rPr>
      </w:pPr>
      <w:r>
        <w:rPr>
          <w:rFonts w:hint="eastAsia" w:hAnsi="宋体" w:cs="宋体"/>
          <w:b/>
          <w:bCs/>
          <w:color w:val="auto"/>
          <w:sz w:val="30"/>
          <w:szCs w:val="30"/>
          <w:highlight w:val="none"/>
        </w:rPr>
        <w:t>项目所属区划：</w:t>
      </w:r>
      <w:r>
        <w:rPr>
          <w:rFonts w:hint="eastAsia" w:hAnsi="宋体" w:cs="宋体"/>
          <w:b/>
          <w:bCs/>
          <w:color w:val="auto"/>
          <w:sz w:val="30"/>
          <w:szCs w:val="30"/>
          <w:highlight w:val="none"/>
          <w:lang w:val="en-US" w:eastAsia="zh-CN"/>
        </w:rPr>
        <w:t>防城港市上思县</w:t>
      </w:r>
      <w:r>
        <w:rPr>
          <w:rFonts w:hint="eastAsia" w:hAnsi="宋体" w:cs="宋体"/>
          <w:b/>
          <w:bCs/>
          <w:color w:val="auto"/>
          <w:sz w:val="30"/>
          <w:szCs w:val="30"/>
          <w:highlight w:val="none"/>
        </w:rPr>
        <w:t xml:space="preserve">   </w:t>
      </w:r>
    </w:p>
    <w:p w14:paraId="509F531A">
      <w:pPr>
        <w:pStyle w:val="15"/>
        <w:snapToGrid w:val="0"/>
        <w:spacing w:before="50" w:after="120" w:line="360" w:lineRule="auto"/>
        <w:ind w:left="3310" w:leftChars="852" w:hanging="1521" w:hangingChars="505"/>
        <w:outlineLvl w:val="0"/>
        <w:rPr>
          <w:rFonts w:hint="eastAsia" w:hAnsi="宋体" w:eastAsia="宋体" w:cs="宋体"/>
          <w:b/>
          <w:bCs/>
          <w:color w:val="auto"/>
          <w:sz w:val="30"/>
          <w:szCs w:val="30"/>
          <w:highlight w:val="none"/>
          <w:lang w:eastAsia="zh-CN"/>
        </w:rPr>
      </w:pPr>
      <w:bookmarkStart w:id="4" w:name="_Toc26813"/>
      <w:bookmarkStart w:id="5" w:name="_Toc19676"/>
      <w:r>
        <w:rPr>
          <w:rFonts w:hint="eastAsia" w:hAnsi="宋体" w:cs="宋体"/>
          <w:b/>
          <w:bCs/>
          <w:color w:val="auto"/>
          <w:sz w:val="30"/>
          <w:szCs w:val="30"/>
          <w:highlight w:val="none"/>
        </w:rPr>
        <w:t>采 购 人：</w:t>
      </w:r>
      <w:bookmarkEnd w:id="4"/>
      <w:bookmarkEnd w:id="5"/>
      <w:bookmarkStart w:id="6" w:name="_Toc6082"/>
      <w:r>
        <w:rPr>
          <w:rFonts w:hint="eastAsia" w:hAnsi="宋体" w:cs="宋体"/>
          <w:b/>
          <w:bCs/>
          <w:color w:val="auto"/>
          <w:sz w:val="30"/>
          <w:szCs w:val="30"/>
          <w:highlight w:val="none"/>
          <w:lang w:eastAsia="zh-CN"/>
        </w:rPr>
        <w:t>上思县农业农村局</w:t>
      </w:r>
    </w:p>
    <w:p w14:paraId="2C3FB451">
      <w:pPr>
        <w:pStyle w:val="15"/>
        <w:snapToGrid w:val="0"/>
        <w:spacing w:before="50" w:after="120" w:line="360" w:lineRule="auto"/>
        <w:ind w:firstLine="1783" w:firstLineChars="592"/>
        <w:outlineLvl w:val="0"/>
        <w:rPr>
          <w:rFonts w:hint="eastAsia" w:hAnsi="宋体" w:eastAsia="宋体" w:cs="宋体"/>
          <w:b/>
          <w:bCs/>
          <w:color w:val="auto"/>
          <w:w w:val="95"/>
          <w:sz w:val="30"/>
          <w:szCs w:val="30"/>
          <w:highlight w:val="none"/>
          <w:lang w:eastAsia="zh-CN"/>
        </w:rPr>
      </w:pPr>
      <w:bookmarkStart w:id="7" w:name="_Toc5106"/>
      <w:r>
        <w:rPr>
          <w:rFonts w:hint="eastAsia" w:hAnsi="宋体" w:cs="宋体"/>
          <w:b/>
          <w:bCs/>
          <w:color w:val="auto"/>
          <w:sz w:val="30"/>
          <w:szCs w:val="30"/>
          <w:highlight w:val="none"/>
        </w:rPr>
        <w:t>采购代理机构：</w:t>
      </w:r>
      <w:bookmarkEnd w:id="6"/>
      <w:bookmarkEnd w:id="7"/>
      <w:r>
        <w:rPr>
          <w:rFonts w:hint="eastAsia" w:hAnsi="宋体" w:cs="宋体"/>
          <w:b/>
          <w:bCs/>
          <w:color w:val="auto"/>
          <w:sz w:val="30"/>
          <w:szCs w:val="30"/>
          <w:highlight w:val="none"/>
          <w:lang w:eastAsia="zh-CN"/>
        </w:rPr>
        <w:t>广西昊泰工程咨询有限公司</w:t>
      </w:r>
    </w:p>
    <w:p w14:paraId="768277FC">
      <w:pPr>
        <w:pStyle w:val="15"/>
        <w:snapToGrid w:val="0"/>
        <w:spacing w:before="50" w:after="120"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5</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9</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30</w:t>
      </w:r>
      <w:r>
        <w:rPr>
          <w:rFonts w:hint="eastAsia" w:hAnsi="宋体" w:cs="宋体"/>
          <w:b/>
          <w:bCs/>
          <w:color w:val="auto"/>
          <w:w w:val="95"/>
          <w:sz w:val="30"/>
          <w:szCs w:val="30"/>
          <w:highlight w:val="none"/>
        </w:rPr>
        <w:t>日</w:t>
      </w:r>
    </w:p>
    <w:p w14:paraId="6BB46A5A">
      <w:pPr>
        <w:widowControl/>
        <w:spacing w:line="360" w:lineRule="auto"/>
        <w:jc w:val="left"/>
        <w:rPr>
          <w:rFonts w:ascii="宋体" w:hAnsi="宋体" w:cs="宋体"/>
          <w:b/>
          <w:bCs/>
          <w:color w:val="auto"/>
          <w:w w:val="95"/>
          <w:kern w:val="0"/>
          <w:sz w:val="30"/>
          <w:szCs w:val="30"/>
          <w:highlight w:val="none"/>
        </w:rPr>
        <w:sectPr>
          <w:headerReference r:id="rId4" w:type="default"/>
          <w:pgSz w:w="11906" w:h="16838"/>
          <w:pgMar w:top="1134" w:right="1134" w:bottom="1134" w:left="1134" w:header="720" w:footer="720" w:gutter="0"/>
          <w:pgNumType w:start="1"/>
          <w:cols w:space="720" w:num="1"/>
          <w:docGrid w:type="lines" w:linePitch="331" w:charSpace="0"/>
        </w:sectPr>
      </w:pPr>
    </w:p>
    <w:p w14:paraId="4A4824DF">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43BF2E23">
      <w:pPr>
        <w:spacing w:line="400" w:lineRule="exact"/>
        <w:jc w:val="center"/>
        <w:rPr>
          <w:rFonts w:ascii="宋体" w:hAnsi="宋体" w:cs="宋体"/>
          <w:b/>
          <w:color w:val="auto"/>
          <w:sz w:val="44"/>
          <w:szCs w:val="44"/>
          <w:highlight w:val="none"/>
        </w:rPr>
      </w:pPr>
    </w:p>
    <w:p w14:paraId="0B1E094E">
      <w:pPr>
        <w:pStyle w:val="20"/>
        <w:tabs>
          <w:tab w:val="right" w:leader="dot" w:pos="8879"/>
        </w:tabs>
        <w:rPr>
          <w:rFonts w:ascii="宋体" w:hAnsi="宋体" w:cs="宋体"/>
          <w:color w:val="auto"/>
          <w:highlight w:val="none"/>
        </w:rPr>
      </w:pPr>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p>
    <w:p w14:paraId="72DA96DA">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"_Toc193" </w:instrText>
      </w:r>
      <w:r>
        <w:rPr>
          <w:color w:val="auto"/>
          <w:highlight w:val="none"/>
        </w:rPr>
        <w:fldChar w:fldCharType="separate"/>
      </w:r>
      <w:r>
        <w:rPr>
          <w:rFonts w:hint="eastAsia" w:ascii="宋体" w:hAnsi="宋体" w:cs="宋体"/>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F5495DA">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"_Toc10702" </w:instrText>
      </w:r>
      <w:r>
        <w:rPr>
          <w:color w:val="auto"/>
          <w:highlight w:val="none"/>
        </w:rPr>
        <w:fldChar w:fldCharType="separate"/>
      </w:r>
      <w:r>
        <w:rPr>
          <w:rFonts w:hint="eastAsia" w:ascii="宋体" w:hAnsi="宋体" w:cs="宋体"/>
          <w:color w:val="auto"/>
          <w:szCs w:val="32"/>
          <w:highlight w:val="none"/>
        </w:rPr>
        <w:t>第二章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_Toc10702 \h </w:instrText>
      </w:r>
      <w:r>
        <w:rPr>
          <w:rFonts w:hint="eastAsia" w:ascii="宋体" w:hAnsi="宋体" w:cs="宋体"/>
          <w:color w:val="auto"/>
          <w:highlight w:val="none"/>
        </w:rPr>
        <w:fldChar w:fldCharType="separate"/>
      </w:r>
      <w:r>
        <w:rPr>
          <w:rFonts w:hint="eastAsia" w:ascii="宋体" w:hAnsi="宋体" w:cs="宋体"/>
          <w:color w:val="auto"/>
          <w:highlight w:val="none"/>
        </w:rPr>
        <w:t>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9EC02DA">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"_Toc32550" </w:instrText>
      </w:r>
      <w:r>
        <w:rPr>
          <w:color w:val="auto"/>
          <w:highlight w:val="none"/>
        </w:rPr>
        <w:fldChar w:fldCharType="separate"/>
      </w:r>
      <w:r>
        <w:rPr>
          <w:rFonts w:hint="eastAsia" w:ascii="宋体" w:hAnsi="宋体" w:cs="宋体"/>
          <w:color w:val="auto"/>
          <w:szCs w:val="32"/>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_Toc32550 \h </w:instrText>
      </w:r>
      <w:r>
        <w:rPr>
          <w:rFonts w:hint="eastAsia" w:ascii="宋体" w:hAnsi="宋体" w:cs="宋体"/>
          <w:color w:val="auto"/>
          <w:highlight w:val="none"/>
        </w:rPr>
        <w:fldChar w:fldCharType="separate"/>
      </w:r>
      <w:r>
        <w:rPr>
          <w:rFonts w:hint="eastAsia" w:ascii="宋体" w:hAnsi="宋体" w:cs="宋体"/>
          <w:color w:val="auto"/>
          <w:highlight w:val="none"/>
        </w:rPr>
        <w:t>10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11EC1E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"_Toc28882" </w:instrText>
      </w:r>
      <w:r>
        <w:rPr>
          <w:color w:val="auto"/>
          <w:highlight w:val="none"/>
        </w:rPr>
        <w:fldChar w:fldCharType="separate"/>
      </w:r>
      <w:r>
        <w:rPr>
          <w:rFonts w:hint="eastAsia" w:ascii="宋体" w:hAnsi="宋体" w:cs="宋体"/>
          <w:color w:val="auto"/>
          <w:highlight w:val="none"/>
        </w:rPr>
        <w:t>第一节 供应商须知前附表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_Toc28882 \h </w:instrText>
      </w:r>
      <w:r>
        <w:rPr>
          <w:rFonts w:hint="eastAsia" w:ascii="宋体" w:hAnsi="宋体" w:cs="宋体"/>
          <w:color w:val="auto"/>
          <w:highlight w:val="none"/>
        </w:rPr>
        <w:fldChar w:fldCharType="separate"/>
      </w:r>
      <w:r>
        <w:rPr>
          <w:rFonts w:hint="eastAsia" w:ascii="宋体" w:hAnsi="宋体" w:cs="宋体"/>
          <w:color w:val="auto"/>
          <w:highlight w:val="none"/>
        </w:rPr>
        <w:t>10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1C7133E">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ascii="宋体" w:hAnsi="宋体" w:cs="宋体"/>
          <w:color w:val="auto"/>
          <w:highlight w:val="none"/>
        </w:rPr>
        <w:t>第二节 供应商须知正文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_Toc23846 \h </w:instrText>
      </w:r>
      <w:r>
        <w:rPr>
          <w:rFonts w:hint="eastAsia" w:ascii="宋体" w:hAnsi="宋体" w:cs="宋体"/>
          <w:color w:val="auto"/>
          <w:highlight w:val="none"/>
        </w:rPr>
        <w:fldChar w:fldCharType="separate"/>
      </w:r>
      <w:r>
        <w:rPr>
          <w:rFonts w:hint="eastAsia" w:ascii="宋体" w:hAnsi="宋体" w:cs="宋体"/>
          <w:color w:val="auto"/>
          <w:highlight w:val="none"/>
        </w:rPr>
        <w:t>16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A092B7E">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"_Toc20691" </w:instrText>
      </w:r>
      <w:r>
        <w:rPr>
          <w:color w:val="auto"/>
          <w:highlight w:val="none"/>
        </w:rPr>
        <w:fldChar w:fldCharType="separate"/>
      </w:r>
      <w:r>
        <w:rPr>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_Toc20691 \h </w:instrText>
      </w:r>
      <w:r>
        <w:rPr>
          <w:rFonts w:hint="eastAsia" w:ascii="宋体" w:hAnsi="宋体" w:cs="宋体"/>
          <w:color w:val="auto"/>
          <w:highlight w:val="none"/>
        </w:rPr>
        <w:fldChar w:fldCharType="separate"/>
      </w:r>
      <w:r>
        <w:rPr>
          <w:rFonts w:hint="eastAsia" w:ascii="宋体" w:hAnsi="宋体" w:cs="宋体"/>
          <w:color w:val="auto"/>
          <w:highlight w:val="none"/>
        </w:rPr>
        <w:t>16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A9B9B02">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"_Toc5567" </w:instrText>
      </w:r>
      <w:r>
        <w:rPr>
          <w:color w:val="auto"/>
          <w:highlight w:val="none"/>
        </w:rPr>
        <w:fldChar w:fldCharType="separate"/>
      </w:r>
      <w:r>
        <w:rPr>
          <w:rFonts w:hint="eastAsia" w:ascii="宋体" w:hAnsi="宋体" w:cs="宋体"/>
          <w:color w:val="auto"/>
          <w:highlight w:val="none"/>
        </w:rPr>
        <w:t>二、磋商文件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_Toc5567 \h </w:instrText>
      </w:r>
      <w:r>
        <w:rPr>
          <w:rFonts w:hint="eastAsia" w:ascii="宋体" w:hAnsi="宋体" w:cs="宋体"/>
          <w:color w:val="auto"/>
          <w:highlight w:val="none"/>
        </w:rPr>
        <w:fldChar w:fldCharType="separate"/>
      </w:r>
      <w:r>
        <w:rPr>
          <w:rFonts w:hint="eastAsia" w:ascii="宋体" w:hAnsi="宋体" w:cs="宋体"/>
          <w:color w:val="auto"/>
          <w:highlight w:val="none"/>
        </w:rPr>
        <w:t>18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7BB95B0">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"_Toc18770" </w:instrText>
      </w:r>
      <w:r>
        <w:rPr>
          <w:color w:val="auto"/>
          <w:highlight w:val="none"/>
        </w:rPr>
        <w:fldChar w:fldCharType="separate"/>
      </w:r>
      <w:r>
        <w:rPr>
          <w:rFonts w:hint="eastAsia" w:ascii="宋体" w:hAnsi="宋体" w:cs="宋体"/>
          <w:color w:val="auto"/>
          <w:highlight w:val="none"/>
        </w:rPr>
        <w:t>三、响应文件的编制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_Toc18770 \h </w:instrText>
      </w:r>
      <w:r>
        <w:rPr>
          <w:rFonts w:hint="eastAsia" w:ascii="宋体" w:hAnsi="宋体" w:cs="宋体"/>
          <w:color w:val="auto"/>
          <w:highlight w:val="none"/>
        </w:rPr>
        <w:fldChar w:fldCharType="separate"/>
      </w:r>
      <w:r>
        <w:rPr>
          <w:rFonts w:hint="eastAsia" w:ascii="宋体" w:hAnsi="宋体" w:cs="宋体"/>
          <w:color w:val="auto"/>
          <w:highlight w:val="none"/>
        </w:rPr>
        <w:t>19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0DED84D">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"_Toc16642" </w:instrText>
      </w:r>
      <w:r>
        <w:rPr>
          <w:color w:val="auto"/>
          <w:highlight w:val="none"/>
        </w:rPr>
        <w:fldChar w:fldCharType="separate"/>
      </w:r>
      <w:r>
        <w:rPr>
          <w:rFonts w:hint="eastAsia" w:ascii="宋体" w:hAnsi="宋体" w:cs="宋体"/>
          <w:color w:val="auto"/>
          <w:highlight w:val="none"/>
        </w:rPr>
        <w:t>四、评审及磋商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_Toc16642 \h </w:instrText>
      </w:r>
      <w:r>
        <w:rPr>
          <w:rFonts w:hint="eastAsia" w:ascii="宋体" w:hAnsi="宋体" w:cs="宋体"/>
          <w:color w:val="auto"/>
          <w:highlight w:val="none"/>
        </w:rPr>
        <w:fldChar w:fldCharType="separate"/>
      </w:r>
      <w:r>
        <w:rPr>
          <w:rFonts w:hint="eastAsia" w:ascii="宋体" w:hAnsi="宋体" w:cs="宋体"/>
          <w:color w:val="auto"/>
          <w:highlight w:val="none"/>
        </w:rPr>
        <w:t>21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FCA6433">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"_Toc5736" </w:instrText>
      </w:r>
      <w:r>
        <w:rPr>
          <w:color w:val="auto"/>
          <w:highlight w:val="none"/>
        </w:rPr>
        <w:fldChar w:fldCharType="separate"/>
      </w:r>
      <w:r>
        <w:rPr>
          <w:rFonts w:hint="eastAsia" w:ascii="宋体" w:hAnsi="宋体" w:cs="宋体"/>
          <w:color w:val="auto"/>
          <w:highlight w:val="none"/>
        </w:rPr>
        <w:t>五、成交及合同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_Toc5736 \h </w:instrText>
      </w:r>
      <w:r>
        <w:rPr>
          <w:rFonts w:hint="eastAsia" w:ascii="宋体" w:hAnsi="宋体" w:cs="宋体"/>
          <w:color w:val="auto"/>
          <w:highlight w:val="none"/>
        </w:rPr>
        <w:fldChar w:fldCharType="separate"/>
      </w:r>
      <w:r>
        <w:rPr>
          <w:rFonts w:hint="eastAsia" w:ascii="宋体" w:hAnsi="宋体" w:cs="宋体"/>
          <w:color w:val="auto"/>
          <w:highlight w:val="none"/>
        </w:rPr>
        <w:t>22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C2983CB">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"_Toc17863" </w:instrText>
      </w:r>
      <w:r>
        <w:rPr>
          <w:color w:val="auto"/>
          <w:highlight w:val="none"/>
        </w:rPr>
        <w:fldChar w:fldCharType="separate"/>
      </w:r>
      <w:r>
        <w:rPr>
          <w:rFonts w:hint="eastAsia" w:ascii="宋体" w:hAnsi="宋体" w:cs="宋体"/>
          <w:color w:val="auto"/>
          <w:highlight w:val="none"/>
        </w:rPr>
        <w:t>六、验收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_Toc17863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E77D122">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"_Toc14884" </w:instrText>
      </w:r>
      <w:r>
        <w:rPr>
          <w:color w:val="auto"/>
          <w:highlight w:val="none"/>
        </w:rPr>
        <w:fldChar w:fldCharType="separate"/>
      </w:r>
      <w:r>
        <w:rPr>
          <w:rFonts w:hint="eastAsia" w:ascii="宋体" w:hAnsi="宋体" w:cs="宋体"/>
          <w:color w:val="auto"/>
          <w:highlight w:val="none"/>
        </w:rPr>
        <w:t>七、其他事项</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_Toc14884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238CD28">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"_Toc25106" </w:instrText>
      </w:r>
      <w:r>
        <w:rPr>
          <w:color w:val="auto"/>
          <w:highlight w:val="none"/>
        </w:rPr>
        <w:fldChar w:fldCharType="separate"/>
      </w:r>
      <w:r>
        <w:rPr>
          <w:rFonts w:hint="eastAsia" w:ascii="宋体" w:hAnsi="宋体" w:cs="宋体"/>
          <w:color w:val="auto"/>
          <w:highlight w:val="none"/>
        </w:rPr>
        <w:t>第四章  评审程序、评审方法和评审标准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_Toc25106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A0F274E">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"_Toc30181" </w:instrText>
      </w:r>
      <w:r>
        <w:rPr>
          <w:color w:val="auto"/>
          <w:highlight w:val="none"/>
        </w:rPr>
        <w:fldChar w:fldCharType="separate"/>
      </w:r>
      <w:r>
        <w:rPr>
          <w:rFonts w:hint="eastAsia" w:ascii="宋体" w:hAnsi="宋体" w:cs="宋体"/>
          <w:color w:val="auto"/>
          <w:highlight w:val="none"/>
        </w:rPr>
        <w:t>第一节 评审程序和评审方法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_Toc30181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56A7748">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"_Toc1930" </w:instrText>
      </w:r>
      <w:r>
        <w:rPr>
          <w:color w:val="auto"/>
          <w:highlight w:val="none"/>
        </w:rPr>
        <w:fldChar w:fldCharType="separate"/>
      </w:r>
      <w:r>
        <w:rPr>
          <w:rFonts w:hint="eastAsia" w:ascii="宋体" w:hAnsi="宋体" w:cs="宋体"/>
          <w:color w:val="auto"/>
          <w:highlight w:val="none"/>
        </w:rPr>
        <w:t>第二节 评标报告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_Toc1930 \h </w:instrText>
      </w:r>
      <w:r>
        <w:rPr>
          <w:rFonts w:hint="eastAsia" w:ascii="宋体" w:hAnsi="宋体" w:cs="宋体"/>
          <w:color w:val="auto"/>
          <w:highlight w:val="none"/>
        </w:rPr>
        <w:fldChar w:fldCharType="separate"/>
      </w:r>
      <w:r>
        <w:rPr>
          <w:rFonts w:hint="eastAsia" w:ascii="宋体" w:hAnsi="宋体" w:cs="宋体"/>
          <w:color w:val="auto"/>
          <w:highlight w:val="none"/>
        </w:rPr>
        <w:t>35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75A2B30">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"_Toc23409" </w:instrText>
      </w:r>
      <w:r>
        <w:rPr>
          <w:color w:val="auto"/>
          <w:highlight w:val="none"/>
        </w:rPr>
        <w:fldChar w:fldCharType="separate"/>
      </w:r>
      <w:r>
        <w:rPr>
          <w:rFonts w:hint="eastAsia" w:ascii="宋体" w:hAnsi="宋体" w:cs="宋体"/>
          <w:color w:val="auto"/>
          <w:highlight w:val="none"/>
        </w:rPr>
        <w:t>第三节 评审过程的保密与录像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_Toc23409 \h </w:instrText>
      </w:r>
      <w:r>
        <w:rPr>
          <w:rFonts w:hint="eastAsia" w:ascii="宋体" w:hAnsi="宋体" w:cs="宋体"/>
          <w:color w:val="auto"/>
          <w:highlight w:val="none"/>
        </w:rPr>
        <w:fldChar w:fldCharType="separate"/>
      </w:r>
      <w:r>
        <w:rPr>
          <w:rFonts w:hint="eastAsia" w:ascii="宋体" w:hAnsi="宋体" w:cs="宋体"/>
          <w:color w:val="auto"/>
          <w:highlight w:val="none"/>
        </w:rPr>
        <w:t>35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1F32222">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"_Toc13484" </w:instrText>
      </w:r>
      <w:r>
        <w:rPr>
          <w:color w:val="auto"/>
          <w:highlight w:val="none"/>
        </w:rPr>
        <w:fldChar w:fldCharType="separate"/>
      </w:r>
      <w:r>
        <w:rPr>
          <w:rFonts w:hint="eastAsia" w:ascii="宋体" w:hAnsi="宋体" w:cs="宋体"/>
          <w:color w:val="auto"/>
          <w:highlight w:val="none"/>
        </w:rPr>
        <w:t>第五章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_Toc13484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8098967">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"_Toc7129" </w:instrText>
      </w:r>
      <w:r>
        <w:rPr>
          <w:color w:val="auto"/>
          <w:highlight w:val="none"/>
        </w:rPr>
        <w:fldChar w:fldCharType="separate"/>
      </w:r>
      <w:r>
        <w:rPr>
          <w:rFonts w:hint="eastAsia" w:ascii="宋体" w:hAnsi="宋体" w:cs="宋体"/>
          <w:color w:val="auto"/>
          <w:highlight w:val="none"/>
        </w:rPr>
        <w:t>第一节 封面格式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_Toc7129 \h </w:instrText>
      </w:r>
      <w:r>
        <w:rPr>
          <w:rFonts w:hint="eastAsia" w:ascii="宋体" w:hAnsi="宋体" w:cs="宋体"/>
          <w:color w:val="auto"/>
          <w:highlight w:val="none"/>
        </w:rPr>
        <w:fldChar w:fldCharType="separate"/>
      </w:r>
      <w:r>
        <w:rPr>
          <w:rFonts w:hint="eastAsia" w:ascii="宋体" w:hAnsi="宋体" w:cs="宋体"/>
          <w:color w:val="auto"/>
          <w:highlight w:val="none"/>
        </w:rPr>
        <w:t>37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409091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"_Toc30886" </w:instrText>
      </w:r>
      <w:r>
        <w:rPr>
          <w:color w:val="auto"/>
          <w:highlight w:val="none"/>
        </w:rPr>
        <w:fldChar w:fldCharType="separate"/>
      </w:r>
      <w:r>
        <w:rPr>
          <w:rFonts w:hint="eastAsia" w:ascii="宋体" w:hAnsi="宋体" w:cs="宋体"/>
          <w:color w:val="auto"/>
          <w:highlight w:val="none"/>
        </w:rPr>
        <w:t>第二节 资格证明文件格式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_Toc30886 \h </w:instrText>
      </w:r>
      <w:r>
        <w:rPr>
          <w:rFonts w:hint="eastAsia" w:ascii="宋体" w:hAnsi="宋体" w:cs="宋体"/>
          <w:color w:val="auto"/>
          <w:highlight w:val="none"/>
        </w:rPr>
        <w:fldChar w:fldCharType="separate"/>
      </w:r>
      <w:r>
        <w:rPr>
          <w:rFonts w:hint="eastAsia" w:ascii="宋体" w:hAnsi="宋体" w:cs="宋体"/>
          <w:color w:val="auto"/>
          <w:highlight w:val="none"/>
        </w:rPr>
        <w:t>38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6C1B230">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"_Toc10861" </w:instrText>
      </w:r>
      <w:r>
        <w:rPr>
          <w:color w:val="auto"/>
          <w:highlight w:val="none"/>
        </w:rPr>
        <w:fldChar w:fldCharType="separate"/>
      </w:r>
      <w:r>
        <w:rPr>
          <w:rFonts w:hint="eastAsia" w:ascii="宋体" w:hAnsi="宋体" w:cs="宋体"/>
          <w:color w:val="auto"/>
          <w:highlight w:val="none"/>
        </w:rPr>
        <w:t>第三节 商务技术文件格式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_Toc10861 \h </w:instrText>
      </w:r>
      <w:r>
        <w:rPr>
          <w:rFonts w:hint="eastAsia" w:ascii="宋体" w:hAnsi="宋体" w:cs="宋体"/>
          <w:color w:val="auto"/>
          <w:highlight w:val="none"/>
        </w:rPr>
        <w:fldChar w:fldCharType="separate"/>
      </w:r>
      <w:r>
        <w:rPr>
          <w:rFonts w:hint="eastAsia" w:ascii="宋体" w:hAnsi="宋体" w:cs="宋体"/>
          <w:color w:val="auto"/>
          <w:highlight w:val="none"/>
        </w:rPr>
        <w:t>50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030474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"_Toc32512" </w:instrText>
      </w:r>
      <w:r>
        <w:rPr>
          <w:color w:val="auto"/>
          <w:highlight w:val="none"/>
        </w:rPr>
        <w:fldChar w:fldCharType="separate"/>
      </w:r>
      <w:r>
        <w:rPr>
          <w:rFonts w:hint="eastAsia" w:ascii="宋体" w:hAnsi="宋体" w:cs="宋体"/>
          <w:color w:val="auto"/>
          <w:highlight w:val="none"/>
        </w:rPr>
        <w:t>第四节 报价文件格式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_Toc32512 \h </w:instrText>
      </w:r>
      <w:r>
        <w:rPr>
          <w:rFonts w:hint="eastAsia" w:ascii="宋体" w:hAnsi="宋体" w:cs="宋体"/>
          <w:color w:val="auto"/>
          <w:highlight w:val="none"/>
        </w:rPr>
        <w:fldChar w:fldCharType="separate"/>
      </w:r>
      <w:r>
        <w:rPr>
          <w:rFonts w:hint="eastAsia" w:ascii="宋体" w:hAnsi="宋体" w:cs="宋体"/>
          <w:color w:val="auto"/>
          <w:highlight w:val="none"/>
        </w:rPr>
        <w:t>63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A77B0C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"_Toc15428" </w:instrText>
      </w:r>
      <w:r>
        <w:rPr>
          <w:color w:val="auto"/>
          <w:highlight w:val="none"/>
        </w:rPr>
        <w:fldChar w:fldCharType="separate"/>
      </w:r>
      <w:r>
        <w:rPr>
          <w:rFonts w:hint="eastAsia" w:ascii="宋体" w:hAnsi="宋体" w:cs="宋体"/>
          <w:color w:val="auto"/>
          <w:highlight w:val="none"/>
        </w:rPr>
        <w:t>第五节 其他文书、文件格式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_Toc15428 \h </w:instrText>
      </w:r>
      <w:r>
        <w:rPr>
          <w:rFonts w:hint="eastAsia" w:ascii="宋体" w:hAnsi="宋体" w:cs="宋体"/>
          <w:color w:val="auto"/>
          <w:highlight w:val="none"/>
        </w:rPr>
        <w:fldChar w:fldCharType="separate"/>
      </w:r>
      <w:r>
        <w:rPr>
          <w:rFonts w:hint="eastAsia" w:ascii="宋体" w:hAnsi="宋体" w:cs="宋体"/>
          <w:color w:val="auto"/>
          <w:highlight w:val="none"/>
        </w:rPr>
        <w:t>67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AB9B53C">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"_Toc10609" </w:instrText>
      </w:r>
      <w:r>
        <w:rPr>
          <w:color w:val="auto"/>
          <w:highlight w:val="none"/>
        </w:rPr>
        <w:fldChar w:fldCharType="separate"/>
      </w:r>
      <w:r>
        <w:rPr>
          <w:rFonts w:hint="eastAsia" w:ascii="宋体" w:hAnsi="宋体" w:cs="宋体"/>
          <w:color w:val="auto"/>
          <w:highlight w:val="none"/>
        </w:rPr>
        <w:t>第六章  合同文本</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_Toc10609 \h </w:instrText>
      </w:r>
      <w:r>
        <w:rPr>
          <w:rFonts w:hint="eastAsia" w:ascii="宋体" w:hAnsi="宋体" w:cs="宋体"/>
          <w:color w:val="auto"/>
          <w:highlight w:val="none"/>
        </w:rPr>
        <w:fldChar w:fldCharType="separate"/>
      </w:r>
      <w:r>
        <w:rPr>
          <w:rFonts w:hint="eastAsia" w:ascii="宋体" w:hAnsi="宋体" w:cs="宋体"/>
          <w:color w:val="auto"/>
          <w:highlight w:val="none"/>
        </w:rPr>
        <w:t>69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B6D49C5">
      <w:pPr>
        <w:pStyle w:val="23"/>
        <w:tabs>
          <w:tab w:val="right" w:leader="dot" w:pos="8879"/>
          <w:tab w:val="clear" w:pos="8296"/>
        </w:tabs>
        <w:rPr>
          <w:rFonts w:hint="default" w:eastAsia="宋体"/>
          <w:color w:val="auto"/>
          <w:highlight w:val="none"/>
          <w:lang w:val="en-US" w:eastAsia="zh-CN"/>
        </w:rPr>
      </w:pPr>
      <w:r>
        <w:rPr>
          <w:rFonts w:hint="eastAsia" w:ascii="宋体" w:hAnsi="宋体" w:cs="宋体"/>
          <w:color w:val="auto"/>
          <w:szCs w:val="28"/>
          <w:highlight w:val="none"/>
        </w:rPr>
        <w:t>合同</w:t>
      </w:r>
      <w:r>
        <w:rPr>
          <w:rFonts w:hint="eastAsia" w:ascii="宋体" w:hAnsi="宋体" w:cs="宋体"/>
          <w:color w:val="auto"/>
          <w:szCs w:val="28"/>
          <w:highlight w:val="none"/>
          <w:lang w:val="en-US" w:eastAsia="zh-CN"/>
        </w:rPr>
        <w:t>协议书</w:t>
      </w:r>
      <w:r>
        <w:rPr>
          <w:rFonts w:hint="eastAsia" w:ascii="宋体" w:hAnsi="宋体" w:cs="宋体"/>
          <w:color w:val="auto"/>
          <w:highlight w:val="none"/>
        </w:rPr>
        <w:tab/>
      </w:r>
      <w:r>
        <w:rPr>
          <w:rFonts w:hint="eastAsia" w:ascii="宋体" w:hAnsi="宋体" w:cs="宋体"/>
          <w:color w:val="auto"/>
          <w:highlight w:val="none"/>
          <w:lang w:val="en-US" w:eastAsia="zh-CN"/>
        </w:rPr>
        <w:t>..72</w:t>
      </w:r>
    </w:p>
    <w:p w14:paraId="5FEDE307">
      <w:pPr>
        <w:pStyle w:val="23"/>
        <w:tabs>
          <w:tab w:val="right" w:leader="dot" w:pos="8879"/>
          <w:tab w:val="clear" w:pos="8296"/>
        </w:tabs>
        <w:rPr>
          <w:rFonts w:hint="eastAsia"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"_Toc12590" </w:instrText>
      </w:r>
      <w:r>
        <w:rPr>
          <w:color w:val="auto"/>
          <w:highlight w:val="none"/>
        </w:rPr>
        <w:fldChar w:fldCharType="separate"/>
      </w:r>
      <w:r>
        <w:rPr>
          <w:rFonts w:hint="eastAsia" w:ascii="宋体" w:hAnsi="宋体" w:cs="宋体"/>
          <w:color w:val="auto"/>
          <w:szCs w:val="28"/>
          <w:highlight w:val="none"/>
        </w:rPr>
        <w:t xml:space="preserve">第一部分 </w:t>
      </w:r>
      <w:r>
        <w:rPr>
          <w:rFonts w:hint="eastAsia" w:ascii="宋体" w:hAnsi="宋体" w:cs="宋体"/>
          <w:color w:val="auto"/>
          <w:szCs w:val="28"/>
          <w:highlight w:val="none"/>
          <w:lang w:eastAsia="zh-CN"/>
        </w:rPr>
        <w:t>通用合同条款</w:t>
      </w:r>
      <w:r>
        <w:rPr>
          <w:rFonts w:hint="eastAsia" w:ascii="宋体" w:hAnsi="宋体" w:cs="宋体"/>
          <w:color w:val="auto"/>
          <w:highlight w:val="none"/>
        </w:rPr>
        <w:tab/>
      </w:r>
      <w:r>
        <w:rPr>
          <w:rFonts w:hint="eastAsia" w:ascii="宋体" w:hAnsi="宋体" w:cs="宋体"/>
          <w:color w:val="auto"/>
          <w:highlight w:val="none"/>
          <w:lang w:val="en-US" w:eastAsia="zh-CN"/>
        </w:rPr>
        <w:t>7</w:t>
      </w:r>
      <w:r>
        <w:rPr>
          <w:rFonts w:hint="eastAsia" w:ascii="宋体" w:hAnsi="宋体" w:cs="宋体"/>
          <w:color w:val="auto"/>
          <w:highlight w:val="none"/>
        </w:rPr>
        <w:fldChar w:fldCharType="end"/>
      </w:r>
      <w:r>
        <w:rPr>
          <w:rFonts w:hint="eastAsia" w:ascii="宋体" w:hAnsi="宋体" w:cs="宋体"/>
          <w:color w:val="auto"/>
          <w:highlight w:val="none"/>
          <w:lang w:val="en-US" w:eastAsia="zh-CN"/>
        </w:rPr>
        <w:t>4</w:t>
      </w:r>
    </w:p>
    <w:p w14:paraId="4534ADED">
      <w:pPr>
        <w:pStyle w:val="23"/>
        <w:tabs>
          <w:tab w:val="right" w:leader="dot" w:pos="8879"/>
          <w:tab w:val="clear" w:pos="8296"/>
        </w:tabs>
        <w:rPr>
          <w:rFonts w:hint="default"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"_Toc12702" </w:instrText>
      </w:r>
      <w:r>
        <w:rPr>
          <w:color w:val="auto"/>
          <w:highlight w:val="none"/>
        </w:rPr>
        <w:fldChar w:fldCharType="separate"/>
      </w:r>
      <w:r>
        <w:rPr>
          <w:rFonts w:hint="eastAsia" w:ascii="宋体" w:hAnsi="宋体" w:cs="宋体"/>
          <w:color w:val="auto"/>
          <w:szCs w:val="28"/>
          <w:highlight w:val="none"/>
        </w:rPr>
        <w:t>第二部分 专用合同条款</w:t>
      </w:r>
      <w:r>
        <w:rPr>
          <w:rFonts w:hint="eastAsia" w:ascii="宋体" w:hAnsi="宋体" w:cs="宋体"/>
          <w:color w:val="auto"/>
          <w:highlight w:val="none"/>
        </w:rPr>
        <w:tab/>
      </w:r>
      <w:r>
        <w:rPr>
          <w:rFonts w:hint="eastAsia" w:ascii="宋体" w:hAnsi="宋体" w:cs="宋体"/>
          <w:color w:val="auto"/>
          <w:highlight w:val="none"/>
          <w:lang w:val="en-US" w:eastAsia="zh-CN"/>
        </w:rPr>
        <w:t>1</w:t>
      </w:r>
      <w:r>
        <w:rPr>
          <w:rFonts w:hint="eastAsia" w:ascii="宋体" w:hAnsi="宋体" w:cs="宋体"/>
          <w:color w:val="auto"/>
          <w:highlight w:val="none"/>
        </w:rPr>
        <w:fldChar w:fldCharType="end"/>
      </w:r>
      <w:r>
        <w:rPr>
          <w:rFonts w:hint="eastAsia" w:ascii="宋体" w:hAnsi="宋体" w:cs="宋体"/>
          <w:color w:val="auto"/>
          <w:highlight w:val="none"/>
          <w:lang w:val="en-US" w:eastAsia="zh-CN"/>
        </w:rPr>
        <w:t>09</w:t>
      </w:r>
    </w:p>
    <w:p w14:paraId="479C21F2">
      <w:pPr>
        <w:pStyle w:val="23"/>
        <w:tabs>
          <w:tab w:val="right" w:leader="dot" w:pos="8879"/>
          <w:tab w:val="clear" w:pos="8296"/>
        </w:tabs>
        <w:rPr>
          <w:rFonts w:hint="default"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"_Toc6407" </w:instrText>
      </w:r>
      <w:r>
        <w:rPr>
          <w:color w:val="auto"/>
          <w:highlight w:val="none"/>
        </w:rPr>
        <w:fldChar w:fldCharType="separate"/>
      </w:r>
      <w:r>
        <w:rPr>
          <w:rFonts w:hint="eastAsia" w:ascii="宋体" w:hAnsi="宋体" w:cs="宋体"/>
          <w:color w:val="auto"/>
          <w:szCs w:val="28"/>
          <w:highlight w:val="none"/>
        </w:rPr>
        <w:t xml:space="preserve">第三部分 </w:t>
      </w:r>
      <w:r>
        <w:rPr>
          <w:rFonts w:hint="eastAsia" w:ascii="宋体" w:hAnsi="宋体" w:cs="宋体"/>
          <w:color w:val="auto"/>
          <w:szCs w:val="28"/>
          <w:highlight w:val="none"/>
          <w:lang w:val="en-US" w:eastAsia="zh-CN"/>
        </w:rPr>
        <w:t>合同附件格式</w:t>
      </w:r>
      <w:r>
        <w:rPr>
          <w:rFonts w:hint="eastAsia" w:ascii="宋体" w:hAnsi="宋体" w:cs="宋体"/>
          <w:color w:val="auto"/>
          <w:highlight w:val="none"/>
        </w:rPr>
        <w:tab/>
      </w:r>
      <w:r>
        <w:rPr>
          <w:rFonts w:hint="eastAsia" w:ascii="宋体" w:hAnsi="宋体" w:cs="宋体"/>
          <w:color w:val="auto"/>
          <w:highlight w:val="none"/>
          <w:lang w:val="en-US" w:eastAsia="zh-CN"/>
        </w:rPr>
        <w:t>1</w:t>
      </w:r>
      <w:r>
        <w:rPr>
          <w:rFonts w:hint="eastAsia" w:ascii="宋体" w:hAnsi="宋体" w:cs="宋体"/>
          <w:color w:val="auto"/>
          <w:highlight w:val="none"/>
        </w:rPr>
        <w:fldChar w:fldCharType="end"/>
      </w:r>
      <w:r>
        <w:rPr>
          <w:rFonts w:hint="eastAsia" w:ascii="宋体" w:hAnsi="宋体" w:cs="宋体"/>
          <w:color w:val="auto"/>
          <w:highlight w:val="none"/>
          <w:lang w:val="en-US" w:eastAsia="zh-CN"/>
        </w:rPr>
        <w:t>48</w:t>
      </w:r>
    </w:p>
    <w:p w14:paraId="419D5869">
      <w:pPr>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第七章</w:t>
      </w:r>
      <w:r>
        <w:rPr>
          <w:rFonts w:hint="eastAsia" w:ascii="宋体" w:hAnsi="宋体" w:cs="宋体"/>
          <w:color w:val="auto"/>
          <w:highlight w:val="none"/>
          <w:lang w:val="en-US" w:eastAsia="zh-CN"/>
        </w:rPr>
        <w:t xml:space="preserve"> 工程量清单、图纸..........................................................1</w:t>
      </w:r>
      <w:r>
        <w:rPr>
          <w:rFonts w:hint="eastAsia" w:ascii="宋体" w:hAnsi="宋体" w:cs="宋体"/>
          <w:color w:val="auto"/>
          <w:highlight w:val="none"/>
        </w:rPr>
        <w:fldChar w:fldCharType="end"/>
      </w:r>
      <w:r>
        <w:rPr>
          <w:rFonts w:hint="eastAsia" w:ascii="宋体" w:hAnsi="宋体" w:cs="宋体"/>
          <w:color w:val="auto"/>
          <w:highlight w:val="none"/>
          <w:lang w:val="en-US" w:eastAsia="zh-CN"/>
        </w:rPr>
        <w:t>57</w:t>
      </w:r>
    </w:p>
    <w:p w14:paraId="307C2BC4">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八</w:t>
      </w:r>
      <w:r>
        <w:rPr>
          <w:rFonts w:hint="eastAsia" w:ascii="宋体" w:hAnsi="宋体" w:cs="宋体"/>
          <w:color w:val="auto"/>
          <w:highlight w:val="none"/>
        </w:rPr>
        <w:t>章 质疑、投诉材料格式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_Toc22933 \h </w:instrText>
      </w:r>
      <w:r>
        <w:rPr>
          <w:rFonts w:hint="eastAsia" w:ascii="宋体" w:hAnsi="宋体" w:cs="宋体"/>
          <w:color w:val="auto"/>
          <w:highlight w:val="none"/>
        </w:rPr>
        <w:fldChar w:fldCharType="separate"/>
      </w:r>
      <w:r>
        <w:rPr>
          <w:rFonts w:hint="eastAsia" w:ascii="宋体" w:hAnsi="宋体" w:cs="宋体"/>
          <w:color w:val="auto"/>
          <w:highlight w:val="none"/>
        </w:rPr>
        <w:t>158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6D36B3F">
      <w:pPr>
        <w:pStyle w:val="23"/>
        <w:rPr>
          <w:rFonts w:ascii="宋体" w:hAnsi="宋体" w:cs="宋体"/>
          <w:color w:val="auto"/>
          <w:sz w:val="28"/>
          <w:szCs w:val="28"/>
          <w:highlight w:val="none"/>
        </w:rPr>
      </w:pPr>
      <w:r>
        <w:rPr>
          <w:rFonts w:hint="eastAsia" w:ascii="宋体" w:hAnsi="宋体" w:cs="宋体"/>
          <w:color w:val="auto"/>
          <w:szCs w:val="30"/>
          <w:highlight w:val="none"/>
        </w:rPr>
        <w:fldChar w:fldCharType="end"/>
      </w:r>
    </w:p>
    <w:p w14:paraId="57602A00">
      <w:pPr>
        <w:tabs>
          <w:tab w:val="left" w:pos="7470"/>
        </w:tabs>
        <w:spacing w:line="40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rPr>
        <w:tab/>
      </w:r>
    </w:p>
    <w:p w14:paraId="3675440D">
      <w:pPr>
        <w:spacing w:line="400" w:lineRule="exact"/>
        <w:jc w:val="center"/>
        <w:rPr>
          <w:rFonts w:ascii="宋体" w:hAnsi="宋体" w:cs="宋体"/>
          <w:b/>
          <w:color w:val="auto"/>
          <w:sz w:val="32"/>
          <w:szCs w:val="32"/>
          <w:highlight w:val="none"/>
        </w:rPr>
      </w:pPr>
    </w:p>
    <w:p w14:paraId="1CDB3B29">
      <w:pPr>
        <w:spacing w:line="400" w:lineRule="exact"/>
        <w:jc w:val="center"/>
        <w:rPr>
          <w:rFonts w:ascii="宋体" w:hAnsi="宋体" w:cs="宋体"/>
          <w:b/>
          <w:color w:val="auto"/>
          <w:sz w:val="32"/>
          <w:szCs w:val="32"/>
          <w:highlight w:val="none"/>
        </w:rPr>
      </w:pPr>
    </w:p>
    <w:p w14:paraId="31C3490F">
      <w:pPr>
        <w:spacing w:line="400" w:lineRule="exact"/>
        <w:jc w:val="center"/>
        <w:rPr>
          <w:rFonts w:ascii="宋体" w:hAnsi="宋体" w:cs="宋体"/>
          <w:b/>
          <w:color w:val="auto"/>
          <w:sz w:val="32"/>
          <w:szCs w:val="32"/>
          <w:highlight w:val="none"/>
        </w:rPr>
      </w:pPr>
    </w:p>
    <w:p w14:paraId="24190E06">
      <w:pPr>
        <w:spacing w:line="400" w:lineRule="exact"/>
        <w:jc w:val="center"/>
        <w:rPr>
          <w:rFonts w:ascii="宋体" w:hAnsi="宋体" w:cs="宋体"/>
          <w:b/>
          <w:color w:val="auto"/>
          <w:sz w:val="32"/>
          <w:szCs w:val="32"/>
          <w:highlight w:val="none"/>
        </w:rPr>
      </w:pPr>
    </w:p>
    <w:p w14:paraId="5CAF0477">
      <w:pPr>
        <w:widowControl/>
        <w:jc w:val="left"/>
        <w:rPr>
          <w:rFonts w:ascii="宋体" w:hAnsi="宋体" w:cs="宋体"/>
          <w:b/>
          <w:color w:val="auto"/>
          <w:sz w:val="32"/>
          <w:szCs w:val="32"/>
          <w:highlight w:val="none"/>
        </w:rPr>
        <w:sectPr>
          <w:footerReference r:id="rId5" w:type="default"/>
          <w:pgSz w:w="11906" w:h="16838"/>
          <w:pgMar w:top="1440" w:right="1440" w:bottom="1440" w:left="1587" w:header="851" w:footer="992" w:gutter="0"/>
          <w:pgNumType w:start="1"/>
          <w:cols w:space="720" w:num="1"/>
          <w:docGrid w:type="lines" w:linePitch="312" w:charSpace="0"/>
        </w:sectPr>
      </w:pPr>
    </w:p>
    <w:p w14:paraId="5769DC2C">
      <w:pPr>
        <w:pStyle w:val="2"/>
        <w:spacing w:before="0" w:after="0" w:line="360" w:lineRule="auto"/>
        <w:jc w:val="center"/>
        <w:rPr>
          <w:rFonts w:ascii="宋体" w:hAnsi="宋体" w:cs="宋体"/>
          <w:color w:val="auto"/>
          <w:highlight w:val="none"/>
        </w:rPr>
      </w:pPr>
      <w:bookmarkStart w:id="8" w:name="_Toc193"/>
      <w:r>
        <w:rPr>
          <w:rFonts w:hint="eastAsia" w:ascii="宋体" w:hAnsi="宋体" w:cs="宋体"/>
          <w:color w:val="auto"/>
          <w:highlight w:val="none"/>
        </w:rPr>
        <w:t>第一章 竞争性磋商公告</w:t>
      </w:r>
      <w:bookmarkEnd w:id="8"/>
      <w:bookmarkStart w:id="9" w:name="_Toc35393798"/>
      <w:bookmarkStart w:id="10" w:name="_Toc44229878"/>
      <w:bookmarkStart w:id="11" w:name="_Toc28359089"/>
      <w:bookmarkStart w:id="12" w:name="_Toc28359012"/>
      <w:bookmarkStart w:id="13" w:name="_Toc35393629"/>
      <w:bookmarkStart w:id="14" w:name="_Toc35393623"/>
      <w:bookmarkStart w:id="15" w:name="_Toc35393792"/>
      <w:bookmarkStart w:id="16" w:name="_Toc28359081"/>
      <w:bookmarkStart w:id="17" w:name="_Toc28359004"/>
    </w:p>
    <w:p w14:paraId="5ED37E36">
      <w:pPr>
        <w:rPr>
          <w:rFonts w:ascii="宋体" w:hAnsi="宋体" w:cs="宋体"/>
          <w:color w:val="auto"/>
          <w:highlight w:val="none"/>
        </w:rPr>
      </w:pPr>
    </w:p>
    <w:tbl>
      <w:tblPr>
        <w:tblStyle w:val="27"/>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068D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tcPr>
          <w:p w14:paraId="279C25BC">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项目概况</w:t>
            </w:r>
          </w:p>
          <w:p w14:paraId="36FE9589">
            <w:pPr>
              <w:spacing w:line="400" w:lineRule="exact"/>
              <w:ind w:firstLine="420" w:firstLineChars="200"/>
              <w:rPr>
                <w:rFonts w:ascii="宋体" w:hAnsi="宋体" w:cs="宋体"/>
                <w:b/>
                <w:bCs/>
                <w:color w:val="auto"/>
                <w:sz w:val="24"/>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2025年在妙镇佛子村那目屯产业道路项目</w:t>
            </w:r>
            <w:r>
              <w:rPr>
                <w:rFonts w:hint="eastAsia" w:ascii="宋体" w:hAnsi="宋体" w:cs="宋体"/>
                <w:color w:val="auto"/>
                <w:szCs w:val="21"/>
                <w:highlight w:val="none"/>
              </w:rPr>
              <w:t>采购项目的潜在供应商应在广西政府采购云平台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https://www.gcy.zfcg.gxzf.gov.cn）获取（下载）竞争性磋商文件，并于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24</w:t>
            </w:r>
            <w:r>
              <w:rPr>
                <w:rFonts w:hint="eastAsia" w:ascii="宋体" w:hAnsi="宋体" w:cs="宋体"/>
                <w:color w:val="auto"/>
                <w:szCs w:val="21"/>
                <w:highlight w:val="none"/>
                <w:u w:val="single"/>
              </w:rPr>
              <w:t>日09点30分</w:t>
            </w:r>
            <w:r>
              <w:rPr>
                <w:rFonts w:hint="eastAsia" w:ascii="宋体" w:hAnsi="宋体" w:cs="宋体"/>
                <w:color w:val="auto"/>
                <w:szCs w:val="21"/>
                <w:highlight w:val="none"/>
              </w:rPr>
              <w:t>（北京时间）</w:t>
            </w:r>
            <w:r>
              <w:rPr>
                <w:rFonts w:hint="eastAsia" w:ascii="宋体" w:hAnsi="宋体" w:cs="宋体"/>
                <w:bCs/>
                <w:color w:val="auto"/>
                <w:szCs w:val="21"/>
                <w:highlight w:val="none"/>
              </w:rPr>
              <w:t>前提交响应文件</w:t>
            </w:r>
            <w:r>
              <w:rPr>
                <w:rFonts w:hint="eastAsia" w:ascii="宋体" w:hAnsi="宋体" w:cs="宋体"/>
                <w:color w:val="auto"/>
                <w:szCs w:val="21"/>
                <w:highlight w:val="none"/>
              </w:rPr>
              <w:t>。</w:t>
            </w:r>
          </w:p>
        </w:tc>
      </w:tr>
    </w:tbl>
    <w:p w14:paraId="02C5F46E">
      <w:pPr>
        <w:spacing w:line="360" w:lineRule="auto"/>
        <w:ind w:firstLine="482" w:firstLineChars="200"/>
        <w:rPr>
          <w:rFonts w:ascii="宋体" w:hAnsi="宋体" w:cs="宋体"/>
          <w:b/>
          <w:color w:val="auto"/>
          <w:highlight w:val="none"/>
        </w:rPr>
      </w:pPr>
      <w:r>
        <w:rPr>
          <w:rFonts w:hint="eastAsia" w:ascii="宋体" w:hAnsi="宋体" w:cs="宋体"/>
          <w:b/>
          <w:color w:val="auto"/>
          <w:sz w:val="24"/>
          <w:highlight w:val="none"/>
        </w:rPr>
        <w:t>一、项目基本情况</w:t>
      </w:r>
      <w:bookmarkEnd w:id="9"/>
      <w:bookmarkEnd w:id="10"/>
      <w:bookmarkEnd w:id="11"/>
      <w:bookmarkEnd w:id="12"/>
      <w:bookmarkEnd w:id="13"/>
    </w:p>
    <w:p w14:paraId="3797043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FCZC2025-C2-210099-GXHT</w:t>
      </w:r>
    </w:p>
    <w:p w14:paraId="12635E3D">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2025年在妙镇佛子村那目屯产业道路项目</w:t>
      </w:r>
    </w:p>
    <w:p w14:paraId="75A385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3.采购方式：竞争性磋商</w:t>
      </w:r>
    </w:p>
    <w:p w14:paraId="10B664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4.预算金额：</w:t>
      </w:r>
      <w:r>
        <w:rPr>
          <w:rFonts w:hint="eastAsia" w:ascii="宋体" w:hAnsi="宋体" w:cs="宋体"/>
          <w:color w:val="auto"/>
          <w:szCs w:val="21"/>
          <w:highlight w:val="none"/>
          <w:lang w:val="en-US" w:eastAsia="zh-CN"/>
        </w:rPr>
        <w:t>1283760.00</w:t>
      </w:r>
      <w:r>
        <w:rPr>
          <w:rFonts w:hint="eastAsia" w:ascii="宋体" w:hAnsi="宋体" w:cs="宋体"/>
          <w:color w:val="auto"/>
          <w:szCs w:val="21"/>
          <w:highlight w:val="none"/>
        </w:rPr>
        <w:t>元</w:t>
      </w:r>
    </w:p>
    <w:p w14:paraId="1289BB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5.最高限价</w:t>
      </w:r>
      <w:bookmarkStart w:id="18" w:name="_Hlk66782034"/>
      <w:r>
        <w:rPr>
          <w:rFonts w:hint="eastAsia" w:ascii="宋体" w:hAnsi="宋体" w:cs="宋体"/>
          <w:color w:val="auto"/>
          <w:szCs w:val="21"/>
          <w:highlight w:val="none"/>
        </w:rPr>
        <w:t>（如有）</w:t>
      </w:r>
      <w:bookmarkEnd w:id="18"/>
      <w:r>
        <w:rPr>
          <w:rFonts w:hint="eastAsia" w:ascii="宋体" w:hAnsi="宋体" w:cs="宋体"/>
          <w:color w:val="auto"/>
          <w:szCs w:val="21"/>
          <w:highlight w:val="none"/>
        </w:rPr>
        <w:t>：同预算金额</w:t>
      </w:r>
    </w:p>
    <w:p w14:paraId="1F03F9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6.采购需求：</w:t>
      </w:r>
    </w:p>
    <w:tbl>
      <w:tblPr>
        <w:tblStyle w:val="26"/>
        <w:tblW w:w="96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9"/>
        <w:gridCol w:w="1727"/>
        <w:gridCol w:w="819"/>
        <w:gridCol w:w="763"/>
        <w:gridCol w:w="5601"/>
      </w:tblGrid>
      <w:tr w14:paraId="4CA3B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vAlign w:val="center"/>
          </w:tcPr>
          <w:p w14:paraId="70BEB85F">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727" w:type="dxa"/>
            <w:tcBorders>
              <w:top w:val="single" w:color="auto" w:sz="4" w:space="0"/>
              <w:left w:val="single" w:color="auto" w:sz="4" w:space="0"/>
              <w:bottom w:val="single" w:color="auto" w:sz="4" w:space="0"/>
              <w:right w:val="single" w:color="auto" w:sz="4" w:space="0"/>
            </w:tcBorders>
            <w:vAlign w:val="center"/>
          </w:tcPr>
          <w:p w14:paraId="7D3D994C">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819" w:type="dxa"/>
            <w:tcBorders>
              <w:top w:val="single" w:color="auto" w:sz="4" w:space="0"/>
              <w:left w:val="single" w:color="auto" w:sz="4" w:space="0"/>
              <w:bottom w:val="single" w:color="auto" w:sz="4" w:space="0"/>
              <w:right w:val="single" w:color="auto" w:sz="4" w:space="0"/>
            </w:tcBorders>
            <w:vAlign w:val="center"/>
          </w:tcPr>
          <w:p w14:paraId="6CE04EA5">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763" w:type="dxa"/>
            <w:tcBorders>
              <w:top w:val="single" w:color="auto" w:sz="4" w:space="0"/>
              <w:left w:val="single" w:color="auto" w:sz="4" w:space="0"/>
              <w:bottom w:val="single" w:color="auto" w:sz="4" w:space="0"/>
              <w:right w:val="single" w:color="auto" w:sz="4" w:space="0"/>
            </w:tcBorders>
            <w:vAlign w:val="center"/>
          </w:tcPr>
          <w:p w14:paraId="4B0AF788">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5601" w:type="dxa"/>
            <w:tcBorders>
              <w:top w:val="single" w:color="auto" w:sz="4" w:space="0"/>
              <w:left w:val="single" w:color="auto" w:sz="4" w:space="0"/>
              <w:bottom w:val="single" w:color="auto" w:sz="4" w:space="0"/>
              <w:right w:val="single" w:color="auto" w:sz="4" w:space="0"/>
            </w:tcBorders>
            <w:vAlign w:val="center"/>
          </w:tcPr>
          <w:p w14:paraId="04663989">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简要服务要求或者技术需求</w:t>
            </w:r>
          </w:p>
        </w:tc>
      </w:tr>
      <w:tr w14:paraId="3CE03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vAlign w:val="center"/>
          </w:tcPr>
          <w:p w14:paraId="2C9B5A5D">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727" w:type="dxa"/>
            <w:tcBorders>
              <w:top w:val="single" w:color="auto" w:sz="4" w:space="0"/>
              <w:left w:val="single" w:color="auto" w:sz="4" w:space="0"/>
              <w:bottom w:val="single" w:color="auto" w:sz="4" w:space="0"/>
              <w:right w:val="single" w:color="auto" w:sz="4" w:space="0"/>
            </w:tcBorders>
            <w:vAlign w:val="center"/>
          </w:tcPr>
          <w:p w14:paraId="07DF1FEE">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2025年在妙镇佛子村那目屯产业道路项目</w:t>
            </w:r>
          </w:p>
        </w:tc>
        <w:tc>
          <w:tcPr>
            <w:tcW w:w="819" w:type="dxa"/>
            <w:tcBorders>
              <w:top w:val="single" w:color="auto" w:sz="4" w:space="0"/>
              <w:left w:val="single" w:color="auto" w:sz="4" w:space="0"/>
              <w:bottom w:val="single" w:color="auto" w:sz="4" w:space="0"/>
              <w:right w:val="single" w:color="auto" w:sz="4" w:space="0"/>
            </w:tcBorders>
            <w:vAlign w:val="center"/>
          </w:tcPr>
          <w:p w14:paraId="228466B9">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项</w:t>
            </w:r>
          </w:p>
        </w:tc>
        <w:tc>
          <w:tcPr>
            <w:tcW w:w="763" w:type="dxa"/>
            <w:tcBorders>
              <w:top w:val="single" w:color="auto" w:sz="4" w:space="0"/>
              <w:left w:val="single" w:color="auto" w:sz="4" w:space="0"/>
              <w:bottom w:val="single" w:color="auto" w:sz="4" w:space="0"/>
              <w:right w:val="single" w:color="auto" w:sz="4" w:space="0"/>
            </w:tcBorders>
            <w:vAlign w:val="center"/>
          </w:tcPr>
          <w:p w14:paraId="2E2831EF">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5601" w:type="dxa"/>
            <w:tcBorders>
              <w:top w:val="single" w:color="auto" w:sz="4" w:space="0"/>
              <w:left w:val="single" w:color="auto" w:sz="4" w:space="0"/>
              <w:bottom w:val="single" w:color="auto" w:sz="4" w:space="0"/>
              <w:right w:val="single" w:color="auto" w:sz="4" w:space="0"/>
            </w:tcBorders>
            <w:vAlign w:val="center"/>
          </w:tcPr>
          <w:p w14:paraId="285986B3">
            <w:pPr>
              <w:spacing w:line="34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2025年在妙镇佛子村那目屯产业道路项目，</w:t>
            </w:r>
            <w:r>
              <w:rPr>
                <w:rFonts w:hint="eastAsia" w:ascii="宋体" w:hAnsi="宋体" w:cs="宋体"/>
                <w:color w:val="auto"/>
                <w:szCs w:val="21"/>
                <w:highlight w:val="none"/>
                <w:lang w:val="en-US" w:eastAsia="zh-CN"/>
              </w:rPr>
              <w:t>具体内容见工程量清单。</w:t>
            </w:r>
          </w:p>
        </w:tc>
      </w:tr>
    </w:tbl>
    <w:p w14:paraId="59FAC3C2">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7.合同履行期限：详见采购文件“第二章采购需求”商务条款。</w:t>
      </w:r>
    </w:p>
    <w:p w14:paraId="1A999A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8.本项目是否接受联合体：□是，☑否</w:t>
      </w:r>
    </w:p>
    <w:p w14:paraId="0DE9AD2E">
      <w:pPr>
        <w:spacing w:line="360" w:lineRule="auto"/>
        <w:ind w:firstLine="482" w:firstLineChars="200"/>
        <w:rPr>
          <w:rFonts w:ascii="宋体" w:hAnsi="宋体" w:cs="宋体"/>
          <w:bCs/>
          <w:color w:val="auto"/>
          <w:sz w:val="24"/>
          <w:highlight w:val="none"/>
        </w:rPr>
      </w:pPr>
      <w:bookmarkStart w:id="19" w:name="_Toc28359090"/>
      <w:bookmarkStart w:id="20" w:name="_Toc35393630"/>
      <w:bookmarkStart w:id="21" w:name="_Toc28359013"/>
      <w:bookmarkStart w:id="22" w:name="_Toc44229879"/>
      <w:bookmarkStart w:id="23" w:name="_Toc35393799"/>
      <w:r>
        <w:rPr>
          <w:rFonts w:hint="eastAsia" w:ascii="宋体" w:hAnsi="宋体" w:cs="宋体"/>
          <w:b/>
          <w:color w:val="auto"/>
          <w:kern w:val="44"/>
          <w:sz w:val="24"/>
          <w:highlight w:val="none"/>
        </w:rPr>
        <w:t>二、供应商的资格条件</w:t>
      </w:r>
      <w:bookmarkEnd w:id="19"/>
      <w:bookmarkEnd w:id="20"/>
      <w:bookmarkEnd w:id="21"/>
      <w:bookmarkEnd w:id="22"/>
      <w:bookmarkEnd w:id="23"/>
    </w:p>
    <w:p w14:paraId="3D2E71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14AFB2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2.落实政府采购政策需满足的资格要求：专门面向中小企业采购的项目（供应商应为中小微企业或监狱企业或残疾人福利性单位)；</w:t>
      </w:r>
    </w:p>
    <w:p w14:paraId="24CC67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3.本项目的特定资格要求：供应商须具备公路工程施工总承包叁级(含)以上资质，</w:t>
      </w:r>
      <w:r>
        <w:rPr>
          <w:rFonts w:hint="eastAsia" w:ascii="宋体" w:hAnsi="宋体" w:cs="宋体"/>
          <w:color w:val="auto"/>
          <w:szCs w:val="21"/>
          <w:highlight w:val="none"/>
          <w:lang w:val="en-US" w:eastAsia="zh-CN"/>
        </w:rPr>
        <w:t>同时</w:t>
      </w:r>
      <w:r>
        <w:rPr>
          <w:rFonts w:hint="eastAsia" w:ascii="宋体" w:hAnsi="宋体" w:cs="宋体"/>
          <w:color w:val="auto"/>
          <w:szCs w:val="21"/>
          <w:highlight w:val="none"/>
        </w:rPr>
        <w:t>持有省级及以上建设行政主管部门颁发的安全生产许可证；</w:t>
      </w:r>
    </w:p>
    <w:p w14:paraId="4C8689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4.本项目的特定条件：</w:t>
      </w:r>
      <w:r>
        <w:rPr>
          <w:rFonts w:hint="eastAsia" w:ascii="宋体" w:hAnsi="宋体" w:cs="宋体"/>
          <w:color w:val="auto"/>
          <w:szCs w:val="21"/>
          <w:highlight w:val="none"/>
          <w:lang w:val="en-US" w:eastAsia="zh-CN"/>
        </w:rPr>
        <w:t>拟投入本项目的</w:t>
      </w:r>
      <w:r>
        <w:rPr>
          <w:rFonts w:hint="eastAsia" w:ascii="宋体" w:hAnsi="宋体" w:cs="宋体"/>
          <w:color w:val="auto"/>
          <w:szCs w:val="21"/>
          <w:highlight w:val="none"/>
        </w:rPr>
        <w:t>项目经理须</w:t>
      </w:r>
      <w:r>
        <w:rPr>
          <w:rFonts w:hint="eastAsia" w:ascii="宋体" w:hAnsi="宋体" w:cs="宋体"/>
          <w:color w:val="auto"/>
          <w:szCs w:val="21"/>
          <w:highlight w:val="none"/>
          <w:lang w:val="en-US" w:eastAsia="zh-CN"/>
        </w:rPr>
        <w:t>具备</w:t>
      </w:r>
      <w:r>
        <w:rPr>
          <w:rFonts w:hint="eastAsia" w:ascii="宋体" w:hAnsi="宋体" w:cs="宋体"/>
          <w:color w:val="auto"/>
          <w:szCs w:val="21"/>
          <w:highlight w:val="none"/>
        </w:rPr>
        <w:t>公路工程专业</w:t>
      </w:r>
      <w:r>
        <w:rPr>
          <w:rFonts w:hint="eastAsia" w:ascii="宋体" w:hAnsi="宋体" w:cs="宋体"/>
          <w:color w:val="auto"/>
          <w:szCs w:val="21"/>
          <w:highlight w:val="none"/>
          <w:lang w:val="en-US" w:eastAsia="zh-CN"/>
        </w:rPr>
        <w:t>贰</w:t>
      </w:r>
      <w:r>
        <w:rPr>
          <w:rFonts w:hint="eastAsia" w:ascii="宋体" w:hAnsi="宋体" w:cs="宋体"/>
          <w:color w:val="auto"/>
          <w:szCs w:val="21"/>
          <w:highlight w:val="none"/>
        </w:rPr>
        <w:t>级以上(含</w:t>
      </w:r>
      <w:r>
        <w:rPr>
          <w:rFonts w:hint="eastAsia" w:ascii="宋体" w:hAnsi="宋体" w:cs="宋体"/>
          <w:color w:val="auto"/>
          <w:szCs w:val="21"/>
          <w:highlight w:val="none"/>
          <w:lang w:val="en-US" w:eastAsia="zh-CN"/>
        </w:rPr>
        <w:t>贰级</w:t>
      </w:r>
      <w:r>
        <w:rPr>
          <w:rFonts w:hint="eastAsia" w:ascii="宋体" w:hAnsi="宋体" w:cs="宋体"/>
          <w:color w:val="auto"/>
          <w:szCs w:val="21"/>
          <w:highlight w:val="none"/>
        </w:rPr>
        <w:t>)注册建造师资格，并持有省级或以上交通运输行政主管部门颁发的安全生产考核合格证(“三类人员”B 类证书)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拟投入本项目的安全员应具有省级（或以上）交通主管部门颁发的《安全生产考核合格证书》C证。</w:t>
      </w:r>
    </w:p>
    <w:p w14:paraId="6ABF0C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D0BB2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、政府采购严重违法失信行为记录名单及其他不符合《中华人民共和国政府采购法》第二十二条规定条件的供应商，不得参与政府采购活动。</w:t>
      </w:r>
    </w:p>
    <w:p w14:paraId="090FB96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三、获取竞争性磋商文件</w:t>
      </w:r>
      <w:bookmarkEnd w:id="14"/>
      <w:bookmarkEnd w:id="15"/>
      <w:bookmarkEnd w:id="16"/>
      <w:bookmarkEnd w:id="17"/>
    </w:p>
    <w:p w14:paraId="1B87806A">
      <w:pPr>
        <w:spacing w:line="360" w:lineRule="auto"/>
        <w:ind w:firstLine="420" w:firstLineChars="200"/>
        <w:rPr>
          <w:rFonts w:ascii="宋体" w:hAnsi="宋体" w:cs="宋体"/>
          <w:color w:val="auto"/>
          <w:szCs w:val="21"/>
          <w:highlight w:val="none"/>
        </w:rPr>
      </w:pPr>
      <w:bookmarkStart w:id="24" w:name="_Toc35393793"/>
      <w:bookmarkStart w:id="25" w:name="_Toc28359082"/>
      <w:bookmarkStart w:id="26" w:name="_Toc28359005"/>
      <w:bookmarkStart w:id="27" w:name="_Toc35393624"/>
      <w:r>
        <w:rPr>
          <w:rFonts w:hint="eastAsia" w:ascii="宋体" w:hAnsi="宋体" w:cs="宋体"/>
          <w:color w:val="auto"/>
          <w:szCs w:val="21"/>
          <w:highlight w:val="none"/>
        </w:rPr>
        <w:t>时间：</w:t>
      </w:r>
      <w:r>
        <w:rPr>
          <w:rFonts w:hint="eastAsia" w:ascii="宋体" w:hAnsi="宋体" w:cs="宋体"/>
          <w:color w:val="auto"/>
          <w:szCs w:val="21"/>
          <w:highlight w:val="none"/>
          <w:u w:val="none"/>
        </w:rPr>
        <w:t>202</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rPr>
        <w:t>年</w:t>
      </w:r>
      <w:r>
        <w:rPr>
          <w:rFonts w:hint="eastAsia" w:ascii="宋体" w:hAnsi="宋体" w:cs="宋体"/>
          <w:color w:val="auto"/>
          <w:szCs w:val="21"/>
          <w:highlight w:val="none"/>
          <w:u w:val="none"/>
          <w:lang w:val="en-US" w:eastAsia="zh-CN"/>
        </w:rPr>
        <w:t>9</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30</w:t>
      </w:r>
      <w:r>
        <w:rPr>
          <w:rFonts w:hint="eastAsia" w:ascii="宋体" w:hAnsi="宋体" w:cs="宋体"/>
          <w:color w:val="auto"/>
          <w:szCs w:val="21"/>
          <w:highlight w:val="none"/>
          <w:u w:val="none"/>
        </w:rPr>
        <w:t>日</w:t>
      </w:r>
      <w:r>
        <w:rPr>
          <w:rFonts w:hint="eastAsia" w:ascii="宋体" w:hAnsi="宋体" w:cs="宋体"/>
          <w:color w:val="auto"/>
          <w:highlight w:val="none"/>
          <w:u w:val="none"/>
        </w:rPr>
        <w:t>至</w:t>
      </w:r>
      <w:r>
        <w:rPr>
          <w:rFonts w:hint="eastAsia" w:ascii="宋体" w:hAnsi="宋体" w:cs="宋体"/>
          <w:color w:val="auto"/>
          <w:szCs w:val="21"/>
          <w:highlight w:val="none"/>
          <w:u w:val="none"/>
        </w:rPr>
        <w:t>202</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rPr>
        <w:t>年</w:t>
      </w:r>
      <w:r>
        <w:rPr>
          <w:rFonts w:hint="eastAsia" w:ascii="宋体" w:hAnsi="宋体" w:cs="宋体"/>
          <w:color w:val="auto"/>
          <w:szCs w:val="21"/>
          <w:highlight w:val="none"/>
          <w:u w:val="none"/>
          <w:lang w:val="en-US" w:eastAsia="zh-CN"/>
        </w:rPr>
        <w:t>10</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15</w:t>
      </w:r>
      <w:r>
        <w:rPr>
          <w:rFonts w:hint="eastAsia" w:ascii="宋体" w:hAnsi="宋体" w:cs="宋体"/>
          <w:color w:val="auto"/>
          <w:szCs w:val="21"/>
          <w:highlight w:val="none"/>
          <w:u w:val="none"/>
        </w:rPr>
        <w:t>日</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每天上午00:00至11:59，下午12:00至23:59（北京时间，法定节假日除外）</w:t>
      </w:r>
      <w:r>
        <w:rPr>
          <w:rFonts w:hint="eastAsia" w:ascii="宋体" w:hAnsi="宋体" w:cs="宋体"/>
          <w:color w:val="auto"/>
          <w:szCs w:val="21"/>
          <w:highlight w:val="none"/>
        </w:rPr>
        <w:t>。</w:t>
      </w:r>
    </w:p>
    <w:p w14:paraId="3D3DFBD4">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获取方式: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竞争性磋商文件编制，通过其他方式获取竞争性磋商文件的，将有可能导致供应商无法在广西政府采购云平台编制及上传响应文件。</w:t>
      </w:r>
    </w:p>
    <w:p w14:paraId="0F3B0A9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售价：0元。</w:t>
      </w:r>
    </w:p>
    <w:p w14:paraId="796C1FA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w:t>
      </w:r>
      <w:bookmarkEnd w:id="24"/>
      <w:bookmarkEnd w:id="25"/>
      <w:bookmarkEnd w:id="26"/>
      <w:bookmarkEnd w:id="27"/>
      <w:r>
        <w:rPr>
          <w:rFonts w:hint="eastAsia" w:ascii="宋体" w:hAnsi="宋体" w:cs="宋体"/>
          <w:b/>
          <w:bCs/>
          <w:color w:val="auto"/>
          <w:sz w:val="24"/>
          <w:highlight w:val="none"/>
        </w:rPr>
        <w:t>响应文件提交</w:t>
      </w:r>
    </w:p>
    <w:p w14:paraId="776F1A43">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1、截止时间</w:t>
      </w:r>
      <w:r>
        <w:rPr>
          <w:rFonts w:hint="eastAsia" w:ascii="宋体" w:hAnsi="宋体" w:cs="宋体"/>
          <w:bCs/>
          <w:color w:val="auto"/>
          <w:szCs w:val="21"/>
          <w:highlight w:val="none"/>
        </w:rPr>
        <w:t>（北京时间）：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24</w:t>
      </w:r>
      <w:r>
        <w:rPr>
          <w:rFonts w:hint="eastAsia" w:ascii="宋体" w:hAnsi="宋体" w:cs="宋体"/>
          <w:color w:val="auto"/>
          <w:szCs w:val="21"/>
          <w:highlight w:val="none"/>
          <w:u w:val="single"/>
        </w:rPr>
        <w:t>日09点30分</w:t>
      </w:r>
    </w:p>
    <w:p w14:paraId="434EC14F">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2、地点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网址</w:t>
      </w:r>
      <w:r>
        <w:rPr>
          <w:rFonts w:hint="eastAsia" w:ascii="宋体" w:hAnsi="宋体" w:cs="宋体"/>
          <w:color w:val="auto"/>
          <w:szCs w:val="21"/>
          <w:highlight w:val="none"/>
          <w:lang w:eastAsia="zh-CN"/>
        </w:rPr>
        <w:t>）</w:t>
      </w:r>
      <w:r>
        <w:rPr>
          <w:rFonts w:hint="eastAsia" w:ascii="宋体" w:hAnsi="宋体" w:cs="宋体"/>
          <w:color w:val="auto"/>
          <w:szCs w:val="21"/>
          <w:highlight w:val="none"/>
        </w:rPr>
        <w:t>：通过</w:t>
      </w:r>
      <w:r>
        <w:rPr>
          <w:rFonts w:hint="eastAsia" w:ascii="宋体" w:hAnsi="宋体" w:cs="宋体"/>
          <w:color w:val="auto"/>
          <w:szCs w:val="21"/>
          <w:highlight w:val="none"/>
          <w:lang w:eastAsia="zh-CN"/>
        </w:rPr>
        <w:t>广西政府采购</w:t>
      </w:r>
      <w:r>
        <w:rPr>
          <w:rFonts w:hint="eastAsia" w:ascii="宋体" w:hAnsi="宋体" w:cs="宋体"/>
          <w:color w:val="auto"/>
          <w:szCs w:val="21"/>
          <w:highlight w:val="none"/>
        </w:rPr>
        <w:t>云平台实行在线投标响应</w:t>
      </w:r>
      <w:r>
        <w:rPr>
          <w:rFonts w:hint="eastAsia" w:ascii="宋体" w:hAnsi="宋体" w:cs="宋体"/>
          <w:color w:val="auto"/>
          <w:szCs w:val="21"/>
          <w:highlight w:val="none"/>
          <w:lang w:eastAsia="zh-CN"/>
        </w:rPr>
        <w:t>。</w:t>
      </w:r>
    </w:p>
    <w:p w14:paraId="6CABC45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14:paraId="621B5604">
      <w:pPr>
        <w:spacing w:line="360" w:lineRule="auto"/>
        <w:ind w:firstLine="420" w:firstLineChars="200"/>
        <w:rPr>
          <w:rFonts w:ascii="宋体" w:hAnsi="宋体" w:cs="宋体"/>
          <w:bCs/>
          <w:color w:val="auto"/>
          <w:szCs w:val="21"/>
          <w:highlight w:val="none"/>
          <w:u w:val="single"/>
        </w:rPr>
      </w:pPr>
      <w:bookmarkStart w:id="28" w:name="_Toc35393625"/>
      <w:bookmarkStart w:id="29" w:name="_Toc28359084"/>
      <w:bookmarkStart w:id="30" w:name="_Toc35393794"/>
      <w:bookmarkStart w:id="31" w:name="_Toc28359007"/>
      <w:r>
        <w:rPr>
          <w:rFonts w:hint="eastAsia" w:ascii="宋体" w:hAnsi="宋体" w:cs="宋体"/>
          <w:color w:val="auto"/>
          <w:szCs w:val="21"/>
          <w:highlight w:val="none"/>
        </w:rPr>
        <w:t>1.时间</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24</w:t>
      </w:r>
      <w:r>
        <w:rPr>
          <w:rFonts w:hint="eastAsia" w:ascii="宋体" w:hAnsi="宋体" w:cs="宋体"/>
          <w:color w:val="auto"/>
          <w:szCs w:val="21"/>
          <w:highlight w:val="none"/>
          <w:u w:val="single"/>
        </w:rPr>
        <w:t>日09点30分</w:t>
      </w:r>
      <w:r>
        <w:rPr>
          <w:rFonts w:hint="eastAsia" w:ascii="宋体" w:hAnsi="宋体" w:cs="宋体"/>
          <w:color w:val="auto"/>
          <w:szCs w:val="21"/>
          <w:highlight w:val="none"/>
        </w:rPr>
        <w:t>后</w:t>
      </w:r>
    </w:p>
    <w:p w14:paraId="40CBBDEF">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2.地点：广西壮族自治区防城港市开标室</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政府采购开标室</w:t>
      </w:r>
      <w:r>
        <w:rPr>
          <w:rFonts w:hint="eastAsia" w:ascii="宋体" w:hAnsi="宋体" w:cs="宋体"/>
          <w:color w:val="auto"/>
          <w:szCs w:val="21"/>
          <w:highlight w:val="none"/>
          <w:lang w:val="en-US" w:eastAsia="zh-CN"/>
        </w:rPr>
        <w:t>2</w:t>
      </w:r>
    </w:p>
    <w:p w14:paraId="505A10D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六、公告期限</w:t>
      </w:r>
      <w:bookmarkEnd w:id="28"/>
      <w:bookmarkEnd w:id="29"/>
      <w:bookmarkEnd w:id="30"/>
      <w:bookmarkEnd w:id="31"/>
    </w:p>
    <w:p w14:paraId="23B3BA2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14F9362F">
      <w:pPr>
        <w:spacing w:line="360" w:lineRule="auto"/>
        <w:ind w:firstLine="482" w:firstLineChars="200"/>
        <w:rPr>
          <w:rFonts w:ascii="宋体" w:hAnsi="宋体" w:cs="宋体"/>
          <w:b/>
          <w:bCs/>
          <w:color w:val="auto"/>
          <w:sz w:val="24"/>
          <w:highlight w:val="none"/>
        </w:rPr>
      </w:pPr>
      <w:bookmarkStart w:id="32" w:name="_Toc35393626"/>
      <w:bookmarkStart w:id="33" w:name="_Toc35393795"/>
      <w:r>
        <w:rPr>
          <w:rFonts w:hint="eastAsia" w:ascii="宋体" w:hAnsi="宋体" w:cs="宋体"/>
          <w:b/>
          <w:bCs/>
          <w:color w:val="auto"/>
          <w:sz w:val="24"/>
          <w:highlight w:val="none"/>
        </w:rPr>
        <w:t>七、其他补充事宜</w:t>
      </w:r>
      <w:bookmarkEnd w:id="32"/>
      <w:bookmarkEnd w:id="33"/>
    </w:p>
    <w:p w14:paraId="15A765A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1.磋商保证金：本项目不收取磋商保证金</w:t>
      </w:r>
    </w:p>
    <w:p w14:paraId="1455AAB2">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2.采购意向公开链接：https://zfcg.gxzf.gov.cn/luban/detail?parentId=66601&amp;articleId=ann_eKoEbgs0v/3NXCByFk8lw9D5ndTMr3NGt5TILBJnhQo=</w:t>
      </w:r>
    </w:p>
    <w:p w14:paraId="3538194D">
      <w:pPr>
        <w:spacing w:line="360" w:lineRule="auto"/>
        <w:ind w:firstLine="420" w:firstLineChars="200"/>
        <w:rPr>
          <w:rFonts w:ascii="宋体" w:hAnsi="宋体" w:cs="宋体"/>
          <w:color w:val="auto"/>
          <w:kern w:val="0"/>
          <w:szCs w:val="21"/>
          <w:highlight w:val="none"/>
        </w:rPr>
      </w:pPr>
      <w:bookmarkStart w:id="34" w:name="_Hlk37429585"/>
      <w:r>
        <w:rPr>
          <w:rFonts w:hint="eastAsia" w:ascii="宋体" w:hAnsi="宋体" w:cs="宋体"/>
          <w:color w:val="auto"/>
          <w:kern w:val="0"/>
          <w:szCs w:val="21"/>
          <w:highlight w:val="none"/>
        </w:rPr>
        <w:t>3.</w:t>
      </w:r>
      <w:bookmarkStart w:id="35" w:name="_Hlk37429595"/>
      <w:r>
        <w:rPr>
          <w:rFonts w:hint="eastAsia" w:ascii="宋体" w:hAnsi="宋体" w:cs="宋体"/>
          <w:color w:val="auto"/>
          <w:kern w:val="0"/>
          <w:szCs w:val="21"/>
          <w:highlight w:val="none"/>
        </w:rPr>
        <w:t>网上查询地址</w:t>
      </w:r>
    </w:p>
    <w:bookmarkEnd w:id="34"/>
    <w:bookmarkEnd w:id="35"/>
    <w:p w14:paraId="1BCF1F1A">
      <w:pPr>
        <w:spacing w:line="360" w:lineRule="auto"/>
        <w:ind w:firstLine="420" w:firstLineChars="200"/>
        <w:rPr>
          <w:rFonts w:ascii="宋体" w:hAnsi="宋体" w:cs="宋体"/>
          <w:color w:val="auto"/>
          <w:kern w:val="0"/>
          <w:szCs w:val="21"/>
          <w:highlight w:val="none"/>
        </w:rPr>
      </w:pPr>
      <w:bookmarkStart w:id="36" w:name="_Hlk37429674"/>
      <w:r>
        <w:rPr>
          <w:rFonts w:hint="eastAsia" w:ascii="宋体" w:hAnsi="宋体" w:cs="宋体"/>
          <w:color w:val="auto"/>
          <w:kern w:val="0"/>
          <w:szCs w:val="21"/>
          <w:highlight w:val="none"/>
        </w:rPr>
        <w:t>中国政府采购网（www.ccgp.gov.cn）、广西壮族自治区政府采购网（http://zfcg.gxzf.gov.cn/）、全国公共资源交易平台(广西·防城港)（http://ggzy.jgswj.gxzf.gov.cn/fcgggzy/）</w:t>
      </w:r>
    </w:p>
    <w:p w14:paraId="3869C14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本项目需要落实的政府采购政策</w:t>
      </w:r>
    </w:p>
    <w:bookmarkEnd w:id="36"/>
    <w:p w14:paraId="3F4A7600">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7EB5A861">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102592EE">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（3）政府采购促进残疾人就业政策。</w:t>
      </w:r>
    </w:p>
    <w:p w14:paraId="7BDB4541">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（4）政府采购支持监狱企业发展。</w:t>
      </w:r>
    </w:p>
    <w:p w14:paraId="4EFB97CD">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.在线竞标响应（电子竞标）说明及注意事项</w:t>
      </w:r>
    </w:p>
    <w:p w14:paraId="1E147C6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（1）本项目通过</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云平台实行在线电子响应，供应商应先安装“</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云平台电子交易客户端”（请自行前往</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云平台进行下载），并按照本项目采购文件和</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云平台的要求编制、加密后在响应文件递交截止时间前通过网络上传至</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云平台，供应商在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云平台提交电子响应文件时，请填写参加远程开标活动经办人联系方式。供应商登录</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云平台，依次进入“服务中心-项目采购-操作流程-电子招投标-政府采购项目电子交易管理操作指南-供应商”查看电子投标具体操作流程；在使用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云平台投标客户端时，建议使用WIN7及以上操作系统。</w:t>
      </w:r>
    </w:p>
    <w:p w14:paraId="6F590AD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（2）使用“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交易客户端”需要提前申领CA数字证书，供应商应当在响应文件递交截止时间前，完成电子交易平台上的CA数字证书办理（完成CA数字证书办理预计要一周左右，供应商可登录“广西政府采购网”，依次进入“办事服务-下载专区”或者登陆</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云平台，依次进入“服务中心-入驻与配置”中查看CA数字证书办理操作流程。如在操作过程中遇到问题或者需要技术支持，请致电</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云平台客服热线：</w:t>
      </w:r>
      <w:r>
        <w:rPr>
          <w:rFonts w:hint="eastAsia" w:ascii="宋体" w:hAnsi="宋体" w:cs="宋体"/>
          <w:color w:val="auto"/>
          <w:kern w:val="0"/>
          <w:szCs w:val="21"/>
          <w:highlight w:val="none"/>
          <w:lang w:val="en-US" w:eastAsia="zh-CN"/>
        </w:rPr>
        <w:t>95763</w:t>
      </w:r>
      <w:r>
        <w:rPr>
          <w:rFonts w:hint="eastAsia" w:ascii="宋体" w:hAnsi="宋体" w:cs="宋体"/>
          <w:color w:val="auto"/>
          <w:kern w:val="0"/>
          <w:szCs w:val="21"/>
          <w:highlight w:val="none"/>
        </w:rPr>
        <w:t>）。</w:t>
      </w:r>
    </w:p>
    <w:p w14:paraId="7E217784">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（3）供应商应当在响应截止时间前，将生成的“电子响应文件”上传递交至</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响应文件递交截止时间前可以撤回电子响应文件。补充或者修改电子响应文件的，应当先行撤回原文件，补充、修改后重新上传递交，响应文件递交截止时间前未完成上传的，视为撤回响应文件；响应文件递交截止时间以后上传递交的响应文件，</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云平台将予以拒收。</w:t>
      </w:r>
    </w:p>
    <w:p w14:paraId="576177C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（4）CA证书在线解密：供应商竞标响应时，需用有效数字证书（CA认证）登录</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云平台电子开标大厅现场，在截标时间后30分钟内对加密的响应文件进行解密，否则后果自负。</w:t>
      </w:r>
    </w:p>
    <w:p w14:paraId="18DA035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）通过“政府采购云平台”上传递交的“电子加密响应文件”无法按时解密，供应商递交了电子备份响应文件的，以电子备份响应文件为依据，否则视为响应文件撤回。通过</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云平台上传递交的电子加密响应文件已按时解密的，电子备份响应文件自动失效。供应商仅递交电子备份响应文件的，竞标无效。</w:t>
      </w:r>
    </w:p>
    <w:p w14:paraId="6B24E95C">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）本项目需要供应商代表在截标后，按磋商小组要求及时登陆</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云平台等候在线磋商及提交最后报价。</w:t>
      </w:r>
    </w:p>
    <w:p w14:paraId="48819FA9">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）为确保网上操作合法、有效和安全，请供应商确保在电子响应过程中能够对相关数据电文进行加密和使用电子签章，妥善保管CA数字证书并使用有效的CA数字证书参与整个竞标活动。</w:t>
      </w:r>
    </w:p>
    <w:p w14:paraId="70B2708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2939DD8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 xml:space="preserve">.若对项目采购电子交易系统操作有疑问，可登录“广西政府采购云平台”https://www.gcy.zfcg.gxzf.gov.cn），点击右侧咨询小采，获取采小蜜智能服务管家帮助，或拨打广西政府采购云平台服务热线95763获取热线服务帮助。 </w:t>
      </w:r>
    </w:p>
    <w:p w14:paraId="46F0DC3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监督部门：上思县政府采购中心，电话：0770-8521708。</w:t>
      </w:r>
    </w:p>
    <w:p w14:paraId="3548F68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 xml:space="preserve">.评标说明：本项目为远程异地全流程电子评标。 </w:t>
      </w:r>
    </w:p>
    <w:p w14:paraId="0CE841C9">
      <w:pPr>
        <w:spacing w:line="360" w:lineRule="auto"/>
        <w:ind w:firstLine="482" w:firstLineChars="200"/>
        <w:rPr>
          <w:rFonts w:ascii="宋体" w:hAnsi="宋体" w:cs="宋体"/>
          <w:bCs/>
          <w:color w:val="auto"/>
          <w:sz w:val="24"/>
          <w:highlight w:val="none"/>
        </w:rPr>
      </w:pPr>
      <w:r>
        <w:rPr>
          <w:rFonts w:hint="eastAsia" w:ascii="宋体" w:hAnsi="宋体" w:cs="宋体"/>
          <w:b/>
          <w:color w:val="auto"/>
          <w:kern w:val="44"/>
          <w:sz w:val="24"/>
          <w:highlight w:val="none"/>
        </w:rPr>
        <w:t>八、凡对本次采购提出询问，请按以下方式联系</w:t>
      </w:r>
    </w:p>
    <w:p w14:paraId="0070EB8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w:t>
      </w:r>
      <w:bookmarkStart w:id="37" w:name="_Toc10702"/>
      <w:r>
        <w:rPr>
          <w:rFonts w:hint="eastAsia" w:ascii="宋体" w:hAnsi="宋体" w:cs="宋体"/>
          <w:color w:val="auto"/>
          <w:szCs w:val="21"/>
          <w:highlight w:val="none"/>
        </w:rPr>
        <w:t>1.采购人信息</w:t>
      </w:r>
    </w:p>
    <w:p w14:paraId="59D8DF19">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上思县农业农村局</w:t>
      </w:r>
    </w:p>
    <w:p w14:paraId="2D66BF68">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上思县思阳镇仁甫西路农业农村局</w:t>
      </w:r>
    </w:p>
    <w:p w14:paraId="63213EF6">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陆俊吉</w:t>
      </w:r>
    </w:p>
    <w:p w14:paraId="0E34F655">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0770-8509177</w:t>
      </w:r>
    </w:p>
    <w:p w14:paraId="78C8163E">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30554A24">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广西昊泰工程咨询有限公司</w:t>
      </w:r>
    </w:p>
    <w:p w14:paraId="6A4932D2">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地址：南宁市青秀区园湖南路31号祥龙大厦3楼312号</w:t>
      </w:r>
    </w:p>
    <w:p w14:paraId="0CAC1FBB">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梁耀蓬</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0771-3802986</w:t>
      </w:r>
    </w:p>
    <w:p w14:paraId="6FAC8848">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3.项目联系方式</w:t>
      </w:r>
    </w:p>
    <w:p w14:paraId="14103BE6">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梁耀蓬</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lang w:eastAsia="zh-CN"/>
        </w:rPr>
        <w:t>0771-3802986</w:t>
      </w:r>
    </w:p>
    <w:p w14:paraId="13B11FD1">
      <w:pPr>
        <w:spacing w:line="360" w:lineRule="auto"/>
        <w:jc w:val="righ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广西昊泰工程咨询有限公司</w:t>
      </w:r>
    </w:p>
    <w:p w14:paraId="5C56F9C2">
      <w:pPr>
        <w:spacing w:line="360" w:lineRule="auto"/>
        <w:ind w:firstLine="210" w:firstLineChars="100"/>
        <w:jc w:val="right"/>
        <w:rPr>
          <w:rFonts w:ascii="宋体" w:hAnsi="宋体" w:cs="宋体"/>
          <w:color w:val="auto"/>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w:t>
      </w:r>
    </w:p>
    <w:p w14:paraId="14960183">
      <w:pPr>
        <w:spacing w:line="360" w:lineRule="auto"/>
        <w:ind w:firstLine="210" w:firstLineChars="100"/>
        <w:jc w:val="right"/>
        <w:rPr>
          <w:rFonts w:ascii="宋体" w:hAnsi="宋体" w:cs="宋体"/>
          <w:color w:val="auto"/>
          <w:highlight w:val="none"/>
        </w:rPr>
      </w:pPr>
    </w:p>
    <w:p w14:paraId="5FDC8921">
      <w:pPr>
        <w:widowControl/>
        <w:spacing w:line="360" w:lineRule="auto"/>
        <w:jc w:val="left"/>
        <w:rPr>
          <w:rFonts w:ascii="宋体" w:hAnsi="宋体" w:cs="宋体"/>
          <w:color w:val="auto"/>
          <w:sz w:val="24"/>
          <w:highlight w:val="none"/>
          <w:lang w:val="zh-CN"/>
        </w:rPr>
        <w:sectPr>
          <w:footerReference r:id="rId6" w:type="default"/>
          <w:pgSz w:w="11906" w:h="16838"/>
          <w:pgMar w:top="1134" w:right="1134" w:bottom="1134" w:left="1134" w:header="720" w:footer="720" w:gutter="0"/>
          <w:cols w:space="720" w:num="1"/>
          <w:docGrid w:type="lines" w:linePitch="331" w:charSpace="0"/>
        </w:sectPr>
      </w:pPr>
    </w:p>
    <w:p w14:paraId="5F3FC33F">
      <w:pPr>
        <w:pStyle w:val="2"/>
        <w:jc w:val="center"/>
        <w:rPr>
          <w:rFonts w:ascii="宋体" w:hAnsi="宋体" w:cs="宋体"/>
          <w:color w:val="auto"/>
          <w:highlight w:val="none"/>
        </w:rPr>
      </w:pPr>
      <w:r>
        <w:rPr>
          <w:rFonts w:hint="eastAsia" w:ascii="宋体" w:hAnsi="宋体" w:cs="宋体"/>
          <w:bCs w:val="0"/>
          <w:color w:val="auto"/>
          <w:sz w:val="32"/>
          <w:szCs w:val="32"/>
          <w:highlight w:val="none"/>
        </w:rPr>
        <w:t>第二章 采购需求</w:t>
      </w:r>
      <w:bookmarkEnd w:id="37"/>
    </w:p>
    <w:p w14:paraId="7F1980E2">
      <w:pPr>
        <w:pStyle w:val="9"/>
        <w:spacing w:line="420" w:lineRule="exact"/>
        <w:rPr>
          <w:rFonts w:hint="eastAsia" w:ascii="宋体" w:hAnsi="宋体" w:cs="宋体"/>
          <w:color w:val="auto"/>
          <w:szCs w:val="21"/>
          <w:highlight w:val="none"/>
        </w:rPr>
      </w:pPr>
      <w:r>
        <w:rPr>
          <w:rFonts w:hint="eastAsia" w:ascii="宋体" w:hAnsi="宋体" w:cs="宋体"/>
          <w:color w:val="auto"/>
          <w:szCs w:val="21"/>
          <w:highlight w:val="none"/>
        </w:rPr>
        <w:t>说明：</w:t>
      </w:r>
    </w:p>
    <w:p w14:paraId="791B24F5">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为落实政府采购政策需满足的要求（根据项目实际情况填写内容）</w:t>
      </w:r>
    </w:p>
    <w:p w14:paraId="22E07AB8">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02688DFA">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3893622C">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2.“实质性要求”是指采购需求中带“▲”的条款或者不能负偏离的条款或者已经指明不满足按响应文件作无效处理的条款。</w:t>
      </w:r>
    </w:p>
    <w:p w14:paraId="3A135887">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不需要供应商对采购需求响应为具体数值的，此采购需求的数值后将以◆号标注。</w:t>
      </w:r>
    </w:p>
    <w:p w14:paraId="3F65E53F">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如竞标人竞标产品存在侵犯他人的知识产权或者专利成果行为的，应承担相应法律责任。</w:t>
      </w:r>
    </w:p>
    <w:p w14:paraId="6751923E">
      <w:pPr>
        <w:pStyle w:val="9"/>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.本采购标的所属行业：</w:t>
      </w:r>
      <w:r>
        <w:rPr>
          <w:rFonts w:hint="eastAsia" w:ascii="宋体" w:hAnsi="宋体" w:cs="宋体"/>
          <w:color w:val="auto"/>
          <w:szCs w:val="21"/>
          <w:highlight w:val="none"/>
          <w:lang w:val="en-US" w:eastAsia="zh-CN"/>
        </w:rPr>
        <w:t>建筑业</w:t>
      </w:r>
      <w:r>
        <w:rPr>
          <w:rFonts w:hint="eastAsia" w:ascii="宋体" w:hAnsi="宋体" w:cs="宋体"/>
          <w:color w:val="auto"/>
          <w:szCs w:val="21"/>
          <w:highlight w:val="none"/>
        </w:rPr>
        <w:t>（详见附件 1 ）。</w:t>
      </w:r>
    </w:p>
    <w:tbl>
      <w:tblPr>
        <w:tblStyle w:val="26"/>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348"/>
        <w:gridCol w:w="464"/>
        <w:gridCol w:w="642"/>
        <w:gridCol w:w="4787"/>
        <w:gridCol w:w="727"/>
        <w:gridCol w:w="1188"/>
      </w:tblGrid>
      <w:tr w14:paraId="3EAF1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6" w:hRule="atLeast"/>
          <w:jc w:val="center"/>
        </w:trPr>
        <w:tc>
          <w:tcPr>
            <w:tcW w:w="10121" w:type="dxa"/>
            <w:gridSpan w:val="8"/>
            <w:tcBorders>
              <w:top w:val="single" w:color="auto" w:sz="4" w:space="0"/>
              <w:left w:val="single" w:color="auto" w:sz="4" w:space="0"/>
              <w:right w:val="single" w:color="auto" w:sz="4" w:space="0"/>
            </w:tcBorders>
            <w:vAlign w:val="center"/>
          </w:tcPr>
          <w:p w14:paraId="1A8DF974">
            <w:pPr>
              <w:spacing w:line="360" w:lineRule="exact"/>
              <w:jc w:val="center"/>
              <w:rPr>
                <w:rFonts w:ascii="宋体" w:hAnsi="宋体" w:cs="宋体"/>
                <w:b/>
                <w:color w:val="auto"/>
                <w:sz w:val="24"/>
                <w:highlight w:val="none"/>
              </w:rPr>
            </w:pPr>
            <w:r>
              <w:rPr>
                <w:rFonts w:hint="eastAsia" w:ascii="宋体" w:hAnsi="宋体" w:cs="宋体"/>
                <w:b/>
                <w:color w:val="auto"/>
                <w:sz w:val="32"/>
                <w:szCs w:val="32"/>
                <w:highlight w:val="none"/>
              </w:rPr>
              <w:t>服务需求一览表</w:t>
            </w:r>
          </w:p>
        </w:tc>
      </w:tr>
      <w:tr w14:paraId="112E9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14:paraId="3949514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采购清单及服务参数</w:t>
            </w:r>
          </w:p>
        </w:tc>
        <w:tc>
          <w:tcPr>
            <w:tcW w:w="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BB7A5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标项</w:t>
            </w:r>
          </w:p>
        </w:tc>
        <w:tc>
          <w:tcPr>
            <w:tcW w:w="1348" w:type="dxa"/>
            <w:tcBorders>
              <w:top w:val="single" w:color="auto" w:sz="4" w:space="0"/>
              <w:left w:val="single" w:color="auto" w:sz="4" w:space="0"/>
              <w:bottom w:val="single" w:color="auto" w:sz="4" w:space="0"/>
              <w:right w:val="single" w:color="auto" w:sz="4" w:space="0"/>
            </w:tcBorders>
            <w:vAlign w:val="center"/>
          </w:tcPr>
          <w:p w14:paraId="1F8DA05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采购服务名称</w:t>
            </w:r>
          </w:p>
        </w:tc>
        <w:tc>
          <w:tcPr>
            <w:tcW w:w="464" w:type="dxa"/>
            <w:tcBorders>
              <w:top w:val="single" w:color="auto" w:sz="4" w:space="0"/>
              <w:left w:val="single" w:color="auto" w:sz="4" w:space="0"/>
              <w:bottom w:val="single" w:color="auto" w:sz="4" w:space="0"/>
              <w:right w:val="single" w:color="auto" w:sz="4" w:space="0"/>
            </w:tcBorders>
            <w:vAlign w:val="center"/>
          </w:tcPr>
          <w:p w14:paraId="34B7ED8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42" w:type="dxa"/>
            <w:tcBorders>
              <w:top w:val="single" w:color="auto" w:sz="4" w:space="0"/>
              <w:left w:val="single" w:color="auto" w:sz="4" w:space="0"/>
              <w:bottom w:val="single" w:color="auto" w:sz="4" w:space="0"/>
              <w:right w:val="single" w:color="auto" w:sz="4" w:space="0"/>
            </w:tcBorders>
            <w:vAlign w:val="center"/>
          </w:tcPr>
          <w:p w14:paraId="313C054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4787" w:type="dxa"/>
            <w:tcBorders>
              <w:top w:val="single" w:color="auto" w:sz="4" w:space="0"/>
              <w:left w:val="single" w:color="auto" w:sz="4" w:space="0"/>
              <w:bottom w:val="single" w:color="auto" w:sz="4" w:space="0"/>
              <w:right w:val="single" w:color="auto" w:sz="4" w:space="0"/>
            </w:tcBorders>
            <w:vAlign w:val="center"/>
          </w:tcPr>
          <w:p w14:paraId="1807A89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727" w:type="dxa"/>
            <w:tcBorders>
              <w:top w:val="single" w:color="auto" w:sz="4" w:space="0"/>
              <w:left w:val="single" w:color="auto" w:sz="4" w:space="0"/>
              <w:bottom w:val="single" w:color="auto" w:sz="4" w:space="0"/>
              <w:right w:val="single" w:color="auto" w:sz="4" w:space="0"/>
            </w:tcBorders>
            <w:vAlign w:val="center"/>
          </w:tcPr>
          <w:p w14:paraId="2C25770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分项预算合计（元）</w:t>
            </w:r>
          </w:p>
        </w:tc>
        <w:tc>
          <w:tcPr>
            <w:tcW w:w="1188" w:type="dxa"/>
            <w:tcBorders>
              <w:top w:val="single" w:color="auto" w:sz="4" w:space="0"/>
              <w:left w:val="single" w:color="auto" w:sz="4" w:space="0"/>
              <w:bottom w:val="single" w:color="auto" w:sz="4" w:space="0"/>
              <w:right w:val="single" w:color="auto" w:sz="4" w:space="0"/>
            </w:tcBorders>
            <w:vAlign w:val="center"/>
          </w:tcPr>
          <w:p w14:paraId="2938F64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中小企业划分标准所属行业名称（行业名称及划分见本章附件1）</w:t>
            </w:r>
          </w:p>
        </w:tc>
      </w:tr>
      <w:tr w14:paraId="7165D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45" w:type="dxa"/>
            <w:vMerge w:val="continue"/>
            <w:tcBorders>
              <w:left w:val="single" w:color="auto" w:sz="4" w:space="0"/>
              <w:right w:val="single" w:color="auto" w:sz="4" w:space="0"/>
            </w:tcBorders>
          </w:tcPr>
          <w:p w14:paraId="4434BAA5">
            <w:pPr>
              <w:spacing w:line="360" w:lineRule="exact"/>
              <w:jc w:val="center"/>
              <w:rPr>
                <w:rFonts w:ascii="宋体" w:hAnsi="宋体" w:cs="宋体"/>
                <w:b/>
                <w:bCs/>
                <w:color w:val="auto"/>
                <w:highlight w:val="none"/>
              </w:rPr>
            </w:pPr>
          </w:p>
        </w:tc>
        <w:tc>
          <w:tcPr>
            <w:tcW w:w="420" w:type="dxa"/>
            <w:tcBorders>
              <w:top w:val="single" w:color="auto" w:sz="4" w:space="0"/>
              <w:left w:val="single" w:color="auto" w:sz="4" w:space="0"/>
              <w:right w:val="single" w:color="auto" w:sz="4" w:space="0"/>
            </w:tcBorders>
            <w:vAlign w:val="center"/>
          </w:tcPr>
          <w:p w14:paraId="28C1DF1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348" w:type="dxa"/>
            <w:tcBorders>
              <w:top w:val="single" w:color="auto" w:sz="4" w:space="0"/>
              <w:left w:val="single" w:color="auto" w:sz="4" w:space="0"/>
              <w:right w:val="single" w:color="auto" w:sz="4" w:space="0"/>
            </w:tcBorders>
            <w:vAlign w:val="center"/>
          </w:tcPr>
          <w:p w14:paraId="4729F66C">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2025年在妙镇佛子村那目屯产业道路项目</w:t>
            </w:r>
          </w:p>
        </w:tc>
        <w:tc>
          <w:tcPr>
            <w:tcW w:w="464" w:type="dxa"/>
            <w:tcBorders>
              <w:top w:val="single" w:color="auto" w:sz="4" w:space="0"/>
              <w:left w:val="single" w:color="auto" w:sz="4" w:space="0"/>
              <w:right w:val="single" w:color="auto" w:sz="4" w:space="0"/>
            </w:tcBorders>
            <w:vAlign w:val="center"/>
          </w:tcPr>
          <w:p w14:paraId="528BD47B">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项</w:t>
            </w:r>
          </w:p>
        </w:tc>
        <w:tc>
          <w:tcPr>
            <w:tcW w:w="642" w:type="dxa"/>
            <w:tcBorders>
              <w:top w:val="single" w:color="auto" w:sz="4" w:space="0"/>
              <w:left w:val="single" w:color="auto" w:sz="4" w:space="0"/>
              <w:right w:val="single" w:color="auto" w:sz="4" w:space="0"/>
            </w:tcBorders>
            <w:vAlign w:val="center"/>
          </w:tcPr>
          <w:p w14:paraId="6874E036">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4787" w:type="dxa"/>
            <w:tcBorders>
              <w:top w:val="single" w:color="auto" w:sz="4" w:space="0"/>
              <w:left w:val="single" w:color="auto" w:sz="4" w:space="0"/>
              <w:right w:val="single" w:color="auto" w:sz="4" w:space="0"/>
            </w:tcBorders>
            <w:vAlign w:val="center"/>
          </w:tcPr>
          <w:p w14:paraId="56619C82">
            <w:pPr>
              <w:pStyle w:val="32"/>
              <w:jc w:val="left"/>
              <w:rPr>
                <w:rFonts w:hint="default"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一、建设地点：在妙镇佛子村那目屯</w:t>
            </w:r>
          </w:p>
          <w:p w14:paraId="31904FFE">
            <w:pPr>
              <w:pStyle w:val="32"/>
              <w:jc w:val="left"/>
              <w:rPr>
                <w:rFonts w:hint="eastAsia" w:ascii="宋体" w:hAnsi="宋体" w:eastAsia="宋体" w:cs="宋体"/>
                <w:b w:val="0"/>
                <w:bCs/>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二、</w:t>
            </w:r>
            <w:r>
              <w:rPr>
                <w:rFonts w:hint="eastAsia" w:ascii="宋体" w:hAnsi="宋体" w:eastAsia="宋体" w:cs="宋体"/>
                <w:b w:val="0"/>
                <w:bCs/>
                <w:color w:val="auto"/>
                <w:highlight w:val="none"/>
                <w:lang w:val="en-US" w:eastAsia="zh-CN"/>
              </w:rPr>
              <w:t>项目采购范围（工程内容）：2025年在妙镇佛子村那目屯产业道路项目</w:t>
            </w:r>
            <w:r>
              <w:rPr>
                <w:rFonts w:hint="eastAsia" w:ascii="宋体" w:hAnsi="宋体" w:eastAsia="宋体" w:cs="宋体"/>
                <w:b w:val="0"/>
                <w:bCs/>
                <w:color w:val="auto"/>
                <w:highlight w:val="none"/>
                <w:lang w:eastAsia="zh-CN"/>
              </w:rPr>
              <w:t>，</w:t>
            </w:r>
            <w:r>
              <w:rPr>
                <w:rFonts w:hint="eastAsia" w:ascii="宋体" w:hAnsi="宋体" w:eastAsia="宋体" w:cs="宋体"/>
                <w:b w:val="0"/>
                <w:bCs/>
                <w:color w:val="auto"/>
                <w:highlight w:val="none"/>
                <w:lang w:val="en-US" w:eastAsia="zh-CN"/>
              </w:rPr>
              <w:t>具体内容见本项目工程量清单。</w:t>
            </w:r>
          </w:p>
          <w:p w14:paraId="5BE24590">
            <w:pPr>
              <w:rPr>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三</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技术标准：</w:t>
            </w:r>
            <w:r>
              <w:rPr>
                <w:rFonts w:hint="eastAsia" w:ascii="宋体" w:hAnsi="宋体" w:eastAsia="宋体" w:cs="宋体"/>
                <w:color w:val="auto"/>
                <w:highlight w:val="none"/>
                <w:lang w:val="en-US" w:eastAsia="zh-CN"/>
              </w:rPr>
              <w:t>按交通部颁发的《公路工程技术标准》（JTG B01-2014）规定四级公路标准，并参照《小交通量农村公路工程技术标准》（JTG 2111—2019）</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符合现行国家相关标准、行业标准、地方标准或者其他标准、规范。</w:t>
            </w:r>
            <w:r>
              <w:rPr>
                <w:rFonts w:hint="eastAsia" w:ascii="宋体" w:hAnsi="宋体" w:eastAsia="宋体" w:cs="宋体"/>
                <w:color w:val="auto"/>
                <w:highlight w:val="none"/>
                <w:lang w:val="en-US" w:eastAsia="zh-CN"/>
              </w:rPr>
              <w:t>如</w:t>
            </w:r>
            <w:r>
              <w:rPr>
                <w:rFonts w:hint="eastAsia" w:ascii="宋体" w:hAnsi="宋体" w:eastAsia="宋体" w:cs="宋体"/>
                <w:color w:val="auto"/>
                <w:highlight w:val="none"/>
                <w:lang w:eastAsia="zh-CN"/>
              </w:rPr>
              <w:t>国家、行业和地方有新的规范、标准、规程出台的，应执行新的规范、标准、规程。</w:t>
            </w:r>
          </w:p>
        </w:tc>
        <w:tc>
          <w:tcPr>
            <w:tcW w:w="727" w:type="dxa"/>
            <w:tcBorders>
              <w:top w:val="single" w:color="auto" w:sz="4" w:space="0"/>
              <w:left w:val="single" w:color="auto" w:sz="4" w:space="0"/>
              <w:right w:val="single" w:color="auto" w:sz="4" w:space="0"/>
            </w:tcBorders>
            <w:vAlign w:val="center"/>
          </w:tcPr>
          <w:p w14:paraId="6E3AC618">
            <w:pPr>
              <w:spacing w:line="36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1283760.00</w:t>
            </w:r>
          </w:p>
        </w:tc>
        <w:tc>
          <w:tcPr>
            <w:tcW w:w="1188" w:type="dxa"/>
            <w:tcBorders>
              <w:top w:val="single" w:color="auto" w:sz="4" w:space="0"/>
              <w:left w:val="single" w:color="auto" w:sz="4" w:space="0"/>
              <w:right w:val="single" w:color="auto" w:sz="4" w:space="0"/>
            </w:tcBorders>
            <w:vAlign w:val="center"/>
          </w:tcPr>
          <w:p w14:paraId="120213A4">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建筑业</w:t>
            </w:r>
          </w:p>
        </w:tc>
      </w:tr>
      <w:tr w14:paraId="72DDA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left w:val="single" w:color="auto" w:sz="4" w:space="0"/>
              <w:bottom w:val="single" w:color="auto" w:sz="4" w:space="0"/>
              <w:right w:val="single" w:color="auto" w:sz="4" w:space="0"/>
            </w:tcBorders>
          </w:tcPr>
          <w:p w14:paraId="298CF56D">
            <w:pPr>
              <w:spacing w:line="360" w:lineRule="exact"/>
              <w:jc w:val="center"/>
              <w:rPr>
                <w:rFonts w:ascii="宋体" w:hAnsi="宋体" w:cs="宋体"/>
                <w:color w:val="auto"/>
                <w:highlight w:val="none"/>
              </w:rPr>
            </w:pPr>
          </w:p>
          <w:p w14:paraId="521000FB">
            <w:pPr>
              <w:spacing w:line="360" w:lineRule="exact"/>
              <w:jc w:val="center"/>
              <w:rPr>
                <w:rFonts w:ascii="宋体" w:hAnsi="宋体" w:cs="宋体"/>
                <w:color w:val="auto"/>
                <w:highlight w:val="none"/>
              </w:rPr>
            </w:pPr>
          </w:p>
          <w:p w14:paraId="3F973325">
            <w:pPr>
              <w:spacing w:line="360" w:lineRule="exact"/>
              <w:jc w:val="center"/>
              <w:rPr>
                <w:rFonts w:ascii="宋体" w:hAnsi="宋体" w:cs="宋体"/>
                <w:color w:val="auto"/>
                <w:highlight w:val="none"/>
              </w:rPr>
            </w:pPr>
            <w:r>
              <w:rPr>
                <w:rFonts w:hint="eastAsia" w:ascii="宋体" w:hAnsi="宋体" w:cs="宋体"/>
                <w:color w:val="auto"/>
                <w:highlight w:val="none"/>
              </w:rPr>
              <w:t>商务条款</w:t>
            </w:r>
          </w:p>
        </w:tc>
        <w:tc>
          <w:tcPr>
            <w:tcW w:w="7808" w:type="dxa"/>
            <w:gridSpan w:val="5"/>
            <w:tcBorders>
              <w:top w:val="single" w:color="auto" w:sz="4" w:space="0"/>
              <w:left w:val="single" w:color="auto" w:sz="4" w:space="0"/>
              <w:bottom w:val="single" w:color="auto" w:sz="4" w:space="0"/>
              <w:right w:val="single" w:color="auto" w:sz="4" w:space="0"/>
            </w:tcBorders>
          </w:tcPr>
          <w:p w14:paraId="1B89892A">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rPr>
              <w:t>一、合同签订期：自</w:t>
            </w:r>
            <w:r>
              <w:rPr>
                <w:rFonts w:hint="eastAsia" w:ascii="宋体" w:hAnsi="宋体" w:cs="宋体"/>
                <w:bCs/>
                <w:color w:val="auto"/>
                <w:highlight w:val="none"/>
              </w:rPr>
              <w:t>成交</w:t>
            </w:r>
            <w:r>
              <w:rPr>
                <w:rFonts w:hint="eastAsia" w:ascii="宋体" w:hAnsi="宋体" w:cs="宋体"/>
                <w:color w:val="auto"/>
                <w:highlight w:val="none"/>
              </w:rPr>
              <w:t>通知书发出之日起 25 日内（注：</w:t>
            </w:r>
            <w:r>
              <w:rPr>
                <w:rFonts w:hint="eastAsia" w:ascii="宋体" w:hAnsi="宋体" w:cs="宋体"/>
                <w:bCs/>
                <w:color w:val="auto"/>
                <w:highlight w:val="none"/>
              </w:rPr>
              <w:t>成交</w:t>
            </w:r>
            <w:r>
              <w:rPr>
                <w:rFonts w:hint="eastAsia" w:ascii="宋体" w:hAnsi="宋体" w:cs="宋体"/>
                <w:color w:val="auto"/>
                <w:highlight w:val="none"/>
              </w:rPr>
              <w:t>通知书发出之日起25日内必须签订合同。）</w:t>
            </w:r>
          </w:p>
          <w:p w14:paraId="606C5AC7">
            <w:pPr>
              <w:widowControl/>
              <w:shd w:val="clear" w:color="auto" w:fill="FFFFFF"/>
              <w:spacing w:line="360" w:lineRule="exact"/>
              <w:rPr>
                <w:rFonts w:hint="eastAsia"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二、</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120日历天</w:t>
            </w:r>
            <w:r>
              <w:rPr>
                <w:rFonts w:hint="eastAsia" w:ascii="宋体" w:hAnsi="宋体" w:cs="宋体"/>
                <w:color w:val="auto"/>
                <w:szCs w:val="21"/>
                <w:highlight w:val="none"/>
              </w:rPr>
              <w:t>。</w:t>
            </w:r>
          </w:p>
          <w:p w14:paraId="7B04BB8A">
            <w:pPr>
              <w:widowControl/>
              <w:shd w:val="clear" w:color="auto" w:fill="FFFFFF"/>
              <w:spacing w:line="360" w:lineRule="exact"/>
              <w:ind w:firstLine="630" w:firstLineChars="3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合同履行期限</w:t>
            </w:r>
            <w:r>
              <w:rPr>
                <w:rFonts w:hint="eastAsia" w:ascii="宋体" w:hAnsi="宋体" w:cs="宋体"/>
                <w:color w:val="auto"/>
                <w:szCs w:val="21"/>
                <w:highlight w:val="none"/>
                <w:lang w:eastAsia="zh-CN"/>
              </w:rPr>
              <w:t>：自合同签订之日起至项目验收完成。</w:t>
            </w:r>
          </w:p>
          <w:p w14:paraId="7FE44AD8">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lang w:val="en-US" w:eastAsia="zh-CN"/>
              </w:rPr>
              <w:t>三</w:t>
            </w:r>
            <w:r>
              <w:rPr>
                <w:rFonts w:hint="eastAsia" w:ascii="宋体" w:hAnsi="宋体" w:cs="宋体"/>
                <w:color w:val="auto"/>
                <w:highlight w:val="none"/>
              </w:rPr>
              <w:t>、提交服务成果地点：采购人指定地点。</w:t>
            </w:r>
          </w:p>
          <w:p w14:paraId="6307AC8F">
            <w:pPr>
              <w:widowControl/>
              <w:shd w:val="clear" w:color="auto" w:fill="FFFFFF"/>
              <w:spacing w:line="360" w:lineRule="exact"/>
              <w:rPr>
                <w:rFonts w:hint="eastAsia" w:ascii="宋体" w:hAnsi="宋体" w:cs="宋体"/>
                <w:color w:val="auto"/>
                <w:highlight w:val="none"/>
                <w:lang w:eastAsia="zh-CN"/>
              </w:rPr>
            </w:pPr>
            <w:r>
              <w:rPr>
                <w:rFonts w:hint="eastAsia" w:ascii="宋体" w:hAnsi="宋体" w:cs="宋体"/>
                <w:color w:val="auto"/>
                <w:highlight w:val="none"/>
              </w:rPr>
              <w:t>▲</w:t>
            </w:r>
            <w:r>
              <w:rPr>
                <w:rFonts w:hint="eastAsia" w:ascii="宋体" w:hAnsi="宋体" w:cs="宋体"/>
                <w:color w:val="auto"/>
                <w:highlight w:val="none"/>
                <w:lang w:val="en-US" w:eastAsia="zh-CN"/>
              </w:rPr>
              <w:t>四</w:t>
            </w:r>
            <w:r>
              <w:rPr>
                <w:rFonts w:hint="eastAsia" w:ascii="宋体" w:hAnsi="宋体" w:cs="宋体"/>
                <w:color w:val="auto"/>
                <w:highlight w:val="none"/>
              </w:rPr>
              <w:t>、</w:t>
            </w:r>
            <w:r>
              <w:rPr>
                <w:rFonts w:hint="eastAsia" w:ascii="宋体" w:hAnsi="宋体" w:cs="宋体"/>
                <w:color w:val="auto"/>
                <w:highlight w:val="none"/>
                <w:lang w:val="en-US" w:eastAsia="zh-CN"/>
              </w:rPr>
              <w:t>工程质量要求</w:t>
            </w:r>
            <w:r>
              <w:rPr>
                <w:rFonts w:hint="eastAsia" w:ascii="宋体" w:hAnsi="宋体" w:cs="宋体"/>
                <w:color w:val="auto"/>
                <w:highlight w:val="none"/>
              </w:rPr>
              <w:t>：达到</w:t>
            </w:r>
            <w:bookmarkStart w:id="38" w:name="EB4d4b13a461124532a79c71ae440db6f7"/>
            <w:r>
              <w:rPr>
                <w:rFonts w:hint="eastAsia" w:ascii="宋体" w:hAnsi="宋体" w:cs="宋体"/>
                <w:color w:val="auto"/>
                <w:highlight w:val="none"/>
              </w:rPr>
              <w:t>国家施工验收规范合格</w:t>
            </w:r>
            <w:bookmarkEnd w:id="38"/>
            <w:r>
              <w:rPr>
                <w:rFonts w:hint="eastAsia" w:ascii="宋体" w:hAnsi="宋体" w:cs="宋体"/>
                <w:color w:val="auto"/>
                <w:highlight w:val="none"/>
              </w:rPr>
              <w:t>标准</w:t>
            </w:r>
            <w:r>
              <w:rPr>
                <w:rFonts w:hint="eastAsia" w:ascii="宋体" w:hAnsi="宋体" w:cs="宋体"/>
                <w:color w:val="auto"/>
                <w:highlight w:val="none"/>
                <w:lang w:eastAsia="zh-CN"/>
              </w:rPr>
              <w:t>。</w:t>
            </w:r>
          </w:p>
          <w:p w14:paraId="42A2E793">
            <w:pPr>
              <w:widowControl/>
              <w:shd w:val="clear" w:color="auto" w:fill="FFFFFF"/>
              <w:spacing w:line="360" w:lineRule="exact"/>
              <w:ind w:firstLine="630" w:firstLineChars="300"/>
              <w:rPr>
                <w:rFonts w:hint="eastAsia" w:ascii="宋体" w:hAnsi="宋体" w:cs="宋体"/>
                <w:color w:val="auto"/>
                <w:highlight w:val="none"/>
                <w:lang w:eastAsia="zh-CN"/>
              </w:rPr>
            </w:pPr>
            <w:r>
              <w:rPr>
                <w:rStyle w:val="45"/>
                <w:rFonts w:hint="eastAsia" w:ascii="宋体" w:hAnsi="宋体" w:eastAsia="宋体" w:cs="宋体"/>
                <w:color w:val="auto"/>
                <w:sz w:val="21"/>
                <w:szCs w:val="21"/>
                <w:highlight w:val="none"/>
              </w:rPr>
              <w:t>工程安全目标</w:t>
            </w:r>
            <w:r>
              <w:rPr>
                <w:rStyle w:val="45"/>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不允许发生安全事故，即使发生，</w:t>
            </w:r>
            <w:r>
              <w:rPr>
                <w:rFonts w:hint="eastAsia" w:ascii="宋体" w:hAnsi="宋体" w:cs="宋体"/>
                <w:color w:val="auto"/>
                <w:sz w:val="21"/>
                <w:szCs w:val="21"/>
                <w:highlight w:val="none"/>
                <w:u w:val="none"/>
                <w:lang w:val="en-US" w:eastAsia="zh-CN"/>
              </w:rPr>
              <w:t>供应商</w:t>
            </w:r>
            <w:r>
              <w:rPr>
                <w:rFonts w:hint="eastAsia" w:ascii="宋体" w:hAnsi="宋体" w:eastAsia="宋体" w:cs="宋体"/>
                <w:color w:val="auto"/>
                <w:sz w:val="21"/>
                <w:szCs w:val="21"/>
                <w:highlight w:val="none"/>
                <w:u w:val="none"/>
                <w:lang w:eastAsia="zh-CN"/>
              </w:rPr>
              <w:t>须对事故负责。</w:t>
            </w:r>
          </w:p>
          <w:p w14:paraId="2F2081DB">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lang w:val="en-US" w:eastAsia="zh-CN"/>
              </w:rPr>
              <w:t>五</w:t>
            </w:r>
            <w:r>
              <w:rPr>
                <w:rFonts w:hint="eastAsia" w:ascii="宋体" w:hAnsi="宋体" w:cs="宋体"/>
                <w:color w:val="auto"/>
                <w:highlight w:val="none"/>
              </w:rPr>
              <w:t>、其他要求：</w:t>
            </w:r>
          </w:p>
          <w:p w14:paraId="4EB83627">
            <w:pPr>
              <w:widowControl/>
              <w:shd w:val="clear" w:color="auto" w:fill="FFFFFF"/>
              <w:spacing w:line="360" w:lineRule="exact"/>
              <w:ind w:firstLine="210" w:firstLineChars="100"/>
              <w:rPr>
                <w:rFonts w:hint="eastAsia" w:ascii="宋体" w:hAnsi="宋体" w:cs="宋体"/>
                <w:color w:val="auto"/>
                <w:highlight w:val="none"/>
                <w:lang w:eastAsia="zh-CN"/>
              </w:rPr>
            </w:pPr>
            <w:r>
              <w:rPr>
                <w:rFonts w:hint="eastAsia" w:ascii="宋体" w:hAnsi="宋体" w:cs="宋体"/>
                <w:color w:val="auto"/>
                <w:highlight w:val="none"/>
              </w:rPr>
              <w:t>▲1、本项目采用工程量清单报价。供应商应结合自身因素进行工程量清单报价，但不得超出</w:t>
            </w:r>
            <w:r>
              <w:rPr>
                <w:rFonts w:hint="eastAsia" w:ascii="宋体" w:hAnsi="宋体" w:cs="宋体"/>
                <w:color w:val="auto"/>
                <w:highlight w:val="none"/>
                <w:lang w:val="en-US" w:eastAsia="zh-CN"/>
              </w:rPr>
              <w:t>采购预算价或最高限价</w:t>
            </w:r>
            <w:r>
              <w:rPr>
                <w:rFonts w:hint="eastAsia" w:ascii="宋体" w:hAnsi="宋体" w:cs="宋体"/>
                <w:color w:val="auto"/>
                <w:highlight w:val="none"/>
              </w:rPr>
              <w:t>，否则</w:t>
            </w:r>
            <w:r>
              <w:rPr>
                <w:rFonts w:hint="eastAsia" w:ascii="宋体" w:hAnsi="宋体" w:cs="宋体"/>
                <w:color w:val="auto"/>
                <w:highlight w:val="none"/>
                <w:lang w:val="en-US" w:eastAsia="zh-CN"/>
              </w:rPr>
              <w:t>磋商</w:t>
            </w:r>
            <w:r>
              <w:rPr>
                <w:rFonts w:hint="eastAsia" w:ascii="宋体" w:hAnsi="宋体" w:cs="宋体"/>
                <w:color w:val="auto"/>
                <w:highlight w:val="none"/>
              </w:rPr>
              <w:t>无效。供应商必须就所投工程的全部内容作完整唯一报价，有选择的或有条件的报价，其磋商无效</w:t>
            </w:r>
            <w:r>
              <w:rPr>
                <w:rFonts w:hint="eastAsia" w:ascii="宋体" w:hAnsi="宋体" w:cs="宋体"/>
                <w:color w:val="auto"/>
                <w:highlight w:val="none"/>
                <w:lang w:eastAsia="zh-CN"/>
              </w:rPr>
              <w:t>。</w:t>
            </w:r>
          </w:p>
          <w:p w14:paraId="4C0338F2">
            <w:pPr>
              <w:widowControl/>
              <w:shd w:val="clear" w:color="auto" w:fill="FFFFFF"/>
              <w:spacing w:line="360" w:lineRule="exact"/>
              <w:ind w:firstLine="422" w:firstLineChars="200"/>
              <w:rPr>
                <w:rFonts w:hint="eastAsia" w:ascii="宋体" w:hAnsi="宋体" w:cs="宋体"/>
                <w:color w:val="auto"/>
                <w:highlight w:val="none"/>
                <w:lang w:eastAsia="zh-CN"/>
              </w:rPr>
            </w:pPr>
            <w:r>
              <w:rPr>
                <w:rFonts w:hint="eastAsia" w:ascii="宋体" w:hAnsi="宋体" w:cs="宋体"/>
                <w:b/>
                <w:bCs/>
                <w:color w:val="auto"/>
                <w:highlight w:val="none"/>
                <w:lang w:eastAsia="zh-CN"/>
              </w:rPr>
              <w:t>首次报价与最后报价一致的，最后报价不需上传工程量清单；首次报价与最后报价不一致的，最后报价必须上传工程量清单。</w:t>
            </w:r>
          </w:p>
          <w:p w14:paraId="29C882DD">
            <w:pPr>
              <w:widowControl/>
              <w:shd w:val="clear" w:color="auto" w:fill="FFFFFF"/>
              <w:spacing w:line="360" w:lineRule="exact"/>
              <w:ind w:firstLine="210" w:firstLineChars="100"/>
              <w:rPr>
                <w:rFonts w:ascii="宋体" w:hAnsi="宋体" w:cs="宋体"/>
                <w:color w:val="auto"/>
                <w:highlight w:val="none"/>
              </w:rPr>
            </w:pPr>
            <w:r>
              <w:rPr>
                <w:rFonts w:hint="eastAsia" w:ascii="宋体" w:hAnsi="宋体" w:cs="宋体"/>
                <w:color w:val="auto"/>
                <w:highlight w:val="none"/>
              </w:rPr>
              <w:t>▲2、报价必须含以下部分，包括：</w:t>
            </w:r>
          </w:p>
          <w:p w14:paraId="380C6BC2">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2.1工程量清单中的每一子目须填入单价或价格，且只允许有一个报价。</w:t>
            </w:r>
          </w:p>
          <w:p w14:paraId="0D48212B">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2.2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459D4C3C">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2.3工程量清单中供应商没有填入单价或价格的子目，其费用视为己分摊在工程量清单中其他相关子目的单价或价格之中。承包人必须按监理人指令完成工程量清单中未填入单价或价格的子目，但不能得到结算与支付。</w:t>
            </w:r>
          </w:p>
          <w:p w14:paraId="08678B15">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2.4符合合同条款规定的全部费用应认为已被计入有标价的工程量清单所列各子目之中，未列子目不予计量的工作，其费用应视为已分摊在本合同工程的有关子目的单价或总额价之中。</w:t>
            </w:r>
          </w:p>
          <w:p w14:paraId="4A805F5E">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2.5承包人用于本合同工程的各类装备的提供、运输、维护、拆卸、拼装等支付的费用，已包括在工程量清单的单价与总额价之中。</w:t>
            </w:r>
          </w:p>
          <w:p w14:paraId="2C45B602">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2.6工程量清单中各项金额均以人民币（元）结算。</w:t>
            </w:r>
          </w:p>
          <w:p w14:paraId="766B86BC">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7</w:t>
            </w:r>
            <w:r>
              <w:rPr>
                <w:rFonts w:hint="eastAsia" w:ascii="宋体" w:hAnsi="宋体" w:cs="宋体"/>
                <w:color w:val="auto"/>
                <w:highlight w:val="none"/>
              </w:rPr>
              <w:t xml:space="preserve"> 暂列金额（不含计日工总额）的数量及拟用子目的说明：详见工程量清单。</w:t>
            </w:r>
          </w:p>
          <w:p w14:paraId="3400882B">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8</w:t>
            </w:r>
            <w:r>
              <w:rPr>
                <w:rFonts w:hint="eastAsia" w:ascii="宋体" w:hAnsi="宋体" w:cs="宋体"/>
                <w:color w:val="auto"/>
                <w:highlight w:val="none"/>
              </w:rPr>
              <w:t xml:space="preserve"> 暂估价的数量及拟用子目的说明：详见工程量清单。</w:t>
            </w:r>
          </w:p>
          <w:p w14:paraId="605CF958">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2.9供应商必须按照采购人提供的工程量清单格式填写，不可擅自修改工程量清单，磋商报价清单（已标价工程量清单）与采购人提供的工程量清单有任何不一致的，将做无效磋商处理。如供应商对采购人提供的工程量清单有疑问或异议，应在磋商文件规定的时间前发出询疑，要求采购人（或采购代理机构）对采购文件予以澄清，当采购文件、采购文件的修改、补充在同一内容表述不一致时，以最后经的更正、补遗、澄清为准。</w:t>
            </w:r>
          </w:p>
          <w:p w14:paraId="00397FC8">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2.10编制依据：详见工程量清单。</w:t>
            </w:r>
          </w:p>
          <w:p w14:paraId="190EB5EB">
            <w:pPr>
              <w:widowControl/>
              <w:numPr>
                <w:ilvl w:val="0"/>
                <w:numId w:val="0"/>
              </w:numPr>
              <w:shd w:val="clear" w:color="auto" w:fill="FFFFFF"/>
              <w:spacing w:line="360" w:lineRule="exact"/>
              <w:ind w:firstLine="420" w:firstLineChars="200"/>
              <w:rPr>
                <w:rFonts w:hint="eastAsia" w:ascii="宋体" w:hAnsi="宋体" w:cs="宋体"/>
                <w:color w:val="auto"/>
                <w:highlight w:val="none"/>
              </w:rPr>
            </w:pPr>
            <w:r>
              <w:rPr>
                <w:rFonts w:hint="eastAsia" w:ascii="宋体" w:hAnsi="宋体" w:eastAsia="宋体" w:cs="宋体"/>
                <w:color w:val="auto"/>
                <w:kern w:val="2"/>
                <w:sz w:val="21"/>
                <w:szCs w:val="24"/>
                <w:highlight w:val="none"/>
                <w:lang w:val="en-US" w:eastAsia="zh-CN" w:bidi="ar-SA"/>
              </w:rPr>
              <w:t>3</w:t>
            </w:r>
            <w:r>
              <w:rPr>
                <w:rFonts w:hint="eastAsia" w:ascii="宋体" w:hAnsi="宋体" w:cs="宋体"/>
                <w:color w:val="auto"/>
                <w:kern w:val="2"/>
                <w:sz w:val="21"/>
                <w:szCs w:val="24"/>
                <w:highlight w:val="none"/>
                <w:lang w:val="en-US" w:eastAsia="zh-CN" w:bidi="ar-SA"/>
              </w:rPr>
              <w:t>、</w:t>
            </w:r>
            <w:r>
              <w:rPr>
                <w:rFonts w:hint="eastAsia" w:ascii="宋体" w:hAnsi="宋体" w:cs="宋体"/>
                <w:color w:val="auto"/>
                <w:highlight w:val="none"/>
              </w:rPr>
              <w:t>付款方式：</w:t>
            </w:r>
            <w:r>
              <w:rPr>
                <w:rFonts w:hint="eastAsia" w:ascii="宋体" w:hAnsi="宋体" w:cs="宋体"/>
                <w:color w:val="auto"/>
                <w:highlight w:val="none"/>
                <w:lang w:val="en-US" w:eastAsia="zh-CN"/>
              </w:rPr>
              <w:t>详见专用合同</w:t>
            </w:r>
            <w:r>
              <w:rPr>
                <w:rFonts w:hint="eastAsia" w:ascii="宋体" w:hAnsi="宋体" w:cs="宋体"/>
                <w:color w:val="auto"/>
                <w:highlight w:val="none"/>
              </w:rPr>
              <w:t>。</w:t>
            </w:r>
          </w:p>
        </w:tc>
      </w:tr>
    </w:tbl>
    <w:p w14:paraId="410A2AF4">
      <w:pPr>
        <w:pStyle w:val="9"/>
        <w:spacing w:line="360" w:lineRule="exact"/>
        <w:ind w:firstLine="420" w:firstLineChars="200"/>
        <w:rPr>
          <w:rFonts w:ascii="宋体" w:hAnsi="宋体" w:cs="宋体"/>
          <w:color w:val="auto"/>
          <w:szCs w:val="21"/>
          <w:highlight w:val="none"/>
        </w:rPr>
      </w:pPr>
    </w:p>
    <w:p w14:paraId="0804842F">
      <w:pPr>
        <w:widowControl/>
        <w:spacing w:line="360" w:lineRule="exact"/>
        <w:jc w:val="left"/>
        <w:rPr>
          <w:rFonts w:ascii="宋体" w:hAnsi="宋体" w:cs="宋体"/>
          <w:b/>
          <w:bCs/>
          <w:color w:val="auto"/>
          <w:szCs w:val="21"/>
          <w:highlight w:val="none"/>
        </w:rPr>
        <w:sectPr>
          <w:pgSz w:w="11910" w:h="16840"/>
          <w:pgMar w:top="1134" w:right="1134" w:bottom="1134" w:left="1134" w:header="720" w:footer="720" w:gutter="0"/>
          <w:cols w:space="720" w:num="1"/>
        </w:sectPr>
      </w:pPr>
    </w:p>
    <w:p w14:paraId="5DDA53EE">
      <w:pPr>
        <w:pStyle w:val="15"/>
        <w:jc w:val="left"/>
        <w:rPr>
          <w:rFonts w:hAnsi="宋体" w:cs="宋体"/>
          <w:color w:val="auto"/>
          <w:sz w:val="32"/>
          <w:szCs w:val="32"/>
          <w:highlight w:val="none"/>
        </w:rPr>
      </w:pPr>
      <w:r>
        <w:rPr>
          <w:rFonts w:hint="eastAsia" w:hAnsi="宋体" w:cs="宋体"/>
          <w:color w:val="auto"/>
          <w:sz w:val="32"/>
          <w:szCs w:val="32"/>
          <w:highlight w:val="none"/>
        </w:rPr>
        <w:t>附件1：</w:t>
      </w:r>
    </w:p>
    <w:p w14:paraId="5A8603A7">
      <w:pPr>
        <w:spacing w:line="528" w:lineRule="exact"/>
        <w:jc w:val="center"/>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6"/>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08E0ACFD">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0E5D2F4D">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vAlign w:val="center"/>
          </w:tcPr>
          <w:p w14:paraId="10489C04">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105F00EF">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3" w:type="dxa"/>
            <w:tcBorders>
              <w:top w:val="single" w:color="auto" w:sz="4" w:space="0"/>
              <w:left w:val="nil"/>
              <w:bottom w:val="single" w:color="auto" w:sz="4" w:space="0"/>
              <w:right w:val="single" w:color="auto" w:sz="4" w:space="0"/>
            </w:tcBorders>
            <w:vAlign w:val="center"/>
          </w:tcPr>
          <w:p w14:paraId="44E64F35">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2" w:type="dxa"/>
            <w:tcBorders>
              <w:top w:val="single" w:color="auto" w:sz="4" w:space="0"/>
              <w:left w:val="nil"/>
              <w:bottom w:val="single" w:color="auto" w:sz="4" w:space="0"/>
              <w:right w:val="single" w:color="auto" w:sz="4" w:space="0"/>
            </w:tcBorders>
            <w:vAlign w:val="center"/>
          </w:tcPr>
          <w:p w14:paraId="258CF61A">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4625F917">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38B5C5A8">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30ED765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vAlign w:val="center"/>
          </w:tcPr>
          <w:p w14:paraId="00428F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AF27C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EF4DA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28EA1E3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2CCF04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690403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B66C34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vAlign w:val="center"/>
          </w:tcPr>
          <w:p w14:paraId="73720A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5A6FC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DE63A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51F877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7311EF1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732259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9E996DF">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F2F94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0ACFCF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52E29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2" w:type="dxa"/>
            <w:tcBorders>
              <w:top w:val="nil"/>
              <w:left w:val="nil"/>
              <w:bottom w:val="single" w:color="auto" w:sz="4" w:space="0"/>
              <w:right w:val="single" w:color="auto" w:sz="4" w:space="0"/>
            </w:tcBorders>
            <w:vAlign w:val="center"/>
          </w:tcPr>
          <w:p w14:paraId="01ACC8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79DF94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8F7F0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675BAE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vAlign w:val="center"/>
          </w:tcPr>
          <w:p w14:paraId="0F2203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11F38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42FAE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2" w:type="dxa"/>
            <w:tcBorders>
              <w:top w:val="nil"/>
              <w:left w:val="nil"/>
              <w:bottom w:val="single" w:color="auto" w:sz="4" w:space="0"/>
              <w:right w:val="single" w:color="auto" w:sz="4" w:space="0"/>
            </w:tcBorders>
            <w:vAlign w:val="center"/>
          </w:tcPr>
          <w:p w14:paraId="5DCC00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00D35D8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1F2D12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167D204">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32444B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6EC316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5157A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2" w:type="dxa"/>
            <w:tcBorders>
              <w:top w:val="nil"/>
              <w:left w:val="nil"/>
              <w:bottom w:val="single" w:color="auto" w:sz="4" w:space="0"/>
              <w:right w:val="single" w:color="auto" w:sz="4" w:space="0"/>
            </w:tcBorders>
            <w:vAlign w:val="center"/>
          </w:tcPr>
          <w:p w14:paraId="48A853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17E0A1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E62CD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8D1D52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vAlign w:val="center"/>
          </w:tcPr>
          <w:p w14:paraId="0ADF15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B72160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74923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2" w:type="dxa"/>
            <w:tcBorders>
              <w:top w:val="nil"/>
              <w:left w:val="nil"/>
              <w:bottom w:val="single" w:color="auto" w:sz="4" w:space="0"/>
              <w:right w:val="single" w:color="auto" w:sz="4" w:space="0"/>
            </w:tcBorders>
            <w:vAlign w:val="center"/>
          </w:tcPr>
          <w:p w14:paraId="28EDAE5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73F1F3B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582AFEC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7905D0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AF8FF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B8942B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B1ED29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2" w:type="dxa"/>
            <w:tcBorders>
              <w:top w:val="nil"/>
              <w:left w:val="nil"/>
              <w:bottom w:val="single" w:color="auto" w:sz="4" w:space="0"/>
              <w:right w:val="single" w:color="auto" w:sz="4" w:space="0"/>
            </w:tcBorders>
            <w:vAlign w:val="center"/>
          </w:tcPr>
          <w:p w14:paraId="447287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001C1A5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EE10C0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41A7A5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vAlign w:val="center"/>
          </w:tcPr>
          <w:p w14:paraId="448A3C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1CDA3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786A2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2" w:type="dxa"/>
            <w:tcBorders>
              <w:top w:val="nil"/>
              <w:left w:val="nil"/>
              <w:bottom w:val="single" w:color="auto" w:sz="4" w:space="0"/>
              <w:right w:val="single" w:color="auto" w:sz="4" w:space="0"/>
            </w:tcBorders>
            <w:vAlign w:val="center"/>
          </w:tcPr>
          <w:p w14:paraId="118D472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01A6B9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B4F9D8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5C8E196">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B4915F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9D2D0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53DDB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283209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4C1A15B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676A99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B8A4B4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vAlign w:val="center"/>
          </w:tcPr>
          <w:p w14:paraId="288963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2BD6D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20DAF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2F4EDD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0C3707D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F4A42A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9E308C2">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F9A56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3E784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AD6E5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2" w:type="dxa"/>
            <w:tcBorders>
              <w:top w:val="nil"/>
              <w:left w:val="nil"/>
              <w:bottom w:val="single" w:color="auto" w:sz="4" w:space="0"/>
              <w:right w:val="single" w:color="auto" w:sz="4" w:space="0"/>
            </w:tcBorders>
            <w:vAlign w:val="center"/>
          </w:tcPr>
          <w:p w14:paraId="45C37D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507FD0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6622FC4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6DB623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vAlign w:val="center"/>
          </w:tcPr>
          <w:p w14:paraId="4BDB83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C57F73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CD4AB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2" w:type="dxa"/>
            <w:tcBorders>
              <w:top w:val="nil"/>
              <w:left w:val="nil"/>
              <w:bottom w:val="single" w:color="auto" w:sz="4" w:space="0"/>
              <w:right w:val="single" w:color="auto" w:sz="4" w:space="0"/>
            </w:tcBorders>
            <w:vAlign w:val="center"/>
          </w:tcPr>
          <w:p w14:paraId="3CF621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6B8370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805404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7920551">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6B897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EE3B3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C194C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2" w:type="dxa"/>
            <w:tcBorders>
              <w:top w:val="nil"/>
              <w:left w:val="nil"/>
              <w:bottom w:val="single" w:color="auto" w:sz="4" w:space="0"/>
              <w:right w:val="single" w:color="auto" w:sz="4" w:space="0"/>
            </w:tcBorders>
            <w:vAlign w:val="center"/>
          </w:tcPr>
          <w:p w14:paraId="0A59D7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50836E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305822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8D7D07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vAlign w:val="center"/>
          </w:tcPr>
          <w:p w14:paraId="10C961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C4762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882E0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536784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18F853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36882A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8DADE1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18AF1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28A19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A0511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2" w:type="dxa"/>
            <w:tcBorders>
              <w:top w:val="nil"/>
              <w:left w:val="nil"/>
              <w:bottom w:val="single" w:color="auto" w:sz="4" w:space="0"/>
              <w:right w:val="single" w:color="auto" w:sz="4" w:space="0"/>
            </w:tcBorders>
            <w:vAlign w:val="center"/>
          </w:tcPr>
          <w:p w14:paraId="1958A6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41292F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7B4185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AED056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vAlign w:val="center"/>
          </w:tcPr>
          <w:p w14:paraId="55399D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02C97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9DE66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635340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C9AA45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149D30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E632844">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FABE2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E5AF6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AE707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18F46A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4CEFDD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F47D32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64EA97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vAlign w:val="center"/>
          </w:tcPr>
          <w:p w14:paraId="39EEBA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19999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56A06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422397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4BDD4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4B83F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B70430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10540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212C2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F1D834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04B60C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39C6F3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C0703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C3B860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vAlign w:val="center"/>
          </w:tcPr>
          <w:p w14:paraId="22C601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9DB22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B9FDC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2" w:type="dxa"/>
            <w:tcBorders>
              <w:top w:val="nil"/>
              <w:left w:val="nil"/>
              <w:bottom w:val="single" w:color="auto" w:sz="4" w:space="0"/>
              <w:right w:val="single" w:color="auto" w:sz="4" w:space="0"/>
            </w:tcBorders>
            <w:vAlign w:val="center"/>
          </w:tcPr>
          <w:p w14:paraId="46B973B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4F638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56184E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BEA9D9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79139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D283D7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F7DF3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vAlign w:val="center"/>
          </w:tcPr>
          <w:p w14:paraId="36ECDB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6E8647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DCE445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194F01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vAlign w:val="center"/>
          </w:tcPr>
          <w:p w14:paraId="759D75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EF60D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090A5B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246625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AB4B5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FC5F16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AC6B9B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9682E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0AA6F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0CCA1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2" w:type="dxa"/>
            <w:tcBorders>
              <w:top w:val="nil"/>
              <w:left w:val="nil"/>
              <w:bottom w:val="single" w:color="auto" w:sz="4" w:space="0"/>
              <w:right w:val="single" w:color="auto" w:sz="4" w:space="0"/>
            </w:tcBorders>
            <w:vAlign w:val="center"/>
          </w:tcPr>
          <w:p w14:paraId="17C4FE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08698B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F6812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D5A8C9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vAlign w:val="center"/>
          </w:tcPr>
          <w:p w14:paraId="2DDEF6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2B7A9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748942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vAlign w:val="center"/>
          </w:tcPr>
          <w:p w14:paraId="3E173E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07EADA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E3D70E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D0763B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8DDA9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386125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7EBAD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2" w:type="dxa"/>
            <w:tcBorders>
              <w:top w:val="nil"/>
              <w:left w:val="nil"/>
              <w:bottom w:val="single" w:color="auto" w:sz="4" w:space="0"/>
              <w:right w:val="single" w:color="auto" w:sz="4" w:space="0"/>
            </w:tcBorders>
            <w:vAlign w:val="center"/>
          </w:tcPr>
          <w:p w14:paraId="006A86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15D0CE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1CE2182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D83A1A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vAlign w:val="center"/>
          </w:tcPr>
          <w:p w14:paraId="6EDA2A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E2BC4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ABA9A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74A9956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1BED29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068E46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5F5F46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1E9EC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CE650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D8680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2" w:type="dxa"/>
            <w:tcBorders>
              <w:top w:val="nil"/>
              <w:left w:val="nil"/>
              <w:bottom w:val="single" w:color="auto" w:sz="4" w:space="0"/>
              <w:right w:val="single" w:color="auto" w:sz="4" w:space="0"/>
            </w:tcBorders>
            <w:vAlign w:val="center"/>
          </w:tcPr>
          <w:p w14:paraId="145D01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31C6F6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301043F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36567E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vAlign w:val="center"/>
          </w:tcPr>
          <w:p w14:paraId="289FC5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F1A22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36FD6A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485766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0F12D0F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0271EE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74871E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79809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5914AC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52D99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vAlign w:val="center"/>
          </w:tcPr>
          <w:p w14:paraId="6E1E94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75E1DB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097E91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594E939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vAlign w:val="center"/>
          </w:tcPr>
          <w:p w14:paraId="3E3CC4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5F65B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7BB77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4D8CCF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9C2BC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87B2DEC">
      <w:pPr>
        <w:spacing w:line="560" w:lineRule="exact"/>
        <w:ind w:firstLine="525" w:firstLineChars="250"/>
        <w:rPr>
          <w:rFonts w:ascii="宋体" w:hAnsi="宋体" w:cs="宋体"/>
          <w:color w:val="auto"/>
          <w:kern w:val="0"/>
          <w:sz w:val="20"/>
          <w:szCs w:val="21"/>
          <w:highlight w:val="none"/>
        </w:rPr>
        <w:sectPr>
          <w:pgSz w:w="11906" w:h="16838"/>
          <w:pgMar w:top="1134" w:right="1134" w:bottom="1134" w:left="1134" w:header="720" w:footer="720" w:gutter="0"/>
          <w:cols w:space="720" w:num="1"/>
          <w:docGrid w:type="lines" w:linePitch="331" w:charSpace="0"/>
        </w:sect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711CC99">
      <w:pPr>
        <w:pStyle w:val="2"/>
        <w:jc w:val="center"/>
        <w:rPr>
          <w:rFonts w:ascii="宋体" w:hAnsi="宋体" w:cs="宋体"/>
          <w:color w:val="auto"/>
          <w:highlight w:val="none"/>
        </w:rPr>
      </w:pPr>
      <w:bookmarkStart w:id="39" w:name="_Toc32550"/>
      <w:r>
        <w:rPr>
          <w:rFonts w:hint="eastAsia" w:ascii="宋体" w:hAnsi="宋体" w:cs="宋体"/>
          <w:bCs w:val="0"/>
          <w:color w:val="auto"/>
          <w:sz w:val="32"/>
          <w:szCs w:val="32"/>
          <w:highlight w:val="none"/>
        </w:rPr>
        <w:t>第三章 供应商须知</w:t>
      </w:r>
      <w:bookmarkEnd w:id="39"/>
    </w:p>
    <w:p w14:paraId="25D8E1E7">
      <w:pPr>
        <w:pStyle w:val="3"/>
        <w:jc w:val="center"/>
        <w:rPr>
          <w:rFonts w:ascii="宋体" w:hAnsi="宋体" w:cs="宋体"/>
          <w:b w:val="0"/>
          <w:color w:val="auto"/>
          <w:highlight w:val="none"/>
        </w:rPr>
      </w:pPr>
      <w:bookmarkStart w:id="40" w:name="_Toc28882"/>
      <w:r>
        <w:rPr>
          <w:rFonts w:hint="eastAsia" w:ascii="宋体" w:hAnsi="宋体" w:cs="宋体"/>
          <w:b w:val="0"/>
          <w:color w:val="auto"/>
          <w:highlight w:val="none"/>
        </w:rPr>
        <w:t>第一节 供应商须知前附表</w:t>
      </w:r>
      <w:bookmarkEnd w:id="40"/>
    </w:p>
    <w:p w14:paraId="20C46A9E">
      <w:pPr>
        <w:spacing w:line="400" w:lineRule="exact"/>
        <w:jc w:val="center"/>
        <w:rPr>
          <w:rFonts w:ascii="宋体" w:hAnsi="宋体" w:cs="宋体"/>
          <w:b/>
          <w:color w:val="auto"/>
          <w:sz w:val="32"/>
          <w:szCs w:val="32"/>
          <w:highlight w:val="none"/>
        </w:rPr>
      </w:pPr>
    </w:p>
    <w:tbl>
      <w:tblPr>
        <w:tblStyle w:val="26"/>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2721"/>
        <w:gridCol w:w="6793"/>
      </w:tblGrid>
      <w:tr w14:paraId="5F779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46" w:type="dxa"/>
            <w:tcBorders>
              <w:top w:val="single" w:color="000000" w:sz="4" w:space="0"/>
              <w:left w:val="single" w:color="000000" w:sz="4" w:space="0"/>
              <w:bottom w:val="single" w:color="000000" w:sz="4" w:space="0"/>
              <w:right w:val="single" w:color="000000" w:sz="4" w:space="0"/>
            </w:tcBorders>
          </w:tcPr>
          <w:p w14:paraId="387D34C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721" w:type="dxa"/>
            <w:tcBorders>
              <w:top w:val="single" w:color="000000" w:sz="4" w:space="0"/>
              <w:left w:val="single" w:color="000000" w:sz="4" w:space="0"/>
              <w:bottom w:val="single" w:color="000000" w:sz="4" w:space="0"/>
              <w:right w:val="single" w:color="000000" w:sz="4" w:space="0"/>
            </w:tcBorders>
            <w:vAlign w:val="center"/>
          </w:tcPr>
          <w:p w14:paraId="17326932">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793" w:type="dxa"/>
            <w:tcBorders>
              <w:top w:val="single" w:color="000000" w:sz="4" w:space="0"/>
              <w:left w:val="single" w:color="000000" w:sz="4" w:space="0"/>
              <w:bottom w:val="single" w:color="000000" w:sz="4" w:space="0"/>
              <w:right w:val="single" w:color="000000" w:sz="4" w:space="0"/>
            </w:tcBorders>
          </w:tcPr>
          <w:p w14:paraId="4940AFC4">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52821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129BE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721" w:type="dxa"/>
            <w:tcBorders>
              <w:top w:val="single" w:color="000000" w:sz="4" w:space="0"/>
              <w:left w:val="single" w:color="000000" w:sz="4" w:space="0"/>
              <w:bottom w:val="single" w:color="000000" w:sz="4" w:space="0"/>
              <w:right w:val="single" w:color="000000" w:sz="4" w:space="0"/>
            </w:tcBorders>
            <w:vAlign w:val="center"/>
          </w:tcPr>
          <w:p w14:paraId="163CA4E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793" w:type="dxa"/>
            <w:tcBorders>
              <w:top w:val="single" w:color="000000" w:sz="4" w:space="0"/>
              <w:left w:val="single" w:color="000000" w:sz="4" w:space="0"/>
              <w:bottom w:val="single" w:color="000000" w:sz="4" w:space="0"/>
              <w:right w:val="single" w:color="000000" w:sz="4" w:space="0"/>
            </w:tcBorders>
          </w:tcPr>
          <w:p w14:paraId="2A989D0F">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15319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1216A8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721" w:type="dxa"/>
            <w:tcBorders>
              <w:top w:val="single" w:color="000000" w:sz="4" w:space="0"/>
              <w:left w:val="single" w:color="000000" w:sz="4" w:space="0"/>
              <w:bottom w:val="single" w:color="000000" w:sz="4" w:space="0"/>
              <w:right w:val="single" w:color="000000" w:sz="4" w:space="0"/>
            </w:tcBorders>
            <w:vAlign w:val="center"/>
          </w:tcPr>
          <w:p w14:paraId="0905646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793" w:type="dxa"/>
            <w:tcBorders>
              <w:top w:val="single" w:color="000000" w:sz="4" w:space="0"/>
              <w:left w:val="single" w:color="000000" w:sz="4" w:space="0"/>
              <w:bottom w:val="single" w:color="000000" w:sz="4" w:space="0"/>
              <w:right w:val="single" w:color="000000" w:sz="4" w:space="0"/>
            </w:tcBorders>
            <w:vAlign w:val="center"/>
          </w:tcPr>
          <w:p w14:paraId="4B36B408">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5583D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AC843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721" w:type="dxa"/>
            <w:tcBorders>
              <w:top w:val="single" w:color="000000" w:sz="4" w:space="0"/>
              <w:left w:val="single" w:color="000000" w:sz="4" w:space="0"/>
              <w:bottom w:val="single" w:color="000000" w:sz="4" w:space="0"/>
              <w:right w:val="single" w:color="000000" w:sz="4" w:space="0"/>
            </w:tcBorders>
            <w:vAlign w:val="center"/>
          </w:tcPr>
          <w:p w14:paraId="20164B1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341BC17C">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3ACE8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8080CF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721" w:type="dxa"/>
            <w:tcBorders>
              <w:top w:val="single" w:color="000000" w:sz="4" w:space="0"/>
              <w:left w:val="single" w:color="000000" w:sz="4" w:space="0"/>
              <w:bottom w:val="single" w:color="000000" w:sz="4" w:space="0"/>
              <w:right w:val="single" w:color="000000" w:sz="4" w:space="0"/>
            </w:tcBorders>
            <w:vAlign w:val="center"/>
          </w:tcPr>
          <w:p w14:paraId="0E81D10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793" w:type="dxa"/>
            <w:tcBorders>
              <w:top w:val="single" w:color="000000" w:sz="4" w:space="0"/>
              <w:left w:val="single" w:color="000000" w:sz="4" w:space="0"/>
              <w:bottom w:val="single" w:color="000000" w:sz="4" w:space="0"/>
              <w:right w:val="single" w:color="000000" w:sz="4" w:space="0"/>
            </w:tcBorders>
            <w:vAlign w:val="center"/>
          </w:tcPr>
          <w:p w14:paraId="1C20FED8">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☑不允许转包/分包</w:t>
            </w:r>
          </w:p>
          <w:p w14:paraId="75D45972">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□允许转包/分包</w:t>
            </w:r>
          </w:p>
          <w:p w14:paraId="691B2431">
            <w:pPr>
              <w:pStyle w:val="9"/>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7C0D929B">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4BE0C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4D809E8">
            <w:pPr>
              <w:spacing w:line="380" w:lineRule="exact"/>
              <w:rPr>
                <w:rFonts w:ascii="宋体" w:hAnsi="宋体" w:cs="宋体"/>
                <w:color w:val="auto"/>
                <w:szCs w:val="21"/>
                <w:highlight w:val="none"/>
              </w:rPr>
            </w:pPr>
            <w:r>
              <w:rPr>
                <w:rFonts w:hint="eastAsia" w:ascii="宋体" w:hAnsi="宋体" w:cs="宋体"/>
                <w:color w:val="auto"/>
                <w:szCs w:val="21"/>
                <w:highlight w:val="none"/>
              </w:rPr>
              <w:t>11.4</w:t>
            </w:r>
          </w:p>
        </w:tc>
        <w:tc>
          <w:tcPr>
            <w:tcW w:w="2721" w:type="dxa"/>
            <w:tcBorders>
              <w:top w:val="single" w:color="000000" w:sz="4" w:space="0"/>
              <w:left w:val="single" w:color="000000" w:sz="4" w:space="0"/>
              <w:bottom w:val="single" w:color="000000" w:sz="4" w:space="0"/>
              <w:right w:val="single" w:color="000000" w:sz="4" w:space="0"/>
            </w:tcBorders>
            <w:vAlign w:val="center"/>
          </w:tcPr>
          <w:p w14:paraId="49447BB8">
            <w:pPr>
              <w:spacing w:line="380" w:lineRule="exact"/>
              <w:rPr>
                <w:rFonts w:ascii="宋体" w:hAnsi="宋体" w:cs="宋体"/>
                <w:color w:val="auto"/>
                <w:szCs w:val="21"/>
                <w:highlight w:val="none"/>
              </w:rPr>
            </w:pPr>
            <w:r>
              <w:rPr>
                <w:rFonts w:hint="eastAsia" w:ascii="宋体" w:hAnsi="宋体" w:cs="宋体"/>
                <w:color w:val="auto"/>
                <w:szCs w:val="21"/>
                <w:highlight w:val="none"/>
              </w:rPr>
              <w:t>媒体发布渠道</w:t>
            </w:r>
          </w:p>
        </w:tc>
        <w:tc>
          <w:tcPr>
            <w:tcW w:w="6793" w:type="dxa"/>
            <w:tcBorders>
              <w:top w:val="single" w:color="000000" w:sz="4" w:space="0"/>
              <w:left w:val="single" w:color="000000" w:sz="4" w:space="0"/>
              <w:bottom w:val="single" w:color="000000" w:sz="4" w:space="0"/>
              <w:right w:val="single" w:color="000000" w:sz="4" w:space="0"/>
            </w:tcBorders>
            <w:vAlign w:val="center"/>
          </w:tcPr>
          <w:p w14:paraId="1308BAB9">
            <w:pPr>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1C2F4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0EA3FF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721" w:type="dxa"/>
            <w:tcBorders>
              <w:top w:val="single" w:color="000000" w:sz="4" w:space="0"/>
              <w:left w:val="single" w:color="000000" w:sz="4" w:space="0"/>
              <w:bottom w:val="single" w:color="000000" w:sz="4" w:space="0"/>
              <w:right w:val="single" w:color="000000" w:sz="4" w:space="0"/>
            </w:tcBorders>
            <w:vAlign w:val="center"/>
          </w:tcPr>
          <w:p w14:paraId="15196EC7">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资格证明文件组成</w:t>
            </w:r>
          </w:p>
          <w:p w14:paraId="5BF362C0">
            <w:pPr>
              <w:spacing w:line="360" w:lineRule="auto"/>
              <w:jc w:val="center"/>
              <w:rPr>
                <w:rFonts w:ascii="宋体" w:hAnsi="宋体" w:cs="宋体"/>
                <w:color w:val="auto"/>
                <w:szCs w:val="21"/>
                <w:highlight w:val="none"/>
              </w:rPr>
            </w:pPr>
          </w:p>
        </w:tc>
        <w:tc>
          <w:tcPr>
            <w:tcW w:w="6793" w:type="dxa"/>
            <w:tcBorders>
              <w:top w:val="single" w:color="000000" w:sz="4" w:space="0"/>
              <w:left w:val="single" w:color="000000" w:sz="4" w:space="0"/>
              <w:bottom w:val="single" w:color="000000" w:sz="4" w:space="0"/>
              <w:right w:val="single" w:color="000000" w:sz="4" w:space="0"/>
            </w:tcBorders>
            <w:vAlign w:val="center"/>
          </w:tcPr>
          <w:p w14:paraId="38468DF2">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DB90A3C">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2.竞标人根据防财监〔2023〕58 号文要求提供的《防城港市政府采购供应商信用承诺函》（格式附后）</w:t>
            </w:r>
            <w:r>
              <w:rPr>
                <w:rFonts w:hint="eastAsia" w:ascii="宋体" w:hAnsi="宋体" w:cs="宋体"/>
                <w:b/>
                <w:bCs/>
                <w:color w:val="auto"/>
                <w:szCs w:val="21"/>
                <w:highlight w:val="none"/>
              </w:rPr>
              <w:t>（必须提供，否则响应文件按无效响应处理）</w:t>
            </w:r>
          </w:p>
          <w:p w14:paraId="55A1171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5A8AAE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228C2E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.中小企业声明函或残疾人福利性单位声明函或属于监狱企业的证明文件；（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416DC39">
            <w:pPr>
              <w:spacing w:line="360" w:lineRule="auto"/>
              <w:rPr>
                <w:rFonts w:hint="eastAsia" w:ascii="微软雅黑" w:hAnsi="微软雅黑" w:eastAsia="微软雅黑" w:cs="微软雅黑"/>
                <w:color w:val="auto"/>
                <w:szCs w:val="21"/>
                <w:highlight w:val="none"/>
                <w:lang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资格要求</w:t>
            </w:r>
            <w:r>
              <w:rPr>
                <w:rFonts w:hint="eastAsia" w:ascii="宋体" w:hAnsi="宋体" w:cs="宋体"/>
                <w:color w:val="auto"/>
                <w:szCs w:val="21"/>
                <w:highlight w:val="none"/>
                <w:lang w:eastAsia="zh-CN"/>
              </w:rPr>
              <w:t>：</w:t>
            </w:r>
            <w:r>
              <w:rPr>
                <w:rFonts w:hint="default" w:ascii="Calibri" w:hAnsi="Calibri" w:cs="Calibri"/>
                <w:color w:val="auto"/>
                <w:szCs w:val="21"/>
                <w:highlight w:val="none"/>
                <w:lang w:eastAsia="zh-CN"/>
              </w:rPr>
              <w:t>①</w:t>
            </w:r>
            <w:r>
              <w:rPr>
                <w:rFonts w:hint="eastAsia" w:ascii="宋体" w:hAnsi="宋体" w:cs="宋体"/>
                <w:color w:val="auto"/>
                <w:szCs w:val="21"/>
                <w:highlight w:val="none"/>
              </w:rPr>
              <w:t>供应商须具备公路工程施工总承包叁级(含)以上资质，</w:t>
            </w:r>
            <w:r>
              <w:rPr>
                <w:rFonts w:hint="eastAsia" w:ascii="宋体" w:hAnsi="宋体" w:cs="宋体"/>
                <w:color w:val="auto"/>
                <w:szCs w:val="21"/>
                <w:highlight w:val="none"/>
                <w:lang w:val="en-US" w:eastAsia="zh-CN"/>
              </w:rPr>
              <w:t>同时</w:t>
            </w:r>
            <w:r>
              <w:rPr>
                <w:rFonts w:hint="eastAsia" w:ascii="宋体" w:hAnsi="宋体" w:cs="宋体"/>
                <w:color w:val="auto"/>
                <w:szCs w:val="21"/>
                <w:highlight w:val="none"/>
              </w:rPr>
              <w:t>持有省级及以上建设行政主管部门颁发的安全生产许可证；</w:t>
            </w:r>
            <w:r>
              <w:rPr>
                <w:rFonts w:hint="default" w:ascii="Calibri" w:hAnsi="Calibri" w:cs="Calibri"/>
                <w:color w:val="auto"/>
                <w:szCs w:val="21"/>
                <w:highlight w:val="none"/>
              </w:rPr>
              <w:t>②</w:t>
            </w:r>
            <w:r>
              <w:rPr>
                <w:rFonts w:hint="eastAsia" w:ascii="宋体" w:hAnsi="宋体" w:cs="宋体"/>
                <w:color w:val="auto"/>
                <w:szCs w:val="21"/>
                <w:highlight w:val="none"/>
                <w:lang w:val="en-US" w:eastAsia="zh-CN"/>
              </w:rPr>
              <w:t>拟投入本项目的</w:t>
            </w:r>
            <w:r>
              <w:rPr>
                <w:rFonts w:hint="eastAsia" w:ascii="宋体" w:hAnsi="宋体" w:cs="宋体"/>
                <w:color w:val="auto"/>
                <w:szCs w:val="21"/>
                <w:highlight w:val="none"/>
              </w:rPr>
              <w:t>项目经理须</w:t>
            </w:r>
            <w:r>
              <w:rPr>
                <w:rFonts w:hint="eastAsia" w:ascii="宋体" w:hAnsi="宋体" w:cs="宋体"/>
                <w:color w:val="auto"/>
                <w:szCs w:val="21"/>
                <w:highlight w:val="none"/>
                <w:lang w:val="en-US" w:eastAsia="zh-CN"/>
              </w:rPr>
              <w:t>具备</w:t>
            </w:r>
            <w:r>
              <w:rPr>
                <w:rFonts w:hint="eastAsia" w:ascii="宋体" w:hAnsi="宋体" w:cs="宋体"/>
                <w:color w:val="auto"/>
                <w:szCs w:val="21"/>
                <w:highlight w:val="none"/>
              </w:rPr>
              <w:t>公路工程专业</w:t>
            </w:r>
            <w:r>
              <w:rPr>
                <w:rFonts w:hint="eastAsia" w:ascii="宋体" w:hAnsi="宋体" w:cs="宋体"/>
                <w:color w:val="auto"/>
                <w:szCs w:val="21"/>
                <w:highlight w:val="none"/>
                <w:lang w:val="en-US" w:eastAsia="zh-CN"/>
              </w:rPr>
              <w:t>贰</w:t>
            </w:r>
            <w:r>
              <w:rPr>
                <w:rFonts w:hint="eastAsia" w:ascii="宋体" w:hAnsi="宋体" w:cs="宋体"/>
                <w:color w:val="auto"/>
                <w:szCs w:val="21"/>
                <w:highlight w:val="none"/>
              </w:rPr>
              <w:t>级以上(含</w:t>
            </w:r>
            <w:r>
              <w:rPr>
                <w:rFonts w:hint="eastAsia" w:ascii="宋体" w:hAnsi="宋体" w:cs="宋体"/>
                <w:color w:val="auto"/>
                <w:szCs w:val="21"/>
                <w:highlight w:val="none"/>
                <w:lang w:val="en-US" w:eastAsia="zh-CN"/>
              </w:rPr>
              <w:t>贰级</w:t>
            </w:r>
            <w:r>
              <w:rPr>
                <w:rFonts w:hint="eastAsia" w:ascii="宋体" w:hAnsi="宋体" w:cs="宋体"/>
                <w:color w:val="auto"/>
                <w:szCs w:val="21"/>
                <w:highlight w:val="none"/>
              </w:rPr>
              <w:t>)注册建造师资格，并持有省级或以上交通</w:t>
            </w:r>
            <w:r>
              <w:rPr>
                <w:rFonts w:hint="eastAsia" w:ascii="宋体" w:hAnsi="宋体" w:eastAsia="宋体" w:cs="宋体"/>
                <w:color w:val="auto"/>
                <w:szCs w:val="21"/>
                <w:highlight w:val="none"/>
              </w:rPr>
              <w:t>运输行政主管部门颁发的安全生产考核合格证(“三类人员”B 类证书)</w:t>
            </w:r>
            <w:r>
              <w:rPr>
                <w:rFonts w:hint="eastAsia" w:ascii="宋体" w:hAnsi="宋体" w:eastAsia="宋体" w:cs="宋体"/>
                <w:color w:val="auto"/>
                <w:szCs w:val="21"/>
                <w:highlight w:val="none"/>
                <w:lang w:eastAsia="zh-CN"/>
              </w:rPr>
              <w:t>，</w:t>
            </w:r>
            <w:r>
              <w:rPr>
                <w:rFonts w:hint="default" w:ascii="Calibri" w:hAnsi="Calibri" w:eastAsia="宋体" w:cs="Calibri"/>
                <w:color w:val="auto"/>
                <w:szCs w:val="21"/>
                <w:highlight w:val="none"/>
                <w:lang w:eastAsia="zh-CN"/>
              </w:rPr>
              <w:t>③</w:t>
            </w:r>
            <w:r>
              <w:rPr>
                <w:rFonts w:hint="eastAsia" w:ascii="宋体" w:hAnsi="宋体" w:eastAsia="宋体" w:cs="宋体"/>
                <w:color w:val="auto"/>
                <w:szCs w:val="21"/>
                <w:highlight w:val="none"/>
                <w:lang w:val="en-US" w:eastAsia="zh-CN"/>
              </w:rPr>
              <w:t>拟投入本项目的安全员应具有省级（或以上）交通主管部门颁发的《安全生产考核合格证书》 C证。</w:t>
            </w:r>
          </w:p>
          <w:p w14:paraId="58F19CF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D051427">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7.承诺函；</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29C391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除磋商文件规定必须提供以外，供应商认为需要提供的其他证明材料；</w:t>
            </w:r>
          </w:p>
          <w:p w14:paraId="7960CEDE">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26F6A049">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2B235752">
            <w:pPr>
              <w:pStyle w:val="9"/>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2.分公司参加竞标的，应当取得总公司授权，无授权的则作无效竞标处理；</w:t>
            </w:r>
          </w:p>
        </w:tc>
      </w:tr>
      <w:tr w14:paraId="76E9A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F06D90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721" w:type="dxa"/>
            <w:tcBorders>
              <w:top w:val="single" w:color="000000" w:sz="4" w:space="0"/>
              <w:left w:val="single" w:color="000000" w:sz="4" w:space="0"/>
              <w:bottom w:val="single" w:color="000000" w:sz="4" w:space="0"/>
              <w:right w:val="single" w:color="000000" w:sz="4" w:space="0"/>
            </w:tcBorders>
            <w:vAlign w:val="center"/>
          </w:tcPr>
          <w:p w14:paraId="61C73F04">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w:t>
            </w:r>
            <w:r>
              <w:rPr>
                <w:rFonts w:hint="eastAsia" w:ascii="宋体" w:hAnsi="宋体" w:cs="宋体"/>
                <w:b/>
                <w:bCs/>
                <w:color w:val="auto"/>
                <w:szCs w:val="21"/>
                <w:highlight w:val="none"/>
                <w:lang w:val="en-US" w:eastAsia="zh-CN"/>
              </w:rPr>
              <w:t>技术</w:t>
            </w:r>
            <w:r>
              <w:rPr>
                <w:rFonts w:hint="eastAsia" w:ascii="宋体" w:hAnsi="宋体" w:cs="宋体"/>
                <w:b/>
                <w:bCs/>
                <w:color w:val="auto"/>
                <w:szCs w:val="21"/>
                <w:highlight w:val="none"/>
              </w:rPr>
              <w:t>文件组成</w:t>
            </w:r>
          </w:p>
        </w:tc>
        <w:tc>
          <w:tcPr>
            <w:tcW w:w="6793" w:type="dxa"/>
            <w:tcBorders>
              <w:top w:val="single" w:color="000000" w:sz="4" w:space="0"/>
              <w:left w:val="single" w:color="000000" w:sz="4" w:space="0"/>
              <w:bottom w:val="single" w:color="000000" w:sz="4" w:space="0"/>
              <w:right w:val="single" w:color="000000" w:sz="4" w:space="0"/>
            </w:tcBorders>
            <w:vAlign w:val="center"/>
          </w:tcPr>
          <w:p w14:paraId="22E0F7AE">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224FDD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694C47C">
            <w:pPr>
              <w:spacing w:line="360" w:lineRule="auto"/>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35AAFADD">
            <w:pPr>
              <w:spacing w:line="360" w:lineRule="auto"/>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C1E3F7A">
            <w:pPr>
              <w:spacing w:line="360" w:lineRule="auto"/>
              <w:rPr>
                <w:rFonts w:ascii="宋体" w:hAnsi="宋体" w:cs="宋体"/>
                <w:color w:val="auto"/>
                <w:szCs w:val="21"/>
                <w:highlight w:val="none"/>
              </w:rPr>
            </w:pPr>
            <w:r>
              <w:rPr>
                <w:rFonts w:hint="eastAsia" w:ascii="宋体" w:hAnsi="宋体" w:cs="宋体"/>
                <w:color w:val="auto"/>
                <w:szCs w:val="21"/>
                <w:highlight w:val="none"/>
              </w:rPr>
              <w:t>5.服务需求偏离表；</w:t>
            </w:r>
            <w:r>
              <w:rPr>
                <w:rFonts w:hint="eastAsia" w:ascii="宋体" w:hAnsi="宋体" w:cs="宋体"/>
                <w:b/>
                <w:bCs/>
                <w:color w:val="auto"/>
                <w:szCs w:val="21"/>
                <w:highlight w:val="none"/>
              </w:rPr>
              <w:t>（必须提供，否则响应文件按无效响应处理）</w:t>
            </w:r>
          </w:p>
          <w:p w14:paraId="3791A2CF">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6.施工组织设计；</w:t>
            </w:r>
            <w:r>
              <w:rPr>
                <w:rFonts w:hint="eastAsia" w:ascii="宋体" w:hAnsi="宋体" w:cs="宋体"/>
                <w:b/>
                <w:bCs/>
                <w:color w:val="auto"/>
                <w:szCs w:val="21"/>
                <w:highlight w:val="none"/>
              </w:rPr>
              <w:t>（必须提供，否则响应文件按无效响应处理）</w:t>
            </w:r>
          </w:p>
          <w:p w14:paraId="6340961C">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项目实施人员一览表</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（必须提供，否则响应文件按无效响应处理）</w:t>
            </w:r>
          </w:p>
          <w:p w14:paraId="58912178">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8</w:t>
            </w:r>
            <w:r>
              <w:rPr>
                <w:rFonts w:hint="default" w:ascii="宋体" w:hAnsi="宋体" w:cs="宋体"/>
                <w:color w:val="auto"/>
                <w:szCs w:val="21"/>
                <w:highlight w:val="none"/>
                <w:lang w:val="en-US" w:eastAsia="zh-CN"/>
              </w:rPr>
              <w:t>.代理服务费承诺书（格式后附）；</w:t>
            </w:r>
          </w:p>
          <w:p w14:paraId="7A418BBD">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9</w:t>
            </w:r>
            <w:r>
              <w:rPr>
                <w:rFonts w:hint="default" w:ascii="宋体" w:hAnsi="宋体" w:cs="宋体"/>
                <w:color w:val="auto"/>
                <w:szCs w:val="21"/>
                <w:highlight w:val="none"/>
                <w:lang w:val="en-US" w:eastAsia="zh-CN"/>
              </w:rPr>
              <w:t>.对应采购需求的服务需求、商务条款提供的其他文件资料；</w:t>
            </w:r>
          </w:p>
          <w:p w14:paraId="3CDBF3B3">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.供应商认为需要提供的其他有关资料。</w:t>
            </w:r>
          </w:p>
          <w:p w14:paraId="62B2BBC2">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73382812">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w:t>
            </w:r>
            <w:r>
              <w:rPr>
                <w:rFonts w:hint="eastAsia" w:ascii="宋体" w:hAnsi="宋体" w:cs="宋体"/>
                <w:b/>
                <w:color w:val="auto"/>
                <w:szCs w:val="21"/>
                <w:highlight w:val="none"/>
                <w:lang w:val="en-US" w:eastAsia="zh-CN"/>
              </w:rPr>
              <w:t>或签章</w:t>
            </w:r>
            <w:r>
              <w:rPr>
                <w:rFonts w:hint="eastAsia" w:ascii="宋体" w:hAnsi="宋体" w:cs="宋体"/>
                <w:b/>
                <w:color w:val="auto"/>
                <w:szCs w:val="21"/>
                <w:highlight w:val="none"/>
              </w:rPr>
              <w:t>，并加盖供应商公章，否则响应文件按无效响应处理。</w:t>
            </w:r>
          </w:p>
          <w:p w14:paraId="679D0E8A">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3DE11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9CEBA1B">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12.1.</w:t>
            </w:r>
            <w:r>
              <w:rPr>
                <w:rFonts w:hint="eastAsia" w:ascii="宋体" w:hAnsi="宋体" w:cs="宋体"/>
                <w:color w:val="auto"/>
                <w:szCs w:val="21"/>
                <w:highlight w:val="none"/>
                <w:lang w:val="en-US" w:eastAsia="zh-CN"/>
              </w:rPr>
              <w:t>3</w:t>
            </w:r>
          </w:p>
        </w:tc>
        <w:tc>
          <w:tcPr>
            <w:tcW w:w="2721" w:type="dxa"/>
            <w:tcBorders>
              <w:top w:val="single" w:color="000000" w:sz="4" w:space="0"/>
              <w:left w:val="single" w:color="000000" w:sz="4" w:space="0"/>
              <w:bottom w:val="single" w:color="000000" w:sz="4" w:space="0"/>
              <w:right w:val="single" w:color="000000" w:sz="4" w:space="0"/>
            </w:tcBorders>
            <w:vAlign w:val="center"/>
          </w:tcPr>
          <w:p w14:paraId="3B861F6A">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793" w:type="dxa"/>
            <w:tcBorders>
              <w:top w:val="single" w:color="000000" w:sz="4" w:space="0"/>
              <w:left w:val="single" w:color="000000" w:sz="4" w:space="0"/>
              <w:bottom w:val="single" w:color="000000" w:sz="4" w:space="0"/>
              <w:right w:val="single" w:color="000000" w:sz="4" w:space="0"/>
            </w:tcBorders>
            <w:vAlign w:val="center"/>
          </w:tcPr>
          <w:p w14:paraId="5EABBBE4">
            <w:pPr>
              <w:spacing w:line="360" w:lineRule="auto"/>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bCs/>
                <w:color w:val="auto"/>
                <w:szCs w:val="21"/>
                <w:highlight w:val="none"/>
              </w:rPr>
              <w:t>（必须提供，否则作无效响应处理）</w:t>
            </w:r>
          </w:p>
          <w:p w14:paraId="2C2EF8F0">
            <w:pPr>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2.响应报价表；</w:t>
            </w:r>
            <w:r>
              <w:rPr>
                <w:rFonts w:hint="eastAsia" w:ascii="宋体" w:hAnsi="宋体" w:cs="宋体"/>
                <w:b/>
                <w:bCs/>
                <w:color w:val="auto"/>
                <w:szCs w:val="21"/>
                <w:highlight w:val="none"/>
              </w:rPr>
              <w:t>（必须提供，否则响应文件按无效响应处理）</w:t>
            </w:r>
          </w:p>
          <w:p w14:paraId="070A8C36">
            <w:pPr>
              <w:spacing w:line="360" w:lineRule="auto"/>
              <w:rPr>
                <w:rFonts w:hint="default"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3.已标价工程量清单</w:t>
            </w:r>
            <w:r>
              <w:rPr>
                <w:rFonts w:hint="eastAsia" w:ascii="宋体" w:hAnsi="宋体" w:cs="宋体"/>
                <w:b w:val="0"/>
                <w:bCs w:val="0"/>
                <w:color w:val="auto"/>
                <w:szCs w:val="21"/>
                <w:highlight w:val="none"/>
              </w:rPr>
              <w:t>；</w:t>
            </w:r>
            <w:r>
              <w:rPr>
                <w:rFonts w:hint="eastAsia" w:ascii="宋体" w:hAnsi="宋体" w:cs="宋体"/>
                <w:b/>
                <w:bCs/>
                <w:color w:val="auto"/>
                <w:szCs w:val="21"/>
                <w:highlight w:val="none"/>
              </w:rPr>
              <w:t>（必须提供，否则响应文件按无效响应处理）</w:t>
            </w:r>
          </w:p>
        </w:tc>
      </w:tr>
      <w:tr w14:paraId="13E5A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C8BE80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721" w:type="dxa"/>
            <w:tcBorders>
              <w:top w:val="single" w:color="000000" w:sz="4" w:space="0"/>
              <w:left w:val="single" w:color="000000" w:sz="4" w:space="0"/>
              <w:bottom w:val="single" w:color="000000" w:sz="4" w:space="0"/>
              <w:right w:val="single" w:color="000000" w:sz="4" w:space="0"/>
            </w:tcBorders>
            <w:vAlign w:val="center"/>
          </w:tcPr>
          <w:p w14:paraId="7A532FB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7E1949C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1F73F46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2.响应文件电子版密封方式：电子响应文件通过平台有效CA加密后在“广西政府采购云平台”投送。（操作方式见公告附件“电子响应文件制作与投送教程” ）</w:t>
            </w:r>
          </w:p>
        </w:tc>
      </w:tr>
      <w:tr w14:paraId="70F75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096E3CC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721" w:type="dxa"/>
            <w:tcBorders>
              <w:top w:val="single" w:color="000000" w:sz="4" w:space="0"/>
              <w:left w:val="single" w:color="000000" w:sz="4" w:space="0"/>
              <w:bottom w:val="single" w:color="000000" w:sz="4" w:space="0"/>
              <w:right w:val="single" w:color="000000" w:sz="4" w:space="0"/>
            </w:tcBorders>
            <w:vAlign w:val="center"/>
          </w:tcPr>
          <w:p w14:paraId="00B59C6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0BAF44C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szCs w:val="21"/>
                <w:highlight w:val="none"/>
              </w:rPr>
              <w:t>（采购需求另有约定的，从其约定。）</w:t>
            </w:r>
          </w:p>
        </w:tc>
      </w:tr>
      <w:tr w14:paraId="23B29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D0DB8E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721" w:type="dxa"/>
            <w:tcBorders>
              <w:top w:val="single" w:color="000000" w:sz="4" w:space="0"/>
              <w:left w:val="single" w:color="000000" w:sz="4" w:space="0"/>
              <w:bottom w:val="single" w:color="000000" w:sz="4" w:space="0"/>
              <w:right w:val="single" w:color="000000" w:sz="4" w:space="0"/>
            </w:tcBorders>
            <w:vAlign w:val="center"/>
          </w:tcPr>
          <w:p w14:paraId="0F82C3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793" w:type="dxa"/>
            <w:tcBorders>
              <w:top w:val="single" w:color="000000" w:sz="4" w:space="0"/>
              <w:left w:val="single" w:color="000000" w:sz="4" w:space="0"/>
              <w:bottom w:val="single" w:color="000000" w:sz="4" w:space="0"/>
              <w:right w:val="single" w:color="000000" w:sz="4" w:space="0"/>
            </w:tcBorders>
            <w:vAlign w:val="center"/>
          </w:tcPr>
          <w:p w14:paraId="777029C5">
            <w:pPr>
              <w:pStyle w:val="7"/>
              <w:numPr>
                <w:ilvl w:val="0"/>
                <w:numId w:val="0"/>
              </w:numPr>
              <w:tabs>
                <w:tab w:val="left" w:pos="720"/>
                <w:tab w:val="left" w:pos="840"/>
              </w:tabs>
              <w:snapToGrid w:val="0"/>
              <w:spacing w:after="120"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1E18A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B0F547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721" w:type="dxa"/>
            <w:tcBorders>
              <w:top w:val="single" w:color="000000" w:sz="4" w:space="0"/>
              <w:left w:val="single" w:color="000000" w:sz="4" w:space="0"/>
              <w:bottom w:val="single" w:color="000000" w:sz="4" w:space="0"/>
              <w:right w:val="single" w:color="000000" w:sz="4" w:space="0"/>
            </w:tcBorders>
            <w:vAlign w:val="center"/>
          </w:tcPr>
          <w:p w14:paraId="2E910E7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793" w:type="dxa"/>
            <w:tcBorders>
              <w:top w:val="single" w:color="000000" w:sz="4" w:space="0"/>
              <w:left w:val="single" w:color="000000" w:sz="4" w:space="0"/>
              <w:bottom w:val="single" w:color="000000" w:sz="4" w:space="0"/>
              <w:right w:val="single" w:color="000000" w:sz="4" w:space="0"/>
            </w:tcBorders>
            <w:vAlign w:val="center"/>
          </w:tcPr>
          <w:p w14:paraId="6B31FB11">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59E91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7207895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721" w:type="dxa"/>
            <w:tcBorders>
              <w:top w:val="single" w:color="000000" w:sz="4" w:space="0"/>
              <w:left w:val="single" w:color="000000" w:sz="4" w:space="0"/>
              <w:bottom w:val="single" w:color="000000" w:sz="4" w:space="0"/>
              <w:right w:val="single" w:color="000000" w:sz="4" w:space="0"/>
            </w:tcBorders>
            <w:vAlign w:val="center"/>
          </w:tcPr>
          <w:p w14:paraId="7B0A24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793" w:type="dxa"/>
            <w:tcBorders>
              <w:top w:val="single" w:color="000000" w:sz="4" w:space="0"/>
              <w:left w:val="single" w:color="000000" w:sz="4" w:space="0"/>
              <w:bottom w:val="single" w:color="000000" w:sz="4" w:space="0"/>
              <w:right w:val="single" w:color="000000" w:sz="4" w:space="0"/>
            </w:tcBorders>
            <w:vAlign w:val="center"/>
          </w:tcPr>
          <w:p w14:paraId="6CA5A315">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653A3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E512D0B">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0AED0BD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793" w:type="dxa"/>
            <w:tcBorders>
              <w:top w:val="single" w:color="000000" w:sz="4" w:space="0"/>
              <w:left w:val="single" w:color="000000" w:sz="4" w:space="0"/>
              <w:bottom w:val="single" w:color="000000" w:sz="4" w:space="0"/>
              <w:right w:val="single" w:color="000000" w:sz="4" w:space="0"/>
            </w:tcBorders>
            <w:vAlign w:val="center"/>
          </w:tcPr>
          <w:p w14:paraId="4EC18674">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2D184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D981A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721" w:type="dxa"/>
            <w:tcBorders>
              <w:top w:val="single" w:color="000000" w:sz="4" w:space="0"/>
              <w:left w:val="single" w:color="000000" w:sz="4" w:space="0"/>
              <w:bottom w:val="single" w:color="000000" w:sz="4" w:space="0"/>
              <w:right w:val="single" w:color="000000" w:sz="4" w:space="0"/>
            </w:tcBorders>
            <w:vAlign w:val="center"/>
          </w:tcPr>
          <w:p w14:paraId="097FB4B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793" w:type="dxa"/>
            <w:tcBorders>
              <w:top w:val="single" w:color="000000" w:sz="4" w:space="0"/>
              <w:left w:val="single" w:color="000000" w:sz="4" w:space="0"/>
              <w:bottom w:val="single" w:color="000000" w:sz="4" w:space="0"/>
              <w:right w:val="single" w:color="000000" w:sz="4" w:space="0"/>
            </w:tcBorders>
            <w:vAlign w:val="center"/>
          </w:tcPr>
          <w:p w14:paraId="42FC59C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393EC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CF219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721" w:type="dxa"/>
            <w:tcBorders>
              <w:top w:val="single" w:color="000000" w:sz="4" w:space="0"/>
              <w:left w:val="single" w:color="000000" w:sz="4" w:space="0"/>
              <w:bottom w:val="single" w:color="000000" w:sz="4" w:space="0"/>
              <w:right w:val="single" w:color="000000" w:sz="4" w:space="0"/>
            </w:tcBorders>
            <w:vAlign w:val="center"/>
          </w:tcPr>
          <w:p w14:paraId="02FB670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6793" w:type="dxa"/>
            <w:tcBorders>
              <w:top w:val="single" w:color="000000" w:sz="4" w:space="0"/>
              <w:left w:val="single" w:color="000000" w:sz="4" w:space="0"/>
              <w:bottom w:val="single" w:color="000000" w:sz="4" w:space="0"/>
              <w:right w:val="single" w:color="000000" w:sz="4" w:space="0"/>
            </w:tcBorders>
            <w:vAlign w:val="center"/>
          </w:tcPr>
          <w:p w14:paraId="6E53BB6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5E4EC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C7952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721" w:type="dxa"/>
            <w:tcBorders>
              <w:top w:val="single" w:color="000000" w:sz="4" w:space="0"/>
              <w:left w:val="single" w:color="000000" w:sz="4" w:space="0"/>
              <w:bottom w:val="single" w:color="000000" w:sz="4" w:space="0"/>
              <w:right w:val="single" w:color="000000" w:sz="4" w:space="0"/>
            </w:tcBorders>
            <w:vAlign w:val="center"/>
          </w:tcPr>
          <w:p w14:paraId="686C981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125E495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3559CBE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5530E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E6E8570">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0B31640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p w14:paraId="7416689F">
            <w:pPr>
              <w:spacing w:line="360" w:lineRule="auto"/>
              <w:jc w:val="center"/>
              <w:rPr>
                <w:rFonts w:ascii="宋体" w:hAnsi="宋体" w:cs="宋体"/>
                <w:color w:val="auto"/>
                <w:szCs w:val="21"/>
                <w:highlight w:val="none"/>
              </w:rPr>
            </w:pPr>
          </w:p>
        </w:tc>
        <w:tc>
          <w:tcPr>
            <w:tcW w:w="6793" w:type="dxa"/>
            <w:tcBorders>
              <w:top w:val="single" w:color="000000" w:sz="4" w:space="0"/>
              <w:left w:val="single" w:color="000000" w:sz="4" w:space="0"/>
              <w:bottom w:val="single" w:color="000000" w:sz="4" w:space="0"/>
              <w:right w:val="single" w:color="000000" w:sz="4" w:space="0"/>
            </w:tcBorders>
            <w:vAlign w:val="center"/>
          </w:tcPr>
          <w:p w14:paraId="565C8094">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5D720206">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□随机排序。</w:t>
            </w:r>
          </w:p>
        </w:tc>
      </w:tr>
      <w:tr w14:paraId="73AF9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3A6EDB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2721" w:type="dxa"/>
            <w:tcBorders>
              <w:top w:val="single" w:color="000000" w:sz="4" w:space="0"/>
              <w:left w:val="single" w:color="000000" w:sz="4" w:space="0"/>
              <w:bottom w:val="single" w:color="000000" w:sz="4" w:space="0"/>
              <w:right w:val="single" w:color="000000" w:sz="4" w:space="0"/>
            </w:tcBorders>
            <w:vAlign w:val="center"/>
          </w:tcPr>
          <w:p w14:paraId="36CA79B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793" w:type="dxa"/>
            <w:tcBorders>
              <w:top w:val="single" w:color="000000" w:sz="4" w:space="0"/>
              <w:left w:val="single" w:color="000000" w:sz="4" w:space="0"/>
              <w:bottom w:val="single" w:color="000000" w:sz="4" w:space="0"/>
              <w:right w:val="single" w:color="000000" w:sz="4" w:space="0"/>
            </w:tcBorders>
            <w:vAlign w:val="center"/>
          </w:tcPr>
          <w:p w14:paraId="6FDF09F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1F39C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FFC632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721" w:type="dxa"/>
            <w:tcBorders>
              <w:top w:val="single" w:color="000000" w:sz="4" w:space="0"/>
              <w:left w:val="single" w:color="000000" w:sz="4" w:space="0"/>
              <w:bottom w:val="single" w:color="000000" w:sz="4" w:space="0"/>
              <w:right w:val="single" w:color="000000" w:sz="4" w:space="0"/>
            </w:tcBorders>
            <w:vAlign w:val="center"/>
          </w:tcPr>
          <w:p w14:paraId="5F19CF3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793" w:type="dxa"/>
            <w:tcBorders>
              <w:top w:val="single" w:color="000000" w:sz="4" w:space="0"/>
              <w:left w:val="single" w:color="000000" w:sz="4" w:space="0"/>
              <w:bottom w:val="single" w:color="000000" w:sz="4" w:space="0"/>
              <w:right w:val="single" w:color="000000" w:sz="4" w:space="0"/>
            </w:tcBorders>
            <w:vAlign w:val="center"/>
          </w:tcPr>
          <w:p w14:paraId="128307F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29BFD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2062858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721" w:type="dxa"/>
            <w:tcBorders>
              <w:top w:val="single" w:color="000000" w:sz="4" w:space="0"/>
              <w:left w:val="single" w:color="000000" w:sz="4" w:space="0"/>
              <w:bottom w:val="single" w:color="000000" w:sz="4" w:space="0"/>
              <w:right w:val="single" w:color="000000" w:sz="4" w:space="0"/>
            </w:tcBorders>
            <w:vAlign w:val="center"/>
          </w:tcPr>
          <w:p w14:paraId="215E3ABB">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5BB3698">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31F90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F214460">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78B259A8">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94B8BB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lang w:eastAsia="zh-CN"/>
              </w:rPr>
              <w:t>广西昊泰工程咨询有限公司</w:t>
            </w:r>
            <w:r>
              <w:rPr>
                <w:rFonts w:hint="eastAsia" w:ascii="宋体" w:hAnsi="宋体" w:cs="宋体"/>
                <w:color w:val="auto"/>
                <w:szCs w:val="21"/>
                <w:highlight w:val="none"/>
              </w:rPr>
              <w:t>部门；</w:t>
            </w:r>
          </w:p>
          <w:p w14:paraId="4A2B273E">
            <w:pPr>
              <w:snapToGrid w:val="0"/>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eastAsia="zh-CN"/>
              </w:rPr>
              <w:t>0771-3802986</w:t>
            </w:r>
          </w:p>
          <w:p w14:paraId="6BA88E0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南宁市青秀区园湖南路31号祥龙大厦3楼312号</w:t>
            </w:r>
            <w:r>
              <w:rPr>
                <w:rFonts w:hint="eastAsia" w:ascii="宋体" w:hAnsi="宋体" w:cs="宋体"/>
                <w:color w:val="auto"/>
                <w:szCs w:val="21"/>
                <w:highlight w:val="none"/>
              </w:rPr>
              <w:t xml:space="preserve">  </w:t>
            </w:r>
          </w:p>
          <w:p w14:paraId="7C9B2DF3">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lang w:eastAsia="zh-CN"/>
              </w:rPr>
              <w:t>上思县农业农村局</w:t>
            </w:r>
            <w:r>
              <w:rPr>
                <w:rFonts w:hint="eastAsia" w:ascii="宋体" w:hAnsi="宋体" w:cs="宋体"/>
                <w:color w:val="auto"/>
                <w:szCs w:val="21"/>
                <w:highlight w:val="none"/>
              </w:rPr>
              <w:t>部门；</w:t>
            </w:r>
          </w:p>
          <w:p w14:paraId="4F026B9D">
            <w:pPr>
              <w:snapToGrid w:val="0"/>
              <w:spacing w:line="380" w:lineRule="exact"/>
              <w:rPr>
                <w:rFonts w:ascii="宋体" w:hAnsi="宋体" w:cs="宋体"/>
                <w:color w:val="auto"/>
                <w:szCs w:val="21"/>
                <w:highlight w:val="none"/>
                <w:u w:val="single"/>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0770-8509177</w:t>
            </w:r>
          </w:p>
          <w:p w14:paraId="033D2AAB">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上思县思阳镇仁甫西路农业农村局</w:t>
            </w:r>
            <w:r>
              <w:rPr>
                <w:rFonts w:hint="eastAsia" w:ascii="宋体" w:hAnsi="宋体" w:cs="宋体"/>
                <w:color w:val="auto"/>
                <w:szCs w:val="21"/>
                <w:highlight w:val="none"/>
              </w:rPr>
              <w:t xml:space="preserve"> </w:t>
            </w:r>
          </w:p>
        </w:tc>
      </w:tr>
      <w:tr w14:paraId="58B89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DB54382">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265DE0CE">
            <w:pPr>
              <w:spacing w:line="380" w:lineRule="exact"/>
              <w:jc w:val="center"/>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6793" w:type="dxa"/>
            <w:tcBorders>
              <w:top w:val="single" w:color="000000" w:sz="4" w:space="0"/>
              <w:left w:val="single" w:color="000000" w:sz="4" w:space="0"/>
              <w:bottom w:val="single" w:color="000000" w:sz="4" w:space="0"/>
              <w:right w:val="single" w:color="000000" w:sz="4" w:space="0"/>
            </w:tcBorders>
            <w:vAlign w:val="center"/>
          </w:tcPr>
          <w:p w14:paraId="7775ECC6">
            <w:pPr>
              <w:snapToGrid w:val="0"/>
              <w:spacing w:line="380" w:lineRule="exact"/>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r>
              <w:rPr>
                <w:rFonts w:hint="eastAsia" w:ascii="宋体" w:hAnsi="宋体" w:cs="宋体"/>
                <w:color w:val="auto"/>
                <w:highlight w:val="none"/>
                <w:u w:val="single"/>
              </w:rPr>
              <w:t xml:space="preserve"> 15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p>
        </w:tc>
      </w:tr>
      <w:tr w14:paraId="10BC0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62B03F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721" w:type="dxa"/>
            <w:tcBorders>
              <w:top w:val="single" w:color="000000" w:sz="4" w:space="0"/>
              <w:left w:val="single" w:color="000000" w:sz="4" w:space="0"/>
              <w:bottom w:val="single" w:color="000000" w:sz="4" w:space="0"/>
              <w:right w:val="single" w:color="000000" w:sz="4" w:space="0"/>
            </w:tcBorders>
            <w:vAlign w:val="center"/>
          </w:tcPr>
          <w:p w14:paraId="0FF7A94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A63EBBE">
            <w:pPr>
              <w:snapToGrid w:val="0"/>
              <w:spacing w:line="380" w:lineRule="exact"/>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21EB6EA0">
            <w:pPr>
              <w:snapToGrid w:val="0"/>
              <w:spacing w:line="380" w:lineRule="exact"/>
              <w:rPr>
                <w:rFonts w:ascii="宋体" w:hAnsi="宋体" w:cs="宋体"/>
                <w:color w:val="auto"/>
                <w:highlight w:val="none"/>
              </w:rPr>
            </w:pPr>
            <w:r>
              <w:rPr>
                <w:rFonts w:hint="eastAsia" w:ascii="宋体" w:hAnsi="宋体" w:cs="宋体"/>
                <w:color w:val="auto"/>
                <w:highlight w:val="none"/>
              </w:rPr>
              <w:t>2、邮寄地址：</w:t>
            </w:r>
          </w:p>
          <w:p w14:paraId="6DC8AD2B">
            <w:pPr>
              <w:snapToGrid w:val="0"/>
              <w:spacing w:line="380" w:lineRule="exact"/>
              <w:rPr>
                <w:rFonts w:ascii="宋体" w:hAnsi="宋体" w:cs="宋体"/>
                <w:color w:val="auto"/>
                <w:highlight w:val="none"/>
              </w:rPr>
            </w:pPr>
            <w:r>
              <w:rPr>
                <w:rFonts w:hint="eastAsia" w:ascii="宋体" w:hAnsi="宋体" w:cs="宋体"/>
                <w:color w:val="auto"/>
                <w:highlight w:val="none"/>
              </w:rPr>
              <w:t>名称：上思县政府采购中心</w:t>
            </w:r>
          </w:p>
          <w:p w14:paraId="249962BF">
            <w:pPr>
              <w:snapToGrid w:val="0"/>
              <w:spacing w:line="380" w:lineRule="exact"/>
              <w:rPr>
                <w:rFonts w:ascii="宋体" w:hAnsi="宋体" w:cs="宋体"/>
                <w:color w:val="auto"/>
                <w:highlight w:val="none"/>
              </w:rPr>
            </w:pPr>
            <w:r>
              <w:rPr>
                <w:rFonts w:hint="eastAsia" w:ascii="宋体" w:hAnsi="宋体" w:cs="宋体"/>
                <w:color w:val="auto"/>
                <w:highlight w:val="none"/>
              </w:rPr>
              <w:t>地址：上思县思阳镇更生路财政大厦</w:t>
            </w:r>
          </w:p>
          <w:p w14:paraId="6032D124">
            <w:pPr>
              <w:snapToGrid w:val="0"/>
              <w:spacing w:line="380" w:lineRule="exact"/>
              <w:rPr>
                <w:rFonts w:ascii="宋体" w:hAnsi="宋体" w:cs="宋体"/>
                <w:color w:val="auto"/>
                <w:highlight w:val="none"/>
              </w:rPr>
            </w:pPr>
            <w:r>
              <w:rPr>
                <w:rFonts w:hint="eastAsia" w:ascii="宋体" w:hAnsi="宋体" w:cs="宋体"/>
                <w:color w:val="auto"/>
                <w:highlight w:val="none"/>
              </w:rPr>
              <w:t>联系电话：0770-8521708</w:t>
            </w:r>
          </w:p>
        </w:tc>
      </w:tr>
      <w:tr w14:paraId="1E04D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6AB7F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721" w:type="dxa"/>
            <w:tcBorders>
              <w:top w:val="single" w:color="000000" w:sz="4" w:space="0"/>
              <w:left w:val="single" w:color="000000" w:sz="4" w:space="0"/>
              <w:bottom w:val="single" w:color="000000" w:sz="4" w:space="0"/>
              <w:right w:val="single" w:color="000000" w:sz="4" w:space="0"/>
            </w:tcBorders>
            <w:vAlign w:val="center"/>
          </w:tcPr>
          <w:p w14:paraId="7BB0CE8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793" w:type="dxa"/>
            <w:tcBorders>
              <w:top w:val="single" w:color="000000" w:sz="4" w:space="0"/>
              <w:left w:val="single" w:color="000000" w:sz="4" w:space="0"/>
              <w:bottom w:val="single" w:color="000000" w:sz="4" w:space="0"/>
              <w:right w:val="single" w:color="000000" w:sz="4" w:space="0"/>
            </w:tcBorders>
            <w:vAlign w:val="center"/>
          </w:tcPr>
          <w:p w14:paraId="6E3F2185">
            <w:pPr>
              <w:pStyle w:val="15"/>
              <w:snapToGrid w:val="0"/>
              <w:spacing w:line="360" w:lineRule="auto"/>
              <w:rPr>
                <w:rFonts w:hAnsi="宋体" w:cs="宋体"/>
                <w:color w:val="auto"/>
                <w:sz w:val="21"/>
                <w:highlight w:val="none"/>
              </w:rPr>
            </w:pPr>
            <w:r>
              <w:rPr>
                <w:rFonts w:hint="eastAsia" w:hAnsi="宋体" w:cs="宋体"/>
                <w:color w:val="auto"/>
                <w:sz w:val="21"/>
                <w:highlight w:val="none"/>
              </w:rPr>
              <w:t>1. 是否收取采购代理费：</w:t>
            </w:r>
          </w:p>
          <w:p w14:paraId="378F9D44">
            <w:pPr>
              <w:pStyle w:val="15"/>
              <w:snapToGrid w:val="0"/>
              <w:spacing w:line="360" w:lineRule="auto"/>
              <w:rPr>
                <w:rFonts w:hAnsi="宋体" w:cs="宋体"/>
                <w:color w:val="auto"/>
                <w:sz w:val="21"/>
                <w:highlight w:val="none"/>
              </w:rPr>
            </w:pPr>
            <w:r>
              <w:rPr>
                <w:rFonts w:hint="eastAsia" w:hAnsi="宋体" w:cs="宋体"/>
                <w:color w:val="auto"/>
                <w:sz w:val="21"/>
                <w:highlight w:val="none"/>
              </w:rPr>
              <w:t>☑是    □ 否</w:t>
            </w:r>
          </w:p>
          <w:p w14:paraId="7941A5B1">
            <w:pPr>
              <w:pStyle w:val="15"/>
              <w:snapToGrid w:val="0"/>
              <w:spacing w:line="360" w:lineRule="auto"/>
              <w:rPr>
                <w:rFonts w:hAnsi="宋体" w:cs="宋体"/>
                <w:color w:val="auto"/>
                <w:sz w:val="21"/>
                <w:highlight w:val="none"/>
              </w:rPr>
            </w:pPr>
            <w:r>
              <w:rPr>
                <w:rFonts w:hint="eastAsia" w:hAnsi="宋体" w:cs="宋体"/>
                <w:color w:val="auto"/>
                <w:sz w:val="21"/>
                <w:highlight w:val="none"/>
              </w:rPr>
              <w:t>2.采购代理费支付方式：</w:t>
            </w:r>
          </w:p>
          <w:p w14:paraId="4387835E">
            <w:pPr>
              <w:pStyle w:val="15"/>
              <w:snapToGrid w:val="0"/>
              <w:spacing w:line="360" w:lineRule="auto"/>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56759587">
            <w:pPr>
              <w:pStyle w:val="15"/>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7616EDE8">
            <w:pPr>
              <w:pStyle w:val="15"/>
              <w:snapToGrid w:val="0"/>
              <w:spacing w:line="380" w:lineRule="exact"/>
              <w:rPr>
                <w:rFonts w:hAnsi="宋体" w:cs="宋体"/>
                <w:color w:val="auto"/>
                <w:sz w:val="21"/>
                <w:highlight w:val="none"/>
              </w:rPr>
            </w:pPr>
            <w:r>
              <w:rPr>
                <w:rFonts w:hint="eastAsia" w:hAnsi="宋体" w:cs="宋体"/>
                <w:color w:val="auto"/>
                <w:sz w:val="21"/>
                <w:highlight w:val="none"/>
              </w:rPr>
              <w:t>3.采购代理费收取标准：</w:t>
            </w:r>
          </w:p>
          <w:p w14:paraId="230BF54B">
            <w:pPr>
              <w:pStyle w:val="15"/>
              <w:snapToGrid w:val="0"/>
              <w:spacing w:line="380" w:lineRule="exact"/>
              <w:rPr>
                <w:rFonts w:hint="eastAsia" w:hAnsi="宋体" w:cs="宋体"/>
                <w:color w:val="auto"/>
                <w:sz w:val="21"/>
                <w:highlight w:val="none"/>
              </w:rPr>
            </w:pPr>
            <w:r>
              <w:rPr>
                <w:rFonts w:hint="eastAsia" w:hAnsi="宋体" w:cs="宋体"/>
                <w:color w:val="auto"/>
                <w:sz w:val="21"/>
                <w:highlight w:val="none"/>
              </w:rPr>
              <w:t>本项目采购代理费按以下费率采用累进法计算，并以成交</w:t>
            </w:r>
            <w:r>
              <w:rPr>
                <w:rFonts w:hint="eastAsia" w:hAnsi="宋体" w:cs="宋体"/>
                <w:color w:val="auto"/>
                <w:sz w:val="21"/>
                <w:highlight w:val="none"/>
                <w:lang w:val="en-US" w:eastAsia="zh-CN"/>
              </w:rPr>
              <w:t>总</w:t>
            </w:r>
            <w:r>
              <w:rPr>
                <w:rFonts w:hint="eastAsia" w:hAnsi="宋体" w:cs="宋体"/>
                <w:color w:val="auto"/>
                <w:sz w:val="21"/>
                <w:highlight w:val="none"/>
              </w:rPr>
              <w:t>金额为基价计取采购代理费。采购代理费由采购代理机构向成交供应商收取。成交供应商在领取成交通知书前一次性向采购代理机构付清采购代理费。</w:t>
            </w:r>
          </w:p>
          <w:tbl>
            <w:tblPr>
              <w:tblStyle w:val="26"/>
              <w:tblW w:w="4999" w:type="pct"/>
              <w:jc w:val="center"/>
              <w:tblLayout w:type="autofit"/>
              <w:tblCellMar>
                <w:top w:w="0" w:type="dxa"/>
                <w:left w:w="108" w:type="dxa"/>
                <w:bottom w:w="0" w:type="dxa"/>
                <w:right w:w="108" w:type="dxa"/>
              </w:tblCellMar>
            </w:tblPr>
            <w:tblGrid>
              <w:gridCol w:w="3821"/>
              <w:gridCol w:w="2755"/>
            </w:tblGrid>
            <w:tr w14:paraId="51C43D58">
              <w:tblPrEx>
                <w:tblCellMar>
                  <w:top w:w="0" w:type="dxa"/>
                  <w:left w:w="108" w:type="dxa"/>
                  <w:bottom w:w="0" w:type="dxa"/>
                  <w:right w:w="108" w:type="dxa"/>
                </w:tblCellMar>
              </w:tblPrEx>
              <w:trPr>
                <w:trHeight w:val="602" w:hRule="atLeast"/>
                <w:jc w:val="center"/>
              </w:trPr>
              <w:tc>
                <w:tcPr>
                  <w:tcW w:w="2905" w:type="pct"/>
                  <w:tcBorders>
                    <w:top w:val="single" w:color="auto" w:sz="4" w:space="0"/>
                    <w:left w:val="single" w:color="auto" w:sz="4" w:space="0"/>
                    <w:bottom w:val="single" w:color="auto" w:sz="4" w:space="0"/>
                    <w:right w:val="single" w:color="auto" w:sz="4" w:space="0"/>
                  </w:tcBorders>
                  <w:noWrap w:val="0"/>
                  <w:vAlign w:val="center"/>
                </w:tcPr>
                <w:p w14:paraId="04AC8138">
                  <w:pPr>
                    <w:spacing w:line="360" w:lineRule="auto"/>
                    <w:ind w:firstLine="573"/>
                    <w:jc w:val="center"/>
                    <w:rPr>
                      <w:rFonts w:ascii="宋体" w:hAnsi="宋体" w:cs="宋体"/>
                      <w:color w:val="auto"/>
                      <w:sz w:val="21"/>
                      <w:szCs w:val="21"/>
                      <w:highlight w:val="none"/>
                    </w:rPr>
                  </w:pPr>
                  <w:r>
                    <w:rPr>
                      <w:rFonts w:hint="eastAsia" w:ascii="宋体" w:hAnsi="宋体" w:cs="宋体"/>
                      <w:color w:val="auto"/>
                      <w:sz w:val="21"/>
                      <w:szCs w:val="21"/>
                      <w:highlight w:val="none"/>
                    </w:rPr>
                    <w:t>中标（成交）金额（万元）范围</w:t>
                  </w:r>
                </w:p>
              </w:tc>
              <w:tc>
                <w:tcPr>
                  <w:tcW w:w="2094" w:type="pct"/>
                  <w:tcBorders>
                    <w:top w:val="single" w:color="auto" w:sz="4" w:space="0"/>
                    <w:left w:val="nil"/>
                    <w:bottom w:val="single" w:color="auto" w:sz="4" w:space="0"/>
                    <w:right w:val="single" w:color="auto" w:sz="4" w:space="0"/>
                  </w:tcBorders>
                  <w:noWrap w:val="0"/>
                  <w:vAlign w:val="center"/>
                </w:tcPr>
                <w:p w14:paraId="7024187D">
                  <w:pPr>
                    <w:spacing w:line="360" w:lineRule="auto"/>
                    <w:ind w:firstLine="573"/>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费率</w:t>
                  </w:r>
                </w:p>
              </w:tc>
            </w:tr>
            <w:tr w14:paraId="2959AD3B">
              <w:tblPrEx>
                <w:tblCellMar>
                  <w:top w:w="0" w:type="dxa"/>
                  <w:left w:w="108" w:type="dxa"/>
                  <w:bottom w:w="0" w:type="dxa"/>
                  <w:right w:w="108" w:type="dxa"/>
                </w:tblCellMar>
              </w:tblPrEx>
              <w:trPr>
                <w:trHeight w:val="375" w:hRule="atLeast"/>
                <w:jc w:val="center"/>
              </w:trPr>
              <w:tc>
                <w:tcPr>
                  <w:tcW w:w="2905" w:type="pct"/>
                  <w:tcBorders>
                    <w:top w:val="nil"/>
                    <w:left w:val="single" w:color="auto" w:sz="4" w:space="0"/>
                    <w:bottom w:val="single" w:color="auto" w:sz="4" w:space="0"/>
                    <w:right w:val="single" w:color="auto" w:sz="4" w:space="0"/>
                  </w:tcBorders>
                  <w:noWrap/>
                  <w:vAlign w:val="center"/>
                </w:tcPr>
                <w:p w14:paraId="66DA7C31">
                  <w:pPr>
                    <w:spacing w:line="360" w:lineRule="auto"/>
                    <w:ind w:firstLine="57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100及以下</w:t>
                  </w:r>
                </w:p>
              </w:tc>
              <w:tc>
                <w:tcPr>
                  <w:tcW w:w="2094" w:type="pct"/>
                  <w:tcBorders>
                    <w:top w:val="nil"/>
                    <w:left w:val="nil"/>
                    <w:bottom w:val="single" w:color="auto" w:sz="4" w:space="0"/>
                    <w:right w:val="single" w:color="auto" w:sz="4" w:space="0"/>
                  </w:tcBorders>
                  <w:noWrap/>
                  <w:vAlign w:val="center"/>
                </w:tcPr>
                <w:p w14:paraId="14BE8AE5">
                  <w:pPr>
                    <w:spacing w:line="360" w:lineRule="auto"/>
                    <w:ind w:firstLine="573"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0%</w:t>
                  </w:r>
                </w:p>
              </w:tc>
            </w:tr>
            <w:tr w14:paraId="4FA55859">
              <w:tblPrEx>
                <w:tblCellMar>
                  <w:top w:w="0" w:type="dxa"/>
                  <w:left w:w="108" w:type="dxa"/>
                  <w:bottom w:w="0" w:type="dxa"/>
                  <w:right w:w="108" w:type="dxa"/>
                </w:tblCellMar>
              </w:tblPrEx>
              <w:trPr>
                <w:trHeight w:val="375" w:hRule="atLeast"/>
                <w:jc w:val="center"/>
              </w:trPr>
              <w:tc>
                <w:tcPr>
                  <w:tcW w:w="2905" w:type="pct"/>
                  <w:tcBorders>
                    <w:top w:val="nil"/>
                    <w:left w:val="single" w:color="auto" w:sz="4" w:space="0"/>
                    <w:bottom w:val="single" w:color="auto" w:sz="4" w:space="0"/>
                    <w:right w:val="single" w:color="auto" w:sz="4" w:space="0"/>
                  </w:tcBorders>
                  <w:noWrap/>
                  <w:vAlign w:val="center"/>
                </w:tcPr>
                <w:p w14:paraId="2E62D56F">
                  <w:pPr>
                    <w:spacing w:line="360" w:lineRule="auto"/>
                    <w:ind w:firstLine="573"/>
                    <w:jc w:val="center"/>
                    <w:rPr>
                      <w:rFonts w:hint="eastAsia" w:ascii="宋体" w:hAnsi="宋体" w:cs="宋体"/>
                      <w:color w:val="auto"/>
                      <w:sz w:val="21"/>
                      <w:szCs w:val="21"/>
                      <w:highlight w:val="none"/>
                    </w:rPr>
                  </w:pPr>
                  <w:r>
                    <w:rPr>
                      <w:rFonts w:ascii="宋体" w:hAnsi="宋体" w:cs="宋体"/>
                      <w:color w:val="auto"/>
                      <w:sz w:val="21"/>
                      <w:szCs w:val="21"/>
                      <w:highlight w:val="none"/>
                    </w:rPr>
                    <w:t>100-500</w:t>
                  </w:r>
                </w:p>
              </w:tc>
              <w:tc>
                <w:tcPr>
                  <w:tcW w:w="2094" w:type="pct"/>
                  <w:tcBorders>
                    <w:top w:val="nil"/>
                    <w:left w:val="nil"/>
                    <w:bottom w:val="single" w:color="auto" w:sz="4" w:space="0"/>
                    <w:right w:val="single" w:color="auto" w:sz="4" w:space="0"/>
                  </w:tcBorders>
                  <w:noWrap/>
                  <w:vAlign w:val="center"/>
                </w:tcPr>
                <w:p w14:paraId="3C06EE95">
                  <w:pPr>
                    <w:spacing w:line="360" w:lineRule="auto"/>
                    <w:ind w:firstLine="573"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0.</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0%</w:t>
                  </w:r>
                </w:p>
              </w:tc>
            </w:tr>
          </w:tbl>
          <w:p w14:paraId="79C115CE">
            <w:pPr>
              <w:pStyle w:val="15"/>
              <w:snapToGrid w:val="0"/>
              <w:spacing w:line="380" w:lineRule="exact"/>
              <w:rPr>
                <w:rFonts w:hAnsi="宋体" w:cs="宋体"/>
                <w:color w:val="auto"/>
                <w:sz w:val="21"/>
                <w:highlight w:val="none"/>
              </w:rPr>
            </w:pPr>
          </w:p>
        </w:tc>
      </w:tr>
      <w:tr w14:paraId="6AE74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266261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721" w:type="dxa"/>
            <w:tcBorders>
              <w:top w:val="single" w:color="000000" w:sz="4" w:space="0"/>
              <w:left w:val="single" w:color="000000" w:sz="4" w:space="0"/>
              <w:bottom w:val="single" w:color="000000" w:sz="4" w:space="0"/>
              <w:right w:val="single" w:color="000000" w:sz="4" w:space="0"/>
            </w:tcBorders>
            <w:vAlign w:val="center"/>
          </w:tcPr>
          <w:p w14:paraId="5AE804A3">
            <w:pPr>
              <w:spacing w:line="360" w:lineRule="auto"/>
              <w:jc w:val="center"/>
              <w:rPr>
                <w:rFonts w:ascii="宋体" w:hAnsi="宋体" w:cs="宋体"/>
                <w:color w:val="auto"/>
                <w:szCs w:val="21"/>
                <w:highlight w:val="none"/>
              </w:rPr>
            </w:pPr>
            <w:r>
              <w:rPr>
                <w:rFonts w:hint="eastAsia" w:ascii="宋体" w:hAnsi="宋体" w:cs="宋体"/>
                <w:color w:val="auto"/>
                <w:highlight w:val="none"/>
              </w:rPr>
              <w:t>解释</w:t>
            </w:r>
          </w:p>
        </w:tc>
        <w:tc>
          <w:tcPr>
            <w:tcW w:w="6793" w:type="dxa"/>
            <w:tcBorders>
              <w:top w:val="single" w:color="000000" w:sz="4" w:space="0"/>
              <w:left w:val="single" w:color="000000" w:sz="4" w:space="0"/>
              <w:bottom w:val="single" w:color="000000" w:sz="4" w:space="0"/>
              <w:right w:val="single" w:color="000000" w:sz="4" w:space="0"/>
            </w:tcBorders>
            <w:vAlign w:val="center"/>
          </w:tcPr>
          <w:p w14:paraId="573F5A50">
            <w:pPr>
              <w:pStyle w:val="15"/>
              <w:snapToGrid w:val="0"/>
              <w:spacing w:line="360" w:lineRule="auto"/>
              <w:rPr>
                <w:rFonts w:hAnsi="宋体" w:cs="宋体"/>
                <w:b/>
                <w:color w:val="auto"/>
                <w:sz w:val="21"/>
                <w:highlight w:val="none"/>
              </w:rPr>
            </w:pPr>
            <w:r>
              <w:rPr>
                <w:rFonts w:hint="eastAsia" w:hAnsi="宋体" w:cs="宋体"/>
                <w:b/>
                <w:color w:val="auto"/>
                <w:sz w:val="21"/>
                <w:highlight w:val="none"/>
              </w:rPr>
              <w:t>解释权：</w:t>
            </w:r>
            <w:r>
              <w:rPr>
                <w:rFonts w:hint="eastAsia" w:hAnsi="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highlight w:val="none"/>
              </w:rPr>
              <w:t>由采购人或者采购代理机构负责解释。</w:t>
            </w:r>
          </w:p>
          <w:p w14:paraId="01589218">
            <w:pPr>
              <w:pStyle w:val="15"/>
              <w:snapToGrid w:val="0"/>
              <w:spacing w:line="360" w:lineRule="auto"/>
              <w:rPr>
                <w:rFonts w:hAnsi="宋体" w:cs="宋体"/>
                <w:b/>
                <w:color w:val="auto"/>
                <w:sz w:val="21"/>
                <w:highlight w:val="none"/>
              </w:rPr>
            </w:pPr>
            <w:r>
              <w:rPr>
                <w:rFonts w:hint="eastAsia" w:hAnsi="宋体" w:cs="宋体"/>
                <w:b/>
                <w:color w:val="auto"/>
                <w:sz w:val="21"/>
                <w:highlight w:val="none"/>
              </w:rPr>
              <w:t>法律责任：</w:t>
            </w:r>
          </w:p>
          <w:p w14:paraId="21E1ACB3">
            <w:pPr>
              <w:pStyle w:val="15"/>
              <w:snapToGrid w:val="0"/>
              <w:spacing w:line="360" w:lineRule="auto"/>
              <w:rPr>
                <w:rFonts w:hAnsi="宋体" w:cs="宋体"/>
                <w:color w:val="auto"/>
                <w:sz w:val="21"/>
                <w:highlight w:val="none"/>
              </w:rPr>
            </w:pPr>
            <w:r>
              <w:rPr>
                <w:rFonts w:hint="eastAsia" w:hAnsi="宋体" w:cs="宋体"/>
                <w:b/>
                <w:color w:val="auto"/>
                <w:sz w:val="21"/>
                <w:highlight w:val="none"/>
              </w:rPr>
              <w:t>1.</w:t>
            </w:r>
            <w:r>
              <w:rPr>
                <w:rFonts w:hint="eastAsia" w:hAnsi="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3E6A1BDD">
            <w:pPr>
              <w:spacing w:line="360" w:lineRule="auto"/>
              <w:rPr>
                <w:rFonts w:ascii="宋体" w:hAnsi="宋体" w:cs="宋体"/>
                <w:color w:val="auto"/>
                <w:highlight w:val="none"/>
              </w:rPr>
            </w:pPr>
            <w:r>
              <w:rPr>
                <w:rFonts w:hint="eastAsia" w:ascii="宋体" w:hAnsi="宋体" w:cs="宋体"/>
                <w:b/>
                <w:color w:val="auto"/>
                <w:highlight w:val="none"/>
              </w:rPr>
              <w:t>2.</w:t>
            </w:r>
            <w:r>
              <w:rPr>
                <w:rFonts w:hint="eastAsia" w:ascii="宋体" w:hAnsi="宋体" w:cs="宋体"/>
                <w:b/>
                <w:color w:val="auto"/>
                <w:szCs w:val="21"/>
                <w:highlight w:val="none"/>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76886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64A056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721" w:type="dxa"/>
            <w:tcBorders>
              <w:top w:val="single" w:color="000000" w:sz="4" w:space="0"/>
              <w:left w:val="single" w:color="000000" w:sz="4" w:space="0"/>
              <w:bottom w:val="single" w:color="000000" w:sz="4" w:space="0"/>
              <w:right w:val="single" w:color="000000" w:sz="4" w:space="0"/>
            </w:tcBorders>
            <w:vAlign w:val="center"/>
          </w:tcPr>
          <w:p w14:paraId="0C60E4C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793" w:type="dxa"/>
            <w:tcBorders>
              <w:top w:val="single" w:color="000000" w:sz="4" w:space="0"/>
              <w:left w:val="single" w:color="000000" w:sz="4" w:space="0"/>
              <w:bottom w:val="single" w:color="000000" w:sz="4" w:space="0"/>
              <w:right w:val="single" w:color="000000" w:sz="4" w:space="0"/>
            </w:tcBorders>
            <w:vAlign w:val="center"/>
          </w:tcPr>
          <w:p w14:paraId="6EBBC811">
            <w:pPr>
              <w:pStyle w:val="15"/>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F76FBF9">
            <w:pPr>
              <w:pStyle w:val="15"/>
              <w:snapToGrid w:val="0"/>
              <w:spacing w:line="360" w:lineRule="auto"/>
              <w:rPr>
                <w:rFonts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77A1C95">
            <w:pPr>
              <w:pStyle w:val="15"/>
              <w:snapToGrid w:val="0"/>
              <w:spacing w:line="360" w:lineRule="auto"/>
              <w:rPr>
                <w:rFonts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27B05D12">
            <w:pPr>
              <w:pStyle w:val="15"/>
              <w:snapToGrid w:val="0"/>
              <w:spacing w:line="360" w:lineRule="auto"/>
              <w:rPr>
                <w:rFonts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225D33DA">
            <w:pPr>
              <w:pStyle w:val="15"/>
              <w:snapToGrid w:val="0"/>
              <w:spacing w:line="360" w:lineRule="auto"/>
              <w:rPr>
                <w:rFonts w:hint="eastAsia"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p w14:paraId="20D6B377">
            <w:pPr>
              <w:rPr>
                <w:color w:val="auto"/>
                <w:highlight w:val="none"/>
              </w:rPr>
            </w:pPr>
            <w:bookmarkStart w:id="517" w:name="_GoBack"/>
            <w:bookmarkEnd w:id="517"/>
          </w:p>
        </w:tc>
      </w:tr>
    </w:tbl>
    <w:p w14:paraId="4FA52B1E">
      <w:pPr>
        <w:pStyle w:val="3"/>
        <w:spacing w:line="420" w:lineRule="exact"/>
        <w:jc w:val="center"/>
        <w:rPr>
          <w:rFonts w:ascii="宋体" w:hAnsi="宋体" w:cs="宋体"/>
          <w:b w:val="0"/>
          <w:color w:val="auto"/>
          <w:highlight w:val="none"/>
        </w:rPr>
      </w:pPr>
      <w:r>
        <w:rPr>
          <w:rFonts w:hint="eastAsia" w:ascii="宋体" w:hAnsi="宋体" w:cs="宋体"/>
          <w:bCs w:val="0"/>
          <w:color w:val="auto"/>
          <w:highlight w:val="none"/>
        </w:rPr>
        <w:br w:type="page"/>
      </w:r>
      <w:bookmarkStart w:id="41" w:name="_Toc23846"/>
      <w:r>
        <w:rPr>
          <w:rFonts w:hint="eastAsia" w:ascii="宋体" w:hAnsi="宋体" w:cs="宋体"/>
          <w:b w:val="0"/>
          <w:color w:val="auto"/>
          <w:highlight w:val="none"/>
        </w:rPr>
        <w:t>第二节 供应商须知正文</w:t>
      </w:r>
      <w:bookmarkEnd w:id="41"/>
    </w:p>
    <w:p w14:paraId="73FD994D">
      <w:pPr>
        <w:pStyle w:val="4"/>
        <w:spacing w:before="0" w:after="0" w:line="360" w:lineRule="auto"/>
        <w:ind w:firstLine="640" w:firstLineChars="200"/>
        <w:rPr>
          <w:rFonts w:ascii="宋体" w:hAnsi="宋体" w:cs="宋体"/>
          <w:b w:val="0"/>
          <w:color w:val="auto"/>
          <w:highlight w:val="none"/>
        </w:rPr>
      </w:pPr>
      <w:bookmarkStart w:id="42" w:name="_Toc20691"/>
      <w:r>
        <w:rPr>
          <w:rFonts w:hint="eastAsia" w:ascii="宋体" w:hAnsi="宋体" w:cs="宋体"/>
          <w:b w:val="0"/>
          <w:color w:val="auto"/>
          <w:highlight w:val="none"/>
        </w:rPr>
        <w:t>一、总则</w:t>
      </w:r>
      <w:bookmarkEnd w:id="42"/>
    </w:p>
    <w:p w14:paraId="22C5B49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418689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56D5B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3A8C8B2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2DCCA5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0A818ADD">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4173EC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2DAEF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1E3B0F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5F0C2A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278D23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148659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4181BF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27C55A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3815F2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77D050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0ED252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17BB929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6FEF52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4DB6236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262BE0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6710591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061364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168F8E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6E04DDC9">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7C225B4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120E30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7B569D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599FABC8">
      <w:pPr>
        <w:spacing w:line="360" w:lineRule="auto"/>
        <w:ind w:firstLine="482" w:firstLineChars="200"/>
        <w:rPr>
          <w:rFonts w:ascii="宋体" w:hAnsi="宋体" w:cs="宋体"/>
          <w:b/>
          <w:bCs/>
          <w:color w:val="auto"/>
          <w:sz w:val="24"/>
          <w:highlight w:val="none"/>
        </w:rPr>
      </w:pPr>
      <w:bookmarkStart w:id="43" w:name="_Toc254970673"/>
      <w:bookmarkStart w:id="44" w:name="_Toc254970532"/>
      <w:r>
        <w:rPr>
          <w:rFonts w:hint="eastAsia" w:ascii="宋体" w:hAnsi="宋体" w:cs="宋体"/>
          <w:b/>
          <w:bCs/>
          <w:color w:val="auto"/>
          <w:sz w:val="24"/>
          <w:highlight w:val="none"/>
        </w:rPr>
        <w:t>7.特别说明</w:t>
      </w:r>
      <w:bookmarkEnd w:id="43"/>
      <w:bookmarkEnd w:id="44"/>
    </w:p>
    <w:p w14:paraId="2C89F6E8">
      <w:pPr>
        <w:spacing w:line="360" w:lineRule="auto"/>
        <w:ind w:firstLine="420" w:firstLineChars="200"/>
        <w:rPr>
          <w:rFonts w:ascii="宋体" w:hAnsi="宋体" w:cs="宋体"/>
          <w:color w:val="auto"/>
          <w:szCs w:val="21"/>
          <w:highlight w:val="none"/>
        </w:rPr>
      </w:pPr>
      <w:bookmarkStart w:id="45" w:name="_8.1提供相同品牌产品且通过资格审查、符合性审查的不同投标人参加同一合"/>
      <w:bookmarkEnd w:id="45"/>
      <w:r>
        <w:rPr>
          <w:rFonts w:hint="eastAsia" w:ascii="宋体" w:hAnsi="宋体" w:cs="宋体"/>
          <w:color w:val="auto"/>
          <w:szCs w:val="21"/>
          <w:highlight w:val="none"/>
        </w:rPr>
        <w:t>7.1</w:t>
      </w:r>
      <w:bookmarkStart w:id="46"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6"/>
    <w:p w14:paraId="19D0D0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30C17F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A29E4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2199D7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EC247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5B1074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6CF522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50BA74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2C4BD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02567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777855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38E520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55EE8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5F3F7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021D17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1E22EEC">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3F58A0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4BC08B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1DEB92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C716B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D14F0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5A51E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7A4A1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2D7D55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47A71507">
      <w:pPr>
        <w:pStyle w:val="4"/>
        <w:spacing w:before="0" w:after="0" w:line="360" w:lineRule="auto"/>
        <w:ind w:firstLine="640" w:firstLineChars="200"/>
        <w:rPr>
          <w:rFonts w:ascii="宋体" w:hAnsi="宋体" w:cs="宋体"/>
          <w:b w:val="0"/>
          <w:bCs w:val="0"/>
          <w:color w:val="auto"/>
          <w:highlight w:val="none"/>
        </w:rPr>
      </w:pPr>
      <w:bookmarkStart w:id="47" w:name="_Toc5567"/>
      <w:bookmarkStart w:id="48" w:name="_Toc254970534"/>
      <w:bookmarkStart w:id="49" w:name="_Toc254970675"/>
      <w:r>
        <w:rPr>
          <w:rFonts w:hint="eastAsia" w:ascii="宋体" w:hAnsi="宋体" w:cs="宋体"/>
          <w:b w:val="0"/>
          <w:bCs w:val="0"/>
          <w:color w:val="auto"/>
          <w:highlight w:val="none"/>
        </w:rPr>
        <w:t>二、磋商文件</w:t>
      </w:r>
      <w:bookmarkEnd w:id="47"/>
      <w:bookmarkEnd w:id="48"/>
      <w:bookmarkEnd w:id="49"/>
    </w:p>
    <w:p w14:paraId="4D477C0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26DC197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333BE63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采购需求；</w:t>
      </w:r>
    </w:p>
    <w:p w14:paraId="3FCB819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073E130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16EA417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响应文件格式；</w:t>
      </w:r>
    </w:p>
    <w:p w14:paraId="0601F51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合同文本；</w:t>
      </w:r>
    </w:p>
    <w:p w14:paraId="68C531F4">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第七章 </w:t>
      </w:r>
      <w:r>
        <w:rPr>
          <w:rFonts w:hint="eastAsia" w:ascii="宋体" w:hAnsi="宋体" w:eastAsia="宋体" w:cs="宋体"/>
          <w:b w:val="0"/>
          <w:bCs w:val="0"/>
          <w:color w:val="auto"/>
          <w:highlight w:val="none"/>
        </w:rPr>
        <w:t>工程量清单、图纸</w:t>
      </w:r>
    </w:p>
    <w:p w14:paraId="40069CA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 质疑、投诉材料格式。</w:t>
      </w:r>
    </w:p>
    <w:p w14:paraId="4FC4217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6122EA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17954BA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3C5FB2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EBBC33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EA695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642482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50CE5D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75449D41">
      <w:pPr>
        <w:spacing w:line="360" w:lineRule="auto"/>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响应文件未按磋商文件的澄清、修改的内容编制，又不符合实质性要求的，其响应文件作无效处理。</w:t>
      </w:r>
    </w:p>
    <w:p w14:paraId="77A3A5A9">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0" w:name="_Toc18770"/>
      <w:r>
        <w:rPr>
          <w:rFonts w:hint="eastAsia" w:ascii="宋体" w:hAnsi="宋体" w:cs="宋体"/>
          <w:b w:val="0"/>
          <w:bCs w:val="0"/>
          <w:color w:val="auto"/>
          <w:highlight w:val="none"/>
        </w:rPr>
        <w:t>三、响应文件的编制</w:t>
      </w:r>
      <w:bookmarkEnd w:id="50"/>
    </w:p>
    <w:p w14:paraId="06ACEB5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315D12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01BD782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26CA24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73BBB645">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399E448A">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7A3E52BE">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285D22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2F72E72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5A5AA8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934021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0372EF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195FE4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2EF7E0A8">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57A43510">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313B51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7D3C1E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25C328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3155CA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0565EF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47957B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1"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1"/>
    <w:p w14:paraId="72313CF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4F1EB0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682F1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DDF51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144A6AE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655753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115DC96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1841CC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09B762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538681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2"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52"/>
      <w:r>
        <w:rPr>
          <w:rFonts w:hint="eastAsia" w:ascii="宋体" w:hAnsi="宋体" w:cs="宋体"/>
          <w:color w:val="auto"/>
          <w:szCs w:val="21"/>
          <w:highlight w:val="none"/>
        </w:rPr>
        <w:t>，否则其响应文件按无效响应处理。骑缝盖公章不视为在规定位置盖章。</w:t>
      </w:r>
    </w:p>
    <w:p w14:paraId="0573AF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555A1C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5E82233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62297F02">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0FF5C19D">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19.2使用“广西政府采购云平台电子交易客户端”需要提前申领CA数字证书，申领流程见该项目采购公告附件。</w:t>
      </w:r>
    </w:p>
    <w:p w14:paraId="0B02057C">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42E92C7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5F19CA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5A9B97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705370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70B70F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009F3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75914D7F">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5CFAA3F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2E0C7D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074AC31F">
      <w:pPr>
        <w:spacing w:line="360" w:lineRule="auto"/>
        <w:ind w:firstLine="482" w:firstLineChars="200"/>
        <w:rPr>
          <w:rFonts w:ascii="宋体" w:hAnsi="宋体" w:cs="宋体"/>
          <w:b/>
          <w:bCs/>
          <w:color w:val="auto"/>
          <w:sz w:val="24"/>
          <w:highlight w:val="none"/>
        </w:rPr>
      </w:pPr>
      <w:bookmarkStart w:id="53" w:name="_Hlk45702405"/>
      <w:r>
        <w:rPr>
          <w:rFonts w:hint="eastAsia" w:ascii="宋体" w:hAnsi="宋体" w:cs="宋体"/>
          <w:b/>
          <w:bCs/>
          <w:color w:val="auto"/>
          <w:sz w:val="24"/>
          <w:highlight w:val="none"/>
        </w:rPr>
        <w:t>22. 首次响应文件的退回</w:t>
      </w:r>
    </w:p>
    <w:p w14:paraId="00572D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6E8352B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1575C1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53"/>
    </w:p>
    <w:p w14:paraId="35845131">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4" w:name="_Toc16642"/>
      <w:r>
        <w:rPr>
          <w:rFonts w:hint="eastAsia" w:ascii="宋体" w:hAnsi="宋体" w:cs="宋体"/>
          <w:b w:val="0"/>
          <w:bCs w:val="0"/>
          <w:color w:val="auto"/>
          <w:highlight w:val="none"/>
        </w:rPr>
        <w:t>四、评审及磋商</w:t>
      </w:r>
      <w:bookmarkEnd w:id="54"/>
    </w:p>
    <w:p w14:paraId="5349E53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2424B2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14601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C095EE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46910B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539AD62E">
      <w:pPr>
        <w:pStyle w:val="15"/>
        <w:spacing w:line="360" w:lineRule="auto"/>
        <w:ind w:firstLine="420" w:firstLineChars="200"/>
        <w:rPr>
          <w:rFonts w:hAnsi="宋体" w:cs="宋体"/>
          <w:bCs/>
          <w:color w:val="auto"/>
          <w:sz w:val="21"/>
          <w:highlight w:val="none"/>
        </w:rPr>
      </w:pPr>
      <w:r>
        <w:rPr>
          <w:rFonts w:hint="eastAsia" w:hAnsi="宋体" w:cs="宋体"/>
          <w:color w:val="auto"/>
          <w:sz w:val="21"/>
          <w:highlight w:val="none"/>
        </w:rPr>
        <w:t xml:space="preserve">25.2 </w:t>
      </w:r>
      <w:r>
        <w:rPr>
          <w:rFonts w:hint="eastAsia" w:hAnsi="宋体" w:cs="宋体"/>
          <w:bCs/>
          <w:color w:val="auto"/>
          <w:sz w:val="21"/>
          <w:highlight w:val="none"/>
        </w:rPr>
        <w:t>响应文件解密</w:t>
      </w:r>
    </w:p>
    <w:p w14:paraId="11A1739D">
      <w:pPr>
        <w:pStyle w:val="15"/>
        <w:snapToGrid w:val="0"/>
        <w:spacing w:line="360" w:lineRule="auto"/>
        <w:ind w:firstLine="420" w:firstLineChars="200"/>
        <w:rPr>
          <w:rFonts w:hAnsi="宋体" w:cs="宋体"/>
          <w:color w:val="auto"/>
          <w:sz w:val="21"/>
          <w:highlight w:val="none"/>
        </w:rPr>
      </w:pPr>
      <w:r>
        <w:rPr>
          <w:rFonts w:hint="eastAsia" w:hAnsi="宋体" w:cs="宋体"/>
          <w:bCs/>
          <w:color w:val="auto"/>
          <w:sz w:val="21"/>
          <w:highlight w:val="none"/>
        </w:rPr>
        <w:t>采购代理机构将在“供应商须知前附表”规定的时</w:t>
      </w:r>
      <w:r>
        <w:rPr>
          <w:rFonts w:hint="eastAsia" w:hAnsi="宋体" w:cs="宋体"/>
          <w:color w:val="auto"/>
          <w:sz w:val="21"/>
          <w:highlight w:val="none"/>
        </w:rPr>
        <w:t>间通过电子交易平台组织响应文件开启，采购机构依托电子交易平台发起开始解密指令，供应商的法定代表人或其委托代理人</w:t>
      </w:r>
      <w:r>
        <w:rPr>
          <w:rFonts w:hint="eastAsia" w:hAnsi="宋体" w:cs="宋体"/>
          <w:b/>
          <w:color w:val="auto"/>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sz w:val="21"/>
          <w:highlight w:val="none"/>
        </w:rPr>
        <w:t>视为响应文件无效。</w:t>
      </w:r>
      <w:r>
        <w:rPr>
          <w:rFonts w:hint="eastAsia" w:hAnsi="宋体" w:cs="宋体"/>
          <w:color w:val="auto"/>
          <w:sz w:val="21"/>
          <w:highlight w:val="none"/>
        </w:rPr>
        <w:t>（解密</w:t>
      </w:r>
      <w:r>
        <w:rPr>
          <w:rFonts w:hint="eastAsia" w:hAnsi="宋体" w:cs="宋体"/>
          <w:bCs/>
          <w:color w:val="auto"/>
          <w:sz w:val="21"/>
          <w:highlight w:val="none"/>
        </w:rPr>
        <w:t>异常情况处理：详见本章</w:t>
      </w:r>
      <w:r>
        <w:rPr>
          <w:rFonts w:hint="eastAsia" w:hAnsi="宋体" w:cs="宋体"/>
          <w:color w:val="auto"/>
          <w:sz w:val="21"/>
          <w:highlight w:val="none"/>
        </w:rPr>
        <w:t>26.3 电子交易活动的中止。）</w:t>
      </w:r>
    </w:p>
    <w:p w14:paraId="33C13DE2">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如</w:t>
      </w:r>
      <w:r>
        <w:rPr>
          <w:rFonts w:hint="eastAsia" w:hAnsi="宋体" w:cs="宋体"/>
          <w:bCs/>
          <w:color w:val="auto"/>
          <w:sz w:val="21"/>
          <w:highlight w:val="none"/>
        </w:rPr>
        <w:t>供应商成功解密响应文件，但未在“广西政府采购云平台”电子开标大厅参加谈判的，视同认可谈判过程和结果，</w:t>
      </w:r>
      <w:r>
        <w:rPr>
          <w:rFonts w:hint="eastAsia" w:hAnsi="宋体" w:cs="宋体"/>
          <w:color w:val="auto"/>
          <w:sz w:val="21"/>
          <w:highlight w:val="none"/>
        </w:rPr>
        <w:t>由此产生的后果由供应商自行负责。 参与谈判的供应商不足3家的，不得谈判。</w:t>
      </w:r>
    </w:p>
    <w:p w14:paraId="19EE410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3D685D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3F671F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磋商文件内容违反国家有关强制性规定的，磋商小组应当停止评审并向采购人或者采购代理机构说明情况，并在评审报告中书面体现。</w:t>
      </w:r>
    </w:p>
    <w:p w14:paraId="6C1003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采购需求负偏离要求及磋商顺序详见 “ 供应商须知前附表”。</w:t>
      </w:r>
    </w:p>
    <w:p w14:paraId="10E36C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178F669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730FAE7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4C5369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4F474B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4344FE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547FB81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F7B01A5">
      <w:pPr>
        <w:pStyle w:val="4"/>
        <w:spacing w:before="0" w:after="0" w:line="360" w:lineRule="auto"/>
        <w:ind w:firstLine="480" w:firstLineChars="150"/>
        <w:rPr>
          <w:rFonts w:ascii="宋体" w:hAnsi="宋体" w:cs="宋体"/>
          <w:b w:val="0"/>
          <w:bCs w:val="0"/>
          <w:color w:val="auto"/>
          <w:highlight w:val="none"/>
        </w:rPr>
      </w:pPr>
      <w:bookmarkStart w:id="55" w:name="_Toc5736"/>
      <w:r>
        <w:rPr>
          <w:rFonts w:hint="eastAsia" w:ascii="宋体" w:hAnsi="宋体" w:cs="宋体"/>
          <w:b w:val="0"/>
          <w:bCs w:val="0"/>
          <w:color w:val="auto"/>
          <w:highlight w:val="none"/>
        </w:rPr>
        <w:t>五、成交及合同</w:t>
      </w:r>
      <w:bookmarkEnd w:id="55"/>
    </w:p>
    <w:p w14:paraId="0FF55B7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1177E8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0E998A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14:paraId="3FB001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3EA6E5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CDDE8B5">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C86004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22E8AF5F">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详见 “供应商须知前附表”</w:t>
      </w:r>
    </w:p>
    <w:p w14:paraId="6503827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3E98E34A">
      <w:pPr>
        <w:pStyle w:val="36"/>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14:paraId="13810C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2D18E7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C7D46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39B9A2B3">
      <w:pPr>
        <w:pStyle w:val="36"/>
        <w:spacing w:before="0"/>
        <w:ind w:firstLine="420"/>
        <w:rPr>
          <w:rFonts w:ascii="宋体" w:hAnsi="宋体" w:cs="宋体"/>
          <w:color w:val="auto"/>
          <w:szCs w:val="21"/>
          <w:highlight w:val="none"/>
        </w:rPr>
      </w:pPr>
      <w:r>
        <w:rPr>
          <w:rFonts w:hint="eastAsia" w:ascii="宋体" w:hAnsi="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color w:val="auto"/>
          <w:highlight w:val="none"/>
        </w:rPr>
        <w:t xml:space="preserve"> </w:t>
      </w:r>
      <w:r>
        <w:rPr>
          <w:rFonts w:hint="eastAsia" w:ascii="宋体" w:hAnsi="宋体" w:cs="宋体"/>
          <w:color w:val="auto"/>
          <w:sz w:val="21"/>
          <w:szCs w:val="21"/>
          <w:highlight w:val="none"/>
        </w:rPr>
        <w:t>供应商须知前附表”。</w:t>
      </w:r>
    </w:p>
    <w:p w14:paraId="0219203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49887E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64DB3A7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467BF7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7CA990CD">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209CFCF0">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E9FE70F">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CFE1424">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07549ED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22ED87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393605D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331215A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0E0CB1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608470E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253ECE4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64D425C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3605722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532D57D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620D7A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1DC88C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563D2D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444D5C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6" w:name="_Toc80205930"/>
    </w:p>
    <w:p w14:paraId="5AF1CD76">
      <w:pPr>
        <w:pStyle w:val="4"/>
        <w:spacing w:before="0" w:after="0" w:line="360" w:lineRule="auto"/>
        <w:ind w:firstLine="315" w:firstLineChars="98"/>
        <w:rPr>
          <w:rFonts w:ascii="宋体" w:hAnsi="宋体" w:cs="宋体"/>
          <w:b w:val="0"/>
          <w:color w:val="auto"/>
          <w:highlight w:val="none"/>
        </w:rPr>
      </w:pPr>
      <w:bookmarkStart w:id="57" w:name="_Toc17863"/>
      <w:r>
        <w:rPr>
          <w:rFonts w:hint="eastAsia" w:ascii="宋体" w:hAnsi="宋体" w:cs="宋体"/>
          <w:color w:val="auto"/>
          <w:highlight w:val="none"/>
        </w:rPr>
        <w:t>六</w:t>
      </w:r>
      <w:r>
        <w:rPr>
          <w:rFonts w:hint="eastAsia" w:ascii="宋体" w:hAnsi="宋体" w:cs="宋体"/>
          <w:b w:val="0"/>
          <w:color w:val="auto"/>
          <w:highlight w:val="none"/>
        </w:rPr>
        <w:t>、验收</w:t>
      </w:r>
      <w:bookmarkEnd w:id="56"/>
      <w:bookmarkEnd w:id="57"/>
    </w:p>
    <w:p w14:paraId="6732F6CE">
      <w:pP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0BB80729">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30644C6">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6D437C4A">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209CF28">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AF19990">
      <w:pPr>
        <w:pStyle w:val="4"/>
        <w:spacing w:before="0" w:after="0" w:line="360" w:lineRule="auto"/>
        <w:ind w:firstLine="320" w:firstLineChars="100"/>
        <w:rPr>
          <w:rFonts w:ascii="宋体" w:hAnsi="宋体" w:cs="宋体"/>
          <w:b w:val="0"/>
          <w:bCs w:val="0"/>
          <w:color w:val="auto"/>
          <w:highlight w:val="none"/>
        </w:rPr>
      </w:pPr>
      <w:bookmarkStart w:id="58" w:name="_Toc14884"/>
      <w:r>
        <w:rPr>
          <w:rFonts w:hint="eastAsia" w:ascii="宋体" w:hAnsi="宋体" w:cs="宋体"/>
          <w:b w:val="0"/>
          <w:bCs w:val="0"/>
          <w:color w:val="auto"/>
          <w:highlight w:val="none"/>
        </w:rPr>
        <w:t>七、其他事项</w:t>
      </w:r>
      <w:bookmarkEnd w:id="58"/>
    </w:p>
    <w:p w14:paraId="4B844F7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387E11B5">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674BAFA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461AA552">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483FE586">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34.2 其他事项详见“供应商须知前附表”。</w:t>
      </w:r>
    </w:p>
    <w:p w14:paraId="06810240">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5B2BFB76">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698DBBAB">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27A120D4">
      <w:pPr>
        <w:pStyle w:val="15"/>
        <w:numPr>
          <w:ilvl w:val="0"/>
          <w:numId w:val="2"/>
        </w:numPr>
        <w:spacing w:line="360" w:lineRule="auto"/>
        <w:ind w:firstLine="402" w:firstLineChars="200"/>
        <w:textAlignment w:val="center"/>
        <w:rPr>
          <w:rFonts w:hAnsi="宋体" w:cs="宋体"/>
          <w:color w:val="auto"/>
          <w:highlight w:val="none"/>
        </w:rPr>
      </w:pPr>
      <w:r>
        <w:rPr>
          <w:rFonts w:hint="eastAsia" w:hAnsi="宋体" w:cs="宋体"/>
          <w:b/>
          <w:color w:val="auto"/>
          <w:highlight w:val="none"/>
        </w:rPr>
        <w:br w:type="page"/>
      </w:r>
    </w:p>
    <w:p w14:paraId="6D9A18A4">
      <w:pPr>
        <w:pStyle w:val="2"/>
        <w:jc w:val="center"/>
        <w:rPr>
          <w:rFonts w:ascii="宋体" w:hAnsi="宋体" w:cs="宋体"/>
          <w:color w:val="auto"/>
          <w:highlight w:val="none"/>
        </w:rPr>
      </w:pPr>
      <w:bookmarkStart w:id="59" w:name="_Toc25106"/>
      <w:r>
        <w:rPr>
          <w:rFonts w:hint="eastAsia" w:ascii="宋体" w:hAnsi="宋体" w:cs="宋体"/>
          <w:color w:val="auto"/>
          <w:highlight w:val="none"/>
        </w:rPr>
        <w:t>第四章  评审程序、评审方法和评审标准</w:t>
      </w:r>
      <w:bookmarkEnd w:id="59"/>
    </w:p>
    <w:p w14:paraId="4E7FB631">
      <w:pPr>
        <w:pStyle w:val="3"/>
        <w:jc w:val="center"/>
        <w:rPr>
          <w:rFonts w:ascii="宋体" w:hAnsi="宋体" w:cs="宋体"/>
          <w:b w:val="0"/>
          <w:color w:val="auto"/>
          <w:highlight w:val="none"/>
        </w:rPr>
      </w:pPr>
      <w:bookmarkStart w:id="60" w:name="_Toc30181"/>
      <w:r>
        <w:rPr>
          <w:rFonts w:hint="eastAsia" w:ascii="宋体" w:hAnsi="宋体" w:cs="宋体"/>
          <w:b w:val="0"/>
          <w:color w:val="auto"/>
          <w:highlight w:val="none"/>
        </w:rPr>
        <w:t>第一节 评审程序和评审方法</w:t>
      </w:r>
      <w:bookmarkEnd w:id="60"/>
    </w:p>
    <w:p w14:paraId="1F531B8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49E8B6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3F5976C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152CB9E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1EB14B4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1997B05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9"/>
          <w:rFonts w:hint="eastAsia" w:ascii="宋体" w:hAnsi="宋体" w:cs="宋体"/>
          <w:color w:val="auto"/>
          <w:highlight w:val="none"/>
        </w:rPr>
        <w:t>www.creditchina.gov.cn</w:t>
      </w:r>
      <w:r>
        <w:rPr>
          <w:rStyle w:val="29"/>
          <w:rFonts w:hint="eastAsia" w:ascii="宋体" w:hAnsi="宋体" w:cs="宋体"/>
          <w:color w:val="auto"/>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29"/>
          <w:rFonts w:hint="eastAsia" w:ascii="宋体" w:hAnsi="宋体" w:cs="宋体"/>
          <w:color w:val="auto"/>
          <w:highlight w:val="none"/>
        </w:rPr>
        <w:t>www.ccgp.gov.cn</w:t>
      </w:r>
      <w:r>
        <w:rPr>
          <w:rStyle w:val="29"/>
          <w:rFonts w:hint="eastAsia" w:ascii="宋体" w:hAnsi="宋体" w:cs="宋体"/>
          <w:color w:val="auto"/>
          <w:highlight w:val="none"/>
        </w:rPr>
        <w:fldChar w:fldCharType="end"/>
      </w:r>
      <w:r>
        <w:rPr>
          <w:rFonts w:hint="eastAsia" w:ascii="宋体" w:hAnsi="宋体" w:cs="宋体"/>
          <w:color w:val="auto"/>
          <w:szCs w:val="21"/>
          <w:highlight w:val="none"/>
        </w:rPr>
        <w:t>)链接入口。</w:t>
      </w:r>
    </w:p>
    <w:p w14:paraId="766E169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03F5D0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493CF2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7A8A9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D2AF4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6FE90AC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1E6BC6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61C007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158C7793">
      <w:pPr>
        <w:spacing w:line="360" w:lineRule="auto"/>
        <w:ind w:firstLine="420" w:firstLineChars="200"/>
        <w:rPr>
          <w:rFonts w:ascii="宋体" w:hAnsi="宋体" w:cs="宋体"/>
          <w:color w:val="auto"/>
          <w:szCs w:val="21"/>
          <w:highlight w:val="none"/>
        </w:rPr>
      </w:pPr>
      <w:bookmarkStart w:id="61"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1"/>
    </w:p>
    <w:p w14:paraId="00E21F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6DBD554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37A670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5A4CC7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89020CD">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2027207D">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29C10A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78BD39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BAEEA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31461D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75DED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49B663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37086A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227BB7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41B106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576AB7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5AF79A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0CFA4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180D0E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378899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478002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4034F9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686112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77A4E6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44DB47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342B48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200496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4D8747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003667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775B38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76B8A5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0B009F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572F35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2AC50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5EFF24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D3515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1B9887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7C9F0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1C97440">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1A5942E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0B4CE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929A6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4DE142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7943DA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56AE8BC6">
      <w:pPr>
        <w:widowControl/>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p>
    <w:p w14:paraId="425392B5">
      <w:pPr>
        <w:pStyle w:val="36"/>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44D258DB">
      <w:pPr>
        <w:pStyle w:val="36"/>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4DC5A050">
      <w:pPr>
        <w:pStyle w:val="36"/>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7CA99CD9">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47590D3F">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652BA928">
      <w:pPr>
        <w:ind w:firstLine="200"/>
        <w:rPr>
          <w:rFonts w:ascii="宋体" w:hAnsi="宋体" w:cs="宋体"/>
          <w:color w:val="auto"/>
          <w:szCs w:val="21"/>
          <w:highlight w:val="none"/>
        </w:rPr>
      </w:pPr>
      <w:r>
        <w:rPr>
          <w:rFonts w:hint="eastAsia" w:ascii="宋体" w:hAnsi="宋体" w:cs="宋体"/>
          <w:b/>
          <w:bCs/>
          <w:color w:val="auto"/>
          <w:sz w:val="24"/>
          <w:highlight w:val="none"/>
        </w:rPr>
        <w:t>5. 最后报价</w:t>
      </w:r>
    </w:p>
    <w:p w14:paraId="585C8D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4ECBC9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BCA86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42E3C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0A5B70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49763F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2B5DAC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5243EE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636A46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55F9DC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0A5699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6A1B18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1CCCAF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32C84E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652DA845">
      <w:pPr>
        <w:ind w:firstLine="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6C614B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14:paraId="77E5A5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59D55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19B6B4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5BCD1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4F12F3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46DF31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3D1CAB6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51B9541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9A68D40">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7.评审复核</w:t>
      </w:r>
    </w:p>
    <w:p w14:paraId="1E0611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7.1评审报告签署前，评审委员会要对评审结果进行复核，复核意见要体现在评审报告中。</w:t>
      </w:r>
    </w:p>
    <w:p w14:paraId="511E9620">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485E8F27">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8.评审标准</w:t>
      </w:r>
    </w:p>
    <w:p w14:paraId="3FB629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8.1评审依据：磋商小组将以磋商响应文件为评审依据，对供应商的报价、技术、商务等方面内容按百分制打分。（计分方法按四舍五入取至百分位）</w:t>
      </w:r>
    </w:p>
    <w:p w14:paraId="3026D53C">
      <w:pP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总得分=1+2+3</w:t>
      </w:r>
    </w:p>
    <w:tbl>
      <w:tblPr>
        <w:tblStyle w:val="2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7110"/>
        <w:gridCol w:w="772"/>
      </w:tblGrid>
      <w:tr w14:paraId="64C5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22A4C9D9">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086" w:type="dxa"/>
            <w:vAlign w:val="center"/>
          </w:tcPr>
          <w:p w14:paraId="6D5E0BCE">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110" w:type="dxa"/>
            <w:vAlign w:val="center"/>
          </w:tcPr>
          <w:p w14:paraId="0AD7156D">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72" w:type="dxa"/>
            <w:vAlign w:val="center"/>
          </w:tcPr>
          <w:p w14:paraId="3590C172">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7DAD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652" w:type="dxa"/>
            <w:vAlign w:val="center"/>
          </w:tcPr>
          <w:p w14:paraId="575FFAFA">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86" w:type="dxa"/>
            <w:vAlign w:val="center"/>
          </w:tcPr>
          <w:p w14:paraId="32BFAFB3">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价格分（服务项目的价格分值占总分值的比重(即权值)为10%至30%。政务信息系统采购服务的，价格分值占总分值比重应当为10%）</w:t>
            </w:r>
          </w:p>
        </w:tc>
        <w:tc>
          <w:tcPr>
            <w:tcW w:w="7110" w:type="dxa"/>
          </w:tcPr>
          <w:p w14:paraId="61A4C2D2">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（1）本项目为专门面向中小企业采购项目，不执行价格扣除优惠政策，评审报价＝最后报价；</w:t>
            </w:r>
          </w:p>
          <w:p w14:paraId="0F06B566">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竞标服务/产品提供企业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0773C5D1">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竞标服务/产品提供企业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五章“响应文件格式”）。</w:t>
            </w:r>
          </w:p>
          <w:p w14:paraId="17E3B5EC">
            <w:pPr>
              <w:pStyle w:val="15"/>
              <w:spacing w:line="360" w:lineRule="exact"/>
              <w:ind w:firstLine="420" w:firstLineChars="200"/>
              <w:rPr>
                <w:rFonts w:hAnsi="宋体" w:cs="宋体"/>
                <w:bCs/>
                <w:color w:val="auto"/>
                <w:kern w:val="2"/>
                <w:sz w:val="21"/>
                <w:highlight w:val="none"/>
              </w:rPr>
            </w:pPr>
            <w:r>
              <w:rPr>
                <w:rFonts w:hint="eastAsia" w:hAnsi="宋体" w:cs="宋体"/>
                <w:bCs/>
                <w:color w:val="auto"/>
                <w:kern w:val="2"/>
                <w:sz w:val="21"/>
                <w:highlight w:val="none"/>
              </w:rPr>
              <w:t>（4）以进入比较与评价环节的评审报价</w:t>
            </w:r>
            <w:r>
              <w:rPr>
                <w:rFonts w:hint="eastAsia" w:hAnsi="宋体" w:cs="宋体"/>
                <w:bCs/>
                <w:color w:val="auto"/>
                <w:kern w:val="2"/>
                <w:sz w:val="21"/>
                <w:highlight w:val="none"/>
                <w:lang w:val="en-US" w:eastAsia="zh-CN"/>
              </w:rPr>
              <w:t>最低的</w:t>
            </w:r>
            <w:r>
              <w:rPr>
                <w:rFonts w:hint="eastAsia" w:hAnsi="宋体" w:cs="宋体"/>
                <w:bCs/>
                <w:color w:val="auto"/>
                <w:kern w:val="2"/>
                <w:sz w:val="21"/>
                <w:highlight w:val="none"/>
              </w:rPr>
              <w:t>为基准价，基准价得分为</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u w:val="single"/>
                <w:lang w:val="en-US" w:eastAsia="zh-CN"/>
              </w:rPr>
              <w:t>15</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rPr>
              <w:t>分。</w:t>
            </w:r>
          </w:p>
          <w:p w14:paraId="374F3415">
            <w:pPr>
              <w:pStyle w:val="15"/>
              <w:spacing w:line="360" w:lineRule="exact"/>
              <w:ind w:firstLine="420" w:firstLineChars="200"/>
              <w:rPr>
                <w:rFonts w:hAnsi="宋体" w:cs="宋体"/>
                <w:bCs/>
                <w:color w:val="auto"/>
                <w:kern w:val="2"/>
                <w:sz w:val="21"/>
                <w:highlight w:val="none"/>
              </w:rPr>
            </w:pPr>
            <w:r>
              <w:rPr>
                <w:rFonts w:hint="eastAsia" w:hAnsi="宋体" w:cs="宋体"/>
                <w:bCs/>
                <w:color w:val="auto"/>
                <w:kern w:val="2"/>
                <w:sz w:val="21"/>
                <w:highlight w:val="none"/>
              </w:rPr>
              <w:t>（5）价格分计算公式：</w:t>
            </w:r>
          </w:p>
          <w:p w14:paraId="3370E224">
            <w:pPr>
              <w:pStyle w:val="15"/>
              <w:spacing w:line="360" w:lineRule="exact"/>
              <w:ind w:firstLine="420" w:firstLineChars="200"/>
              <w:rPr>
                <w:rFonts w:hAnsi="宋体" w:cs="宋体"/>
                <w:bCs/>
                <w:color w:val="auto"/>
                <w:sz w:val="21"/>
                <w:highlight w:val="none"/>
              </w:rPr>
            </w:pPr>
            <w:r>
              <w:rPr>
                <w:rFonts w:hint="eastAsia" w:hAnsi="宋体" w:cs="宋体"/>
                <w:bCs/>
                <w:color w:val="auto"/>
                <w:kern w:val="2"/>
                <w:sz w:val="21"/>
                <w:highlight w:val="none"/>
              </w:rPr>
              <w:t>报价得分=基准价/</w:t>
            </w:r>
            <w:r>
              <w:rPr>
                <w:rFonts w:hint="eastAsia" w:hAnsi="宋体" w:cs="宋体"/>
                <w:bCs/>
                <w:color w:val="auto"/>
                <w:kern w:val="2"/>
                <w:sz w:val="21"/>
                <w:highlight w:val="none"/>
                <w:lang w:val="en-US" w:eastAsia="zh-CN"/>
              </w:rPr>
              <w:t>评审报价</w:t>
            </w:r>
            <w:r>
              <w:rPr>
                <w:rFonts w:hint="eastAsia" w:hAnsi="宋体" w:cs="宋体"/>
                <w:bCs/>
                <w:color w:val="auto"/>
                <w:kern w:val="2"/>
                <w:sz w:val="21"/>
                <w:highlight w:val="none"/>
              </w:rPr>
              <w:t>×</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u w:val="single"/>
                <w:lang w:val="en-US" w:eastAsia="zh-CN"/>
              </w:rPr>
              <w:t>15</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rPr>
              <w:t>分</w:t>
            </w:r>
          </w:p>
        </w:tc>
        <w:tc>
          <w:tcPr>
            <w:tcW w:w="772" w:type="dxa"/>
            <w:vAlign w:val="center"/>
          </w:tcPr>
          <w:p w14:paraId="3E6B5D79">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分</w:t>
            </w:r>
          </w:p>
        </w:tc>
      </w:tr>
      <w:tr w14:paraId="7DB8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52" w:type="dxa"/>
            <w:vAlign w:val="center"/>
          </w:tcPr>
          <w:p w14:paraId="5A0AA32F">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2</w:t>
            </w:r>
          </w:p>
        </w:tc>
        <w:tc>
          <w:tcPr>
            <w:tcW w:w="1086" w:type="dxa"/>
            <w:vAlign w:val="center"/>
          </w:tcPr>
          <w:p w14:paraId="3EA8AF42">
            <w:pPr>
              <w:widowControl/>
              <w:spacing w:line="360" w:lineRule="exact"/>
              <w:jc w:val="center"/>
              <w:rPr>
                <w:rFonts w:hint="default" w:ascii="宋体" w:hAnsi="宋体" w:eastAsia="宋体" w:cs="宋体"/>
                <w:b/>
                <w:color w:val="auto"/>
                <w:kern w:val="0"/>
                <w:szCs w:val="21"/>
                <w:highlight w:val="none"/>
                <w:lang w:val="en-US" w:eastAsia="zh-CN"/>
              </w:rPr>
            </w:pPr>
            <w:r>
              <w:rPr>
                <w:rFonts w:ascii="宋体" w:hAnsi="宋体" w:cs="宋体"/>
                <w:b/>
                <w:color w:val="auto"/>
                <w:kern w:val="0"/>
                <w:szCs w:val="21"/>
                <w:highlight w:val="none"/>
              </w:rPr>
              <w:t>施工组织设计评分标准</w:t>
            </w:r>
          </w:p>
        </w:tc>
        <w:tc>
          <w:tcPr>
            <w:tcW w:w="7110" w:type="dxa"/>
            <w:vAlign w:val="center"/>
          </w:tcPr>
          <w:p w14:paraId="67556DFC">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772" w:type="dxa"/>
            <w:vAlign w:val="center"/>
          </w:tcPr>
          <w:p w14:paraId="55B33448">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70</w:t>
            </w:r>
            <w:r>
              <w:rPr>
                <w:rFonts w:hint="eastAsia" w:ascii="宋体" w:hAnsi="宋体" w:cs="宋体"/>
                <w:b/>
                <w:color w:val="auto"/>
                <w:kern w:val="0"/>
                <w:szCs w:val="21"/>
                <w:highlight w:val="none"/>
              </w:rPr>
              <w:t>分</w:t>
            </w:r>
          </w:p>
        </w:tc>
      </w:tr>
      <w:tr w14:paraId="7EC9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2" w:type="dxa"/>
            <w:vAlign w:val="center"/>
          </w:tcPr>
          <w:p w14:paraId="05E4F57C">
            <w:pPr>
              <w:adjustRightInd w:val="0"/>
              <w:spacing w:line="36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2.1</w:t>
            </w:r>
          </w:p>
        </w:tc>
        <w:tc>
          <w:tcPr>
            <w:tcW w:w="1086" w:type="dxa"/>
            <w:vAlign w:val="center"/>
          </w:tcPr>
          <w:p w14:paraId="099A86BD">
            <w:pPr>
              <w:adjustRightInd w:val="0"/>
              <w:spacing w:line="36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lang w:val="zh-CN"/>
              </w:rPr>
              <w:t>总体施工组织布置及规划</w:t>
            </w:r>
          </w:p>
        </w:tc>
        <w:tc>
          <w:tcPr>
            <w:tcW w:w="7110" w:type="dxa"/>
            <w:vAlign w:val="center"/>
          </w:tcPr>
          <w:p w14:paraId="18E44691">
            <w:pPr>
              <w:pStyle w:val="15"/>
              <w:spacing w:line="36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一档（0分）：未提供施工总平面布置图，或提供的施工总平面布置图与本项目无关的。</w:t>
            </w:r>
          </w:p>
          <w:p w14:paraId="6F58B83C">
            <w:pPr>
              <w:pStyle w:val="15"/>
              <w:spacing w:line="36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二档（1分）：有施工总平面布置图，但安排不合理，不符合本项目施工实际要求或不符合安全、文明生产要求。</w:t>
            </w:r>
          </w:p>
          <w:p w14:paraId="6C27C3A6">
            <w:pPr>
              <w:pStyle w:val="15"/>
              <w:spacing w:line="36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三档（3分）：有施工总平面布置图，安排基本科学合理，基本符合本项目施工实际要求。</w:t>
            </w:r>
          </w:p>
          <w:p w14:paraId="07338A4D">
            <w:pPr>
              <w:pStyle w:val="15"/>
              <w:spacing w:line="36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四档（5分）：有施工总平面布置图，安排科学合理，符合本项目施工实际要求。</w:t>
            </w:r>
          </w:p>
        </w:tc>
        <w:tc>
          <w:tcPr>
            <w:tcW w:w="772" w:type="dxa"/>
            <w:vAlign w:val="center"/>
          </w:tcPr>
          <w:p w14:paraId="13328BBC">
            <w:pPr>
              <w:spacing w:line="360" w:lineRule="exact"/>
              <w:jc w:val="center"/>
              <w:rPr>
                <w:rFonts w:ascii="宋体" w:hAnsi="宋体" w:cs="宋体"/>
                <w:color w:val="auto"/>
                <w:kern w:val="0"/>
                <w:szCs w:val="21"/>
                <w:highlight w:val="none"/>
              </w:rPr>
            </w:pP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w:t>
            </w:r>
          </w:p>
        </w:tc>
      </w:tr>
      <w:tr w14:paraId="5190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12BFB07">
            <w:pPr>
              <w:adjustRightInd w:val="0"/>
              <w:spacing w:line="36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2.2</w:t>
            </w:r>
          </w:p>
        </w:tc>
        <w:tc>
          <w:tcPr>
            <w:tcW w:w="1086" w:type="dxa"/>
            <w:vAlign w:val="center"/>
          </w:tcPr>
          <w:p w14:paraId="5748136D">
            <w:pPr>
              <w:adjustRightInd w:val="0"/>
              <w:spacing w:line="32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施工方案、方法与技术措施</w:t>
            </w:r>
          </w:p>
        </w:tc>
        <w:tc>
          <w:tcPr>
            <w:tcW w:w="7110" w:type="dxa"/>
            <w:vAlign w:val="center"/>
          </w:tcPr>
          <w:p w14:paraId="5434298F">
            <w:pPr>
              <w:spacing w:line="400" w:lineRule="exact"/>
              <w:ind w:firstLine="420"/>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一档（0分）：未提供主要工程项目的施工方案、方法与技术措施，或提供的方案与本项目无关的。</w:t>
            </w:r>
          </w:p>
          <w:p w14:paraId="00A8EC0F">
            <w:pPr>
              <w:spacing w:line="400" w:lineRule="exact"/>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二</w:t>
            </w:r>
            <w:r>
              <w:rPr>
                <w:rFonts w:hint="eastAsia" w:ascii="宋体" w:hAnsi="宋体" w:cs="宋体"/>
                <w:bCs/>
                <w:color w:val="auto"/>
                <w:kern w:val="0"/>
                <w:szCs w:val="21"/>
                <w:highlight w:val="none"/>
              </w:rPr>
              <w:t>档（5分）：</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方案</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方法与技术措施不完整</w:t>
            </w:r>
            <w:r>
              <w:rPr>
                <w:rFonts w:hint="eastAsia" w:ascii="宋体" w:hAnsi="宋体" w:cs="宋体"/>
                <w:bCs/>
                <w:color w:val="auto"/>
                <w:kern w:val="0"/>
                <w:szCs w:val="21"/>
                <w:highlight w:val="none"/>
                <w:lang w:val="zh-CN"/>
              </w:rPr>
              <w:t>，</w:t>
            </w:r>
            <w:r>
              <w:rPr>
                <w:rFonts w:hint="eastAsia" w:ascii="宋体" w:hAnsi="宋体" w:cs="宋体"/>
                <w:bCs/>
                <w:color w:val="auto"/>
                <w:kern w:val="0"/>
                <w:szCs w:val="21"/>
                <w:highlight w:val="none"/>
                <w:lang w:val="en-US" w:eastAsia="zh-CN"/>
              </w:rPr>
              <w:t>基本满足项目实施需求，但不能确保施工安全</w:t>
            </w:r>
            <w:r>
              <w:rPr>
                <w:rFonts w:hint="eastAsia" w:ascii="宋体" w:hAnsi="宋体" w:cs="宋体"/>
                <w:bCs/>
                <w:color w:val="auto"/>
                <w:kern w:val="0"/>
                <w:szCs w:val="21"/>
                <w:highlight w:val="none"/>
              </w:rPr>
              <w:t xml:space="preserve">。 </w:t>
            </w:r>
          </w:p>
          <w:p w14:paraId="4D786C5D">
            <w:pPr>
              <w:spacing w:line="400" w:lineRule="exact"/>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三</w:t>
            </w:r>
            <w:r>
              <w:rPr>
                <w:rFonts w:hint="eastAsia" w:ascii="宋体" w:hAnsi="宋体" w:cs="宋体"/>
                <w:bCs/>
                <w:color w:val="auto"/>
                <w:kern w:val="0"/>
                <w:szCs w:val="21"/>
                <w:highlight w:val="none"/>
              </w:rPr>
              <w:t>档（10分）：</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方案</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方法与技术措施完整，</w:t>
            </w:r>
            <w:r>
              <w:rPr>
                <w:rFonts w:hint="eastAsia" w:ascii="宋体" w:hAnsi="宋体" w:cs="宋体"/>
                <w:bCs/>
                <w:color w:val="auto"/>
                <w:kern w:val="0"/>
                <w:szCs w:val="21"/>
                <w:highlight w:val="none"/>
              </w:rPr>
              <w:t xml:space="preserve">有详尽的施工技术方案，有主要分部工程施工步骤、施工要点，能指导具体施工并确保安全。 </w:t>
            </w:r>
          </w:p>
          <w:p w14:paraId="29C76F73">
            <w:pPr>
              <w:spacing w:line="400" w:lineRule="exact"/>
              <w:ind w:firstLine="420"/>
              <w:rPr>
                <w:rFonts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四</w:t>
            </w:r>
            <w:r>
              <w:rPr>
                <w:rFonts w:hint="eastAsia" w:ascii="宋体" w:hAnsi="宋体" w:cs="宋体"/>
                <w:bCs/>
                <w:color w:val="auto"/>
                <w:kern w:val="0"/>
                <w:szCs w:val="21"/>
                <w:highlight w:val="none"/>
              </w:rPr>
              <w:t>档（15分）：</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方案</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方法与技术措施详尽完整，</w:t>
            </w:r>
            <w:r>
              <w:rPr>
                <w:rFonts w:hint="eastAsia" w:ascii="宋体" w:hAnsi="宋体" w:cs="宋体"/>
                <w:bCs/>
                <w:color w:val="auto"/>
                <w:kern w:val="0"/>
                <w:szCs w:val="21"/>
                <w:highlight w:val="none"/>
              </w:rPr>
              <w:t>各主要分部施工方法符合项目实际，有详尽的施工技术方案，主要分部工程施工工序、施工步骤、施工要点、施工工艺方案具有先进性，施工准备、技术准备或交底、各工种施工配合方案具有针对性，能高效指导具体施工并确保安全。</w:t>
            </w:r>
          </w:p>
        </w:tc>
        <w:tc>
          <w:tcPr>
            <w:tcW w:w="772" w:type="dxa"/>
            <w:vAlign w:val="center"/>
          </w:tcPr>
          <w:p w14:paraId="04CAFB12">
            <w:pPr>
              <w:spacing w:line="360" w:lineRule="exact"/>
              <w:jc w:val="center"/>
              <w:rPr>
                <w:rFonts w:ascii="宋体" w:hAnsi="宋体" w:cs="宋体"/>
                <w:color w:val="auto"/>
                <w:kern w:val="0"/>
                <w:szCs w:val="21"/>
                <w:highlight w:val="none"/>
              </w:rPr>
            </w:pPr>
            <w:r>
              <w:rPr>
                <w:rFonts w:ascii="宋体" w:hAnsi="宋体" w:cs="宋体"/>
                <w:bCs/>
                <w:color w:val="auto"/>
                <w:kern w:val="0"/>
                <w:szCs w:val="21"/>
                <w:highlight w:val="none"/>
              </w:rPr>
              <w:t>15</w:t>
            </w:r>
            <w:r>
              <w:rPr>
                <w:rFonts w:hint="eastAsia" w:ascii="宋体" w:hAnsi="宋体" w:cs="宋体"/>
                <w:bCs/>
                <w:color w:val="auto"/>
                <w:kern w:val="0"/>
                <w:szCs w:val="21"/>
                <w:highlight w:val="none"/>
              </w:rPr>
              <w:t>分</w:t>
            </w:r>
          </w:p>
        </w:tc>
      </w:tr>
      <w:tr w14:paraId="3EA8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9C7A906">
            <w:pPr>
              <w:adjustRightInd w:val="0"/>
              <w:spacing w:line="32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Cs w:val="21"/>
                <w:highlight w:val="none"/>
              </w:rPr>
              <w:t>2.3</w:t>
            </w:r>
          </w:p>
        </w:tc>
        <w:tc>
          <w:tcPr>
            <w:tcW w:w="1086" w:type="dxa"/>
            <w:vAlign w:val="center"/>
          </w:tcPr>
          <w:p w14:paraId="338029F9">
            <w:pPr>
              <w:adjustRightInd w:val="0"/>
              <w:spacing w:line="400" w:lineRule="exact"/>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Cs w:val="21"/>
                <w:highlight w:val="none"/>
              </w:rPr>
              <w:t>拟投入的主要物资计划、劳动力安排计划方案</w:t>
            </w:r>
          </w:p>
        </w:tc>
        <w:tc>
          <w:tcPr>
            <w:tcW w:w="7110" w:type="dxa"/>
            <w:vAlign w:val="center"/>
          </w:tcPr>
          <w:p w14:paraId="17B69B93">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hAnsi="宋体" w:cs="宋体"/>
                <w:bCs/>
                <w:color w:val="auto"/>
                <w:sz w:val="21"/>
                <w:highlight w:val="none"/>
                <w:lang w:val="en-US" w:eastAsia="zh-CN"/>
              </w:rPr>
              <w:t>一档（0分）：</w:t>
            </w:r>
            <w:r>
              <w:rPr>
                <w:rFonts w:hint="eastAsia" w:ascii="宋体" w:hAnsi="宋体" w:eastAsia="宋体" w:cs="宋体"/>
                <w:bCs/>
                <w:color w:val="auto"/>
                <w:sz w:val="21"/>
                <w:highlight w:val="none"/>
                <w:lang w:val="en-US" w:eastAsia="zh-CN"/>
              </w:rPr>
              <w:t>没有提供</w:t>
            </w:r>
            <w:r>
              <w:rPr>
                <w:rFonts w:hint="eastAsia" w:ascii="宋体" w:hAnsi="宋体" w:eastAsia="宋体" w:cs="宋体"/>
                <w:bCs/>
                <w:color w:val="auto"/>
                <w:sz w:val="21"/>
                <w:highlight w:val="none"/>
              </w:rPr>
              <w:t>拟投入的主要物资计划、劳动力安排计划方案</w:t>
            </w:r>
            <w:r>
              <w:rPr>
                <w:rFonts w:hint="eastAsia" w:ascii="宋体" w:hAnsi="宋体" w:eastAsia="宋体" w:cs="宋体"/>
                <w:bCs/>
                <w:color w:val="auto"/>
                <w:sz w:val="21"/>
                <w:highlight w:val="none"/>
                <w:lang w:eastAsia="zh-CN"/>
              </w:rPr>
              <w:t>，</w:t>
            </w:r>
            <w:r>
              <w:rPr>
                <w:rFonts w:hint="eastAsia" w:ascii="宋体" w:hAnsi="宋体" w:eastAsia="宋体" w:cs="宋体"/>
                <w:bCs/>
                <w:color w:val="auto"/>
                <w:sz w:val="21"/>
                <w:highlight w:val="none"/>
                <w:lang w:val="en-US" w:eastAsia="zh-CN"/>
              </w:rPr>
              <w:t>或内容与本项目无关。</w:t>
            </w:r>
          </w:p>
          <w:p w14:paraId="25290D39">
            <w:pPr>
              <w:pStyle w:val="15"/>
              <w:spacing w:line="400" w:lineRule="exact"/>
              <w:ind w:firstLine="420" w:firstLineChars="200"/>
              <w:rPr>
                <w:rFonts w:hint="eastAsia" w:hAnsi="宋体" w:cs="宋体"/>
                <w:bCs/>
                <w:color w:val="auto"/>
                <w:sz w:val="21"/>
                <w:highlight w:val="none"/>
              </w:rPr>
            </w:pPr>
            <w:r>
              <w:rPr>
                <w:rFonts w:hint="eastAsia" w:ascii="宋体" w:hAnsi="宋体" w:eastAsia="宋体" w:cs="宋体"/>
                <w:bCs/>
                <w:color w:val="auto"/>
                <w:sz w:val="21"/>
                <w:highlight w:val="none"/>
                <w:lang w:val="en-US" w:eastAsia="zh-CN"/>
              </w:rPr>
              <w:t>二</w:t>
            </w:r>
            <w:r>
              <w:rPr>
                <w:rFonts w:hint="eastAsia" w:ascii="宋体" w:hAnsi="宋体" w:eastAsia="宋体" w:cs="宋体"/>
                <w:bCs/>
                <w:color w:val="auto"/>
                <w:sz w:val="21"/>
                <w:highlight w:val="none"/>
              </w:rPr>
              <w:t>档（</w:t>
            </w:r>
            <w:r>
              <w:rPr>
                <w:rFonts w:hint="eastAsia" w:ascii="宋体" w:hAnsi="宋体" w:eastAsia="宋体" w:cs="宋体"/>
                <w:bCs/>
                <w:color w:val="auto"/>
                <w:sz w:val="21"/>
                <w:highlight w:val="none"/>
                <w:lang w:val="en-US" w:eastAsia="zh-CN"/>
              </w:rPr>
              <w:t>2</w:t>
            </w:r>
            <w:r>
              <w:rPr>
                <w:rFonts w:hint="eastAsia" w:ascii="宋体" w:hAnsi="宋体" w:eastAsia="宋体" w:cs="宋体"/>
                <w:bCs/>
                <w:color w:val="auto"/>
                <w:sz w:val="21"/>
                <w:highlight w:val="none"/>
              </w:rPr>
              <w:t>分）：投入的施工材料有组织计划，基本满足施工需要。各主</w:t>
            </w:r>
            <w:r>
              <w:rPr>
                <w:rFonts w:hint="eastAsia" w:hAnsi="宋体" w:cs="宋体"/>
                <w:bCs/>
                <w:color w:val="auto"/>
                <w:sz w:val="21"/>
                <w:highlight w:val="none"/>
              </w:rPr>
              <w:t>要施工工序有劳动力安排计划，有各工种劳动力安排计划，基本能满足施工需要。</w:t>
            </w:r>
          </w:p>
          <w:p w14:paraId="0ADFD14E">
            <w:pPr>
              <w:pStyle w:val="15"/>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lang w:val="en-US" w:eastAsia="zh-CN"/>
              </w:rPr>
              <w:t>三</w:t>
            </w:r>
            <w:r>
              <w:rPr>
                <w:rFonts w:hint="eastAsia" w:hAnsi="宋体" w:cs="宋体"/>
                <w:bCs/>
                <w:color w:val="auto"/>
                <w:sz w:val="21"/>
                <w:highlight w:val="none"/>
              </w:rPr>
              <w:t>档（</w:t>
            </w:r>
            <w:r>
              <w:rPr>
                <w:rFonts w:hint="eastAsia" w:hAnsi="宋体" w:cs="宋体"/>
                <w:bCs/>
                <w:color w:val="auto"/>
                <w:sz w:val="21"/>
                <w:highlight w:val="none"/>
                <w:lang w:val="en-US" w:eastAsia="zh-CN"/>
              </w:rPr>
              <w:t>6</w:t>
            </w:r>
            <w:r>
              <w:rPr>
                <w:rFonts w:hint="eastAsia" w:hAnsi="宋体" w:cs="宋体"/>
                <w:bCs/>
                <w:color w:val="auto"/>
                <w:sz w:val="21"/>
                <w:highlight w:val="none"/>
              </w:rPr>
              <w:t>分）：投入的主要物资计划与进度计划呼应，满足施工需要，定量定点堆放物资。各主要施工工序有周密的劳动力安排计划，不窝工，有各工种劳动力安排计划，能满足施工需要。</w:t>
            </w:r>
          </w:p>
          <w:p w14:paraId="58050F66">
            <w:pPr>
              <w:pStyle w:val="15"/>
              <w:spacing w:line="400" w:lineRule="exact"/>
              <w:ind w:firstLine="420" w:firstLineChars="200"/>
              <w:rPr>
                <w:rFonts w:hint="eastAsia" w:ascii="宋体" w:hAnsi="宋体" w:eastAsia="宋体" w:cs="宋体"/>
                <w:bCs/>
                <w:color w:val="auto"/>
                <w:kern w:val="0"/>
                <w:sz w:val="21"/>
                <w:szCs w:val="21"/>
                <w:highlight w:val="none"/>
                <w:lang w:val="en-US" w:eastAsia="zh-CN" w:bidi="ar-SA"/>
              </w:rPr>
            </w:pPr>
            <w:r>
              <w:rPr>
                <w:rFonts w:hint="eastAsia" w:hAnsi="宋体" w:cs="宋体"/>
                <w:bCs/>
                <w:color w:val="auto"/>
                <w:sz w:val="21"/>
                <w:highlight w:val="none"/>
                <w:lang w:val="en-US" w:eastAsia="zh-CN"/>
              </w:rPr>
              <w:t>四</w:t>
            </w:r>
            <w:r>
              <w:rPr>
                <w:rFonts w:hint="eastAsia" w:hAnsi="宋体" w:cs="宋体"/>
                <w:bCs/>
                <w:color w:val="auto"/>
                <w:sz w:val="21"/>
                <w:highlight w:val="none"/>
              </w:rPr>
              <w:t>档（1</w:t>
            </w:r>
            <w:r>
              <w:rPr>
                <w:rFonts w:hint="eastAsia" w:hAnsi="宋体" w:cs="宋体"/>
                <w:bCs/>
                <w:color w:val="auto"/>
                <w:sz w:val="21"/>
                <w:highlight w:val="none"/>
                <w:lang w:val="en-US" w:eastAsia="zh-CN"/>
              </w:rPr>
              <w:t>0</w:t>
            </w:r>
            <w:r>
              <w:rPr>
                <w:rFonts w:hint="eastAsia" w:hAnsi="宋体" w:cs="宋体"/>
                <w:bCs/>
                <w:color w:val="auto"/>
                <w:sz w:val="21"/>
                <w:highlight w:val="none"/>
              </w:rPr>
              <w:t>分）：投入的主要物资计划与进度计划呼应，满足施工需要，材料物资采购及供应保证措施，定量定点堆放物资。各主要施工工序有周密的劳动力安排计划，不窝工，各工种劳动力安排计划切实高效，有切实有效的劳动力保障措施，能满足施工需要且衔接得当。</w:t>
            </w:r>
          </w:p>
        </w:tc>
        <w:tc>
          <w:tcPr>
            <w:tcW w:w="772" w:type="dxa"/>
            <w:vAlign w:val="center"/>
          </w:tcPr>
          <w:p w14:paraId="0A43CAE9">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10分</w:t>
            </w:r>
          </w:p>
        </w:tc>
      </w:tr>
      <w:tr w14:paraId="63A6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6DE93BF">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2.4</w:t>
            </w:r>
          </w:p>
        </w:tc>
        <w:tc>
          <w:tcPr>
            <w:tcW w:w="1086" w:type="dxa"/>
            <w:vAlign w:val="center"/>
          </w:tcPr>
          <w:p w14:paraId="31B1950D">
            <w:pPr>
              <w:adjustRightInd w:val="0"/>
              <w:spacing w:line="400" w:lineRule="exact"/>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工程质量管理体系及保证措施</w:t>
            </w:r>
          </w:p>
        </w:tc>
        <w:tc>
          <w:tcPr>
            <w:tcW w:w="7110" w:type="dxa"/>
            <w:vAlign w:val="center"/>
          </w:tcPr>
          <w:p w14:paraId="144CD6D2">
            <w:pPr>
              <w:pStyle w:val="15"/>
              <w:spacing w:line="400" w:lineRule="exact"/>
              <w:ind w:firstLine="420" w:firstLineChars="200"/>
              <w:rPr>
                <w:rFonts w:hint="default"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一档（0分）：没有工程质量管理体系及保证措施的</w:t>
            </w:r>
            <w:r>
              <w:rPr>
                <w:rFonts w:hint="eastAsia" w:hAnsi="宋体" w:cs="宋体"/>
                <w:bCs/>
                <w:color w:val="auto"/>
                <w:sz w:val="21"/>
                <w:highlight w:val="none"/>
                <w:lang w:val="en-US" w:eastAsia="zh-CN"/>
              </w:rPr>
              <w:t>，或内容与本项目无关。</w:t>
            </w:r>
          </w:p>
          <w:p w14:paraId="2C7A3F51">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二档（1分）：主要工序无质量技术保证措施和手段，自控体系不完整，或不能有效保证技术质量，达不到承诺的质量标准。</w:t>
            </w:r>
          </w:p>
          <w:p w14:paraId="2AB5CCB0">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三档（3分）：主要工序有质量技术保证措施和手段，自控体系基本完整，基本能有效保证技术质量，达到承诺的质量标准。</w:t>
            </w:r>
          </w:p>
          <w:p w14:paraId="7315B3BA">
            <w:pPr>
              <w:pStyle w:val="15"/>
              <w:spacing w:line="400" w:lineRule="exact"/>
              <w:ind w:firstLine="420" w:firstLineChars="200"/>
              <w:rPr>
                <w:rFonts w:hint="default"/>
                <w:color w:val="auto"/>
                <w:highlight w:val="none"/>
                <w:lang w:val="en-US" w:eastAsia="zh-CN"/>
              </w:rPr>
            </w:pPr>
            <w:r>
              <w:rPr>
                <w:rFonts w:hint="eastAsia" w:ascii="宋体" w:hAnsi="宋体" w:eastAsia="宋体" w:cs="宋体"/>
                <w:bCs/>
                <w:color w:val="auto"/>
                <w:sz w:val="21"/>
                <w:highlight w:val="none"/>
                <w:lang w:val="en-US" w:eastAsia="zh-CN"/>
              </w:rPr>
              <w:t>四档（5分）：主要工序有详细的质量技术保证措施和手段，自控体系完整，能有效保证技术质量，达到承诺的质量标准。</w:t>
            </w:r>
          </w:p>
        </w:tc>
        <w:tc>
          <w:tcPr>
            <w:tcW w:w="772" w:type="dxa"/>
            <w:vAlign w:val="center"/>
          </w:tcPr>
          <w:p w14:paraId="3578E4A8">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5分</w:t>
            </w:r>
          </w:p>
        </w:tc>
      </w:tr>
      <w:tr w14:paraId="3E10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6569F84">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2.5</w:t>
            </w:r>
          </w:p>
        </w:tc>
        <w:tc>
          <w:tcPr>
            <w:tcW w:w="1086" w:type="dxa"/>
            <w:vAlign w:val="center"/>
          </w:tcPr>
          <w:p w14:paraId="1F2A3BAF">
            <w:pPr>
              <w:adjustRightInd w:val="0"/>
              <w:spacing w:line="400" w:lineRule="exact"/>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安全生产管理体系及保证措施</w:t>
            </w:r>
          </w:p>
        </w:tc>
        <w:tc>
          <w:tcPr>
            <w:tcW w:w="7110" w:type="dxa"/>
            <w:vAlign w:val="center"/>
          </w:tcPr>
          <w:p w14:paraId="620F91BB">
            <w:pPr>
              <w:pStyle w:val="15"/>
              <w:spacing w:line="400" w:lineRule="exact"/>
              <w:ind w:firstLine="420" w:firstLineChars="200"/>
              <w:rPr>
                <w:rFonts w:hint="default"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一档（0分）：没有安全生产管理体系及保证措施</w:t>
            </w:r>
            <w:r>
              <w:rPr>
                <w:rFonts w:hint="eastAsia" w:hAnsi="宋体" w:cs="宋体"/>
                <w:bCs/>
                <w:color w:val="auto"/>
                <w:sz w:val="21"/>
                <w:highlight w:val="none"/>
                <w:lang w:val="en-US" w:eastAsia="zh-CN"/>
              </w:rPr>
              <w:t>，或内容与本项目无关。</w:t>
            </w:r>
          </w:p>
          <w:p w14:paraId="3123E724">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二档（1分）：无专门的安全管理人员或制度，或人员配备不合理，制度不健全，或各道工序安全技术措施无针对性，不符合实际不满足有关安全技术标准要求。或现场防火、应急救援、社会治安安全措施不可行。</w:t>
            </w:r>
          </w:p>
          <w:p w14:paraId="1219E35C">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三档（3分）：有专门的安全管理人员（至少1名）和制度，制度健全，各道工序安全技术措施有针对性，满足施工安全技术标准要求。现场防火、应急救援、社会治安安全措施基本可行。</w:t>
            </w:r>
          </w:p>
          <w:p w14:paraId="179DB0BF">
            <w:pPr>
              <w:pStyle w:val="15"/>
              <w:spacing w:line="400" w:lineRule="exact"/>
              <w:ind w:firstLine="420" w:firstLineChars="200"/>
              <w:rPr>
                <w:rFonts w:hint="eastAsia" w:hAnsi="宋体" w:cs="宋体"/>
                <w:bCs/>
                <w:color w:val="auto"/>
                <w:sz w:val="21"/>
                <w:highlight w:val="none"/>
              </w:rPr>
            </w:pPr>
            <w:r>
              <w:rPr>
                <w:rFonts w:hint="eastAsia" w:ascii="宋体" w:hAnsi="宋体" w:eastAsia="宋体" w:cs="宋体"/>
                <w:bCs/>
                <w:color w:val="auto"/>
                <w:sz w:val="21"/>
                <w:highlight w:val="none"/>
                <w:lang w:val="en-US" w:eastAsia="zh-CN"/>
              </w:rPr>
              <w:t>四档（5分）：有专门的安全管理人员（至少2名）和制度，且人员配备合理，制度健全，各道工序安全技术措施针对性强，符合项目实际且满足施工安全技术标准要求。现场防火、应急救援、社会治安安全措施得力。</w:t>
            </w:r>
          </w:p>
        </w:tc>
        <w:tc>
          <w:tcPr>
            <w:tcW w:w="772" w:type="dxa"/>
            <w:vAlign w:val="center"/>
          </w:tcPr>
          <w:p w14:paraId="5BE809EA">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5分</w:t>
            </w:r>
          </w:p>
        </w:tc>
      </w:tr>
      <w:tr w14:paraId="1B83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36A6F5B">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2.6</w:t>
            </w:r>
          </w:p>
        </w:tc>
        <w:tc>
          <w:tcPr>
            <w:tcW w:w="1086" w:type="dxa"/>
            <w:vAlign w:val="center"/>
          </w:tcPr>
          <w:p w14:paraId="7B24EA84">
            <w:pPr>
              <w:adjustRightInd w:val="0"/>
              <w:spacing w:line="400" w:lineRule="exact"/>
              <w:jc w:val="center"/>
              <w:textAlignment w:val="baseline"/>
              <w:rPr>
                <w:rFonts w:ascii="宋体" w:hAnsi="宋体" w:cs="宋体"/>
                <w:bCs/>
                <w:color w:val="auto"/>
                <w:kern w:val="0"/>
                <w:szCs w:val="21"/>
                <w:highlight w:val="none"/>
              </w:rPr>
            </w:pPr>
            <w:r>
              <w:rPr>
                <w:rFonts w:ascii="宋体" w:hAnsi="宋体" w:cs="宋体"/>
                <w:bCs/>
                <w:color w:val="auto"/>
                <w:kern w:val="0"/>
                <w:szCs w:val="21"/>
                <w:highlight w:val="none"/>
              </w:rPr>
              <w:t>工期保证体系及保证措施</w:t>
            </w:r>
          </w:p>
        </w:tc>
        <w:tc>
          <w:tcPr>
            <w:tcW w:w="7110" w:type="dxa"/>
            <w:vAlign w:val="center"/>
          </w:tcPr>
          <w:p w14:paraId="26CAE670">
            <w:pPr>
              <w:pStyle w:val="15"/>
              <w:spacing w:line="400" w:lineRule="exact"/>
              <w:ind w:firstLine="420" w:firstLineChars="200"/>
              <w:rPr>
                <w:rFonts w:hint="eastAsia" w:ascii="宋体" w:hAnsi="宋体" w:eastAsia="宋体" w:cs="宋体"/>
                <w:bCs/>
                <w:color w:val="auto"/>
                <w:sz w:val="21"/>
                <w:highlight w:val="none"/>
                <w:lang w:val="zh-CN"/>
              </w:rPr>
            </w:pPr>
            <w:r>
              <w:rPr>
                <w:rFonts w:hint="eastAsia" w:hAnsi="宋体" w:cs="宋体"/>
                <w:bCs/>
                <w:color w:val="auto"/>
                <w:sz w:val="21"/>
                <w:highlight w:val="none"/>
              </w:rPr>
              <w:t>一档（0分）：</w:t>
            </w:r>
            <w:r>
              <w:rPr>
                <w:rFonts w:hint="eastAsia" w:ascii="宋体" w:hAnsi="宋体" w:eastAsia="宋体" w:cs="宋体"/>
                <w:bCs/>
                <w:color w:val="auto"/>
                <w:sz w:val="21"/>
                <w:highlight w:val="none"/>
                <w:lang w:val="zh-CN"/>
              </w:rPr>
              <w:t>没有确保工期的技术组织措施。</w:t>
            </w:r>
          </w:p>
          <w:p w14:paraId="5D9BFA77">
            <w:pPr>
              <w:pStyle w:val="15"/>
              <w:spacing w:line="400" w:lineRule="exact"/>
              <w:ind w:firstLine="420" w:firstLineChars="200"/>
              <w:rPr>
                <w:rFonts w:hint="eastAsia" w:ascii="宋体" w:hAnsi="宋体" w:eastAsia="宋体" w:cs="宋体"/>
                <w:bCs/>
                <w:color w:val="auto"/>
                <w:sz w:val="21"/>
                <w:highlight w:val="none"/>
                <w:lang w:val="zh-CN"/>
              </w:rPr>
            </w:pPr>
            <w:r>
              <w:rPr>
                <w:rFonts w:hint="eastAsia" w:ascii="宋体" w:hAnsi="宋体" w:eastAsia="宋体" w:cs="宋体"/>
                <w:bCs/>
                <w:color w:val="auto"/>
                <w:sz w:val="21"/>
                <w:highlight w:val="none"/>
                <w:lang w:val="zh-CN"/>
              </w:rPr>
              <w:t>二档（1分）：无保证工期的具体措施或措施不得当。或者无控制工期的施工进度计划。或者无施工总进度表或施工网络图，或各项计划图表编制不完善，安排不合理，不符合本项目施工实际要求。</w:t>
            </w:r>
          </w:p>
          <w:p w14:paraId="676F7CC5">
            <w:pPr>
              <w:pStyle w:val="15"/>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三档（3分）：</w:t>
            </w:r>
            <w:r>
              <w:rPr>
                <w:rFonts w:hint="eastAsia" w:hAnsi="宋体" w:cs="宋体"/>
                <w:bCs/>
                <w:color w:val="auto"/>
                <w:sz w:val="21"/>
                <w:highlight w:val="none"/>
                <w:lang w:val="zh-CN"/>
              </w:rPr>
              <w:t>在施工工艺、施工方法、材料选用、劳动力安排、技术等方面有保证工期的具体措施且措施基本得当。有控制工期的施工进度计划。有施工总进度表或施工网络图，各项计划图表编制较完善，安排基本科学合理，基本符合本项目施工实际要求</w:t>
            </w:r>
            <w:r>
              <w:rPr>
                <w:rFonts w:hint="eastAsia" w:hAnsi="宋体" w:cs="宋体"/>
                <w:bCs/>
                <w:color w:val="auto"/>
                <w:sz w:val="21"/>
                <w:highlight w:val="none"/>
              </w:rPr>
              <w:t>。</w:t>
            </w:r>
          </w:p>
          <w:p w14:paraId="4B6C96AC">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lang w:val="zh-CN"/>
              </w:rPr>
              <w:t>四档（5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tc>
        <w:tc>
          <w:tcPr>
            <w:tcW w:w="772" w:type="dxa"/>
            <w:vAlign w:val="center"/>
          </w:tcPr>
          <w:p w14:paraId="51783974">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5分</w:t>
            </w:r>
          </w:p>
        </w:tc>
      </w:tr>
      <w:tr w14:paraId="3BF6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B123728">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2.7</w:t>
            </w:r>
          </w:p>
        </w:tc>
        <w:tc>
          <w:tcPr>
            <w:tcW w:w="1086" w:type="dxa"/>
            <w:vAlign w:val="center"/>
          </w:tcPr>
          <w:p w14:paraId="265D00B0">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文明施工、文物保护保证体系及保证措施</w:t>
            </w:r>
          </w:p>
        </w:tc>
        <w:tc>
          <w:tcPr>
            <w:tcW w:w="7110" w:type="dxa"/>
            <w:vAlign w:val="center"/>
          </w:tcPr>
          <w:p w14:paraId="7556D67C">
            <w:pPr>
              <w:pStyle w:val="15"/>
              <w:spacing w:line="400" w:lineRule="exact"/>
              <w:ind w:firstLine="420" w:firstLineChars="200"/>
              <w:rPr>
                <w:rFonts w:hint="eastAsia" w:ascii="宋体" w:hAnsi="宋体" w:eastAsia="宋体" w:cs="宋体"/>
                <w:bCs/>
                <w:color w:val="auto"/>
                <w:sz w:val="21"/>
                <w:highlight w:val="none"/>
                <w:lang w:val="zh-CN"/>
              </w:rPr>
            </w:pPr>
            <w:r>
              <w:rPr>
                <w:rFonts w:hint="eastAsia" w:hAnsi="宋体" w:cs="宋体"/>
                <w:bCs/>
                <w:color w:val="auto"/>
                <w:sz w:val="21"/>
                <w:highlight w:val="none"/>
              </w:rPr>
              <w:t>一档（0分）：</w:t>
            </w:r>
            <w:r>
              <w:rPr>
                <w:rFonts w:hint="eastAsia" w:hAnsi="宋体" w:cs="宋体"/>
                <w:bCs/>
                <w:color w:val="auto"/>
                <w:sz w:val="21"/>
                <w:highlight w:val="none"/>
                <w:lang w:val="en-US" w:eastAsia="zh-CN"/>
              </w:rPr>
              <w:t>无现场</w:t>
            </w:r>
            <w:r>
              <w:rPr>
                <w:rFonts w:hint="eastAsia" w:hAnsi="宋体" w:cs="宋体"/>
                <w:bCs/>
                <w:color w:val="auto"/>
                <w:sz w:val="21"/>
                <w:highlight w:val="none"/>
              </w:rPr>
              <w:t>文明施工、文物保护保证体系及保证措施</w:t>
            </w:r>
            <w:r>
              <w:rPr>
                <w:rFonts w:hint="eastAsia" w:ascii="宋体" w:hAnsi="宋体" w:eastAsia="宋体" w:cs="宋体"/>
                <w:bCs/>
                <w:color w:val="auto"/>
                <w:sz w:val="21"/>
                <w:highlight w:val="none"/>
                <w:lang w:val="zh-CN"/>
              </w:rPr>
              <w:t>，</w:t>
            </w:r>
            <w:r>
              <w:rPr>
                <w:rFonts w:hint="eastAsia" w:hAnsi="宋体" w:cs="宋体"/>
                <w:bCs/>
                <w:color w:val="auto"/>
                <w:sz w:val="21"/>
                <w:highlight w:val="none"/>
                <w:lang w:val="en-US" w:eastAsia="zh-CN"/>
              </w:rPr>
              <w:t>或内容与本项目无关。</w:t>
            </w:r>
          </w:p>
          <w:p w14:paraId="1D1FDE8B">
            <w:pPr>
              <w:pStyle w:val="15"/>
              <w:spacing w:line="400" w:lineRule="exact"/>
              <w:ind w:firstLine="420" w:firstLineChars="200"/>
              <w:rPr>
                <w:rFonts w:hint="eastAsia" w:ascii="宋体" w:hAnsi="宋体" w:eastAsia="宋体" w:cs="宋体"/>
                <w:bCs/>
                <w:color w:val="auto"/>
                <w:sz w:val="21"/>
                <w:highlight w:val="none"/>
                <w:lang w:val="zh-CN"/>
              </w:rPr>
            </w:pPr>
            <w:r>
              <w:rPr>
                <w:rFonts w:hint="eastAsia" w:ascii="宋体" w:hAnsi="宋体" w:eastAsia="宋体" w:cs="宋体"/>
                <w:bCs/>
                <w:color w:val="auto"/>
                <w:sz w:val="21"/>
                <w:highlight w:val="none"/>
                <w:lang w:val="zh-CN"/>
              </w:rPr>
              <w:t>二档（1分）：现场文明施工、</w:t>
            </w:r>
            <w:r>
              <w:rPr>
                <w:rFonts w:hint="eastAsia" w:hAnsi="宋体" w:cs="宋体"/>
                <w:bCs/>
                <w:color w:val="auto"/>
                <w:sz w:val="21"/>
                <w:highlight w:val="none"/>
              </w:rPr>
              <w:t>文物保护保证体系</w:t>
            </w:r>
            <w:r>
              <w:rPr>
                <w:rFonts w:hint="eastAsia" w:hAnsi="宋体" w:cs="宋体"/>
                <w:bCs/>
                <w:color w:val="auto"/>
                <w:sz w:val="21"/>
                <w:highlight w:val="none"/>
                <w:lang w:eastAsia="zh-CN"/>
              </w:rPr>
              <w:t>、</w:t>
            </w:r>
            <w:r>
              <w:rPr>
                <w:rFonts w:hint="eastAsia" w:ascii="宋体" w:hAnsi="宋体" w:eastAsia="宋体" w:cs="宋体"/>
                <w:bCs/>
                <w:color w:val="auto"/>
                <w:sz w:val="21"/>
                <w:highlight w:val="none"/>
                <w:lang w:val="zh-CN"/>
              </w:rPr>
              <w:t>环境保护措施内容达不到</w:t>
            </w:r>
            <w:r>
              <w:rPr>
                <w:rFonts w:hint="eastAsia" w:ascii="宋体" w:hAnsi="宋体" w:eastAsia="宋体" w:cs="宋体"/>
                <w:bCs/>
                <w:color w:val="auto"/>
                <w:sz w:val="21"/>
                <w:highlight w:val="none"/>
                <w:lang w:val="en-US" w:eastAsia="zh-CN"/>
              </w:rPr>
              <w:t>采购需求</w:t>
            </w:r>
            <w:r>
              <w:rPr>
                <w:rFonts w:hint="eastAsia" w:ascii="宋体" w:hAnsi="宋体" w:eastAsia="宋体" w:cs="宋体"/>
                <w:bCs/>
                <w:color w:val="auto"/>
                <w:sz w:val="21"/>
                <w:highlight w:val="none"/>
                <w:lang w:val="zh-CN"/>
              </w:rPr>
              <w:t>，各项措施不可行。</w:t>
            </w:r>
          </w:p>
          <w:p w14:paraId="23D3FFA5">
            <w:pPr>
              <w:pStyle w:val="15"/>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三档（3分）：</w:t>
            </w:r>
            <w:r>
              <w:rPr>
                <w:rFonts w:hint="eastAsia" w:hAnsi="宋体" w:cs="宋体"/>
                <w:bCs/>
                <w:color w:val="auto"/>
                <w:sz w:val="21"/>
                <w:highlight w:val="none"/>
                <w:lang w:val="zh-CN"/>
              </w:rPr>
              <w:t>现场文明施工、</w:t>
            </w:r>
            <w:r>
              <w:rPr>
                <w:rFonts w:hint="eastAsia" w:hAnsi="宋体" w:cs="宋体"/>
                <w:bCs/>
                <w:color w:val="auto"/>
                <w:sz w:val="21"/>
                <w:highlight w:val="none"/>
              </w:rPr>
              <w:t>文物保护保证体系</w:t>
            </w:r>
            <w:r>
              <w:rPr>
                <w:rFonts w:hint="eastAsia" w:hAnsi="宋体" w:cs="宋体"/>
                <w:bCs/>
                <w:color w:val="auto"/>
                <w:sz w:val="21"/>
                <w:highlight w:val="none"/>
                <w:lang w:eastAsia="zh-CN"/>
              </w:rPr>
              <w:t>、</w:t>
            </w:r>
            <w:r>
              <w:rPr>
                <w:rFonts w:hint="eastAsia" w:hAnsi="宋体" w:cs="宋体"/>
                <w:bCs/>
                <w:color w:val="auto"/>
                <w:sz w:val="21"/>
                <w:highlight w:val="none"/>
                <w:lang w:val="zh-CN"/>
              </w:rPr>
              <w:t>环境保护措施</w:t>
            </w:r>
            <w:r>
              <w:rPr>
                <w:rFonts w:hint="eastAsia" w:hAnsi="宋体" w:cs="宋体"/>
                <w:bCs/>
                <w:color w:val="auto"/>
                <w:sz w:val="21"/>
                <w:highlight w:val="none"/>
                <w:lang w:val="en-US" w:eastAsia="zh-CN"/>
              </w:rPr>
              <w:t>满足采购需求</w:t>
            </w:r>
            <w:r>
              <w:rPr>
                <w:rFonts w:hint="eastAsia" w:hAnsi="宋体" w:cs="宋体"/>
                <w:bCs/>
                <w:color w:val="auto"/>
                <w:sz w:val="21"/>
                <w:highlight w:val="none"/>
                <w:lang w:val="zh-CN"/>
              </w:rPr>
              <w:t>，且各项措施内容具体、基本可行</w:t>
            </w:r>
            <w:r>
              <w:rPr>
                <w:rFonts w:hint="eastAsia" w:hAnsi="宋体" w:cs="宋体"/>
                <w:bCs/>
                <w:color w:val="auto"/>
                <w:sz w:val="21"/>
                <w:highlight w:val="none"/>
              </w:rPr>
              <w:t>。</w:t>
            </w:r>
          </w:p>
          <w:p w14:paraId="328298F4">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lang w:val="zh-CN"/>
              </w:rPr>
              <w:t>四档（5分）：现场文明施工、文物保护保证体系</w:t>
            </w:r>
            <w:r>
              <w:rPr>
                <w:rFonts w:hint="eastAsia" w:hAnsi="宋体" w:cs="宋体"/>
                <w:bCs/>
                <w:color w:val="auto"/>
                <w:sz w:val="21"/>
                <w:highlight w:val="none"/>
                <w:lang w:val="zh-CN" w:eastAsia="zh-CN"/>
              </w:rPr>
              <w:t>、</w:t>
            </w:r>
            <w:r>
              <w:rPr>
                <w:rFonts w:hint="eastAsia" w:hAnsi="宋体" w:cs="宋体"/>
                <w:bCs/>
                <w:color w:val="auto"/>
                <w:sz w:val="21"/>
                <w:highlight w:val="none"/>
                <w:lang w:val="zh-CN"/>
              </w:rPr>
              <w:t>环境保护措施</w:t>
            </w:r>
            <w:r>
              <w:rPr>
                <w:rFonts w:hint="eastAsia" w:hAnsi="宋体" w:cs="宋体"/>
                <w:bCs/>
                <w:color w:val="auto"/>
                <w:sz w:val="21"/>
                <w:highlight w:val="none"/>
                <w:lang w:val="en-US" w:eastAsia="zh-CN"/>
              </w:rPr>
              <w:t>符合项目实际</w:t>
            </w:r>
            <w:r>
              <w:rPr>
                <w:rFonts w:hint="eastAsia" w:hAnsi="宋体" w:cs="宋体"/>
                <w:bCs/>
                <w:color w:val="auto"/>
                <w:sz w:val="21"/>
                <w:highlight w:val="none"/>
                <w:lang w:val="zh-CN"/>
              </w:rPr>
              <w:t>，且</w:t>
            </w:r>
            <w:r>
              <w:rPr>
                <w:rFonts w:hint="eastAsia" w:hAnsi="宋体" w:cs="宋体"/>
                <w:bCs/>
                <w:color w:val="auto"/>
                <w:sz w:val="21"/>
                <w:highlight w:val="none"/>
                <w:lang w:val="en-US" w:eastAsia="zh-CN"/>
              </w:rPr>
              <w:t>满足采购需求，</w:t>
            </w:r>
            <w:r>
              <w:rPr>
                <w:rFonts w:hint="eastAsia" w:hAnsi="宋体" w:cs="宋体"/>
                <w:bCs/>
                <w:color w:val="auto"/>
                <w:sz w:val="21"/>
                <w:highlight w:val="none"/>
                <w:lang w:val="zh-CN"/>
              </w:rPr>
              <w:t>各项措施内容周全、具体、</w:t>
            </w:r>
            <w:r>
              <w:rPr>
                <w:rFonts w:hint="eastAsia" w:hAnsi="宋体" w:cs="宋体"/>
                <w:bCs/>
                <w:color w:val="auto"/>
                <w:sz w:val="21"/>
                <w:highlight w:val="none"/>
                <w:lang w:val="en-US" w:eastAsia="zh-CN"/>
              </w:rPr>
              <w:t>可行性高</w:t>
            </w:r>
            <w:r>
              <w:rPr>
                <w:rFonts w:hint="eastAsia" w:hAnsi="宋体" w:cs="宋体"/>
                <w:bCs/>
                <w:color w:val="auto"/>
                <w:sz w:val="21"/>
                <w:highlight w:val="none"/>
                <w:lang w:val="zh-CN"/>
              </w:rPr>
              <w:t>。</w:t>
            </w:r>
          </w:p>
        </w:tc>
        <w:tc>
          <w:tcPr>
            <w:tcW w:w="772" w:type="dxa"/>
            <w:vAlign w:val="center"/>
          </w:tcPr>
          <w:p w14:paraId="1A23E98F">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5分</w:t>
            </w:r>
          </w:p>
        </w:tc>
      </w:tr>
      <w:tr w14:paraId="46E2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CF74F30">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2.8</w:t>
            </w:r>
          </w:p>
        </w:tc>
        <w:tc>
          <w:tcPr>
            <w:tcW w:w="1086" w:type="dxa"/>
            <w:vAlign w:val="center"/>
          </w:tcPr>
          <w:p w14:paraId="145EF377">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项目风险预测与防范，事故应急预案</w:t>
            </w:r>
          </w:p>
        </w:tc>
        <w:tc>
          <w:tcPr>
            <w:tcW w:w="7110" w:type="dxa"/>
            <w:vAlign w:val="center"/>
          </w:tcPr>
          <w:p w14:paraId="3B331186">
            <w:pPr>
              <w:pStyle w:val="15"/>
              <w:spacing w:line="400" w:lineRule="exact"/>
              <w:ind w:firstLine="420" w:firstLineChars="200"/>
              <w:rPr>
                <w:rFonts w:hint="default" w:hAnsi="宋体" w:eastAsia="宋体" w:cs="宋体"/>
                <w:bCs/>
                <w:color w:val="auto"/>
                <w:sz w:val="21"/>
                <w:highlight w:val="none"/>
                <w:lang w:val="en-US" w:eastAsia="zh-CN"/>
              </w:rPr>
            </w:pPr>
            <w:r>
              <w:rPr>
                <w:rFonts w:hint="eastAsia" w:hAnsi="宋体" w:cs="宋体"/>
                <w:bCs/>
                <w:color w:val="auto"/>
                <w:sz w:val="21"/>
                <w:highlight w:val="none"/>
              </w:rPr>
              <w:t>一档（0分）：</w:t>
            </w:r>
            <w:r>
              <w:rPr>
                <w:rFonts w:hint="eastAsia" w:hAnsi="宋体" w:cs="宋体"/>
                <w:bCs/>
                <w:color w:val="auto"/>
                <w:sz w:val="21"/>
                <w:highlight w:val="none"/>
                <w:lang w:val="en-US" w:eastAsia="zh-CN"/>
              </w:rPr>
              <w:t>无</w:t>
            </w:r>
            <w:r>
              <w:rPr>
                <w:rFonts w:hint="eastAsia" w:hAnsi="宋体" w:cs="宋体"/>
                <w:bCs/>
                <w:color w:val="auto"/>
                <w:sz w:val="21"/>
                <w:highlight w:val="none"/>
              </w:rPr>
              <w:t>项目风险预测与防范，事故应急预案</w:t>
            </w:r>
            <w:r>
              <w:rPr>
                <w:rFonts w:hint="eastAsia" w:hAnsi="宋体" w:cs="宋体"/>
                <w:bCs/>
                <w:color w:val="auto"/>
                <w:sz w:val="21"/>
                <w:highlight w:val="none"/>
                <w:lang w:eastAsia="zh-CN"/>
              </w:rPr>
              <w:t>，</w:t>
            </w:r>
            <w:r>
              <w:rPr>
                <w:rFonts w:hint="eastAsia" w:hAnsi="宋体" w:cs="宋体"/>
                <w:bCs/>
                <w:color w:val="auto"/>
                <w:sz w:val="21"/>
                <w:highlight w:val="none"/>
                <w:lang w:val="en-US" w:eastAsia="zh-CN"/>
              </w:rPr>
              <w:t>或内容与本项目无关。</w:t>
            </w:r>
          </w:p>
          <w:p w14:paraId="4052C58C">
            <w:pPr>
              <w:pStyle w:val="15"/>
              <w:spacing w:line="40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二档（</w:t>
            </w:r>
            <w:r>
              <w:rPr>
                <w:rFonts w:hint="eastAsia" w:hAnsi="宋体" w:cs="宋体"/>
                <w:bCs/>
                <w:color w:val="auto"/>
                <w:sz w:val="21"/>
                <w:highlight w:val="none"/>
                <w:lang w:val="en-US" w:eastAsia="zh-CN"/>
              </w:rPr>
              <w:t>2</w:t>
            </w:r>
            <w:r>
              <w:rPr>
                <w:rFonts w:hint="eastAsia" w:hAnsi="宋体" w:cs="宋体"/>
                <w:bCs/>
                <w:color w:val="auto"/>
                <w:sz w:val="21"/>
                <w:highlight w:val="none"/>
                <w:lang w:val="zh-CN"/>
              </w:rPr>
              <w:t>分）：针对本工程项目特点，风险预测</w:t>
            </w:r>
            <w:r>
              <w:rPr>
                <w:rFonts w:hint="eastAsia" w:hAnsi="宋体" w:cs="宋体"/>
                <w:bCs/>
                <w:color w:val="auto"/>
                <w:sz w:val="21"/>
                <w:highlight w:val="none"/>
                <w:lang w:val="en-US" w:eastAsia="zh-CN"/>
              </w:rPr>
              <w:t>与防范措施、事故</w:t>
            </w:r>
            <w:r>
              <w:rPr>
                <w:rFonts w:hint="eastAsia" w:hAnsi="宋体" w:cs="宋体"/>
                <w:bCs/>
                <w:color w:val="auto"/>
                <w:sz w:val="21"/>
                <w:highlight w:val="none"/>
                <w:lang w:val="zh-CN"/>
              </w:rPr>
              <w:t>应急预案</w:t>
            </w:r>
            <w:r>
              <w:rPr>
                <w:rFonts w:hint="eastAsia" w:hAnsi="宋体" w:cs="宋体"/>
                <w:bCs/>
                <w:color w:val="auto"/>
                <w:sz w:val="21"/>
                <w:highlight w:val="none"/>
                <w:lang w:val="en-US" w:eastAsia="zh-CN"/>
              </w:rPr>
              <w:t>内容不完整</w:t>
            </w:r>
            <w:r>
              <w:rPr>
                <w:rFonts w:hint="eastAsia" w:hAnsi="宋体" w:cs="宋体"/>
                <w:bCs/>
                <w:color w:val="auto"/>
                <w:sz w:val="21"/>
                <w:highlight w:val="none"/>
                <w:lang w:val="zh-CN"/>
              </w:rPr>
              <w:t>，</w:t>
            </w:r>
            <w:r>
              <w:rPr>
                <w:rFonts w:hint="eastAsia" w:hAnsi="宋体" w:cs="宋体"/>
                <w:bCs/>
                <w:color w:val="auto"/>
                <w:sz w:val="21"/>
                <w:highlight w:val="none"/>
                <w:lang w:val="en-US" w:eastAsia="zh-CN"/>
              </w:rPr>
              <w:t>措施</w:t>
            </w:r>
            <w:r>
              <w:rPr>
                <w:rFonts w:hint="eastAsia" w:hAnsi="宋体" w:cs="宋体"/>
                <w:bCs/>
                <w:color w:val="auto"/>
                <w:sz w:val="21"/>
                <w:highlight w:val="none"/>
                <w:lang w:val="zh-CN"/>
              </w:rPr>
              <w:t>不</w:t>
            </w:r>
            <w:r>
              <w:rPr>
                <w:rFonts w:hint="eastAsia" w:hAnsi="宋体" w:cs="宋体"/>
                <w:bCs/>
                <w:color w:val="auto"/>
                <w:sz w:val="21"/>
                <w:highlight w:val="none"/>
                <w:lang w:val="en-US" w:eastAsia="zh-CN"/>
              </w:rPr>
              <w:t>可行</w:t>
            </w:r>
            <w:r>
              <w:rPr>
                <w:rFonts w:hint="eastAsia" w:hAnsi="宋体" w:cs="宋体"/>
                <w:bCs/>
                <w:color w:val="auto"/>
                <w:sz w:val="21"/>
                <w:highlight w:val="none"/>
                <w:lang w:val="zh-CN"/>
              </w:rPr>
              <w:t>。</w:t>
            </w:r>
          </w:p>
          <w:p w14:paraId="327218A5">
            <w:pPr>
              <w:pStyle w:val="15"/>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三档（</w:t>
            </w:r>
            <w:r>
              <w:rPr>
                <w:rFonts w:hint="eastAsia" w:hAnsi="宋体" w:cs="宋体"/>
                <w:bCs/>
                <w:color w:val="auto"/>
                <w:sz w:val="21"/>
                <w:highlight w:val="none"/>
                <w:lang w:val="en-US" w:eastAsia="zh-CN"/>
              </w:rPr>
              <w:t>6</w:t>
            </w:r>
            <w:r>
              <w:rPr>
                <w:rFonts w:hint="eastAsia" w:hAnsi="宋体" w:cs="宋体"/>
                <w:bCs/>
                <w:color w:val="auto"/>
                <w:sz w:val="21"/>
                <w:highlight w:val="none"/>
              </w:rPr>
              <w:t>分）：</w:t>
            </w:r>
            <w:r>
              <w:rPr>
                <w:rFonts w:hint="eastAsia" w:hAnsi="宋体" w:cs="宋体"/>
                <w:bCs/>
                <w:color w:val="auto"/>
                <w:sz w:val="21"/>
                <w:highlight w:val="none"/>
                <w:lang w:val="zh-CN"/>
              </w:rPr>
              <w:t>针对本工程项目特点，风险预测</w:t>
            </w:r>
            <w:r>
              <w:rPr>
                <w:rFonts w:hint="eastAsia" w:hAnsi="宋体" w:cs="宋体"/>
                <w:bCs/>
                <w:color w:val="auto"/>
                <w:sz w:val="21"/>
                <w:highlight w:val="none"/>
                <w:lang w:val="zh-CN" w:eastAsia="zh-CN"/>
              </w:rPr>
              <w:t>与防范</w:t>
            </w:r>
            <w:r>
              <w:rPr>
                <w:rFonts w:hint="eastAsia" w:hAnsi="宋体" w:cs="宋体"/>
                <w:bCs/>
                <w:color w:val="auto"/>
                <w:sz w:val="21"/>
                <w:highlight w:val="none"/>
                <w:lang w:val="en-US" w:eastAsia="zh-CN"/>
              </w:rPr>
              <w:t>措施</w:t>
            </w:r>
            <w:r>
              <w:rPr>
                <w:rFonts w:hint="eastAsia" w:hAnsi="宋体" w:cs="宋体"/>
                <w:bCs/>
                <w:color w:val="auto"/>
                <w:sz w:val="21"/>
                <w:highlight w:val="none"/>
                <w:lang w:val="zh-CN" w:eastAsia="zh-CN"/>
              </w:rPr>
              <w:t>、事故</w:t>
            </w:r>
            <w:r>
              <w:rPr>
                <w:rFonts w:hint="eastAsia" w:hAnsi="宋体" w:cs="宋体"/>
                <w:bCs/>
                <w:color w:val="auto"/>
                <w:sz w:val="21"/>
                <w:highlight w:val="none"/>
                <w:lang w:val="zh-CN"/>
              </w:rPr>
              <w:t>应急预案</w:t>
            </w:r>
            <w:r>
              <w:rPr>
                <w:rFonts w:hint="eastAsia" w:hAnsi="宋体" w:cs="宋体"/>
                <w:bCs/>
                <w:color w:val="auto"/>
                <w:sz w:val="21"/>
                <w:highlight w:val="none"/>
                <w:lang w:val="zh-CN" w:eastAsia="zh-CN"/>
              </w:rPr>
              <w:t>内容</w:t>
            </w:r>
            <w:r>
              <w:rPr>
                <w:rFonts w:hint="eastAsia" w:hAnsi="宋体" w:cs="宋体"/>
                <w:bCs/>
                <w:color w:val="auto"/>
                <w:sz w:val="21"/>
                <w:highlight w:val="none"/>
                <w:lang w:val="en-US" w:eastAsia="zh-CN"/>
              </w:rPr>
              <w:t>齐全</w:t>
            </w:r>
            <w:r>
              <w:rPr>
                <w:rFonts w:hint="eastAsia" w:hAnsi="宋体" w:cs="宋体"/>
                <w:bCs/>
                <w:color w:val="auto"/>
                <w:sz w:val="21"/>
                <w:highlight w:val="none"/>
                <w:lang w:val="zh-CN"/>
              </w:rPr>
              <w:t>，且各项措施具体、</w:t>
            </w:r>
            <w:r>
              <w:rPr>
                <w:rFonts w:hint="eastAsia" w:hAnsi="宋体" w:cs="宋体"/>
                <w:bCs/>
                <w:color w:val="auto"/>
                <w:sz w:val="21"/>
                <w:highlight w:val="none"/>
                <w:lang w:val="en-US" w:eastAsia="zh-CN"/>
              </w:rPr>
              <w:t>可行</w:t>
            </w:r>
            <w:r>
              <w:rPr>
                <w:rFonts w:hint="eastAsia" w:hAnsi="宋体" w:cs="宋体"/>
                <w:bCs/>
                <w:color w:val="auto"/>
                <w:sz w:val="21"/>
                <w:highlight w:val="none"/>
              </w:rPr>
              <w:t>。</w:t>
            </w:r>
          </w:p>
          <w:p w14:paraId="422E2C8A">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lang w:val="zh-CN"/>
              </w:rPr>
              <w:t>四档（</w:t>
            </w:r>
            <w:r>
              <w:rPr>
                <w:rFonts w:hint="eastAsia" w:hAnsi="宋体" w:cs="宋体"/>
                <w:bCs/>
                <w:color w:val="auto"/>
                <w:sz w:val="21"/>
                <w:highlight w:val="none"/>
                <w:lang w:val="en-US" w:eastAsia="zh-CN"/>
              </w:rPr>
              <w:t>10</w:t>
            </w:r>
            <w:r>
              <w:rPr>
                <w:rFonts w:hint="eastAsia" w:hAnsi="宋体" w:cs="宋体"/>
                <w:bCs/>
                <w:color w:val="auto"/>
                <w:sz w:val="21"/>
                <w:highlight w:val="none"/>
                <w:lang w:val="zh-CN"/>
              </w:rPr>
              <w:t>分）：针对本工程项目特点，风险预测</w:t>
            </w:r>
            <w:r>
              <w:rPr>
                <w:rFonts w:hint="eastAsia" w:hAnsi="宋体" w:cs="宋体"/>
                <w:bCs/>
                <w:color w:val="auto"/>
                <w:sz w:val="21"/>
                <w:highlight w:val="none"/>
                <w:lang w:val="zh-CN" w:eastAsia="zh-CN"/>
              </w:rPr>
              <w:t>与防范措施、事故</w:t>
            </w:r>
            <w:r>
              <w:rPr>
                <w:rFonts w:hint="eastAsia" w:hAnsi="宋体" w:cs="宋体"/>
                <w:bCs/>
                <w:color w:val="auto"/>
                <w:sz w:val="21"/>
                <w:highlight w:val="none"/>
                <w:lang w:val="zh-CN"/>
              </w:rPr>
              <w:t>应急预案</w:t>
            </w:r>
            <w:r>
              <w:rPr>
                <w:rFonts w:hint="eastAsia" w:hAnsi="宋体" w:cs="宋体"/>
                <w:bCs/>
                <w:color w:val="auto"/>
                <w:sz w:val="21"/>
                <w:highlight w:val="none"/>
                <w:lang w:val="zh-CN" w:eastAsia="zh-CN"/>
              </w:rPr>
              <w:t>内容</w:t>
            </w:r>
            <w:r>
              <w:rPr>
                <w:rFonts w:hint="eastAsia" w:hAnsi="宋体" w:cs="宋体"/>
                <w:bCs/>
                <w:color w:val="auto"/>
                <w:sz w:val="21"/>
                <w:highlight w:val="none"/>
                <w:lang w:val="en-US" w:eastAsia="zh-CN"/>
              </w:rPr>
              <w:t>完整详细，且符合项目实际</w:t>
            </w:r>
            <w:r>
              <w:rPr>
                <w:rFonts w:hint="eastAsia" w:hAnsi="宋体" w:cs="宋体"/>
                <w:bCs/>
                <w:color w:val="auto"/>
                <w:sz w:val="21"/>
                <w:highlight w:val="none"/>
                <w:lang w:val="zh-CN"/>
              </w:rPr>
              <w:t>，各项措施周全、具体、有效。</w:t>
            </w:r>
          </w:p>
        </w:tc>
        <w:tc>
          <w:tcPr>
            <w:tcW w:w="772" w:type="dxa"/>
            <w:vAlign w:val="center"/>
          </w:tcPr>
          <w:p w14:paraId="7BA5140F">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tc>
      </w:tr>
      <w:tr w14:paraId="273C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2A544F54">
            <w:pPr>
              <w:widowControl/>
              <w:spacing w:line="360" w:lineRule="exact"/>
              <w:jc w:val="center"/>
              <w:rPr>
                <w:rFonts w:hint="default" w:ascii="宋体" w:hAnsi="宋体" w:eastAsia="宋体" w:cs="宋体"/>
                <w:b/>
                <w:bCs/>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2.9</w:t>
            </w:r>
          </w:p>
        </w:tc>
        <w:tc>
          <w:tcPr>
            <w:tcW w:w="1086" w:type="dxa"/>
            <w:vAlign w:val="center"/>
          </w:tcPr>
          <w:p w14:paraId="6960F4DB">
            <w:pPr>
              <w:widowControl/>
              <w:spacing w:line="360" w:lineRule="exact"/>
              <w:jc w:val="center"/>
              <w:rPr>
                <w:rFonts w:hint="default"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项目实施人员</w:t>
            </w:r>
          </w:p>
        </w:tc>
        <w:tc>
          <w:tcPr>
            <w:tcW w:w="7110" w:type="dxa"/>
            <w:vAlign w:val="center"/>
          </w:tcPr>
          <w:p w14:paraId="0A11B51D">
            <w:pPr>
              <w:pStyle w:val="15"/>
              <w:spacing w:line="400" w:lineRule="exact"/>
              <w:rPr>
                <w:rFonts w:hint="default" w:hAnsi="宋体" w:cs="宋体"/>
                <w:bCs/>
                <w:color w:val="auto"/>
                <w:sz w:val="21"/>
                <w:highlight w:val="none"/>
                <w:lang w:val="en-US" w:eastAsia="zh-CN"/>
              </w:rPr>
            </w:pPr>
            <w:r>
              <w:rPr>
                <w:rFonts w:hint="eastAsia" w:hAnsi="宋体" w:cs="宋体"/>
                <w:bCs/>
                <w:color w:val="auto"/>
                <w:sz w:val="21"/>
                <w:highlight w:val="none"/>
                <w:lang w:val="en-US" w:eastAsia="zh-CN"/>
              </w:rPr>
              <w:t>（1）项目经理：</w:t>
            </w:r>
            <w:r>
              <w:rPr>
                <w:rFonts w:hAnsi="宋体" w:cs="宋体"/>
                <w:bCs/>
                <w:color w:val="auto"/>
                <w:sz w:val="21"/>
                <w:highlight w:val="none"/>
              </w:rPr>
              <w:t>拟投入本项目的</w:t>
            </w:r>
            <w:r>
              <w:rPr>
                <w:rFonts w:hint="eastAsia" w:hAnsi="宋体" w:cs="宋体"/>
                <w:bCs/>
                <w:color w:val="auto"/>
                <w:sz w:val="21"/>
                <w:highlight w:val="none"/>
                <w:lang w:val="en-US" w:eastAsia="zh-CN"/>
              </w:rPr>
              <w:t>项目经理具有中级及以上技术职称得4分。</w:t>
            </w:r>
          </w:p>
          <w:p w14:paraId="1DCFB39A">
            <w:pPr>
              <w:widowControl/>
              <w:spacing w:line="360" w:lineRule="exact"/>
              <w:jc w:val="left"/>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（2）其他人员（不含项目经理）：拟投入本项目的人员至少包括安全员、施工员、质量员、材料员，且均具有相应岗位资格证书的，得6分。</w:t>
            </w:r>
          </w:p>
          <w:p w14:paraId="0EA5AD80">
            <w:pPr>
              <w:widowControl/>
              <w:spacing w:line="360" w:lineRule="exact"/>
              <w:jc w:val="left"/>
              <w:rPr>
                <w:rFonts w:hint="default" w:hAnsi="宋体" w:cs="宋体"/>
                <w:bCs/>
                <w:color w:val="auto"/>
                <w:sz w:val="21"/>
                <w:highlight w:val="none"/>
                <w:lang w:val="en-US" w:eastAsia="zh-CN"/>
              </w:rPr>
            </w:pPr>
            <w:r>
              <w:rPr>
                <w:rFonts w:hint="eastAsia" w:hAnsi="宋体" w:cs="宋体"/>
                <w:bCs/>
                <w:color w:val="auto"/>
                <w:sz w:val="21"/>
                <w:highlight w:val="none"/>
                <w:lang w:val="en-US" w:eastAsia="zh-CN"/>
              </w:rPr>
              <w:t>注：（1）响应文件中提供上述人员证书复印件并加盖竞标人单位公章，否则不计分。</w:t>
            </w:r>
          </w:p>
        </w:tc>
        <w:tc>
          <w:tcPr>
            <w:tcW w:w="772" w:type="dxa"/>
            <w:vAlign w:val="center"/>
          </w:tcPr>
          <w:p w14:paraId="4D6C011D">
            <w:pPr>
              <w:widowControl/>
              <w:spacing w:line="360" w:lineRule="exact"/>
              <w:jc w:val="center"/>
              <w:rPr>
                <w:rFonts w:hint="default" w:ascii="宋体" w:hAnsi="宋体" w:cs="宋体"/>
                <w:b/>
                <w:bCs/>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10分</w:t>
            </w:r>
          </w:p>
        </w:tc>
      </w:tr>
      <w:tr w14:paraId="151B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2A685E75">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w:t>
            </w:r>
          </w:p>
        </w:tc>
        <w:tc>
          <w:tcPr>
            <w:tcW w:w="1086" w:type="dxa"/>
            <w:vAlign w:val="center"/>
          </w:tcPr>
          <w:p w14:paraId="7BA4AB58">
            <w:pPr>
              <w:widowControl/>
              <w:spacing w:line="360" w:lineRule="exact"/>
              <w:jc w:val="center"/>
              <w:rPr>
                <w:rFonts w:ascii="宋体" w:hAnsi="宋体" w:cs="宋体"/>
                <w:b/>
                <w:bCs/>
                <w:color w:val="auto"/>
                <w:kern w:val="0"/>
                <w:szCs w:val="21"/>
                <w:highlight w:val="none"/>
                <w:lang w:bidi="ar"/>
              </w:rPr>
            </w:pPr>
            <w:r>
              <w:rPr>
                <w:rFonts w:hint="eastAsia" w:ascii="宋体" w:hAnsi="宋体" w:cs="宋体"/>
                <w:b/>
                <w:bCs/>
                <w:color w:val="auto"/>
                <w:szCs w:val="21"/>
                <w:highlight w:val="none"/>
              </w:rPr>
              <w:t>商务分</w:t>
            </w:r>
          </w:p>
        </w:tc>
        <w:tc>
          <w:tcPr>
            <w:tcW w:w="7110" w:type="dxa"/>
            <w:vAlign w:val="center"/>
          </w:tcPr>
          <w:p w14:paraId="5D69147E">
            <w:pPr>
              <w:widowControl/>
              <w:spacing w:line="360" w:lineRule="exact"/>
              <w:jc w:val="center"/>
              <w:rPr>
                <w:rFonts w:ascii="宋体" w:hAnsi="宋体" w:cs="宋体"/>
                <w:b/>
                <w:bCs/>
                <w:color w:val="auto"/>
                <w:szCs w:val="21"/>
                <w:highlight w:val="none"/>
              </w:rPr>
            </w:pPr>
            <w:r>
              <w:rPr>
                <w:rFonts w:hint="eastAsia" w:ascii="宋体" w:hAnsi="宋体" w:cs="宋体"/>
                <w:b/>
                <w:bCs/>
                <w:color w:val="auto"/>
                <w:kern w:val="0"/>
                <w:szCs w:val="21"/>
                <w:highlight w:val="none"/>
              </w:rPr>
              <w:t>评审因素（客观分）</w:t>
            </w:r>
          </w:p>
        </w:tc>
        <w:tc>
          <w:tcPr>
            <w:tcW w:w="772" w:type="dxa"/>
            <w:vAlign w:val="center"/>
          </w:tcPr>
          <w:p w14:paraId="6F10E2E2">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15</w:t>
            </w:r>
            <w:r>
              <w:rPr>
                <w:rFonts w:hint="eastAsia" w:ascii="宋体" w:hAnsi="宋体" w:cs="宋体"/>
                <w:b/>
                <w:bCs/>
                <w:color w:val="auto"/>
                <w:kern w:val="0"/>
                <w:szCs w:val="21"/>
                <w:highlight w:val="none"/>
              </w:rPr>
              <w:t>分</w:t>
            </w:r>
          </w:p>
        </w:tc>
      </w:tr>
      <w:tr w14:paraId="0955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75D91659">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3.1</w:t>
            </w:r>
          </w:p>
        </w:tc>
        <w:tc>
          <w:tcPr>
            <w:tcW w:w="1086" w:type="dxa"/>
            <w:vAlign w:val="center"/>
          </w:tcPr>
          <w:p w14:paraId="5B6D0B06">
            <w:pPr>
              <w:widowControl/>
              <w:spacing w:line="36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业绩</w:t>
            </w:r>
          </w:p>
        </w:tc>
        <w:tc>
          <w:tcPr>
            <w:tcW w:w="7110" w:type="dxa"/>
          </w:tcPr>
          <w:p w14:paraId="0F1E83C3">
            <w:pPr>
              <w:pStyle w:val="15"/>
              <w:spacing w:line="360" w:lineRule="exact"/>
              <w:ind w:firstLine="420" w:firstLineChars="200"/>
              <w:rPr>
                <w:rFonts w:hAnsi="宋体" w:cs="宋体"/>
                <w:color w:val="auto"/>
                <w:sz w:val="21"/>
                <w:highlight w:val="none"/>
              </w:rPr>
            </w:pPr>
            <w:r>
              <w:rPr>
                <w:rFonts w:hint="eastAsia" w:hAnsi="宋体" w:cs="宋体"/>
                <w:color w:val="auto"/>
                <w:sz w:val="21"/>
                <w:highlight w:val="none"/>
              </w:rPr>
              <w:t>竞标人20</w:t>
            </w:r>
            <w:r>
              <w:rPr>
                <w:rFonts w:hint="eastAsia" w:hAnsi="宋体" w:cs="宋体"/>
                <w:color w:val="auto"/>
                <w:sz w:val="21"/>
                <w:highlight w:val="none"/>
                <w:lang w:val="en-US" w:eastAsia="zh-CN"/>
              </w:rPr>
              <w:t>22</w:t>
            </w:r>
            <w:r>
              <w:rPr>
                <w:rFonts w:hint="eastAsia" w:hAnsi="宋体" w:cs="宋体"/>
                <w:color w:val="auto"/>
                <w:sz w:val="21"/>
                <w:highlight w:val="none"/>
              </w:rPr>
              <w:t>年1月1日以来</w:t>
            </w:r>
            <w:r>
              <w:rPr>
                <w:rFonts w:hint="eastAsia" w:hAnsi="宋体" w:cs="宋体"/>
                <w:bCs/>
                <w:color w:val="auto"/>
                <w:sz w:val="21"/>
                <w:highlight w:val="none"/>
              </w:rPr>
              <w:t>完成</w:t>
            </w:r>
            <w:r>
              <w:rPr>
                <w:rFonts w:hint="eastAsia" w:hAnsi="宋体" w:cs="宋体"/>
                <w:bCs/>
                <w:color w:val="auto"/>
                <w:sz w:val="21"/>
                <w:highlight w:val="none"/>
                <w:lang w:val="en-US" w:eastAsia="zh-CN"/>
              </w:rPr>
              <w:t>或承接</w:t>
            </w:r>
            <w:r>
              <w:rPr>
                <w:rFonts w:hint="eastAsia" w:hAnsi="宋体" w:cs="宋体"/>
                <w:bCs/>
                <w:color w:val="auto"/>
                <w:sz w:val="21"/>
                <w:highlight w:val="none"/>
              </w:rPr>
              <w:t>过</w:t>
            </w:r>
            <w:r>
              <w:rPr>
                <w:rFonts w:hint="eastAsia" w:hAnsi="宋体" w:cs="宋体"/>
                <w:bCs/>
                <w:color w:val="auto"/>
                <w:sz w:val="21"/>
                <w:highlight w:val="none"/>
                <w:lang w:val="en-US" w:eastAsia="zh-CN"/>
              </w:rPr>
              <w:t>类似</w:t>
            </w:r>
            <w:r>
              <w:rPr>
                <w:rFonts w:hint="eastAsia" w:hAnsi="宋体" w:cs="宋体"/>
                <w:color w:val="auto"/>
                <w:sz w:val="21"/>
                <w:highlight w:val="none"/>
              </w:rPr>
              <w:t>项目业绩的，每个得</w:t>
            </w:r>
            <w:r>
              <w:rPr>
                <w:rFonts w:hint="eastAsia" w:hAnsi="宋体" w:cs="宋体"/>
                <w:color w:val="auto"/>
                <w:sz w:val="21"/>
                <w:highlight w:val="none"/>
                <w:lang w:val="en-US" w:eastAsia="zh-CN"/>
              </w:rPr>
              <w:t>5</w:t>
            </w:r>
            <w:r>
              <w:rPr>
                <w:rFonts w:hint="eastAsia" w:hAnsi="宋体" w:cs="宋体"/>
                <w:color w:val="auto"/>
                <w:sz w:val="21"/>
                <w:highlight w:val="none"/>
              </w:rPr>
              <w:t>分，此项满分</w:t>
            </w:r>
            <w:r>
              <w:rPr>
                <w:rFonts w:hint="eastAsia" w:hAnsi="宋体" w:cs="宋体"/>
                <w:color w:val="auto"/>
                <w:sz w:val="21"/>
                <w:highlight w:val="none"/>
                <w:lang w:val="en-US" w:eastAsia="zh-CN"/>
              </w:rPr>
              <w:t>15</w:t>
            </w:r>
            <w:r>
              <w:rPr>
                <w:rFonts w:hint="eastAsia" w:hAnsi="宋体" w:cs="宋体"/>
                <w:color w:val="auto"/>
                <w:sz w:val="21"/>
                <w:highlight w:val="none"/>
              </w:rPr>
              <w:t>分。</w:t>
            </w:r>
          </w:p>
          <w:p w14:paraId="4219F1E7">
            <w:pPr>
              <w:pStyle w:val="15"/>
              <w:spacing w:line="360" w:lineRule="exact"/>
              <w:ind w:firstLine="420" w:firstLineChars="200"/>
              <w:rPr>
                <w:rFonts w:hAnsi="宋体" w:cs="宋体"/>
                <w:color w:val="auto"/>
                <w:sz w:val="21"/>
                <w:highlight w:val="none"/>
              </w:rPr>
            </w:pPr>
            <w:r>
              <w:rPr>
                <w:rFonts w:hint="eastAsia" w:hAnsi="宋体" w:cs="宋体"/>
                <w:color w:val="auto"/>
                <w:sz w:val="21"/>
                <w:highlight w:val="none"/>
              </w:rPr>
              <w:t>注：</w:t>
            </w:r>
            <w:r>
              <w:rPr>
                <w:rFonts w:hint="eastAsia" w:hAnsi="宋体" w:cs="宋体"/>
                <w:color w:val="auto"/>
                <w:sz w:val="21"/>
                <w:highlight w:val="none"/>
                <w:lang w:val="en-US" w:eastAsia="zh-CN"/>
              </w:rPr>
              <w:t>类似项目指建设内容包含道路（公路）新建或改扩建或维修（维护）类等施工项目。</w:t>
            </w:r>
            <w:r>
              <w:rPr>
                <w:rFonts w:hint="eastAsia" w:hAnsi="宋体" w:cs="宋体"/>
                <w:color w:val="auto"/>
                <w:sz w:val="21"/>
                <w:highlight w:val="none"/>
              </w:rPr>
              <w:t>响应文件中需提供以下对应材料，并加盖竞标人单位公章，不按照要求提供资料不得分。</w:t>
            </w:r>
          </w:p>
          <w:p w14:paraId="401A835D">
            <w:pPr>
              <w:pStyle w:val="15"/>
              <w:numPr>
                <w:ilvl w:val="0"/>
                <w:numId w:val="0"/>
              </w:numPr>
              <w:spacing w:line="360" w:lineRule="exact"/>
              <w:ind w:left="420" w:leftChars="0"/>
              <w:rPr>
                <w:rFonts w:hint="eastAsia" w:ascii="宋体" w:hAnsi="宋体" w:eastAsia="宋体" w:cs="宋体"/>
                <w:color w:val="auto"/>
                <w:sz w:val="21"/>
                <w:highlight w:val="none"/>
              </w:rPr>
            </w:pPr>
            <w:r>
              <w:rPr>
                <w:rFonts w:hint="eastAsia" w:ascii="宋体" w:hAnsi="宋体" w:eastAsia="宋体" w:cs="宋体"/>
                <w:color w:val="auto"/>
                <w:sz w:val="21"/>
                <w:highlight w:val="none"/>
              </w:rPr>
              <w:t>①提供业绩一览表；</w:t>
            </w:r>
          </w:p>
          <w:p w14:paraId="741FCF65">
            <w:pPr>
              <w:pStyle w:val="15"/>
              <w:spacing w:line="360" w:lineRule="exact"/>
              <w:ind w:firstLine="420" w:firstLineChars="200"/>
              <w:rPr>
                <w:rFonts w:hint="default" w:eastAsia="宋体"/>
                <w:color w:val="auto"/>
                <w:highlight w:val="none"/>
                <w:lang w:val="en-US" w:eastAsia="zh-CN"/>
              </w:rPr>
            </w:pPr>
            <w:r>
              <w:rPr>
                <w:rFonts w:hint="eastAsia" w:ascii="宋体" w:hAnsi="宋体" w:eastAsia="宋体" w:cs="宋体"/>
                <w:color w:val="auto"/>
                <w:sz w:val="21"/>
                <w:highlight w:val="none"/>
              </w:rPr>
              <w:t>②提供合同或中标通知书复印件。</w:t>
            </w:r>
          </w:p>
        </w:tc>
        <w:tc>
          <w:tcPr>
            <w:tcW w:w="772" w:type="dxa"/>
            <w:vAlign w:val="center"/>
          </w:tcPr>
          <w:p w14:paraId="6EBDAFF6">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分</w:t>
            </w:r>
          </w:p>
        </w:tc>
      </w:tr>
      <w:tr w14:paraId="6DD2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8" w:type="dxa"/>
            <w:gridSpan w:val="3"/>
          </w:tcPr>
          <w:p w14:paraId="0A1D895C">
            <w:pPr>
              <w:pStyle w:val="15"/>
              <w:spacing w:line="360" w:lineRule="exact"/>
              <w:ind w:firstLine="420" w:firstLineChars="200"/>
              <w:rPr>
                <w:rFonts w:hAnsi="宋体" w:cs="宋体"/>
                <w:bCs/>
                <w:color w:val="auto"/>
                <w:sz w:val="21"/>
                <w:highlight w:val="none"/>
              </w:rPr>
            </w:pPr>
            <w:r>
              <w:rPr>
                <w:rFonts w:hint="eastAsia" w:hAnsi="宋体" w:cs="宋体"/>
                <w:bCs/>
                <w:color w:val="auto"/>
                <w:sz w:val="21"/>
                <w:highlight w:val="none"/>
              </w:rPr>
              <w:t>总得分＝1＋2＋3</w:t>
            </w:r>
          </w:p>
        </w:tc>
        <w:tc>
          <w:tcPr>
            <w:tcW w:w="772" w:type="dxa"/>
            <w:vAlign w:val="center"/>
          </w:tcPr>
          <w:p w14:paraId="7FEDF449">
            <w:pPr>
              <w:widowControl/>
              <w:spacing w:line="360" w:lineRule="exact"/>
              <w:jc w:val="center"/>
              <w:rPr>
                <w:rFonts w:ascii="宋体" w:hAnsi="宋体" w:cs="宋体"/>
                <w:color w:val="auto"/>
                <w:kern w:val="0"/>
                <w:szCs w:val="21"/>
                <w:highlight w:val="none"/>
              </w:rPr>
            </w:pPr>
          </w:p>
        </w:tc>
      </w:tr>
    </w:tbl>
    <w:p w14:paraId="0110E21B">
      <w:pPr>
        <w:pStyle w:val="15"/>
        <w:spacing w:line="360" w:lineRule="exact"/>
        <w:ind w:firstLine="420" w:firstLineChars="200"/>
        <w:rPr>
          <w:rFonts w:hAnsi="宋体" w:cs="宋体"/>
          <w:color w:val="auto"/>
          <w:kern w:val="2"/>
          <w:sz w:val="21"/>
          <w:szCs w:val="24"/>
          <w:highlight w:val="none"/>
        </w:rPr>
      </w:pPr>
      <w:r>
        <w:rPr>
          <w:rFonts w:hint="eastAsia" w:hAnsi="宋体" w:cs="宋体"/>
          <w:color w:val="auto"/>
          <w:kern w:val="2"/>
          <w:sz w:val="21"/>
          <w:szCs w:val="24"/>
          <w:highlight w:val="none"/>
        </w:rPr>
        <w:t>8.2商务技术评审因素为客观评分项的，应在评分项目或评分标准中予以标注为“客观分”。对供应商的客观评分项目，各评审专家评分应当一致。</w:t>
      </w:r>
    </w:p>
    <w:p w14:paraId="22D9AFC8">
      <w:pPr>
        <w:spacing w:line="360" w:lineRule="auto"/>
        <w:ind w:firstLine="420" w:firstLineChars="200"/>
        <w:rPr>
          <w:rFonts w:ascii="宋体" w:hAnsi="宋体" w:cs="宋体"/>
          <w:color w:val="auto"/>
          <w:highlight w:val="none"/>
        </w:rPr>
      </w:pPr>
      <w:bookmarkStart w:id="62" w:name="_Toc80205935"/>
      <w:r>
        <w:rPr>
          <w:rFonts w:hint="eastAsia" w:ascii="宋体" w:hAnsi="宋体" w:cs="宋体"/>
          <w:color w:val="auto"/>
          <w:highlight w:val="none"/>
        </w:rPr>
        <w:t>8.3.终止竞争性磋商采购活动</w:t>
      </w:r>
    </w:p>
    <w:p w14:paraId="6CF60E7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D2DFA20">
      <w:pPr>
        <w:pStyle w:val="3"/>
        <w:spacing w:before="0" w:after="0" w:line="360" w:lineRule="auto"/>
        <w:ind w:firstLine="640" w:firstLineChars="200"/>
        <w:jc w:val="center"/>
        <w:rPr>
          <w:rFonts w:ascii="宋体" w:hAnsi="宋体" w:cs="宋体"/>
          <w:b w:val="0"/>
          <w:color w:val="auto"/>
          <w:highlight w:val="none"/>
        </w:rPr>
      </w:pPr>
    </w:p>
    <w:p w14:paraId="4BCB96F5">
      <w:pPr>
        <w:pStyle w:val="3"/>
        <w:spacing w:before="0" w:after="0" w:line="360" w:lineRule="auto"/>
        <w:ind w:firstLine="640" w:firstLineChars="200"/>
        <w:jc w:val="center"/>
        <w:rPr>
          <w:rFonts w:ascii="宋体" w:hAnsi="宋体" w:cs="宋体"/>
          <w:b w:val="0"/>
          <w:color w:val="auto"/>
          <w:highlight w:val="none"/>
        </w:rPr>
      </w:pPr>
      <w:bookmarkStart w:id="63" w:name="_Toc1930"/>
      <w:r>
        <w:rPr>
          <w:rFonts w:hint="eastAsia" w:ascii="宋体" w:hAnsi="宋体" w:cs="宋体"/>
          <w:b w:val="0"/>
          <w:color w:val="auto"/>
          <w:highlight w:val="none"/>
        </w:rPr>
        <w:t>第二节 评标报告</w:t>
      </w:r>
      <w:bookmarkEnd w:id="62"/>
      <w:bookmarkEnd w:id="63"/>
    </w:p>
    <w:p w14:paraId="09946DEA">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1.成交标准</w:t>
      </w:r>
    </w:p>
    <w:p w14:paraId="23DFA464">
      <w:pP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35DDA07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0A188442">
      <w:pPr>
        <w:pStyle w:val="36"/>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D4818A8">
      <w:pPr>
        <w:pStyle w:val="3"/>
        <w:spacing w:before="0" w:after="0" w:line="360" w:lineRule="auto"/>
        <w:ind w:firstLine="640" w:firstLineChars="200"/>
        <w:jc w:val="center"/>
        <w:rPr>
          <w:rFonts w:ascii="宋体" w:hAnsi="宋体" w:cs="宋体"/>
          <w:b w:val="0"/>
          <w:color w:val="auto"/>
          <w:highlight w:val="none"/>
        </w:rPr>
      </w:pPr>
      <w:bookmarkStart w:id="64" w:name="_Toc80205936"/>
      <w:bookmarkStart w:id="65" w:name="_Toc23409"/>
      <w:r>
        <w:rPr>
          <w:rFonts w:hint="eastAsia" w:ascii="宋体" w:hAnsi="宋体" w:cs="宋体"/>
          <w:b w:val="0"/>
          <w:color w:val="auto"/>
          <w:highlight w:val="none"/>
        </w:rPr>
        <w:t>第三节 评审过程的保密与录像</w:t>
      </w:r>
      <w:bookmarkEnd w:id="64"/>
      <w:bookmarkEnd w:id="65"/>
    </w:p>
    <w:p w14:paraId="17A89E81">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1.保密。</w:t>
      </w:r>
    </w:p>
    <w:p w14:paraId="4E21B052">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7F64B01">
      <w:pPr>
        <w:widowControl/>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2.录音录像。</w:t>
      </w:r>
    </w:p>
    <w:p w14:paraId="2CD4CE1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r>
        <w:rPr>
          <w:rFonts w:hint="eastAsia" w:ascii="宋体" w:hAnsi="宋体" w:cs="宋体"/>
          <w:b/>
          <w:bCs/>
          <w:color w:val="auto"/>
          <w:highlight w:val="none"/>
        </w:rPr>
        <w:br w:type="page"/>
      </w:r>
    </w:p>
    <w:p w14:paraId="134FD470">
      <w:pPr>
        <w:pStyle w:val="3"/>
        <w:jc w:val="center"/>
        <w:rPr>
          <w:rFonts w:ascii="宋体" w:hAnsi="宋体" w:cs="宋体"/>
          <w:color w:val="auto"/>
          <w:highlight w:val="none"/>
        </w:rPr>
      </w:pPr>
    </w:p>
    <w:p w14:paraId="6984856D">
      <w:pPr>
        <w:pStyle w:val="3"/>
        <w:jc w:val="center"/>
        <w:rPr>
          <w:rFonts w:ascii="宋体" w:hAnsi="宋体" w:cs="宋体"/>
          <w:color w:val="auto"/>
          <w:highlight w:val="none"/>
        </w:rPr>
      </w:pPr>
    </w:p>
    <w:p w14:paraId="63E2D7F1">
      <w:pPr>
        <w:pStyle w:val="3"/>
        <w:jc w:val="center"/>
        <w:rPr>
          <w:rFonts w:ascii="宋体" w:hAnsi="宋体" w:cs="宋体"/>
          <w:color w:val="auto"/>
          <w:highlight w:val="none"/>
        </w:rPr>
      </w:pPr>
    </w:p>
    <w:p w14:paraId="4E7873A1">
      <w:pPr>
        <w:pStyle w:val="3"/>
        <w:jc w:val="center"/>
        <w:rPr>
          <w:rFonts w:ascii="宋体" w:hAnsi="宋体" w:cs="宋体"/>
          <w:color w:val="auto"/>
          <w:highlight w:val="none"/>
        </w:rPr>
      </w:pPr>
    </w:p>
    <w:p w14:paraId="2B89985F">
      <w:pPr>
        <w:pStyle w:val="3"/>
        <w:rPr>
          <w:rFonts w:ascii="宋体" w:hAnsi="宋体" w:cs="宋体"/>
          <w:color w:val="auto"/>
          <w:highlight w:val="none"/>
        </w:rPr>
      </w:pPr>
    </w:p>
    <w:p w14:paraId="0BADD0AA">
      <w:pPr>
        <w:pStyle w:val="2"/>
        <w:jc w:val="center"/>
        <w:rPr>
          <w:rFonts w:ascii="宋体" w:hAnsi="宋体" w:cs="宋体"/>
          <w:color w:val="auto"/>
          <w:highlight w:val="none"/>
        </w:rPr>
      </w:pPr>
      <w:bookmarkStart w:id="66" w:name="_Toc13484"/>
      <w:r>
        <w:rPr>
          <w:rFonts w:hint="eastAsia" w:ascii="宋体" w:hAnsi="宋体" w:cs="宋体"/>
          <w:color w:val="auto"/>
          <w:highlight w:val="none"/>
        </w:rPr>
        <w:t>第五章 响应文件格式</w:t>
      </w:r>
      <w:bookmarkEnd w:id="66"/>
    </w:p>
    <w:p w14:paraId="068E6DBE">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193823E4">
      <w:pPr>
        <w:pStyle w:val="3"/>
        <w:jc w:val="center"/>
        <w:rPr>
          <w:rFonts w:ascii="宋体" w:hAnsi="宋体" w:cs="宋体"/>
          <w:b w:val="0"/>
          <w:color w:val="auto"/>
          <w:highlight w:val="none"/>
        </w:rPr>
      </w:pPr>
      <w:bookmarkStart w:id="67" w:name="_Toc80205938"/>
      <w:bookmarkStart w:id="68" w:name="_Toc7129"/>
      <w:r>
        <w:rPr>
          <w:rFonts w:hint="eastAsia" w:ascii="宋体" w:hAnsi="宋体" w:cs="宋体"/>
          <w:b w:val="0"/>
          <w:color w:val="auto"/>
          <w:highlight w:val="none"/>
        </w:rPr>
        <w:t>第一节 封面格式</w:t>
      </w:r>
      <w:bookmarkEnd w:id="67"/>
      <w:bookmarkEnd w:id="68"/>
    </w:p>
    <w:p w14:paraId="2ED29E35">
      <w:pPr>
        <w:snapToGrid w:val="0"/>
        <w:spacing w:before="120" w:beforeLines="50" w:after="50"/>
        <w:rPr>
          <w:rFonts w:ascii="宋体" w:hAnsi="宋体" w:cs="宋体"/>
          <w:color w:val="auto"/>
          <w:sz w:val="24"/>
          <w:szCs w:val="20"/>
          <w:highlight w:val="none"/>
        </w:rPr>
      </w:pPr>
    </w:p>
    <w:p w14:paraId="11A65364">
      <w:pPr>
        <w:snapToGrid w:val="0"/>
        <w:spacing w:before="120" w:beforeLines="50" w:after="50"/>
        <w:jc w:val="center"/>
        <w:rPr>
          <w:rFonts w:ascii="宋体" w:hAnsi="宋体" w:cs="宋体"/>
          <w:bCs/>
          <w:color w:val="auto"/>
          <w:sz w:val="24"/>
          <w:szCs w:val="20"/>
          <w:highlight w:val="none"/>
        </w:rPr>
      </w:pPr>
    </w:p>
    <w:p w14:paraId="3A691E10">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2C17FA8D">
      <w:pPr>
        <w:snapToGrid w:val="0"/>
        <w:spacing w:before="120" w:beforeLines="50" w:after="50"/>
        <w:rPr>
          <w:rFonts w:ascii="宋体" w:hAnsi="宋体" w:cs="宋体"/>
          <w:bCs/>
          <w:color w:val="auto"/>
          <w:sz w:val="24"/>
          <w:szCs w:val="20"/>
          <w:highlight w:val="none"/>
        </w:rPr>
      </w:pPr>
    </w:p>
    <w:p w14:paraId="28ECDE26">
      <w:pPr>
        <w:snapToGrid w:val="0"/>
        <w:spacing w:before="120" w:beforeLines="50" w:after="50"/>
        <w:rPr>
          <w:rFonts w:ascii="宋体" w:hAnsi="宋体" w:cs="宋体"/>
          <w:bCs/>
          <w:color w:val="auto"/>
          <w:sz w:val="24"/>
          <w:szCs w:val="20"/>
          <w:highlight w:val="none"/>
        </w:rPr>
      </w:pPr>
    </w:p>
    <w:p w14:paraId="543E811C">
      <w:pPr>
        <w:snapToGrid w:val="0"/>
        <w:spacing w:before="120" w:beforeLines="50" w:after="50"/>
        <w:rPr>
          <w:rFonts w:ascii="宋体" w:hAnsi="宋体" w:cs="宋体"/>
          <w:bCs/>
          <w:color w:val="auto"/>
          <w:sz w:val="32"/>
          <w:szCs w:val="32"/>
          <w:highlight w:val="none"/>
        </w:rPr>
      </w:pPr>
    </w:p>
    <w:p w14:paraId="618F1A9F">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69" w:name="PO_3000001868_PM002_2"/>
      <w:r>
        <w:rPr>
          <w:rFonts w:hint="eastAsia" w:ascii="宋体" w:hAnsi="宋体" w:cs="宋体"/>
          <w:bCs/>
          <w:color w:val="auto"/>
          <w:sz w:val="32"/>
          <w:szCs w:val="32"/>
          <w:highlight w:val="none"/>
        </w:rPr>
        <w:t>[项目名称]</w:t>
      </w:r>
      <w:bookmarkEnd w:id="69"/>
    </w:p>
    <w:p w14:paraId="3EDDC72D">
      <w:pPr>
        <w:snapToGrid w:val="0"/>
        <w:spacing w:before="120" w:beforeLines="50" w:after="50"/>
        <w:ind w:firstLine="480" w:firstLineChars="150"/>
        <w:rPr>
          <w:rFonts w:ascii="宋体" w:hAnsi="宋体" w:cs="宋体"/>
          <w:bCs/>
          <w:color w:val="auto"/>
          <w:sz w:val="32"/>
          <w:szCs w:val="32"/>
          <w:highlight w:val="none"/>
        </w:rPr>
      </w:pPr>
    </w:p>
    <w:p w14:paraId="4523A07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0" w:name="PO_3000001868_PM001_4"/>
      <w:r>
        <w:rPr>
          <w:rFonts w:hint="eastAsia" w:ascii="宋体" w:hAnsi="宋体" w:cs="宋体"/>
          <w:bCs/>
          <w:color w:val="auto"/>
          <w:sz w:val="32"/>
          <w:szCs w:val="32"/>
          <w:highlight w:val="none"/>
        </w:rPr>
        <w:t>[项目编号]</w:t>
      </w:r>
      <w:bookmarkEnd w:id="70"/>
    </w:p>
    <w:p w14:paraId="32D6EB21">
      <w:pPr>
        <w:snapToGrid w:val="0"/>
        <w:spacing w:before="120" w:beforeLines="50" w:after="50"/>
        <w:ind w:firstLine="480" w:firstLineChars="150"/>
        <w:rPr>
          <w:rFonts w:ascii="宋体" w:hAnsi="宋体" w:cs="宋体"/>
          <w:bCs/>
          <w:color w:val="auto"/>
          <w:sz w:val="32"/>
          <w:szCs w:val="32"/>
          <w:highlight w:val="none"/>
        </w:rPr>
      </w:pPr>
    </w:p>
    <w:p w14:paraId="242EBDBF">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28F42B97">
      <w:pPr>
        <w:snapToGrid w:val="0"/>
        <w:spacing w:before="120" w:beforeLines="50" w:after="50"/>
        <w:rPr>
          <w:rFonts w:ascii="宋体" w:hAnsi="宋体" w:cs="宋体"/>
          <w:bCs/>
          <w:color w:val="auto"/>
          <w:sz w:val="32"/>
          <w:szCs w:val="32"/>
          <w:highlight w:val="none"/>
        </w:rPr>
      </w:pPr>
    </w:p>
    <w:p w14:paraId="1D857DA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9EF6105">
      <w:pPr>
        <w:snapToGrid w:val="0"/>
        <w:spacing w:before="120" w:beforeLines="50" w:after="50"/>
        <w:rPr>
          <w:rFonts w:ascii="宋体" w:hAnsi="宋体" w:cs="宋体"/>
          <w:bCs/>
          <w:color w:val="auto"/>
          <w:sz w:val="32"/>
          <w:szCs w:val="32"/>
          <w:highlight w:val="none"/>
        </w:rPr>
      </w:pPr>
    </w:p>
    <w:p w14:paraId="32D6B3FF">
      <w:pPr>
        <w:snapToGrid w:val="0"/>
        <w:spacing w:before="120" w:beforeLines="50" w:after="50"/>
        <w:ind w:firstLine="480" w:firstLineChars="1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6E6B9C6B">
      <w:pPr>
        <w:snapToGrid w:val="0"/>
        <w:spacing w:before="120" w:beforeLines="50" w:after="50"/>
        <w:ind w:firstLine="5440" w:firstLineChars="1700"/>
        <w:jc w:val="center"/>
        <w:rPr>
          <w:rFonts w:ascii="宋体" w:hAnsi="宋体" w:cs="宋体"/>
          <w:bCs/>
          <w:color w:val="auto"/>
          <w:sz w:val="32"/>
          <w:szCs w:val="32"/>
          <w:highlight w:val="none"/>
        </w:rPr>
      </w:pPr>
    </w:p>
    <w:p w14:paraId="78738FEB">
      <w:pPr>
        <w:snapToGrid w:val="0"/>
        <w:spacing w:before="120" w:beforeLines="50" w:after="50"/>
        <w:ind w:firstLine="645"/>
        <w:jc w:val="center"/>
        <w:rPr>
          <w:rFonts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478052D5">
      <w:pPr>
        <w:widowControl/>
        <w:jc w:val="left"/>
        <w:rPr>
          <w:rFonts w:ascii="宋体" w:hAnsi="宋体" w:cs="宋体"/>
          <w:color w:val="auto"/>
          <w:highlight w:val="none"/>
        </w:rPr>
        <w:sectPr>
          <w:pgSz w:w="11910" w:h="16840"/>
          <w:pgMar w:top="1340" w:right="1500" w:bottom="280" w:left="1680" w:header="720" w:footer="720" w:gutter="0"/>
          <w:cols w:space="720" w:num="1"/>
        </w:sectPr>
      </w:pPr>
    </w:p>
    <w:p w14:paraId="5F356B04">
      <w:pPr>
        <w:pStyle w:val="3"/>
        <w:jc w:val="center"/>
        <w:rPr>
          <w:rFonts w:ascii="宋体" w:hAnsi="宋体" w:cs="宋体"/>
          <w:bCs w:val="0"/>
          <w:color w:val="auto"/>
          <w:highlight w:val="none"/>
        </w:rPr>
      </w:pPr>
      <w:bookmarkStart w:id="71" w:name="_Toc30886"/>
      <w:bookmarkStart w:id="72" w:name="_Toc80205939"/>
      <w:r>
        <w:rPr>
          <w:rFonts w:hint="eastAsia" w:ascii="宋体" w:hAnsi="宋体" w:cs="宋体"/>
          <w:bCs w:val="0"/>
          <w:color w:val="auto"/>
          <w:highlight w:val="none"/>
        </w:rPr>
        <w:t>第二节 资格证明文件格式</w:t>
      </w:r>
      <w:bookmarkEnd w:id="71"/>
      <w:bookmarkEnd w:id="72"/>
    </w:p>
    <w:p w14:paraId="41EDA82A">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03494C02">
      <w:pPr>
        <w:snapToGrid w:val="0"/>
        <w:spacing w:before="120" w:beforeLines="50" w:after="50"/>
        <w:rPr>
          <w:rFonts w:ascii="宋体" w:hAnsi="宋体" w:cs="宋体"/>
          <w:color w:val="auto"/>
          <w:sz w:val="24"/>
          <w:szCs w:val="20"/>
          <w:highlight w:val="none"/>
        </w:rPr>
      </w:pPr>
    </w:p>
    <w:p w14:paraId="5E19545B">
      <w:pPr>
        <w:snapToGrid w:val="0"/>
        <w:spacing w:before="120" w:beforeLines="50" w:after="50"/>
        <w:rPr>
          <w:rFonts w:ascii="宋体" w:hAnsi="宋体" w:cs="宋体"/>
          <w:color w:val="auto"/>
          <w:sz w:val="24"/>
          <w:szCs w:val="20"/>
          <w:highlight w:val="none"/>
        </w:rPr>
      </w:pPr>
    </w:p>
    <w:p w14:paraId="32FBDDBF">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09F38A28">
      <w:pPr>
        <w:snapToGrid w:val="0"/>
        <w:spacing w:before="120" w:beforeLines="50" w:after="50"/>
        <w:rPr>
          <w:rFonts w:ascii="宋体" w:hAnsi="宋体" w:cs="宋体"/>
          <w:bCs/>
          <w:color w:val="auto"/>
          <w:sz w:val="24"/>
          <w:szCs w:val="20"/>
          <w:highlight w:val="none"/>
        </w:rPr>
      </w:pPr>
    </w:p>
    <w:p w14:paraId="4A6F497A">
      <w:pPr>
        <w:snapToGrid w:val="0"/>
        <w:spacing w:before="120" w:beforeLines="50" w:after="50"/>
        <w:rPr>
          <w:rFonts w:ascii="宋体" w:hAnsi="宋体" w:cs="宋体"/>
          <w:bCs/>
          <w:color w:val="auto"/>
          <w:sz w:val="24"/>
          <w:szCs w:val="20"/>
          <w:highlight w:val="none"/>
        </w:rPr>
      </w:pPr>
    </w:p>
    <w:p w14:paraId="442E0BDA">
      <w:pPr>
        <w:snapToGrid w:val="0"/>
        <w:spacing w:before="120" w:beforeLines="50" w:after="50"/>
        <w:rPr>
          <w:rFonts w:ascii="宋体" w:hAnsi="宋体" w:cs="宋体"/>
          <w:bCs/>
          <w:color w:val="auto"/>
          <w:sz w:val="24"/>
          <w:szCs w:val="20"/>
          <w:highlight w:val="none"/>
        </w:rPr>
      </w:pPr>
    </w:p>
    <w:p w14:paraId="7445E96E">
      <w:pPr>
        <w:snapToGrid w:val="0"/>
        <w:spacing w:before="120" w:beforeLines="50" w:after="50"/>
        <w:rPr>
          <w:rFonts w:ascii="宋体" w:hAnsi="宋体" w:cs="宋体"/>
          <w:bCs/>
          <w:color w:val="auto"/>
          <w:sz w:val="24"/>
          <w:szCs w:val="20"/>
          <w:highlight w:val="none"/>
        </w:rPr>
      </w:pPr>
    </w:p>
    <w:p w14:paraId="70828D4C">
      <w:pPr>
        <w:snapToGrid w:val="0"/>
        <w:spacing w:before="120" w:beforeLines="50" w:after="50"/>
        <w:rPr>
          <w:rFonts w:ascii="宋体" w:hAnsi="宋体" w:cs="宋体"/>
          <w:bCs/>
          <w:color w:val="auto"/>
          <w:sz w:val="24"/>
          <w:szCs w:val="20"/>
          <w:highlight w:val="none"/>
        </w:rPr>
      </w:pPr>
    </w:p>
    <w:p w14:paraId="71B50F83">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3" w:name="PO_3000001868_PM002_3"/>
      <w:r>
        <w:rPr>
          <w:rFonts w:hint="eastAsia" w:ascii="宋体" w:hAnsi="宋体" w:cs="宋体"/>
          <w:bCs/>
          <w:color w:val="auto"/>
          <w:sz w:val="32"/>
          <w:szCs w:val="32"/>
          <w:highlight w:val="none"/>
        </w:rPr>
        <w:t>[项目名称]</w:t>
      </w:r>
      <w:bookmarkEnd w:id="73"/>
    </w:p>
    <w:p w14:paraId="37E0D4E4">
      <w:pPr>
        <w:snapToGrid w:val="0"/>
        <w:spacing w:before="120" w:beforeLines="50" w:after="50"/>
        <w:ind w:firstLine="720" w:firstLineChars="225"/>
        <w:rPr>
          <w:rFonts w:ascii="宋体" w:hAnsi="宋体" w:cs="宋体"/>
          <w:bCs/>
          <w:color w:val="auto"/>
          <w:sz w:val="32"/>
          <w:szCs w:val="32"/>
          <w:highlight w:val="none"/>
        </w:rPr>
      </w:pPr>
    </w:p>
    <w:p w14:paraId="01CAB8FB">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4" w:name="PO_3000001868_PM001_5"/>
      <w:r>
        <w:rPr>
          <w:rFonts w:hint="eastAsia" w:ascii="宋体" w:hAnsi="宋体" w:cs="宋体"/>
          <w:bCs/>
          <w:color w:val="auto"/>
          <w:sz w:val="32"/>
          <w:szCs w:val="32"/>
          <w:highlight w:val="none"/>
        </w:rPr>
        <w:t>[项目编号]</w:t>
      </w:r>
      <w:bookmarkEnd w:id="74"/>
    </w:p>
    <w:p w14:paraId="24F54239">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3146BB04">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3A2EF7FA">
      <w:pPr>
        <w:snapToGrid w:val="0"/>
        <w:spacing w:before="120" w:beforeLines="50" w:after="50"/>
        <w:ind w:firstLine="720" w:firstLineChars="225"/>
        <w:rPr>
          <w:rFonts w:ascii="宋体" w:hAnsi="宋体" w:cs="宋体"/>
          <w:bCs/>
          <w:color w:val="auto"/>
          <w:sz w:val="32"/>
          <w:szCs w:val="32"/>
          <w:highlight w:val="none"/>
        </w:rPr>
      </w:pPr>
    </w:p>
    <w:p w14:paraId="2050E877">
      <w:pPr>
        <w:pStyle w:val="8"/>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1173C880">
      <w:pPr>
        <w:pStyle w:val="8"/>
        <w:snapToGrid w:val="0"/>
        <w:spacing w:before="50" w:after="50"/>
        <w:ind w:firstLine="720" w:firstLineChars="225"/>
        <w:rPr>
          <w:rFonts w:ascii="宋体" w:hAnsi="宋体" w:cs="宋体"/>
          <w:bCs/>
          <w:color w:val="auto"/>
          <w:sz w:val="32"/>
          <w:szCs w:val="32"/>
          <w:highlight w:val="none"/>
        </w:rPr>
      </w:pPr>
    </w:p>
    <w:p w14:paraId="3384A684">
      <w:pPr>
        <w:pStyle w:val="8"/>
        <w:snapToGrid w:val="0"/>
        <w:spacing w:before="50" w:after="50"/>
        <w:ind w:firstLine="720" w:firstLineChars="225"/>
        <w:rPr>
          <w:rFonts w:ascii="宋体" w:hAnsi="宋体" w:cs="宋体"/>
          <w:bCs/>
          <w:color w:val="auto"/>
          <w:sz w:val="32"/>
          <w:szCs w:val="32"/>
          <w:highlight w:val="none"/>
        </w:rPr>
      </w:pPr>
    </w:p>
    <w:p w14:paraId="573CB0D9">
      <w:pPr>
        <w:pStyle w:val="8"/>
        <w:snapToGrid w:val="0"/>
        <w:spacing w:before="50" w:after="50"/>
        <w:ind w:firstLine="720" w:firstLineChars="225"/>
        <w:rPr>
          <w:rFonts w:ascii="宋体" w:hAnsi="宋体" w:cs="宋体"/>
          <w:bCs/>
          <w:color w:val="auto"/>
          <w:sz w:val="32"/>
          <w:szCs w:val="32"/>
          <w:highlight w:val="none"/>
        </w:rPr>
      </w:pPr>
    </w:p>
    <w:p w14:paraId="770FC600">
      <w:pPr>
        <w:pStyle w:val="8"/>
        <w:snapToGrid w:val="0"/>
        <w:spacing w:before="50" w:after="50"/>
        <w:ind w:firstLine="1280" w:firstLineChars="400"/>
        <w:rPr>
          <w:rFonts w:ascii="宋体" w:hAnsi="宋体" w:cs="宋体"/>
          <w:bCs/>
          <w:color w:val="auto"/>
          <w:sz w:val="32"/>
          <w:szCs w:val="32"/>
          <w:highlight w:val="none"/>
        </w:rPr>
      </w:pPr>
    </w:p>
    <w:p w14:paraId="0D46C6DE">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BB82489">
      <w:pPr>
        <w:snapToGrid w:val="0"/>
        <w:spacing w:before="120" w:beforeLines="50" w:after="50" w:line="360" w:lineRule="auto"/>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 xml:space="preserve"> </w:t>
      </w:r>
    </w:p>
    <w:p w14:paraId="0DA4B4B3">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1F230133">
      <w:pPr>
        <w:snapToGrid w:val="0"/>
        <w:spacing w:line="360" w:lineRule="auto"/>
        <w:rPr>
          <w:rFonts w:ascii="宋体" w:hAnsi="宋体" w:cs="宋体"/>
          <w:color w:val="auto"/>
          <w:kern w:val="0"/>
          <w:sz w:val="24"/>
          <w:highlight w:val="none"/>
        </w:rPr>
      </w:pPr>
    </w:p>
    <w:p w14:paraId="493E3E7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一、营业执照(或事业法人登记证或其他工商等登记证明材料)复印件（供应商为自然人的，须提供自然人的身份证明）…………………………………………（页码）</w:t>
      </w:r>
    </w:p>
    <w:p w14:paraId="7107250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二、竞标人根据防财监〔2023〕58 号文要求提供的《防城港市政府采购供应商信用承诺函》……………………………………………………………………（页码）</w:t>
      </w:r>
    </w:p>
    <w:p w14:paraId="6BAAB7E8">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、供应商直接控股股东信息…………………………………………………（页码）</w:t>
      </w:r>
    </w:p>
    <w:p w14:paraId="4A9AB892">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、供应商直接关联关系信息表………………………………………………（页码）</w:t>
      </w:r>
    </w:p>
    <w:p w14:paraId="2952EC3C">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、竞标声明…………………………………………………………………（页码）</w:t>
      </w:r>
    </w:p>
    <w:p w14:paraId="171B65C5">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、中小企业声明函或残疾人福利性单位声明函或属于监狱企业的证明文件…（页码）</w:t>
      </w:r>
    </w:p>
    <w:p w14:paraId="3AF8F5F7">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资格条件正面材料：</w:t>
      </w:r>
      <w:r>
        <w:rPr>
          <w:rFonts w:hint="default" w:ascii="宋体" w:hAnsi="宋体" w:eastAsia="宋体" w:cs="宋体"/>
          <w:color w:val="auto"/>
          <w:sz w:val="24"/>
          <w:highlight w:val="none"/>
          <w:lang w:eastAsia="zh-CN"/>
        </w:rPr>
        <w:t>①</w:t>
      </w:r>
      <w:r>
        <w:rPr>
          <w:rFonts w:hint="eastAsia" w:ascii="宋体" w:hAnsi="宋体" w:eastAsia="宋体" w:cs="宋体"/>
          <w:color w:val="auto"/>
          <w:sz w:val="24"/>
          <w:highlight w:val="none"/>
        </w:rPr>
        <w:t>供应商须具备公路工程施工总承包叁级(含)以上资质，</w:t>
      </w:r>
      <w:r>
        <w:rPr>
          <w:rFonts w:hint="eastAsia" w:ascii="宋体" w:hAnsi="宋体" w:eastAsia="宋体" w:cs="宋体"/>
          <w:color w:val="auto"/>
          <w:sz w:val="24"/>
          <w:highlight w:val="none"/>
          <w:lang w:val="en-US" w:eastAsia="zh-CN"/>
        </w:rPr>
        <w:t>同时</w:t>
      </w:r>
      <w:r>
        <w:rPr>
          <w:rFonts w:hint="eastAsia" w:ascii="宋体" w:hAnsi="宋体" w:eastAsia="宋体" w:cs="宋体"/>
          <w:color w:val="auto"/>
          <w:sz w:val="24"/>
          <w:highlight w:val="none"/>
        </w:rPr>
        <w:t>持有省级及以上建设行政主管部门颁发的安全生产许可证；</w:t>
      </w:r>
      <w:r>
        <w:rPr>
          <w:rFonts w:hint="default" w:ascii="宋体" w:hAnsi="宋体" w:eastAsia="宋体" w:cs="宋体"/>
          <w:color w:val="auto"/>
          <w:sz w:val="24"/>
          <w:highlight w:val="none"/>
        </w:rPr>
        <w:t>②</w:t>
      </w:r>
      <w:r>
        <w:rPr>
          <w:rFonts w:hint="eastAsia" w:ascii="宋体" w:hAnsi="宋体" w:eastAsia="宋体" w:cs="宋体"/>
          <w:color w:val="auto"/>
          <w:sz w:val="24"/>
          <w:highlight w:val="none"/>
          <w:lang w:val="en-US" w:eastAsia="zh-CN"/>
        </w:rPr>
        <w:t>拟投入本项目的</w:t>
      </w:r>
      <w:r>
        <w:rPr>
          <w:rFonts w:hint="eastAsia" w:ascii="宋体" w:hAnsi="宋体" w:eastAsia="宋体" w:cs="宋体"/>
          <w:color w:val="auto"/>
          <w:sz w:val="24"/>
          <w:highlight w:val="none"/>
        </w:rPr>
        <w:t>项目经理须</w:t>
      </w:r>
      <w:r>
        <w:rPr>
          <w:rFonts w:hint="eastAsia" w:ascii="宋体" w:hAnsi="宋体" w:eastAsia="宋体" w:cs="宋体"/>
          <w:color w:val="auto"/>
          <w:sz w:val="24"/>
          <w:highlight w:val="none"/>
          <w:lang w:val="en-US" w:eastAsia="zh-CN"/>
        </w:rPr>
        <w:t>具备</w:t>
      </w:r>
      <w:r>
        <w:rPr>
          <w:rFonts w:hint="eastAsia" w:ascii="宋体" w:hAnsi="宋体" w:eastAsia="宋体" w:cs="宋体"/>
          <w:color w:val="auto"/>
          <w:sz w:val="24"/>
          <w:highlight w:val="none"/>
        </w:rPr>
        <w:t>公路工程专业</w:t>
      </w:r>
      <w:r>
        <w:rPr>
          <w:rFonts w:hint="eastAsia" w:ascii="宋体" w:hAnsi="宋体" w:eastAsia="宋体" w:cs="宋体"/>
          <w:color w:val="auto"/>
          <w:sz w:val="24"/>
          <w:highlight w:val="none"/>
          <w:lang w:val="en-US" w:eastAsia="zh-CN"/>
        </w:rPr>
        <w:t>贰</w:t>
      </w:r>
      <w:r>
        <w:rPr>
          <w:rFonts w:hint="eastAsia" w:ascii="宋体" w:hAnsi="宋体" w:eastAsia="宋体" w:cs="宋体"/>
          <w:color w:val="auto"/>
          <w:sz w:val="24"/>
          <w:highlight w:val="none"/>
        </w:rPr>
        <w:t>级以上(含</w:t>
      </w:r>
      <w:r>
        <w:rPr>
          <w:rFonts w:hint="eastAsia" w:ascii="宋体" w:hAnsi="宋体" w:eastAsia="宋体" w:cs="宋体"/>
          <w:color w:val="auto"/>
          <w:sz w:val="24"/>
          <w:highlight w:val="none"/>
          <w:lang w:val="en-US" w:eastAsia="zh-CN"/>
        </w:rPr>
        <w:t>贰级</w:t>
      </w:r>
      <w:r>
        <w:rPr>
          <w:rFonts w:hint="eastAsia" w:ascii="宋体" w:hAnsi="宋体" w:eastAsia="宋体" w:cs="宋体"/>
          <w:color w:val="auto"/>
          <w:sz w:val="24"/>
          <w:highlight w:val="none"/>
        </w:rPr>
        <w:t>)注册建造师资格，并持有省级或以上交通运输行政主管部门颁发的安全生产考核合格证(“三类人员”B 类证书)</w:t>
      </w:r>
      <w:r>
        <w:rPr>
          <w:rFonts w:hint="eastAsia" w:ascii="宋体" w:hAnsi="宋体" w:eastAsia="宋体" w:cs="宋体"/>
          <w:color w:val="auto"/>
          <w:sz w:val="24"/>
          <w:highlight w:val="none"/>
          <w:lang w:eastAsia="zh-CN"/>
        </w:rPr>
        <w:t>，</w:t>
      </w:r>
      <w:r>
        <w:rPr>
          <w:rFonts w:hint="default" w:ascii="宋体" w:hAnsi="宋体" w:eastAsia="宋体" w:cs="宋体"/>
          <w:color w:val="auto"/>
          <w:sz w:val="24"/>
          <w:highlight w:val="none"/>
          <w:lang w:eastAsia="zh-CN"/>
        </w:rPr>
        <w:t>③</w:t>
      </w:r>
      <w:r>
        <w:rPr>
          <w:rFonts w:hint="eastAsia" w:ascii="宋体" w:hAnsi="宋体" w:eastAsia="宋体" w:cs="宋体"/>
          <w:color w:val="auto"/>
          <w:sz w:val="24"/>
          <w:highlight w:val="none"/>
          <w:lang w:val="en-US" w:eastAsia="zh-CN"/>
        </w:rPr>
        <w:t>拟投入本项目的安全员应具有省级（或以上）交通主管部门颁发的《安全生产考核合格证书》 C证</w:t>
      </w:r>
      <w:r>
        <w:rPr>
          <w:rFonts w:hint="eastAsia" w:ascii="宋体" w:hAnsi="宋体" w:eastAsia="宋体" w:cs="宋体"/>
          <w:color w:val="auto"/>
          <w:sz w:val="24"/>
          <w:highlight w:val="none"/>
        </w:rPr>
        <w:t>…</w:t>
      </w:r>
      <w:r>
        <w:rPr>
          <w:rFonts w:hint="eastAsia" w:ascii="宋体" w:hAnsi="宋体" w:cs="宋体"/>
          <w:color w:val="auto"/>
          <w:kern w:val="0"/>
          <w:sz w:val="24"/>
          <w:highlight w:val="none"/>
        </w:rPr>
        <w:t>……………（页码）</w:t>
      </w:r>
    </w:p>
    <w:p w14:paraId="53E1D3D4">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八、承诺函</w:t>
      </w:r>
      <w:r>
        <w:rPr>
          <w:rFonts w:hint="eastAsia" w:ascii="宋体" w:hAnsi="宋体" w:eastAsia="宋体" w:cs="宋体"/>
          <w:color w:val="auto"/>
          <w:sz w:val="24"/>
          <w:highlight w:val="none"/>
        </w:rPr>
        <w:t>…</w:t>
      </w:r>
      <w:r>
        <w:rPr>
          <w:rFonts w:hint="eastAsia" w:ascii="宋体" w:hAnsi="宋体" w:cs="宋体"/>
          <w:color w:val="auto"/>
          <w:kern w:val="0"/>
          <w:sz w:val="24"/>
          <w:highlight w:val="none"/>
        </w:rPr>
        <w:t>……………（页码）</w:t>
      </w:r>
    </w:p>
    <w:p w14:paraId="01AEA020">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24CAF2CE">
      <w:pPr>
        <w:snapToGrid w:val="0"/>
        <w:spacing w:before="120" w:beforeLines="50" w:after="50" w:line="360" w:lineRule="auto"/>
        <w:ind w:left="142" w:firstLine="420" w:firstLineChars="200"/>
        <w:jc w:val="left"/>
        <w:rPr>
          <w:rFonts w:ascii="宋体" w:hAnsi="宋体" w:cs="宋体"/>
          <w:color w:val="auto"/>
          <w:szCs w:val="21"/>
          <w:highlight w:val="none"/>
        </w:rPr>
      </w:pPr>
    </w:p>
    <w:p w14:paraId="36E92DC7">
      <w:pPr>
        <w:spacing w:line="300" w:lineRule="auto"/>
        <w:rPr>
          <w:rFonts w:ascii="宋体" w:hAnsi="宋体" w:cs="宋体"/>
          <w:color w:val="auto"/>
          <w:szCs w:val="21"/>
          <w:highlight w:val="none"/>
        </w:rPr>
      </w:pPr>
    </w:p>
    <w:p w14:paraId="4993EEA5">
      <w:pPr>
        <w:spacing w:line="300" w:lineRule="auto"/>
        <w:rPr>
          <w:rFonts w:ascii="宋体" w:hAnsi="宋体" w:cs="宋体"/>
          <w:color w:val="auto"/>
          <w:szCs w:val="21"/>
          <w:highlight w:val="none"/>
        </w:rPr>
      </w:pPr>
    </w:p>
    <w:p w14:paraId="348DFE01">
      <w:pPr>
        <w:spacing w:line="300" w:lineRule="auto"/>
        <w:rPr>
          <w:rFonts w:ascii="宋体" w:hAnsi="宋体" w:cs="宋体"/>
          <w:color w:val="auto"/>
          <w:szCs w:val="21"/>
          <w:highlight w:val="none"/>
        </w:rPr>
      </w:pPr>
    </w:p>
    <w:p w14:paraId="4DDBA271">
      <w:pPr>
        <w:spacing w:line="300" w:lineRule="auto"/>
        <w:rPr>
          <w:rFonts w:ascii="宋体" w:hAnsi="宋体" w:cs="宋体"/>
          <w:color w:val="auto"/>
          <w:szCs w:val="21"/>
          <w:highlight w:val="none"/>
        </w:rPr>
      </w:pPr>
    </w:p>
    <w:p w14:paraId="29F171EF">
      <w:pPr>
        <w:spacing w:line="300" w:lineRule="auto"/>
        <w:rPr>
          <w:rFonts w:ascii="宋体" w:hAnsi="宋体" w:cs="宋体"/>
          <w:color w:val="auto"/>
          <w:szCs w:val="21"/>
          <w:highlight w:val="none"/>
        </w:rPr>
      </w:pPr>
    </w:p>
    <w:p w14:paraId="3136E13D">
      <w:pPr>
        <w:spacing w:line="300" w:lineRule="auto"/>
        <w:rPr>
          <w:rFonts w:ascii="宋体" w:hAnsi="宋体" w:cs="宋体"/>
          <w:color w:val="auto"/>
          <w:szCs w:val="21"/>
          <w:highlight w:val="none"/>
        </w:rPr>
      </w:pPr>
    </w:p>
    <w:p w14:paraId="0EC44371">
      <w:pPr>
        <w:spacing w:line="300" w:lineRule="auto"/>
        <w:rPr>
          <w:rFonts w:ascii="宋体" w:hAnsi="宋体" w:cs="宋体"/>
          <w:color w:val="auto"/>
          <w:szCs w:val="21"/>
          <w:highlight w:val="none"/>
        </w:rPr>
      </w:pPr>
    </w:p>
    <w:p w14:paraId="067D8614">
      <w:pPr>
        <w:spacing w:line="300" w:lineRule="auto"/>
        <w:rPr>
          <w:rFonts w:ascii="宋体" w:hAnsi="宋体" w:cs="宋体"/>
          <w:color w:val="auto"/>
          <w:szCs w:val="21"/>
          <w:highlight w:val="none"/>
        </w:rPr>
      </w:pPr>
    </w:p>
    <w:p w14:paraId="13003AB2">
      <w:pPr>
        <w:spacing w:line="300" w:lineRule="auto"/>
        <w:rPr>
          <w:rFonts w:ascii="宋体" w:hAnsi="宋体" w:cs="宋体"/>
          <w:color w:val="auto"/>
          <w:szCs w:val="21"/>
          <w:highlight w:val="none"/>
        </w:rPr>
      </w:pPr>
    </w:p>
    <w:p w14:paraId="12BFA9DB">
      <w:pPr>
        <w:spacing w:line="300" w:lineRule="auto"/>
        <w:rPr>
          <w:rFonts w:ascii="宋体" w:hAnsi="宋体" w:cs="宋体"/>
          <w:color w:val="auto"/>
          <w:szCs w:val="21"/>
          <w:highlight w:val="none"/>
        </w:rPr>
      </w:pPr>
    </w:p>
    <w:p w14:paraId="39931D17">
      <w:pPr>
        <w:spacing w:line="300" w:lineRule="auto"/>
        <w:rPr>
          <w:rFonts w:ascii="宋体" w:hAnsi="宋体" w:cs="宋体"/>
          <w:color w:val="auto"/>
          <w:szCs w:val="21"/>
          <w:highlight w:val="none"/>
        </w:rPr>
      </w:pPr>
    </w:p>
    <w:p w14:paraId="340A071B">
      <w:pPr>
        <w:pStyle w:val="15"/>
        <w:spacing w:line="360" w:lineRule="auto"/>
        <w:ind w:firstLine="400" w:firstLineChars="200"/>
        <w:rPr>
          <w:rFonts w:hAnsi="宋体" w:cs="宋体"/>
          <w:b/>
          <w:color w:val="auto"/>
          <w:sz w:val="30"/>
          <w:szCs w:val="30"/>
          <w:highlight w:val="none"/>
        </w:rPr>
      </w:pPr>
      <w:r>
        <w:rPr>
          <w:rFonts w:hint="eastAsia" w:hAnsi="宋体" w:cs="宋体"/>
          <w:color w:val="auto"/>
          <w:highlight w:val="none"/>
        </w:rPr>
        <w:t xml:space="preserve">   </w:t>
      </w:r>
      <w:r>
        <w:rPr>
          <w:rFonts w:hint="eastAsia" w:hAnsi="宋体" w:cs="宋体"/>
          <w:b/>
          <w:color w:val="auto"/>
          <w:sz w:val="30"/>
          <w:szCs w:val="30"/>
          <w:highlight w:val="none"/>
        </w:rPr>
        <w:t>一、营业执照(或事业法人登记证或其他工商等登记证明材料)复印件（供应商为自然人的，提供自然人的身份证明）</w:t>
      </w:r>
    </w:p>
    <w:p w14:paraId="3716611B">
      <w:pPr>
        <w:pStyle w:val="15"/>
        <w:spacing w:line="360" w:lineRule="auto"/>
        <w:ind w:firstLine="602" w:firstLineChars="200"/>
        <w:rPr>
          <w:rFonts w:hAnsi="宋体" w:cs="宋体"/>
          <w:b/>
          <w:color w:val="auto"/>
          <w:sz w:val="30"/>
          <w:szCs w:val="30"/>
          <w:highlight w:val="none"/>
        </w:rPr>
      </w:pPr>
    </w:p>
    <w:p w14:paraId="7F0A09CD">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EB52FFB">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55E0FAC">
      <w:pPr>
        <w:snapToGrid w:val="0"/>
        <w:spacing w:before="120" w:beforeLines="50" w:after="50"/>
        <w:rPr>
          <w:rFonts w:ascii="宋体" w:hAnsi="宋体" w:cs="宋体"/>
          <w:color w:val="auto"/>
          <w:sz w:val="24"/>
          <w:szCs w:val="20"/>
          <w:highlight w:val="none"/>
        </w:rPr>
      </w:pPr>
    </w:p>
    <w:p w14:paraId="73768C22">
      <w:pPr>
        <w:pStyle w:val="15"/>
        <w:spacing w:line="360" w:lineRule="auto"/>
        <w:ind w:firstLine="602" w:firstLineChars="200"/>
        <w:rPr>
          <w:rFonts w:ascii="宋体" w:hAnsi="宋体"/>
          <w:b/>
          <w:color w:val="auto"/>
          <w:sz w:val="32"/>
          <w:szCs w:val="32"/>
          <w:highlight w:val="none"/>
        </w:rPr>
      </w:pPr>
      <w:r>
        <w:rPr>
          <w:rFonts w:hint="eastAsia" w:hAnsi="宋体" w:cs="宋体"/>
          <w:b/>
          <w:color w:val="auto"/>
          <w:sz w:val="30"/>
          <w:szCs w:val="30"/>
          <w:highlight w:val="none"/>
        </w:rPr>
        <w:t>二、</w:t>
      </w:r>
      <w:r>
        <w:rPr>
          <w:rFonts w:hint="eastAsia" w:ascii="宋体" w:hAnsi="宋体"/>
          <w:b/>
          <w:color w:val="auto"/>
          <w:sz w:val="32"/>
          <w:szCs w:val="32"/>
          <w:highlight w:val="none"/>
        </w:rPr>
        <w:t>防城港市政府采购供应商信用承诺函（格式）</w:t>
      </w:r>
    </w:p>
    <w:p w14:paraId="30AF43E6">
      <w:pPr>
        <w:spacing w:line="320" w:lineRule="exact"/>
        <w:jc w:val="left"/>
        <w:rPr>
          <w:rFonts w:hint="eastAsia" w:ascii="宋体" w:hAnsi="宋体"/>
          <w:color w:val="auto"/>
          <w:szCs w:val="21"/>
          <w:highlight w:val="none"/>
        </w:rPr>
      </w:pPr>
    </w:p>
    <w:p w14:paraId="64F9D388">
      <w:pPr>
        <w:spacing w:line="360" w:lineRule="auto"/>
        <w:jc w:val="left"/>
        <w:rPr>
          <w:rFonts w:hint="eastAsia" w:ascii="宋体" w:hAnsi="宋体"/>
          <w:color w:val="auto"/>
          <w:sz w:val="24"/>
          <w:highlight w:val="none"/>
        </w:rPr>
      </w:pPr>
      <w:r>
        <w:rPr>
          <w:rFonts w:hint="eastAsia" w:ascii="宋体" w:hAnsi="宋体"/>
          <w:color w:val="auto"/>
          <w:sz w:val="24"/>
          <w:highlight w:val="none"/>
        </w:rPr>
        <w:t>致（采购人或采购代理机构） ：</w:t>
      </w:r>
    </w:p>
    <w:p w14:paraId="1FF7945E">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41D67E3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1.我方具有符合采购文件资格要求的财务状况报告。 </w:t>
      </w:r>
    </w:p>
    <w:p w14:paraId="0C5FD3E3">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2.我方具有符合采购文件资格要求的依法缴纳税收和社会保障资金的良好记录。 </w:t>
      </w:r>
    </w:p>
    <w:p w14:paraId="1F37994E">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0C8E8488">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382A2526">
      <w:pPr>
        <w:spacing w:line="360" w:lineRule="auto"/>
        <w:jc w:val="left"/>
        <w:rPr>
          <w:rFonts w:hint="eastAsia" w:ascii="宋体" w:hAnsi="宋体"/>
          <w:color w:val="auto"/>
          <w:sz w:val="24"/>
          <w:highlight w:val="none"/>
        </w:rPr>
      </w:pPr>
    </w:p>
    <w:p w14:paraId="1BFBC2B1">
      <w:pPr>
        <w:spacing w:line="360" w:lineRule="auto"/>
        <w:jc w:val="left"/>
        <w:rPr>
          <w:rFonts w:hint="eastAsia" w:ascii="宋体" w:hAnsi="宋体"/>
          <w:color w:val="auto"/>
          <w:sz w:val="24"/>
          <w:highlight w:val="none"/>
        </w:rPr>
      </w:pPr>
    </w:p>
    <w:p w14:paraId="4F22FB9C">
      <w:pPr>
        <w:spacing w:line="360" w:lineRule="auto"/>
        <w:jc w:val="left"/>
        <w:rPr>
          <w:rFonts w:hint="eastAsia" w:ascii="宋体" w:hAnsi="宋体"/>
          <w:color w:val="auto"/>
          <w:sz w:val="24"/>
          <w:highlight w:val="none"/>
        </w:rPr>
      </w:pPr>
      <w:r>
        <w:rPr>
          <w:rFonts w:hint="eastAsia" w:ascii="宋体" w:hAnsi="宋体"/>
          <w:color w:val="auto"/>
          <w:sz w:val="24"/>
          <w:highlight w:val="none"/>
        </w:rPr>
        <w:t>供应商名称（电子签章）：</w:t>
      </w:r>
    </w:p>
    <w:p w14:paraId="30FE837B">
      <w:pPr>
        <w:spacing w:line="360" w:lineRule="auto"/>
        <w:jc w:val="left"/>
        <w:rPr>
          <w:rFonts w:hint="eastAsia" w:ascii="宋体" w:hAnsi="宋体"/>
          <w:color w:val="auto"/>
          <w:sz w:val="24"/>
          <w:highlight w:val="none"/>
        </w:rPr>
      </w:pPr>
      <w:r>
        <w:rPr>
          <w:rFonts w:hint="eastAsia" w:ascii="宋体" w:hAnsi="宋体"/>
          <w:color w:val="auto"/>
          <w:sz w:val="24"/>
          <w:highlight w:val="none"/>
        </w:rPr>
        <w:t>统一社会信用代码：</w:t>
      </w:r>
    </w:p>
    <w:p w14:paraId="2CCD54F8">
      <w:pPr>
        <w:spacing w:line="360" w:lineRule="auto"/>
        <w:jc w:val="left"/>
        <w:rPr>
          <w:rFonts w:hint="eastAsia" w:ascii="宋体" w:hAnsi="宋体"/>
          <w:color w:val="auto"/>
          <w:sz w:val="24"/>
          <w:highlight w:val="none"/>
        </w:rPr>
      </w:pPr>
      <w:r>
        <w:rPr>
          <w:rFonts w:hint="eastAsia" w:ascii="宋体" w:hAnsi="宋体"/>
          <w:color w:val="auto"/>
          <w:sz w:val="24"/>
          <w:highlight w:val="none"/>
        </w:rPr>
        <w:t>法定代表人或授权代表(签字或者电子签名)：</w:t>
      </w:r>
    </w:p>
    <w:p w14:paraId="6E217232">
      <w:pPr>
        <w:spacing w:line="360" w:lineRule="auto"/>
        <w:jc w:val="left"/>
        <w:rPr>
          <w:rFonts w:hint="eastAsia" w:ascii="宋体" w:hAnsi="宋体"/>
          <w:color w:val="auto"/>
          <w:sz w:val="24"/>
          <w:highlight w:val="none"/>
        </w:rPr>
      </w:pPr>
      <w:r>
        <w:rPr>
          <w:rFonts w:hint="eastAsia" w:ascii="宋体" w:hAnsi="宋体"/>
          <w:color w:val="auto"/>
          <w:sz w:val="24"/>
          <w:highlight w:val="none"/>
        </w:rPr>
        <w:t>日期： 年 月 日</w:t>
      </w:r>
    </w:p>
    <w:p w14:paraId="7C1DD595">
      <w:pPr>
        <w:spacing w:line="360" w:lineRule="auto"/>
        <w:jc w:val="left"/>
        <w:rPr>
          <w:rFonts w:hint="eastAsia" w:ascii="宋体" w:hAnsi="宋体"/>
          <w:color w:val="auto"/>
          <w:sz w:val="24"/>
          <w:highlight w:val="none"/>
        </w:rPr>
      </w:pPr>
    </w:p>
    <w:p w14:paraId="21CD3949">
      <w:pPr>
        <w:spacing w:line="360" w:lineRule="auto"/>
        <w:jc w:val="left"/>
        <w:rPr>
          <w:rFonts w:hint="eastAsia" w:ascii="宋体" w:hAnsi="宋体"/>
          <w:color w:val="auto"/>
          <w:sz w:val="24"/>
          <w:highlight w:val="none"/>
        </w:rPr>
      </w:pPr>
      <w:r>
        <w:rPr>
          <w:rFonts w:hint="eastAsia" w:ascii="宋体" w:hAnsi="宋体"/>
          <w:color w:val="auto"/>
          <w:sz w:val="24"/>
          <w:highlight w:val="none"/>
        </w:rPr>
        <w:t>注：1.供应商须在响应文件中按此模板提供承诺函，未提供视为未实质性响应采购文件要求，按无效响应处理。</w:t>
      </w:r>
    </w:p>
    <w:p w14:paraId="09C7706C">
      <w:pPr>
        <w:autoSpaceDE w:val="0"/>
        <w:autoSpaceDN w:val="0"/>
        <w:spacing w:line="360" w:lineRule="auto"/>
        <w:jc w:val="left"/>
        <w:rPr>
          <w:rFonts w:ascii="宋体" w:hAnsi="宋体" w:cs="宋体"/>
          <w:b/>
          <w:bCs/>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3C1E3FC4">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p>
    <w:p w14:paraId="5B948841">
      <w:pPr>
        <w:snapToGrid w:val="0"/>
        <w:spacing w:before="120" w:beforeLines="50" w:after="50" w:line="360" w:lineRule="auto"/>
        <w:jc w:val="center"/>
        <w:rPr>
          <w:rFonts w:ascii="宋体" w:hAnsi="宋体" w:cs="宋体"/>
          <w:b/>
          <w:color w:val="auto"/>
          <w:sz w:val="24"/>
          <w:highlight w:val="none"/>
        </w:rPr>
      </w:pPr>
    </w:p>
    <w:p w14:paraId="5E59C8FC">
      <w:pPr>
        <w:spacing w:line="360" w:lineRule="auto"/>
        <w:ind w:firstLine="596" w:firstLineChars="198"/>
        <w:rPr>
          <w:rFonts w:hint="eastAsia" w:ascii="宋体" w:hAnsi="宋体" w:cs="宋体"/>
          <w:b/>
          <w:color w:val="auto"/>
          <w:kern w:val="0"/>
          <w:sz w:val="30"/>
          <w:szCs w:val="30"/>
          <w:highlight w:val="none"/>
          <w:lang w:val="en-US" w:eastAsia="zh-CN"/>
        </w:rPr>
      </w:pPr>
    </w:p>
    <w:p w14:paraId="2749F171">
      <w:pPr>
        <w:spacing w:line="36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lang w:val="en-US" w:eastAsia="zh-CN"/>
        </w:rPr>
        <w:t>三</w:t>
      </w:r>
      <w:r>
        <w:rPr>
          <w:rFonts w:hint="eastAsia" w:ascii="宋体" w:hAnsi="宋体" w:cs="宋体"/>
          <w:b/>
          <w:color w:val="auto"/>
          <w:kern w:val="0"/>
          <w:sz w:val="30"/>
          <w:szCs w:val="30"/>
          <w:highlight w:val="none"/>
        </w:rPr>
        <w:t>、供应商直接控股股东信息</w:t>
      </w:r>
    </w:p>
    <w:p w14:paraId="3521153E">
      <w:pPr>
        <w:spacing w:line="360" w:lineRule="auto"/>
        <w:jc w:val="center"/>
        <w:rPr>
          <w:rFonts w:ascii="宋体" w:hAnsi="宋体" w:cs="宋体"/>
          <w:b/>
          <w:color w:val="auto"/>
          <w:sz w:val="24"/>
          <w:highlight w:val="none"/>
        </w:rPr>
      </w:pPr>
    </w:p>
    <w:tbl>
      <w:tblPr>
        <w:tblStyle w:val="26"/>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CB45555">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EDDAE8">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28FE91">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C3DE82">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1E8480">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DE0634">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ED2309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88F8A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53EAC1">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D5A1AD">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5199E3">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2BA085">
            <w:pPr>
              <w:widowControl/>
              <w:spacing w:line="360" w:lineRule="auto"/>
              <w:jc w:val="center"/>
              <w:rPr>
                <w:rFonts w:ascii="宋体" w:hAnsi="宋体" w:cs="宋体"/>
                <w:color w:val="auto"/>
                <w:kern w:val="0"/>
                <w:sz w:val="24"/>
                <w:highlight w:val="none"/>
              </w:rPr>
            </w:pPr>
          </w:p>
        </w:tc>
      </w:tr>
      <w:tr w14:paraId="1B681D8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06F48B">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EFC0DC">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2C6783">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6CD5F9">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392909">
            <w:pPr>
              <w:widowControl/>
              <w:spacing w:line="360" w:lineRule="auto"/>
              <w:jc w:val="center"/>
              <w:rPr>
                <w:rFonts w:ascii="宋体" w:hAnsi="宋体" w:cs="宋体"/>
                <w:color w:val="auto"/>
                <w:kern w:val="0"/>
                <w:sz w:val="24"/>
                <w:highlight w:val="none"/>
              </w:rPr>
            </w:pPr>
          </w:p>
        </w:tc>
      </w:tr>
      <w:tr w14:paraId="382EE6A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E88EF0">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57A882">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014F23">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F5847C">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2A9DF5">
            <w:pPr>
              <w:widowControl/>
              <w:spacing w:line="360" w:lineRule="auto"/>
              <w:jc w:val="center"/>
              <w:rPr>
                <w:rFonts w:ascii="宋体" w:hAnsi="宋体" w:cs="宋体"/>
                <w:color w:val="auto"/>
                <w:kern w:val="0"/>
                <w:sz w:val="24"/>
                <w:highlight w:val="none"/>
              </w:rPr>
            </w:pPr>
          </w:p>
        </w:tc>
      </w:tr>
      <w:tr w14:paraId="61D05C9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B9D83D">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DE709A">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000D19">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285FF3">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AFA7DA">
            <w:pPr>
              <w:widowControl/>
              <w:spacing w:line="360" w:lineRule="auto"/>
              <w:jc w:val="center"/>
              <w:rPr>
                <w:rFonts w:ascii="宋体" w:hAnsi="宋体" w:cs="宋体"/>
                <w:color w:val="auto"/>
                <w:kern w:val="0"/>
                <w:sz w:val="24"/>
                <w:highlight w:val="none"/>
              </w:rPr>
            </w:pPr>
          </w:p>
        </w:tc>
      </w:tr>
    </w:tbl>
    <w:p w14:paraId="7FA7BA60">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2DBFA182">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D7308BF">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289037B5">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3.供应商不存在直接控股股东的，则填“无”。</w:t>
      </w:r>
    </w:p>
    <w:p w14:paraId="20541941">
      <w:pPr>
        <w:snapToGrid w:val="0"/>
        <w:spacing w:line="360" w:lineRule="auto"/>
        <w:jc w:val="left"/>
        <w:rPr>
          <w:rFonts w:ascii="宋体" w:hAnsi="宋体" w:cs="宋体"/>
          <w:color w:val="auto"/>
          <w:sz w:val="24"/>
          <w:highlight w:val="none"/>
        </w:rPr>
      </w:pPr>
    </w:p>
    <w:p w14:paraId="68F31C12">
      <w:pPr>
        <w:snapToGrid w:val="0"/>
        <w:spacing w:line="360" w:lineRule="auto"/>
        <w:jc w:val="left"/>
        <w:rPr>
          <w:rFonts w:ascii="宋体" w:hAnsi="宋体" w:cs="宋体"/>
          <w:color w:val="auto"/>
          <w:sz w:val="24"/>
          <w:highlight w:val="none"/>
        </w:rPr>
      </w:pPr>
    </w:p>
    <w:p w14:paraId="24F0C7AC">
      <w:pPr>
        <w:snapToGrid w:val="0"/>
        <w:spacing w:line="360" w:lineRule="auto"/>
        <w:jc w:val="left"/>
        <w:rPr>
          <w:rFonts w:ascii="宋体" w:hAnsi="宋体" w:cs="宋体"/>
          <w:color w:val="auto"/>
          <w:sz w:val="24"/>
          <w:highlight w:val="none"/>
        </w:rPr>
      </w:pPr>
    </w:p>
    <w:p w14:paraId="479A36EF">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80A0ECB">
      <w:pPr>
        <w:autoSpaceDE w:val="0"/>
        <w:autoSpaceDN w:val="0"/>
        <w:spacing w:line="360" w:lineRule="auto"/>
        <w:ind w:firstLine="6120" w:firstLineChars="25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E46BB0B">
      <w:pPr>
        <w:autoSpaceDE w:val="0"/>
        <w:autoSpaceDN w:val="0"/>
        <w:spacing w:line="360" w:lineRule="auto"/>
        <w:ind w:firstLine="6120" w:firstLineChars="2550"/>
        <w:rPr>
          <w:rFonts w:hint="eastAsia" w:ascii="宋体" w:hAnsi="宋体" w:cs="宋体"/>
          <w:color w:val="auto"/>
          <w:kern w:val="0"/>
          <w:sz w:val="24"/>
          <w:highlight w:val="none"/>
          <w:lang w:val="zh-CN"/>
        </w:rPr>
      </w:pPr>
    </w:p>
    <w:p w14:paraId="0C212B16">
      <w:pPr>
        <w:autoSpaceDE w:val="0"/>
        <w:autoSpaceDN w:val="0"/>
        <w:spacing w:line="360" w:lineRule="auto"/>
        <w:ind w:firstLine="6120" w:firstLineChars="2550"/>
        <w:rPr>
          <w:rFonts w:hint="eastAsia" w:ascii="宋体" w:hAnsi="宋体" w:cs="宋体"/>
          <w:color w:val="auto"/>
          <w:kern w:val="0"/>
          <w:sz w:val="24"/>
          <w:highlight w:val="none"/>
          <w:lang w:val="zh-CN"/>
        </w:rPr>
      </w:pPr>
    </w:p>
    <w:p w14:paraId="00019FCF">
      <w:pPr>
        <w:autoSpaceDE w:val="0"/>
        <w:autoSpaceDN w:val="0"/>
        <w:spacing w:line="360" w:lineRule="auto"/>
        <w:ind w:firstLine="6120" w:firstLineChars="2550"/>
        <w:rPr>
          <w:rFonts w:hint="eastAsia" w:ascii="宋体" w:hAnsi="宋体" w:cs="宋体"/>
          <w:color w:val="auto"/>
          <w:kern w:val="0"/>
          <w:sz w:val="24"/>
          <w:highlight w:val="none"/>
          <w:lang w:val="zh-CN"/>
        </w:rPr>
      </w:pPr>
    </w:p>
    <w:p w14:paraId="397C911A">
      <w:pPr>
        <w:autoSpaceDE w:val="0"/>
        <w:autoSpaceDN w:val="0"/>
        <w:spacing w:line="360" w:lineRule="auto"/>
        <w:ind w:firstLine="6120" w:firstLineChars="2550"/>
        <w:rPr>
          <w:rFonts w:hint="eastAsia" w:ascii="宋体" w:hAnsi="宋体" w:cs="宋体"/>
          <w:color w:val="auto"/>
          <w:kern w:val="0"/>
          <w:sz w:val="24"/>
          <w:highlight w:val="none"/>
          <w:lang w:val="zh-CN"/>
        </w:rPr>
      </w:pPr>
    </w:p>
    <w:p w14:paraId="6C3CF9D0">
      <w:pPr>
        <w:autoSpaceDE w:val="0"/>
        <w:autoSpaceDN w:val="0"/>
        <w:spacing w:line="360" w:lineRule="auto"/>
        <w:ind w:firstLine="6120" w:firstLineChars="2550"/>
        <w:rPr>
          <w:rFonts w:hint="eastAsia" w:ascii="宋体" w:hAnsi="宋体" w:cs="宋体"/>
          <w:color w:val="auto"/>
          <w:kern w:val="0"/>
          <w:sz w:val="24"/>
          <w:highlight w:val="none"/>
          <w:lang w:val="zh-CN"/>
        </w:rPr>
      </w:pPr>
    </w:p>
    <w:p w14:paraId="220FA833">
      <w:pPr>
        <w:autoSpaceDE w:val="0"/>
        <w:autoSpaceDN w:val="0"/>
        <w:spacing w:line="360" w:lineRule="auto"/>
        <w:ind w:firstLine="6120" w:firstLineChars="2550"/>
        <w:rPr>
          <w:rFonts w:hint="eastAsia" w:ascii="宋体" w:hAnsi="宋体" w:cs="宋体"/>
          <w:color w:val="auto"/>
          <w:kern w:val="0"/>
          <w:sz w:val="24"/>
          <w:highlight w:val="none"/>
          <w:lang w:val="zh-CN"/>
        </w:rPr>
      </w:pPr>
    </w:p>
    <w:p w14:paraId="47BCC198">
      <w:pPr>
        <w:autoSpaceDE w:val="0"/>
        <w:autoSpaceDN w:val="0"/>
        <w:spacing w:line="360" w:lineRule="auto"/>
        <w:ind w:firstLine="6120" w:firstLineChars="2550"/>
        <w:rPr>
          <w:rFonts w:hint="eastAsia" w:ascii="宋体" w:hAnsi="宋体" w:cs="宋体"/>
          <w:color w:val="auto"/>
          <w:kern w:val="0"/>
          <w:sz w:val="24"/>
          <w:highlight w:val="none"/>
          <w:lang w:val="zh-CN"/>
        </w:rPr>
      </w:pPr>
    </w:p>
    <w:p w14:paraId="2024A463">
      <w:pPr>
        <w:snapToGrid w:val="0"/>
        <w:rPr>
          <w:rFonts w:ascii="宋体" w:hAnsi="宋体" w:cs="宋体"/>
          <w:b/>
          <w:color w:val="auto"/>
          <w:kern w:val="0"/>
          <w:sz w:val="30"/>
          <w:szCs w:val="30"/>
          <w:highlight w:val="none"/>
        </w:rPr>
      </w:pPr>
    </w:p>
    <w:p w14:paraId="7CADC32B">
      <w:pPr>
        <w:snapToGrid w:val="0"/>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lang w:val="en-US" w:eastAsia="zh-CN"/>
        </w:rPr>
        <w:t>四</w:t>
      </w:r>
      <w:r>
        <w:rPr>
          <w:rFonts w:hint="eastAsia" w:ascii="宋体" w:hAnsi="宋体" w:cs="宋体"/>
          <w:b/>
          <w:color w:val="auto"/>
          <w:kern w:val="0"/>
          <w:sz w:val="30"/>
          <w:szCs w:val="30"/>
          <w:highlight w:val="none"/>
        </w:rPr>
        <w:t>、供应商直接管理关系信息表</w:t>
      </w:r>
    </w:p>
    <w:p w14:paraId="606AC761">
      <w:pPr>
        <w:snapToGrid w:val="0"/>
        <w:spacing w:line="360" w:lineRule="auto"/>
        <w:jc w:val="center"/>
        <w:rPr>
          <w:rFonts w:ascii="宋体" w:hAnsi="宋体" w:cs="宋体"/>
          <w:b/>
          <w:color w:val="auto"/>
          <w:sz w:val="24"/>
          <w:highlight w:val="none"/>
        </w:rPr>
      </w:pPr>
    </w:p>
    <w:tbl>
      <w:tblPr>
        <w:tblStyle w:val="2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5059719">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D183FE">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A9796F">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143633">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4C2682">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E871A4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980C3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A22093">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E3CF18">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6DAC8B">
            <w:pPr>
              <w:widowControl/>
              <w:spacing w:line="360" w:lineRule="auto"/>
              <w:jc w:val="center"/>
              <w:rPr>
                <w:rFonts w:ascii="宋体" w:hAnsi="宋体" w:cs="宋体"/>
                <w:color w:val="auto"/>
                <w:kern w:val="0"/>
                <w:sz w:val="24"/>
                <w:highlight w:val="none"/>
              </w:rPr>
            </w:pPr>
          </w:p>
        </w:tc>
      </w:tr>
      <w:tr w14:paraId="3487CB2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254798">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4F2A14">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A155E7">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9F40CA">
            <w:pPr>
              <w:widowControl/>
              <w:spacing w:line="360" w:lineRule="auto"/>
              <w:jc w:val="center"/>
              <w:rPr>
                <w:rFonts w:ascii="宋体" w:hAnsi="宋体" w:cs="宋体"/>
                <w:color w:val="auto"/>
                <w:kern w:val="0"/>
                <w:sz w:val="24"/>
                <w:highlight w:val="none"/>
              </w:rPr>
            </w:pPr>
          </w:p>
        </w:tc>
      </w:tr>
      <w:tr w14:paraId="33B170F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3954E0">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9CB276">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34F248">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56F579">
            <w:pPr>
              <w:widowControl/>
              <w:spacing w:line="360" w:lineRule="auto"/>
              <w:jc w:val="center"/>
              <w:rPr>
                <w:rFonts w:ascii="宋体" w:hAnsi="宋体" w:cs="宋体"/>
                <w:color w:val="auto"/>
                <w:kern w:val="0"/>
                <w:sz w:val="24"/>
                <w:highlight w:val="none"/>
              </w:rPr>
            </w:pPr>
          </w:p>
        </w:tc>
      </w:tr>
      <w:tr w14:paraId="5E92C99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DAECEC">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BD039A">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9CC0EA">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F36295">
            <w:pPr>
              <w:widowControl/>
              <w:spacing w:line="360" w:lineRule="auto"/>
              <w:jc w:val="center"/>
              <w:rPr>
                <w:rFonts w:ascii="宋体" w:hAnsi="宋体" w:cs="宋体"/>
                <w:color w:val="auto"/>
                <w:kern w:val="0"/>
                <w:sz w:val="24"/>
                <w:highlight w:val="none"/>
              </w:rPr>
            </w:pPr>
          </w:p>
        </w:tc>
      </w:tr>
    </w:tbl>
    <w:p w14:paraId="58B057F6">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575CA980">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728086FA">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1A457F38">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09ED5EB4">
      <w:pPr>
        <w:spacing w:line="360" w:lineRule="auto"/>
        <w:jc w:val="left"/>
        <w:rPr>
          <w:rFonts w:ascii="宋体" w:hAnsi="宋体" w:cs="宋体"/>
          <w:color w:val="auto"/>
          <w:sz w:val="24"/>
          <w:highlight w:val="none"/>
        </w:rPr>
      </w:pPr>
    </w:p>
    <w:p w14:paraId="4CEE7D7E">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26AA317">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594A2964">
      <w:pPr>
        <w:spacing w:line="360" w:lineRule="auto"/>
        <w:ind w:right="480" w:firstLine="240" w:firstLineChars="100"/>
        <w:contextualSpacing/>
        <w:jc w:val="center"/>
        <w:rPr>
          <w:rFonts w:hint="eastAsia" w:ascii="宋体" w:hAnsi="宋体" w:cs="宋体"/>
          <w:color w:val="auto"/>
          <w:sz w:val="24"/>
          <w:highlight w:val="none"/>
        </w:rPr>
      </w:pPr>
    </w:p>
    <w:p w14:paraId="59CA8F17">
      <w:pPr>
        <w:spacing w:line="360" w:lineRule="auto"/>
        <w:ind w:right="480" w:firstLine="240" w:firstLineChars="100"/>
        <w:contextualSpacing/>
        <w:jc w:val="center"/>
        <w:rPr>
          <w:rFonts w:hint="eastAsia" w:ascii="宋体" w:hAnsi="宋体" w:cs="宋体"/>
          <w:color w:val="auto"/>
          <w:sz w:val="24"/>
          <w:highlight w:val="none"/>
        </w:rPr>
      </w:pPr>
    </w:p>
    <w:p w14:paraId="25986098">
      <w:pPr>
        <w:spacing w:line="360" w:lineRule="auto"/>
        <w:ind w:right="480" w:firstLine="240" w:firstLineChars="100"/>
        <w:contextualSpacing/>
        <w:jc w:val="center"/>
        <w:rPr>
          <w:rFonts w:hint="eastAsia" w:ascii="宋体" w:hAnsi="宋体" w:cs="宋体"/>
          <w:color w:val="auto"/>
          <w:sz w:val="24"/>
          <w:highlight w:val="none"/>
        </w:rPr>
      </w:pPr>
    </w:p>
    <w:p w14:paraId="58D75740">
      <w:pPr>
        <w:spacing w:line="360" w:lineRule="auto"/>
        <w:ind w:right="480" w:firstLine="240" w:firstLineChars="100"/>
        <w:contextualSpacing/>
        <w:jc w:val="center"/>
        <w:rPr>
          <w:rFonts w:hint="eastAsia" w:ascii="宋体" w:hAnsi="宋体" w:cs="宋体"/>
          <w:color w:val="auto"/>
          <w:sz w:val="24"/>
          <w:highlight w:val="none"/>
        </w:rPr>
      </w:pPr>
    </w:p>
    <w:p w14:paraId="1A7C2EB3">
      <w:pPr>
        <w:spacing w:line="360" w:lineRule="auto"/>
        <w:ind w:right="480" w:firstLine="240" w:firstLineChars="100"/>
        <w:contextualSpacing/>
        <w:jc w:val="center"/>
        <w:rPr>
          <w:rFonts w:hint="eastAsia" w:ascii="宋体" w:hAnsi="宋体" w:cs="宋体"/>
          <w:color w:val="auto"/>
          <w:sz w:val="24"/>
          <w:highlight w:val="none"/>
        </w:rPr>
      </w:pPr>
    </w:p>
    <w:p w14:paraId="18019E04">
      <w:pPr>
        <w:spacing w:line="360" w:lineRule="auto"/>
        <w:ind w:right="480" w:firstLine="240" w:firstLineChars="100"/>
        <w:contextualSpacing/>
        <w:jc w:val="center"/>
        <w:rPr>
          <w:rFonts w:hint="eastAsia" w:ascii="宋体" w:hAnsi="宋体" w:cs="宋体"/>
          <w:color w:val="auto"/>
          <w:sz w:val="24"/>
          <w:highlight w:val="none"/>
        </w:rPr>
      </w:pPr>
    </w:p>
    <w:p w14:paraId="32E75FED">
      <w:pPr>
        <w:spacing w:line="360" w:lineRule="auto"/>
        <w:ind w:right="480" w:firstLine="240" w:firstLineChars="100"/>
        <w:contextualSpacing/>
        <w:jc w:val="center"/>
        <w:rPr>
          <w:rFonts w:hint="eastAsia" w:ascii="宋体" w:hAnsi="宋体" w:cs="宋体"/>
          <w:color w:val="auto"/>
          <w:sz w:val="24"/>
          <w:highlight w:val="none"/>
        </w:rPr>
      </w:pPr>
    </w:p>
    <w:p w14:paraId="3803614B">
      <w:pPr>
        <w:spacing w:line="360" w:lineRule="auto"/>
        <w:ind w:right="480" w:firstLine="240" w:firstLineChars="100"/>
        <w:contextualSpacing/>
        <w:jc w:val="center"/>
        <w:rPr>
          <w:rFonts w:hint="eastAsia" w:ascii="宋体" w:hAnsi="宋体" w:cs="宋体"/>
          <w:color w:val="auto"/>
          <w:sz w:val="24"/>
          <w:highlight w:val="none"/>
        </w:rPr>
      </w:pPr>
    </w:p>
    <w:p w14:paraId="0B1AFD75">
      <w:pPr>
        <w:spacing w:line="360" w:lineRule="auto"/>
        <w:ind w:right="480" w:firstLine="240" w:firstLineChars="100"/>
        <w:contextualSpacing/>
        <w:jc w:val="center"/>
        <w:rPr>
          <w:rFonts w:hint="eastAsia" w:ascii="宋体" w:hAnsi="宋体" w:cs="宋体"/>
          <w:color w:val="auto"/>
          <w:sz w:val="24"/>
          <w:highlight w:val="none"/>
        </w:rPr>
      </w:pPr>
    </w:p>
    <w:p w14:paraId="5974DDA5">
      <w:pPr>
        <w:spacing w:line="360" w:lineRule="auto"/>
        <w:ind w:right="480" w:firstLine="240" w:firstLineChars="100"/>
        <w:contextualSpacing/>
        <w:jc w:val="center"/>
        <w:rPr>
          <w:rFonts w:hint="eastAsia" w:ascii="宋体" w:hAnsi="宋体" w:cs="宋体"/>
          <w:color w:val="auto"/>
          <w:sz w:val="24"/>
          <w:highlight w:val="none"/>
        </w:rPr>
      </w:pPr>
    </w:p>
    <w:p w14:paraId="7B639FE7">
      <w:pPr>
        <w:spacing w:line="360" w:lineRule="auto"/>
        <w:ind w:right="480" w:firstLine="240" w:firstLineChars="100"/>
        <w:contextualSpacing/>
        <w:jc w:val="center"/>
        <w:rPr>
          <w:rFonts w:hint="eastAsia" w:ascii="宋体" w:hAnsi="宋体" w:cs="宋体"/>
          <w:color w:val="auto"/>
          <w:sz w:val="24"/>
          <w:highlight w:val="none"/>
        </w:rPr>
      </w:pPr>
    </w:p>
    <w:p w14:paraId="6FEAC6EA">
      <w:pPr>
        <w:spacing w:line="360" w:lineRule="auto"/>
        <w:ind w:right="480" w:firstLine="240" w:firstLineChars="100"/>
        <w:contextualSpacing/>
        <w:jc w:val="center"/>
        <w:rPr>
          <w:rFonts w:hint="eastAsia" w:ascii="宋体" w:hAnsi="宋体" w:cs="宋体"/>
          <w:color w:val="auto"/>
          <w:sz w:val="24"/>
          <w:highlight w:val="none"/>
        </w:rPr>
      </w:pPr>
    </w:p>
    <w:p w14:paraId="78203386">
      <w:pPr>
        <w:spacing w:line="360" w:lineRule="auto"/>
        <w:ind w:right="480"/>
        <w:contextualSpacing/>
        <w:jc w:val="both"/>
        <w:rPr>
          <w:rFonts w:ascii="宋体" w:hAnsi="宋体" w:cs="宋体"/>
          <w:color w:val="auto"/>
          <w:sz w:val="28"/>
          <w:szCs w:val="28"/>
          <w:highlight w:val="none"/>
        </w:rPr>
      </w:pPr>
      <w:r>
        <w:rPr>
          <w:rFonts w:hint="eastAsia" w:ascii="宋体" w:hAnsi="宋体" w:cs="宋体"/>
          <w:color w:val="auto"/>
          <w:sz w:val="24"/>
          <w:highlight w:val="none"/>
        </w:rPr>
        <w:t xml:space="preserve">                                  </w:t>
      </w:r>
    </w:p>
    <w:p w14:paraId="388BFB3B">
      <w:pPr>
        <w:spacing w:line="320" w:lineRule="exact"/>
        <w:ind w:firstLine="602" w:firstLineChars="200"/>
        <w:jc w:val="left"/>
        <w:rPr>
          <w:rFonts w:ascii="宋体" w:hAnsi="宋体" w:cs="宋体"/>
          <w:color w:val="auto"/>
          <w:sz w:val="28"/>
          <w:szCs w:val="28"/>
          <w:highlight w:val="none"/>
        </w:rPr>
      </w:pPr>
      <w:r>
        <w:rPr>
          <w:rFonts w:hint="eastAsia" w:ascii="宋体" w:hAnsi="宋体" w:cs="宋体"/>
          <w:b/>
          <w:color w:val="auto"/>
          <w:kern w:val="0"/>
          <w:sz w:val="30"/>
          <w:szCs w:val="30"/>
          <w:highlight w:val="none"/>
          <w:lang w:val="en-US" w:eastAsia="zh-CN"/>
        </w:rPr>
        <w:t>五</w:t>
      </w:r>
      <w:r>
        <w:rPr>
          <w:rFonts w:hint="eastAsia" w:ascii="宋体" w:hAnsi="宋体" w:cs="宋体"/>
          <w:b/>
          <w:color w:val="auto"/>
          <w:kern w:val="0"/>
          <w:sz w:val="30"/>
          <w:szCs w:val="30"/>
          <w:highlight w:val="none"/>
        </w:rPr>
        <w:t>、</w:t>
      </w:r>
      <w:r>
        <w:rPr>
          <w:rFonts w:hint="eastAsia" w:ascii="宋体" w:hAnsi="宋体" w:cs="宋体"/>
          <w:b/>
          <w:color w:val="auto"/>
          <w:kern w:val="0"/>
          <w:sz w:val="30"/>
          <w:szCs w:val="30"/>
          <w:highlight w:val="none"/>
          <w:lang w:val="en-US" w:eastAsia="zh-CN"/>
        </w:rPr>
        <w:t>竞标</w:t>
      </w:r>
      <w:r>
        <w:rPr>
          <w:rFonts w:hint="eastAsia" w:ascii="宋体" w:hAnsi="宋体" w:cs="宋体"/>
          <w:b/>
          <w:color w:val="auto"/>
          <w:kern w:val="0"/>
          <w:sz w:val="30"/>
          <w:szCs w:val="30"/>
          <w:highlight w:val="none"/>
        </w:rPr>
        <w:t>声明函</w:t>
      </w:r>
    </w:p>
    <w:p w14:paraId="65D49B1B">
      <w:pPr>
        <w:spacing w:line="320" w:lineRule="exact"/>
        <w:jc w:val="both"/>
        <w:rPr>
          <w:rFonts w:ascii="宋体" w:hAnsi="宋体" w:cs="宋体"/>
          <w:b/>
          <w:color w:val="auto"/>
          <w:sz w:val="32"/>
          <w:szCs w:val="32"/>
          <w:highlight w:val="none"/>
        </w:rPr>
      </w:pPr>
    </w:p>
    <w:p w14:paraId="3E1742AD">
      <w:pPr>
        <w:spacing w:line="320" w:lineRule="exact"/>
        <w:jc w:val="center"/>
        <w:rPr>
          <w:rFonts w:ascii="宋体" w:hAnsi="宋体" w:cs="宋体"/>
          <w:b/>
          <w:color w:val="auto"/>
          <w:sz w:val="32"/>
          <w:szCs w:val="32"/>
          <w:highlight w:val="none"/>
        </w:rPr>
      </w:pPr>
      <w:r>
        <w:rPr>
          <w:rFonts w:hint="eastAsia" w:ascii="宋体" w:hAnsi="宋体" w:cs="宋体"/>
          <w:b/>
          <w:color w:val="auto"/>
          <w:kern w:val="0"/>
          <w:sz w:val="30"/>
          <w:szCs w:val="30"/>
          <w:highlight w:val="none"/>
          <w:lang w:val="en-US" w:eastAsia="zh-CN"/>
        </w:rPr>
        <w:t>竞标</w:t>
      </w:r>
      <w:r>
        <w:rPr>
          <w:rFonts w:hint="eastAsia" w:ascii="宋体" w:hAnsi="宋体" w:cs="宋体"/>
          <w:b/>
          <w:color w:val="auto"/>
          <w:sz w:val="32"/>
          <w:szCs w:val="32"/>
          <w:highlight w:val="none"/>
        </w:rPr>
        <w:t>声明函</w:t>
      </w:r>
    </w:p>
    <w:p w14:paraId="035F08CA">
      <w:pPr>
        <w:spacing w:line="320" w:lineRule="exact"/>
        <w:jc w:val="center"/>
        <w:rPr>
          <w:rFonts w:ascii="宋体" w:hAnsi="宋体" w:cs="宋体"/>
          <w:color w:val="auto"/>
          <w:sz w:val="24"/>
          <w:szCs w:val="20"/>
          <w:highlight w:val="none"/>
        </w:rPr>
      </w:pPr>
    </w:p>
    <w:p w14:paraId="3355E322">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64A7B4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3A3D3C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5EECA12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57CEE49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16DB7E9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6B80610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201E9E0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110E231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236AB44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0F3A0EE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47F1882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0CA8231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6232847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546DD2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AAEC55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30A6310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35412F6E">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5.我方承诺具有满足本项目的承保资格、经营能力、售后服务和偿付能力；承诺</w:t>
      </w:r>
      <w:r>
        <w:rPr>
          <w:rFonts w:ascii="宋体" w:hAnsi="宋体" w:cs="宋体"/>
          <w:color w:val="auto"/>
          <w:sz w:val="24"/>
          <w:szCs w:val="24"/>
          <w:highlight w:val="none"/>
        </w:rPr>
        <w:t>同一保险机构只</w:t>
      </w:r>
      <w:r>
        <w:rPr>
          <w:rFonts w:hint="eastAsia" w:ascii="宋体" w:hAnsi="宋体" w:cs="宋体"/>
          <w:color w:val="auto"/>
          <w:sz w:val="24"/>
          <w:szCs w:val="24"/>
          <w:highlight w:val="none"/>
        </w:rPr>
        <w:t>有</w:t>
      </w:r>
      <w:r>
        <w:rPr>
          <w:rFonts w:ascii="宋体" w:hAnsi="宋体" w:cs="宋体"/>
          <w:color w:val="auto"/>
          <w:sz w:val="24"/>
          <w:szCs w:val="24"/>
          <w:highlight w:val="none"/>
        </w:rPr>
        <w:t>一家公司</w:t>
      </w:r>
      <w:r>
        <w:rPr>
          <w:rFonts w:hint="eastAsia" w:ascii="宋体" w:hAnsi="宋体" w:cs="宋体"/>
          <w:color w:val="auto"/>
          <w:sz w:val="24"/>
          <w:szCs w:val="24"/>
          <w:highlight w:val="none"/>
        </w:rPr>
        <w:t>（包括其总公司、省级分公司的下属分公司、分支机构）</w:t>
      </w:r>
      <w:r>
        <w:rPr>
          <w:rFonts w:ascii="宋体" w:hAnsi="宋体" w:cs="宋体"/>
          <w:color w:val="auto"/>
          <w:sz w:val="24"/>
          <w:szCs w:val="24"/>
          <w:highlight w:val="none"/>
        </w:rPr>
        <w:t>参与本次</w:t>
      </w:r>
      <w:r>
        <w:rPr>
          <w:rFonts w:hint="eastAsia" w:ascii="宋体" w:hAnsi="宋体" w:cs="宋体"/>
          <w:color w:val="auto"/>
          <w:sz w:val="24"/>
          <w:szCs w:val="24"/>
          <w:highlight w:val="none"/>
        </w:rPr>
        <w:t>竞标，如有2家及以上属于本单位同系统的供应商（包括其总公司、省级分公司的下属分公司、分支机构）参与竞标的，则只认可最先获取竞争性磋商文件的供应商。</w:t>
      </w:r>
    </w:p>
    <w:p w14:paraId="68DFB59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EDFFF2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793ACFE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81DE32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D1BA4A1">
      <w:pPr>
        <w:pStyle w:val="15"/>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lang w:eastAsia="zh-CN"/>
        </w:rPr>
        <w:t>8</w:t>
      </w:r>
      <w:r>
        <w:rPr>
          <w:rFonts w:hint="eastAsia" w:hAnsi="宋体" w:cs="宋体"/>
          <w:color w:val="auto"/>
          <w:sz w:val="24"/>
          <w:szCs w:val="24"/>
          <w:highlight w:val="none"/>
        </w:rPr>
        <w:t>.与本磋商有关的一切正式往来信函请寄：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20E5BA56">
      <w:pPr>
        <w:pStyle w:val="1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109E1689">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492D6BFD">
      <w:pPr>
        <w:pStyle w:val="13"/>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9.以上事项如有虚假或者隐瞒，我方愿意承担一切后果，并不再寻求任何旨在减轻或者免除法律责任的辩解。</w:t>
      </w:r>
    </w:p>
    <w:p w14:paraId="5CE627F7">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45AAF223">
      <w:pPr>
        <w:spacing w:line="360" w:lineRule="auto"/>
        <w:contextualSpacing/>
        <w:jc w:val="left"/>
        <w:rPr>
          <w:rFonts w:hint="eastAsia" w:ascii="宋体" w:hAnsi="宋体" w:cs="宋体"/>
          <w:b/>
          <w:color w:val="auto"/>
          <w:sz w:val="24"/>
          <w:highlight w:val="none"/>
        </w:rPr>
      </w:pPr>
    </w:p>
    <w:p w14:paraId="7A82FC17">
      <w:pPr>
        <w:spacing w:line="360" w:lineRule="auto"/>
        <w:contextualSpacing/>
        <w:jc w:val="left"/>
        <w:rPr>
          <w:rFonts w:hint="eastAsia" w:ascii="宋体" w:hAnsi="宋体" w:cs="宋体"/>
          <w:color w:val="auto"/>
          <w:szCs w:val="21"/>
          <w:highlight w:val="none"/>
        </w:rPr>
      </w:pPr>
    </w:p>
    <w:p w14:paraId="21E00605">
      <w:pPr>
        <w:spacing w:line="360" w:lineRule="auto"/>
        <w:ind w:firstLine="1800" w:firstLineChars="750"/>
        <w:contextualSpacing/>
        <w:rPr>
          <w:rFonts w:hint="eastAsia"/>
          <w:color w:val="auto"/>
          <w:sz w:val="24"/>
          <w:szCs w:val="24"/>
          <w:highlight w:val="none"/>
        </w:rPr>
      </w:pPr>
      <w:r>
        <w:rPr>
          <w:rFonts w:hint="eastAsia"/>
          <w:color w:val="auto"/>
          <w:sz w:val="24"/>
          <w:szCs w:val="24"/>
          <w:highlight w:val="none"/>
        </w:rPr>
        <w:t>法定代表人（</w:t>
      </w:r>
      <w:r>
        <w:rPr>
          <w:rFonts w:hint="eastAsia" w:ascii="宋体" w:hAnsi="宋体"/>
          <w:color w:val="auto"/>
          <w:sz w:val="24"/>
          <w:szCs w:val="24"/>
          <w:highlight w:val="none"/>
        </w:rPr>
        <w:t>签字或者盖章或者电子签名</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rPr>
        <w:t xml:space="preserve">                                     </w:t>
      </w:r>
    </w:p>
    <w:p w14:paraId="47A7D065">
      <w:pPr>
        <w:spacing w:line="360" w:lineRule="auto"/>
        <w:ind w:firstLine="1920" w:firstLineChars="800"/>
        <w:contextualSpacing/>
        <w:rPr>
          <w:rFonts w:hint="eastAsia" w:ascii="宋体" w:hAnsi="宋体" w:cs="宋体"/>
          <w:color w:val="auto"/>
          <w:sz w:val="24"/>
          <w:szCs w:val="24"/>
          <w:highlight w:val="none"/>
          <w:u w:val="single"/>
        </w:rPr>
      </w:pPr>
      <w:r>
        <w:rPr>
          <w:rFonts w:hint="eastAsia"/>
          <w:color w:val="auto"/>
          <w:sz w:val="24"/>
          <w:szCs w:val="24"/>
          <w:highlight w:val="none"/>
        </w:rPr>
        <w:t>供应商（电子签章）：</w:t>
      </w:r>
      <w:r>
        <w:rPr>
          <w:rFonts w:hint="eastAsia"/>
          <w:color w:val="auto"/>
          <w:sz w:val="24"/>
          <w:szCs w:val="24"/>
          <w:highlight w:val="none"/>
          <w:u w:val="single"/>
        </w:rPr>
        <w:t xml:space="preserve">                               </w:t>
      </w:r>
      <w:r>
        <w:rPr>
          <w:rFonts w:hint="eastAsia"/>
          <w:color w:val="auto"/>
          <w:sz w:val="24"/>
          <w:szCs w:val="24"/>
          <w:highlight w:val="none"/>
        </w:rPr>
        <w:t xml:space="preserve">       </w:t>
      </w:r>
      <w:r>
        <w:rPr>
          <w:rFonts w:hint="eastAsia" w:ascii="宋体" w:hAnsi="宋体" w:cs="宋体"/>
          <w:color w:val="auto"/>
          <w:sz w:val="24"/>
          <w:szCs w:val="24"/>
          <w:highlight w:val="none"/>
        </w:rPr>
        <w:t xml:space="preserve">    </w:t>
      </w:r>
    </w:p>
    <w:p w14:paraId="464BB6EB">
      <w:pPr>
        <w:widowControl/>
        <w:spacing w:line="360" w:lineRule="auto"/>
        <w:jc w:val="left"/>
        <w:rPr>
          <w:rFonts w:hint="eastAsia"/>
          <w:color w:val="auto"/>
          <w:sz w:val="24"/>
          <w:szCs w:val="24"/>
          <w:highlight w:val="none"/>
          <w:lang w:val="zh-CN"/>
        </w:rPr>
        <w:sectPr>
          <w:pgSz w:w="11910" w:h="16840"/>
          <w:pgMar w:top="1340" w:right="1500" w:bottom="280" w:left="1680" w:header="720" w:footer="720" w:gutter="0"/>
          <w:cols w:space="720" w:num="1"/>
        </w:sectPr>
      </w:pPr>
      <w:r>
        <w:rPr>
          <w:rFonts w:hint="eastAsia" w:ascii="宋体" w:hAnsi="宋体" w:cs="宋体"/>
          <w:color w:val="auto"/>
          <w:sz w:val="24"/>
          <w:szCs w:val="24"/>
          <w:highlight w:val="none"/>
        </w:rPr>
        <w:t xml:space="preserve">                                               </w:t>
      </w:r>
      <w:r>
        <w:rPr>
          <w:rFonts w:hint="eastAsia"/>
          <w:color w:val="auto"/>
          <w:sz w:val="24"/>
          <w:szCs w:val="24"/>
          <w:highlight w:val="none"/>
        </w:rPr>
        <w:t xml:space="preserve"> 年    月    日</w:t>
      </w:r>
    </w:p>
    <w:p w14:paraId="17188202">
      <w:pPr>
        <w:pStyle w:val="32"/>
        <w:rPr>
          <w:color w:val="auto"/>
          <w:highlight w:val="none"/>
        </w:rPr>
      </w:pPr>
    </w:p>
    <w:p w14:paraId="0B3D6430">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、中小企业声明函或残疾人福利性单位声明函或属于监狱企业的证明文件</w:t>
      </w:r>
    </w:p>
    <w:p w14:paraId="6BEE0E85">
      <w:pPr>
        <w:spacing w:line="30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中小企业声明函（工程、服务）</w:t>
      </w:r>
    </w:p>
    <w:p w14:paraId="0BC5398D">
      <w:pPr>
        <w:spacing w:line="360" w:lineRule="auto"/>
        <w:ind w:firstLine="550"/>
        <w:rPr>
          <w:rFonts w:ascii="宋体" w:hAnsi="宋体" w:cs="宋体"/>
          <w:color w:val="auto"/>
          <w:kern w:val="0"/>
          <w:sz w:val="24"/>
          <w:highlight w:val="none"/>
        </w:rPr>
      </w:pPr>
    </w:p>
    <w:p w14:paraId="74E8D06C">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D24F052">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1.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1E2BE704">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2.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6302C709">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 </w:t>
      </w:r>
    </w:p>
    <w:p w14:paraId="6377D82F">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664CB90D">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25DEF4D2">
      <w:pPr>
        <w:ind w:firstLine="552"/>
        <w:rPr>
          <w:rFonts w:ascii="宋体" w:hAnsi="宋体" w:cs="宋体"/>
          <w:color w:val="auto"/>
          <w:kern w:val="0"/>
          <w:szCs w:val="21"/>
          <w:highlight w:val="none"/>
        </w:rPr>
      </w:pPr>
    </w:p>
    <w:p w14:paraId="7CCCA98A">
      <w:pPr>
        <w:pStyle w:val="11"/>
        <w:spacing w:after="0" w:line="360" w:lineRule="auto"/>
        <w:contextualSpacing/>
        <w:rPr>
          <w:rFonts w:ascii="宋体" w:hAnsi="宋体" w:cs="宋体"/>
          <w:color w:val="auto"/>
          <w:kern w:val="0"/>
          <w:sz w:val="24"/>
          <w:szCs w:val="22"/>
          <w:highlight w:val="none"/>
        </w:rPr>
      </w:pPr>
      <w:r>
        <w:rPr>
          <w:rFonts w:hint="eastAsia" w:ascii="宋体" w:hAnsi="宋体" w:cs="宋体"/>
          <w:color w:val="auto"/>
          <w:kern w:val="0"/>
          <w:sz w:val="24"/>
          <w:szCs w:val="22"/>
          <w:highlight w:val="none"/>
        </w:rPr>
        <w:t>1从业人员、营业收入、资产总额填报上一年度数据，无上一年度数据的新成立企业可不填报。</w:t>
      </w:r>
    </w:p>
    <w:p w14:paraId="5DA9DD89">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893F058">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F47E764">
      <w:pPr>
        <w:pStyle w:val="11"/>
        <w:spacing w:after="0" w:line="360" w:lineRule="auto"/>
        <w:ind w:left="3960" w:right="1808"/>
        <w:contextualSpacing/>
        <w:rPr>
          <w:rFonts w:ascii="宋体" w:hAnsi="宋体" w:cs="宋体"/>
          <w:color w:val="auto"/>
          <w:highlight w:val="none"/>
        </w:rPr>
      </w:pPr>
    </w:p>
    <w:p w14:paraId="66C17F9E">
      <w:pPr>
        <w:tabs>
          <w:tab w:val="left" w:pos="7980"/>
        </w:tabs>
        <w:spacing w:line="360" w:lineRule="auto"/>
        <w:contextualSpacing/>
        <w:jc w:val="left"/>
        <w:rPr>
          <w:rFonts w:ascii="宋体" w:hAnsi="宋体" w:cs="宋体"/>
          <w:color w:val="auto"/>
          <w:kern w:val="0"/>
          <w:sz w:val="24"/>
          <w:highlight w:val="none"/>
        </w:rPr>
      </w:pPr>
      <w:r>
        <w:rPr>
          <w:rFonts w:hint="eastAsia" w:ascii="宋体" w:hAnsi="宋体" w:cs="宋体"/>
          <w:color w:val="auto"/>
          <w:sz w:val="24"/>
          <w:highlight w:val="none"/>
        </w:rPr>
        <w:t>注：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27A3C5EF">
      <w:pPr>
        <w:snapToGrid w:val="0"/>
        <w:spacing w:before="120" w:beforeLines="50" w:after="50" w:line="360" w:lineRule="auto"/>
        <w:outlineLvl w:val="1"/>
        <w:rPr>
          <w:rFonts w:ascii="宋体" w:hAnsi="宋体" w:cs="宋体"/>
          <w:b/>
          <w:bCs/>
          <w:color w:val="auto"/>
          <w:sz w:val="32"/>
          <w:szCs w:val="32"/>
          <w:highlight w:val="none"/>
        </w:rPr>
        <w:sectPr>
          <w:pgSz w:w="11910" w:h="16840"/>
          <w:pgMar w:top="1440" w:right="1440" w:bottom="1440" w:left="1440" w:header="720" w:footer="720" w:gutter="0"/>
          <w:cols w:space="720" w:num="1"/>
        </w:sectPr>
      </w:pPr>
    </w:p>
    <w:p w14:paraId="20236B4E">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672D5B6B">
      <w:pPr>
        <w:spacing w:line="520" w:lineRule="exact"/>
        <w:rPr>
          <w:rFonts w:ascii="宋体" w:hAnsi="宋体" w:cs="宋体"/>
          <w:color w:val="auto"/>
          <w:sz w:val="32"/>
          <w:szCs w:val="32"/>
          <w:highlight w:val="none"/>
        </w:rPr>
      </w:pPr>
    </w:p>
    <w:p w14:paraId="6BFFB7F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328A17B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52E1EA08">
      <w:pPr>
        <w:spacing w:line="360" w:lineRule="auto"/>
        <w:contextualSpacing/>
        <w:rPr>
          <w:rFonts w:ascii="宋体" w:hAnsi="宋体" w:cs="宋体"/>
          <w:color w:val="auto"/>
          <w:sz w:val="24"/>
          <w:highlight w:val="none"/>
        </w:rPr>
      </w:pPr>
    </w:p>
    <w:p w14:paraId="1A8E35DD">
      <w:pPr>
        <w:spacing w:line="360" w:lineRule="auto"/>
        <w:contextualSpacing/>
        <w:rPr>
          <w:rFonts w:ascii="宋体" w:hAnsi="宋体" w:cs="宋体"/>
          <w:color w:val="auto"/>
          <w:sz w:val="24"/>
          <w:highlight w:val="none"/>
        </w:rPr>
      </w:pPr>
    </w:p>
    <w:p w14:paraId="308A18AA">
      <w:pPr>
        <w:spacing w:line="360" w:lineRule="auto"/>
        <w:contextualSpacing/>
        <w:rPr>
          <w:rFonts w:ascii="宋体" w:hAnsi="宋体" w:cs="宋体"/>
          <w:color w:val="auto"/>
          <w:sz w:val="24"/>
          <w:highlight w:val="none"/>
        </w:rPr>
      </w:pPr>
    </w:p>
    <w:p w14:paraId="238BB38B">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0B040AF5">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6ADBBA82">
      <w:pPr>
        <w:spacing w:line="360" w:lineRule="auto"/>
        <w:contextualSpacing/>
        <w:rPr>
          <w:rFonts w:ascii="宋体" w:hAnsi="宋体" w:cs="宋体"/>
          <w:color w:val="auto"/>
          <w:sz w:val="24"/>
          <w:highlight w:val="none"/>
        </w:rPr>
      </w:pPr>
    </w:p>
    <w:p w14:paraId="364B8696">
      <w:pPr>
        <w:spacing w:line="360" w:lineRule="auto"/>
        <w:contextualSpacing/>
        <w:rPr>
          <w:rFonts w:ascii="宋体" w:hAnsi="宋体" w:cs="宋体"/>
          <w:color w:val="auto"/>
          <w:sz w:val="24"/>
          <w:highlight w:val="none"/>
        </w:rPr>
      </w:pPr>
    </w:p>
    <w:p w14:paraId="23CF306B">
      <w:pPr>
        <w:spacing w:line="360" w:lineRule="auto"/>
        <w:contextualSpacing/>
        <w:rPr>
          <w:rFonts w:ascii="宋体" w:hAnsi="宋体" w:cs="宋体"/>
          <w:color w:val="auto"/>
          <w:sz w:val="24"/>
          <w:highlight w:val="none"/>
        </w:rPr>
      </w:pPr>
    </w:p>
    <w:p w14:paraId="246AB460">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注：请根据自己的真实情况出具《残疾人福利性单位声明函》。依法享受小微企业优惠政策的，采购人或者采购代理机构在公告中标结果时，同时公告其《残疾人福利性单位声明函》，接受社会监督。</w:t>
      </w:r>
    </w:p>
    <w:p w14:paraId="5D670FBC">
      <w:pPr>
        <w:snapToGrid w:val="0"/>
        <w:spacing w:line="360" w:lineRule="auto"/>
        <w:rPr>
          <w:rFonts w:ascii="宋体" w:hAnsi="宋体" w:cs="宋体"/>
          <w:bCs/>
          <w:color w:val="auto"/>
          <w:sz w:val="30"/>
          <w:szCs w:val="30"/>
          <w:highlight w:val="none"/>
        </w:rPr>
      </w:pPr>
    </w:p>
    <w:p w14:paraId="6263F00C">
      <w:pPr>
        <w:spacing w:line="360" w:lineRule="auto"/>
        <w:contextualSpacing/>
        <w:rPr>
          <w:rFonts w:hint="eastAsia" w:ascii="宋体" w:hAnsi="宋体" w:cs="宋体"/>
          <w:color w:val="auto"/>
          <w:sz w:val="24"/>
          <w:highlight w:val="none"/>
        </w:rPr>
      </w:pP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资格条件证明材料：</w:t>
      </w:r>
      <w:r>
        <w:rPr>
          <w:rFonts w:hint="eastAsia" w:ascii="宋体" w:hAnsi="宋体" w:cs="宋体"/>
          <w:b/>
          <w:bCs/>
          <w:color w:val="auto"/>
          <w:sz w:val="24"/>
          <w:highlight w:val="none"/>
          <w:lang w:eastAsia="zh-CN"/>
        </w:rPr>
        <w:t>①</w:t>
      </w:r>
      <w:r>
        <w:rPr>
          <w:rFonts w:hint="eastAsia" w:ascii="宋体" w:hAnsi="宋体" w:cs="宋体"/>
          <w:b/>
          <w:bCs/>
          <w:color w:val="auto"/>
          <w:sz w:val="24"/>
          <w:highlight w:val="none"/>
        </w:rPr>
        <w:t>供应商须具备公路工程施工总承包叁级(含)以上资质，</w:t>
      </w:r>
      <w:r>
        <w:rPr>
          <w:rFonts w:hint="eastAsia" w:ascii="宋体" w:hAnsi="宋体" w:cs="宋体"/>
          <w:b/>
          <w:bCs/>
          <w:color w:val="auto"/>
          <w:sz w:val="24"/>
          <w:highlight w:val="none"/>
          <w:lang w:val="en-US" w:eastAsia="zh-CN"/>
        </w:rPr>
        <w:t>同时</w:t>
      </w:r>
      <w:r>
        <w:rPr>
          <w:rFonts w:hint="eastAsia" w:ascii="宋体" w:hAnsi="宋体" w:cs="宋体"/>
          <w:b/>
          <w:bCs/>
          <w:color w:val="auto"/>
          <w:sz w:val="24"/>
          <w:highlight w:val="none"/>
        </w:rPr>
        <w:t>持有省级及以上建设行政主管部门颁发的安全生产许可证；②</w:t>
      </w:r>
      <w:r>
        <w:rPr>
          <w:rFonts w:hint="eastAsia" w:ascii="宋体" w:hAnsi="宋体" w:cs="宋体"/>
          <w:b/>
          <w:bCs/>
          <w:color w:val="auto"/>
          <w:sz w:val="24"/>
          <w:highlight w:val="none"/>
          <w:lang w:val="en-US" w:eastAsia="zh-CN"/>
        </w:rPr>
        <w:t>拟投入本项目的</w:t>
      </w:r>
      <w:r>
        <w:rPr>
          <w:rFonts w:hint="eastAsia" w:ascii="宋体" w:hAnsi="宋体" w:cs="宋体"/>
          <w:b/>
          <w:bCs/>
          <w:color w:val="auto"/>
          <w:sz w:val="24"/>
          <w:highlight w:val="none"/>
        </w:rPr>
        <w:t>项目经理须</w:t>
      </w:r>
      <w:r>
        <w:rPr>
          <w:rFonts w:hint="eastAsia" w:ascii="宋体" w:hAnsi="宋体" w:cs="宋体"/>
          <w:b/>
          <w:bCs/>
          <w:color w:val="auto"/>
          <w:sz w:val="24"/>
          <w:highlight w:val="none"/>
          <w:lang w:val="en-US" w:eastAsia="zh-CN"/>
        </w:rPr>
        <w:t>具备</w:t>
      </w:r>
      <w:r>
        <w:rPr>
          <w:rFonts w:hint="eastAsia" w:ascii="宋体" w:hAnsi="宋体" w:cs="宋体"/>
          <w:b/>
          <w:bCs/>
          <w:color w:val="auto"/>
          <w:sz w:val="24"/>
          <w:highlight w:val="none"/>
        </w:rPr>
        <w:t>公路工程专业</w:t>
      </w:r>
      <w:r>
        <w:rPr>
          <w:rFonts w:hint="eastAsia" w:ascii="宋体" w:hAnsi="宋体" w:cs="宋体"/>
          <w:b/>
          <w:bCs/>
          <w:color w:val="auto"/>
          <w:sz w:val="24"/>
          <w:highlight w:val="none"/>
          <w:lang w:val="en-US" w:eastAsia="zh-CN"/>
        </w:rPr>
        <w:t>贰</w:t>
      </w:r>
      <w:r>
        <w:rPr>
          <w:rFonts w:hint="eastAsia" w:ascii="宋体" w:hAnsi="宋体" w:cs="宋体"/>
          <w:b/>
          <w:bCs/>
          <w:color w:val="auto"/>
          <w:sz w:val="24"/>
          <w:highlight w:val="none"/>
        </w:rPr>
        <w:t>级以上(含</w:t>
      </w:r>
      <w:r>
        <w:rPr>
          <w:rFonts w:hint="eastAsia" w:ascii="宋体" w:hAnsi="宋体" w:cs="宋体"/>
          <w:b/>
          <w:bCs/>
          <w:color w:val="auto"/>
          <w:sz w:val="24"/>
          <w:highlight w:val="none"/>
          <w:lang w:val="en-US" w:eastAsia="zh-CN"/>
        </w:rPr>
        <w:t>贰级</w:t>
      </w:r>
      <w:r>
        <w:rPr>
          <w:rFonts w:hint="eastAsia" w:ascii="宋体" w:hAnsi="宋体" w:cs="宋体"/>
          <w:b/>
          <w:bCs/>
          <w:color w:val="auto"/>
          <w:sz w:val="24"/>
          <w:highlight w:val="none"/>
        </w:rPr>
        <w:t>)注册建造师资格，并持有省级或以上交通运输行政主管部门颁发的安全生产考核合格证(“三类人员”B 类证书)</w:t>
      </w:r>
      <w:r>
        <w:rPr>
          <w:rFonts w:hint="eastAsia" w:ascii="宋体" w:hAnsi="宋体" w:cs="宋体"/>
          <w:b/>
          <w:bCs/>
          <w:color w:val="auto"/>
          <w:sz w:val="24"/>
          <w:highlight w:val="none"/>
          <w:lang w:eastAsia="zh-CN"/>
        </w:rPr>
        <w:t>，③</w:t>
      </w:r>
      <w:r>
        <w:rPr>
          <w:rFonts w:hint="eastAsia" w:ascii="宋体" w:hAnsi="宋体" w:cs="宋体"/>
          <w:b/>
          <w:bCs/>
          <w:color w:val="auto"/>
          <w:sz w:val="24"/>
          <w:highlight w:val="none"/>
          <w:lang w:val="en-US" w:eastAsia="zh-CN"/>
        </w:rPr>
        <w:t>拟投入本项目的安全员应具有省级（或以上）交通主管部门颁发的《安全生产考核合格证书》 C证</w:t>
      </w:r>
    </w:p>
    <w:p w14:paraId="06B57C75">
      <w:pPr>
        <w:snapToGrid w:val="0"/>
        <w:spacing w:line="360" w:lineRule="auto"/>
        <w:ind w:firstLine="602" w:firstLineChars="200"/>
        <w:rPr>
          <w:rFonts w:ascii="宋体" w:hAnsi="宋体" w:cs="宋体"/>
          <w:b/>
          <w:color w:val="auto"/>
          <w:sz w:val="30"/>
          <w:szCs w:val="30"/>
          <w:highlight w:val="none"/>
        </w:rPr>
      </w:pPr>
    </w:p>
    <w:p w14:paraId="7FC72565">
      <w:pPr>
        <w:spacing w:line="360" w:lineRule="auto"/>
        <w:contextualSpacing/>
        <w:rPr>
          <w:rFonts w:hint="eastAsia" w:ascii="宋体" w:hAnsi="宋体" w:cs="宋体"/>
          <w:color w:val="auto"/>
          <w:sz w:val="24"/>
          <w:highlight w:val="none"/>
          <w:lang w:val="zh-CN" w:eastAsia="zh-CN"/>
        </w:rPr>
      </w:pPr>
    </w:p>
    <w:p w14:paraId="1636AEB2">
      <w:pPr>
        <w:spacing w:line="360" w:lineRule="auto"/>
        <w:contextualSpacing/>
        <w:rPr>
          <w:rFonts w:hint="eastAsia" w:ascii="宋体" w:hAnsi="宋体" w:cs="宋体"/>
          <w:color w:val="auto"/>
          <w:sz w:val="24"/>
          <w:highlight w:val="none"/>
          <w:lang w:val="zh-CN" w:eastAsia="zh-CN"/>
        </w:rPr>
      </w:pPr>
    </w:p>
    <w:p w14:paraId="759FE6ED">
      <w:pPr>
        <w:spacing w:line="360" w:lineRule="auto"/>
        <w:contextualSpacing/>
        <w:rPr>
          <w:rFonts w:hint="eastAsia" w:ascii="宋体" w:hAnsi="宋体" w:cs="宋体"/>
          <w:color w:val="auto"/>
          <w:sz w:val="24"/>
          <w:highlight w:val="none"/>
          <w:lang w:val="zh-CN" w:eastAsia="zh-CN"/>
        </w:rPr>
      </w:pPr>
    </w:p>
    <w:p w14:paraId="116D9287">
      <w:pPr>
        <w:spacing w:line="360" w:lineRule="auto"/>
        <w:contextualSpacing/>
        <w:rPr>
          <w:rFonts w:hint="eastAsia" w:ascii="宋体" w:hAnsi="宋体" w:cs="宋体"/>
          <w:color w:val="auto"/>
          <w:sz w:val="24"/>
          <w:highlight w:val="none"/>
          <w:lang w:val="en-US" w:eastAsia="zh-CN"/>
        </w:rPr>
      </w:pPr>
    </w:p>
    <w:p w14:paraId="4EBB53D3">
      <w:pPr>
        <w:spacing w:line="360" w:lineRule="auto"/>
        <w:contextualSpacing/>
        <w:rPr>
          <w:rFonts w:hint="eastAsia" w:ascii="宋体" w:hAnsi="宋体" w:cs="宋体"/>
          <w:color w:val="auto"/>
          <w:sz w:val="24"/>
          <w:highlight w:val="none"/>
          <w:lang w:val="en-US" w:eastAsia="zh-CN"/>
        </w:rPr>
      </w:pPr>
      <w:r>
        <w:rPr>
          <w:rFonts w:hint="eastAsia" w:ascii="宋体" w:hAnsi="宋体" w:cs="宋体"/>
          <w:b/>
          <w:bCs/>
          <w:color w:val="auto"/>
          <w:sz w:val="24"/>
          <w:highlight w:val="none"/>
          <w:lang w:val="en-US" w:eastAsia="zh-CN"/>
        </w:rPr>
        <w:t>八、承诺函</w:t>
      </w:r>
    </w:p>
    <w:p w14:paraId="7BB63DEA">
      <w:pPr>
        <w:spacing w:before="240" w:after="240" w:line="500" w:lineRule="exact"/>
        <w:jc w:val="center"/>
        <w:rPr>
          <w:rFonts w:ascii="宋体" w:hAnsi="宋体" w:cs="宋体"/>
          <w:b/>
          <w:bCs/>
          <w:color w:val="auto"/>
          <w:sz w:val="24"/>
          <w:highlight w:val="none"/>
        </w:rPr>
      </w:pPr>
      <w:r>
        <w:rPr>
          <w:rFonts w:hint="eastAsia" w:ascii="宋体" w:hAnsi="宋体" w:cs="宋体"/>
          <w:b/>
          <w:bCs/>
          <w:color w:val="auto"/>
          <w:sz w:val="24"/>
          <w:highlight w:val="none"/>
        </w:rPr>
        <w:t>承诺函（一）</w:t>
      </w:r>
    </w:p>
    <w:p w14:paraId="6C5EEC3D">
      <w:pPr>
        <w:spacing w:before="240" w:after="240" w:line="500" w:lineRule="exact"/>
        <w:rPr>
          <w:rFonts w:ascii="宋体" w:hAnsi="宋体" w:cs="宋体"/>
          <w:color w:val="auto"/>
          <w:szCs w:val="21"/>
          <w:highlight w:val="none"/>
          <w:u w:val="single"/>
        </w:rPr>
      </w:pPr>
      <w:r>
        <w:rPr>
          <w:rFonts w:hint="eastAsia" w:ascii="宋体" w:hAnsi="宋体" w:cs="宋体"/>
          <w:color w:val="auto"/>
          <w:szCs w:val="21"/>
          <w:highlight w:val="none"/>
          <w:u w:val="single"/>
        </w:rPr>
        <w:t>致：（</w:t>
      </w:r>
      <w:r>
        <w:rPr>
          <w:rFonts w:hint="eastAsia" w:ascii="宋体" w:hAnsi="宋体" w:cs="宋体"/>
          <w:color w:val="auto"/>
          <w:szCs w:val="21"/>
          <w:highlight w:val="none"/>
          <w:u w:val="single"/>
          <w:lang w:val="en-US" w:eastAsia="zh-CN"/>
        </w:rPr>
        <w:t>采购人</w:t>
      </w:r>
      <w:r>
        <w:rPr>
          <w:rFonts w:hint="eastAsia" w:ascii="宋体" w:hAnsi="宋体" w:cs="宋体"/>
          <w:color w:val="auto"/>
          <w:szCs w:val="21"/>
          <w:highlight w:val="none"/>
          <w:u w:val="single"/>
        </w:rPr>
        <w:t>名称）：</w:t>
      </w:r>
    </w:p>
    <w:p w14:paraId="4548A36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我公司决定参加</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采购活动</w:t>
      </w:r>
      <w:r>
        <w:rPr>
          <w:rFonts w:hint="eastAsia" w:ascii="宋体" w:hAnsi="宋体" w:cs="宋体"/>
          <w:color w:val="auto"/>
          <w:szCs w:val="21"/>
          <w:highlight w:val="none"/>
        </w:rPr>
        <w:t>并作出如下承诺：</w:t>
      </w:r>
    </w:p>
    <w:p w14:paraId="061355A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一、我公司保证在递交</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文件截止之日止，在已完或在建的项目中没有存在拖欠或克扣农民工工资的行为；</w:t>
      </w:r>
    </w:p>
    <w:p w14:paraId="38A0C36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二、如我公司</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后，同意按工程</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价的2%缴纳农民工工资保障金；</w:t>
      </w:r>
    </w:p>
    <w:p w14:paraId="52B3068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三、如我公司</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，保证依法足额支付农民工工资，一旦本公司承建的项目出现拖欠农民工工资的，可由劳动保障、交通主管部门（或交通主管部门授权的机构）及建设单位根据相关规定从本公司的农民工工资保障金中先予支取。</w:t>
      </w:r>
    </w:p>
    <w:p w14:paraId="382C7D5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四、农民工工资保障金按现金支票或银行汇票的方式汇到发包人指定帐户。</w:t>
      </w:r>
    </w:p>
    <w:p w14:paraId="2458A83C">
      <w:pPr>
        <w:spacing w:line="500" w:lineRule="exact"/>
        <w:ind w:left="420" w:firstLine="480"/>
        <w:rPr>
          <w:rFonts w:ascii="宋体" w:hAnsi="宋体" w:cs="宋体"/>
          <w:color w:val="auto"/>
          <w:szCs w:val="21"/>
          <w:highlight w:val="none"/>
        </w:rPr>
      </w:pPr>
    </w:p>
    <w:p w14:paraId="06357AA1">
      <w:pPr>
        <w:ind w:left="420" w:firstLine="480"/>
        <w:rPr>
          <w:rFonts w:ascii="宋体" w:hAnsi="宋体" w:cs="宋体"/>
          <w:color w:val="auto"/>
          <w:szCs w:val="21"/>
          <w:highlight w:val="none"/>
        </w:rPr>
      </w:pPr>
    </w:p>
    <w:p w14:paraId="7198323A">
      <w:pPr>
        <w:spacing w:line="500" w:lineRule="exact"/>
        <w:ind w:left="420" w:firstLine="48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6B71D1EE">
      <w:pPr>
        <w:spacing w:line="500" w:lineRule="exact"/>
        <w:ind w:left="420" w:firstLine="480"/>
        <w:rPr>
          <w:rFonts w:ascii="宋体" w:hAnsi="宋体" w:cs="宋体"/>
          <w:color w:val="auto"/>
          <w:szCs w:val="21"/>
          <w:highlight w:val="none"/>
          <w:lang w:val="zh-CN"/>
        </w:rPr>
      </w:pPr>
      <w:r>
        <w:rPr>
          <w:rFonts w:hint="eastAsia" w:ascii="宋体" w:hAnsi="宋体" w:cs="宋体"/>
          <w:color w:val="auto"/>
          <w:szCs w:val="21"/>
          <w:highlight w:val="none"/>
          <w:lang w:val="zh-CN"/>
        </w:rPr>
        <w:t>日期：  年  月   日</w:t>
      </w:r>
    </w:p>
    <w:p w14:paraId="17B29707">
      <w:pPr>
        <w:spacing w:line="500" w:lineRule="exact"/>
        <w:rPr>
          <w:rFonts w:ascii="宋体" w:hAnsi="宋体" w:cs="宋体"/>
          <w:color w:val="auto"/>
          <w:szCs w:val="21"/>
          <w:highlight w:val="none"/>
        </w:rPr>
      </w:pPr>
    </w:p>
    <w:p w14:paraId="60056B36">
      <w:pPr>
        <w:spacing w:before="240" w:after="240" w:line="500" w:lineRule="exact"/>
        <w:jc w:val="center"/>
        <w:rPr>
          <w:rFonts w:ascii="宋体" w:hAnsi="宋体" w:cs="宋体"/>
          <w:color w:val="auto"/>
          <w:sz w:val="24"/>
          <w:highlight w:val="none"/>
        </w:rPr>
      </w:pPr>
    </w:p>
    <w:p w14:paraId="6F11D844">
      <w:pPr>
        <w:spacing w:before="240" w:after="240" w:line="500" w:lineRule="exact"/>
        <w:jc w:val="center"/>
        <w:rPr>
          <w:rFonts w:ascii="宋体" w:hAnsi="宋体" w:cs="宋体"/>
          <w:color w:val="auto"/>
          <w:sz w:val="24"/>
          <w:highlight w:val="none"/>
        </w:rPr>
      </w:pPr>
    </w:p>
    <w:p w14:paraId="4AB3E01A">
      <w:pPr>
        <w:spacing w:before="240" w:after="240" w:line="500" w:lineRule="exact"/>
        <w:jc w:val="center"/>
        <w:rPr>
          <w:rFonts w:ascii="宋体" w:hAnsi="宋体" w:cs="宋体"/>
          <w:color w:val="auto"/>
          <w:sz w:val="24"/>
          <w:highlight w:val="none"/>
        </w:rPr>
      </w:pPr>
    </w:p>
    <w:p w14:paraId="1C5A128E">
      <w:pPr>
        <w:spacing w:before="240" w:after="240" w:line="500" w:lineRule="exact"/>
        <w:jc w:val="center"/>
        <w:rPr>
          <w:rFonts w:ascii="宋体" w:hAnsi="宋体" w:cs="宋体"/>
          <w:color w:val="auto"/>
          <w:sz w:val="24"/>
          <w:highlight w:val="none"/>
        </w:rPr>
      </w:pPr>
    </w:p>
    <w:p w14:paraId="21E33121">
      <w:pPr>
        <w:spacing w:before="240" w:after="240" w:line="500" w:lineRule="exact"/>
        <w:jc w:val="center"/>
        <w:rPr>
          <w:rFonts w:ascii="宋体" w:hAnsi="宋体" w:cs="宋体"/>
          <w:color w:val="auto"/>
          <w:sz w:val="24"/>
          <w:highlight w:val="none"/>
        </w:rPr>
      </w:pPr>
    </w:p>
    <w:p w14:paraId="4B157C99">
      <w:pPr>
        <w:spacing w:before="240" w:after="240" w:line="500" w:lineRule="exact"/>
        <w:jc w:val="center"/>
        <w:rPr>
          <w:rFonts w:ascii="宋体" w:hAnsi="宋体" w:cs="宋体"/>
          <w:color w:val="auto"/>
          <w:sz w:val="24"/>
          <w:highlight w:val="none"/>
        </w:rPr>
      </w:pPr>
    </w:p>
    <w:p w14:paraId="2230DED1">
      <w:pPr>
        <w:spacing w:before="240" w:after="240" w:line="500" w:lineRule="exact"/>
        <w:jc w:val="center"/>
        <w:rPr>
          <w:rFonts w:ascii="宋体" w:hAnsi="宋体" w:cs="宋体"/>
          <w:color w:val="auto"/>
          <w:sz w:val="24"/>
          <w:highlight w:val="none"/>
        </w:rPr>
      </w:pPr>
    </w:p>
    <w:p w14:paraId="20FFDE64">
      <w:pPr>
        <w:spacing w:before="240" w:after="240" w:line="500" w:lineRule="exact"/>
        <w:jc w:val="center"/>
        <w:rPr>
          <w:rFonts w:ascii="宋体" w:hAnsi="宋体" w:cs="宋体"/>
          <w:color w:val="auto"/>
          <w:sz w:val="24"/>
          <w:highlight w:val="none"/>
        </w:rPr>
      </w:pPr>
    </w:p>
    <w:p w14:paraId="044F1C95">
      <w:pPr>
        <w:spacing w:before="240" w:after="240" w:line="500" w:lineRule="exact"/>
        <w:jc w:val="center"/>
        <w:rPr>
          <w:rFonts w:ascii="宋体" w:hAnsi="宋体" w:cs="宋体"/>
          <w:b/>
          <w:bCs/>
          <w:color w:val="auto"/>
          <w:sz w:val="24"/>
          <w:highlight w:val="none"/>
        </w:rPr>
      </w:pPr>
      <w:r>
        <w:rPr>
          <w:rFonts w:hint="eastAsia" w:ascii="宋体" w:hAnsi="宋体" w:cs="宋体"/>
          <w:b/>
          <w:bCs/>
          <w:color w:val="auto"/>
          <w:sz w:val="24"/>
          <w:highlight w:val="none"/>
        </w:rPr>
        <w:t>承诺函（二）</w:t>
      </w:r>
    </w:p>
    <w:p w14:paraId="21817D1E">
      <w:pPr>
        <w:spacing w:before="240" w:after="240" w:line="500" w:lineRule="exac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名称）：</w:t>
      </w:r>
    </w:p>
    <w:p w14:paraId="256D07C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我方参加了</w:t>
      </w:r>
      <w:r>
        <w:rPr>
          <w:rFonts w:hint="eastAsia" w:ascii="宋体" w:hAnsi="宋体" w:cs="宋体"/>
          <w:color w:val="auto"/>
          <w:szCs w:val="21"/>
          <w:highlight w:val="none"/>
          <w:u w:val="single"/>
        </w:rPr>
        <w:t>（项目名称）</w:t>
      </w:r>
      <w:r>
        <w:rPr>
          <w:rFonts w:hint="eastAsia" w:ascii="宋体" w:hAnsi="宋体" w:cs="宋体"/>
          <w:color w:val="auto"/>
          <w:szCs w:val="21"/>
          <w:highlight w:val="none"/>
          <w:lang w:val="en-US" w:eastAsia="zh-CN"/>
        </w:rPr>
        <w:t>的采购活动</w:t>
      </w:r>
      <w:r>
        <w:rPr>
          <w:rFonts w:hint="eastAsia" w:ascii="宋体" w:hAnsi="宋体" w:cs="宋体"/>
          <w:color w:val="auto"/>
          <w:szCs w:val="21"/>
          <w:highlight w:val="none"/>
        </w:rPr>
        <w:t>，若我方</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，我方在此承诺：</w:t>
      </w:r>
    </w:p>
    <w:p w14:paraId="13BFC8C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若本项目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文件未要求我方在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文件中填报派驻本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的其他主要管理人员和技术人员及主要机械设备和试验检测设备，在</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人向我方发出</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通知书之前，我方将按照合同附件提出的最低要求填报派驻本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的其他主要管理人员和技术人员及主要机械设备和试验检测设备，在经</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人审批后作为派驻本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的项目管理机构主要人员和主要设备且不进行更换，如需更换须经</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同意。</w:t>
      </w:r>
    </w:p>
    <w:p w14:paraId="1B5E8B9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若我方已按本项目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文件要求在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文件中填报派驻本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的其他主要管理人员和技术人员及主要机械设备和试验检测设备，我方将严格按照在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文件中填报的其他主要管理人员和技术人员及主要机械设备和试验检测设备组织进场施工，且不进行更换。</w:t>
      </w:r>
    </w:p>
    <w:p w14:paraId="321341F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如我方违背了上述承诺，本项目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人有权取消我方的</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资格，并由</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人将我方的违约行为上报交通行政主管部门，作为不良记录纳入公路建设市场信息管理系统。</w:t>
      </w:r>
    </w:p>
    <w:p w14:paraId="747FAB11">
      <w:pPr>
        <w:spacing w:line="500" w:lineRule="exact"/>
        <w:rPr>
          <w:rFonts w:ascii="宋体" w:hAnsi="宋体" w:cs="宋体"/>
          <w:color w:val="auto"/>
          <w:szCs w:val="21"/>
          <w:highlight w:val="none"/>
        </w:rPr>
      </w:pPr>
    </w:p>
    <w:p w14:paraId="02088AF4">
      <w:pPr>
        <w:rPr>
          <w:rFonts w:ascii="宋体" w:hAnsi="宋体" w:cs="宋体"/>
          <w:color w:val="auto"/>
          <w:szCs w:val="21"/>
          <w:highlight w:val="none"/>
        </w:rPr>
      </w:pPr>
    </w:p>
    <w:p w14:paraId="21FBB139">
      <w:pPr>
        <w:spacing w:line="500" w:lineRule="exact"/>
        <w:ind w:left="420" w:firstLine="48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78EA6F23">
      <w:pPr>
        <w:spacing w:line="500" w:lineRule="exact"/>
        <w:ind w:left="420" w:firstLine="480"/>
        <w:rPr>
          <w:rFonts w:ascii="宋体" w:hAnsi="宋体" w:cs="宋体"/>
          <w:color w:val="auto"/>
          <w:szCs w:val="21"/>
          <w:highlight w:val="none"/>
          <w:lang w:val="zh-CN"/>
        </w:rPr>
      </w:pPr>
      <w:r>
        <w:rPr>
          <w:rFonts w:hint="eastAsia" w:ascii="宋体" w:hAnsi="宋体" w:cs="宋体"/>
          <w:color w:val="auto"/>
          <w:szCs w:val="21"/>
          <w:highlight w:val="none"/>
          <w:lang w:val="zh-CN"/>
        </w:rPr>
        <w:t>日期：  年  月   日</w:t>
      </w:r>
    </w:p>
    <w:p w14:paraId="2B57718B">
      <w:pPr>
        <w:numPr>
          <w:ilvl w:val="0"/>
          <w:numId w:val="0"/>
        </w:numPr>
        <w:snapToGrid w:val="0"/>
        <w:spacing w:line="360" w:lineRule="auto"/>
        <w:rPr>
          <w:rFonts w:hint="eastAsia" w:ascii="宋体" w:hAnsi="宋体" w:eastAsia="宋体" w:cs="宋体"/>
          <w:b/>
          <w:color w:val="auto"/>
          <w:sz w:val="30"/>
          <w:szCs w:val="30"/>
          <w:highlight w:val="none"/>
          <w:lang w:val="en-US" w:eastAsia="zh-CN"/>
        </w:rPr>
      </w:pPr>
    </w:p>
    <w:p w14:paraId="279F1344">
      <w:pPr>
        <w:pStyle w:val="3"/>
        <w:jc w:val="center"/>
        <w:rPr>
          <w:rFonts w:hint="eastAsia" w:ascii="宋体" w:hAnsi="宋体" w:cs="宋体"/>
          <w:b w:val="0"/>
          <w:bCs w:val="0"/>
          <w:color w:val="auto"/>
          <w:highlight w:val="none"/>
        </w:rPr>
      </w:pPr>
      <w:bookmarkStart w:id="75" w:name="_Toc80205940"/>
      <w:bookmarkStart w:id="76" w:name="_Toc10861"/>
    </w:p>
    <w:p w14:paraId="17A5EFEF">
      <w:pPr>
        <w:pStyle w:val="3"/>
        <w:jc w:val="both"/>
        <w:rPr>
          <w:rFonts w:hint="eastAsia" w:ascii="宋体" w:hAnsi="宋体" w:cs="宋体"/>
          <w:b w:val="0"/>
          <w:bCs w:val="0"/>
          <w:color w:val="auto"/>
          <w:highlight w:val="none"/>
        </w:rPr>
      </w:pPr>
    </w:p>
    <w:p w14:paraId="546F607B">
      <w:pPr>
        <w:rPr>
          <w:rFonts w:hint="eastAsia"/>
          <w:color w:val="auto"/>
          <w:highlight w:val="none"/>
        </w:rPr>
      </w:pPr>
    </w:p>
    <w:p w14:paraId="2139C090">
      <w:pPr>
        <w:pStyle w:val="3"/>
        <w:jc w:val="center"/>
        <w:rPr>
          <w:rFonts w:hint="eastAsia" w:ascii="宋体" w:hAnsi="宋体" w:cs="宋体"/>
          <w:b w:val="0"/>
          <w:bCs w:val="0"/>
          <w:color w:val="auto"/>
          <w:highlight w:val="none"/>
        </w:rPr>
      </w:pPr>
    </w:p>
    <w:p w14:paraId="1794892C">
      <w:pPr>
        <w:rPr>
          <w:rFonts w:hint="eastAsia" w:ascii="宋体" w:hAnsi="宋体" w:cs="宋体"/>
          <w:b w:val="0"/>
          <w:bCs w:val="0"/>
          <w:color w:val="auto"/>
          <w:highlight w:val="none"/>
        </w:rPr>
      </w:pPr>
    </w:p>
    <w:p w14:paraId="46E6DBD6">
      <w:pPr>
        <w:rPr>
          <w:rFonts w:hint="eastAsia" w:ascii="宋体" w:hAnsi="宋体" w:cs="宋体"/>
          <w:b w:val="0"/>
          <w:bCs w:val="0"/>
          <w:color w:val="auto"/>
          <w:highlight w:val="none"/>
        </w:rPr>
      </w:pPr>
    </w:p>
    <w:p w14:paraId="5DEACF4A">
      <w:pPr>
        <w:pStyle w:val="3"/>
        <w:jc w:val="center"/>
        <w:rPr>
          <w:rFonts w:ascii="宋体" w:hAnsi="宋体" w:cs="宋体"/>
          <w:b w:val="0"/>
          <w:color w:val="auto"/>
          <w:highlight w:val="none"/>
        </w:rPr>
      </w:pPr>
      <w:r>
        <w:rPr>
          <w:rFonts w:hint="eastAsia" w:ascii="宋体" w:hAnsi="宋体" w:cs="宋体"/>
          <w:b w:val="0"/>
          <w:bCs w:val="0"/>
          <w:color w:val="auto"/>
          <w:highlight w:val="none"/>
        </w:rPr>
        <w:t xml:space="preserve">第三节 </w:t>
      </w:r>
      <w:r>
        <w:rPr>
          <w:rFonts w:hint="eastAsia" w:ascii="宋体" w:hAnsi="宋体" w:cs="宋体"/>
          <w:b w:val="0"/>
          <w:color w:val="auto"/>
          <w:highlight w:val="none"/>
        </w:rPr>
        <w:t>商务技术文件格式</w:t>
      </w:r>
      <w:bookmarkEnd w:id="75"/>
      <w:bookmarkEnd w:id="76"/>
    </w:p>
    <w:p w14:paraId="1093ED5F">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65F481CB">
      <w:pPr>
        <w:snapToGrid w:val="0"/>
        <w:spacing w:before="120" w:beforeLines="50" w:after="50"/>
        <w:rPr>
          <w:rFonts w:ascii="宋体" w:hAnsi="宋体" w:cs="宋体"/>
          <w:color w:val="auto"/>
          <w:sz w:val="24"/>
          <w:szCs w:val="20"/>
          <w:highlight w:val="none"/>
        </w:rPr>
      </w:pPr>
    </w:p>
    <w:p w14:paraId="1DF3BF8F">
      <w:pPr>
        <w:snapToGrid w:val="0"/>
        <w:spacing w:before="120" w:beforeLines="50" w:after="50"/>
        <w:rPr>
          <w:rFonts w:ascii="宋体" w:hAnsi="宋体" w:cs="宋体"/>
          <w:color w:val="auto"/>
          <w:sz w:val="24"/>
          <w:szCs w:val="20"/>
          <w:highlight w:val="none"/>
        </w:rPr>
      </w:pPr>
    </w:p>
    <w:p w14:paraId="450CEF16">
      <w:pPr>
        <w:snapToGrid w:val="0"/>
        <w:spacing w:before="120" w:beforeLines="50" w:after="50"/>
        <w:rPr>
          <w:rFonts w:ascii="宋体" w:hAnsi="宋体" w:cs="宋体"/>
          <w:color w:val="auto"/>
          <w:sz w:val="24"/>
          <w:szCs w:val="20"/>
          <w:highlight w:val="none"/>
        </w:rPr>
      </w:pPr>
    </w:p>
    <w:p w14:paraId="72DD07E8">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7D80F95D">
      <w:pPr>
        <w:snapToGrid w:val="0"/>
        <w:spacing w:before="120" w:beforeLines="50" w:after="50"/>
        <w:rPr>
          <w:rFonts w:ascii="宋体" w:hAnsi="宋体" w:cs="宋体"/>
          <w:bCs/>
          <w:color w:val="auto"/>
          <w:sz w:val="24"/>
          <w:szCs w:val="20"/>
          <w:highlight w:val="none"/>
        </w:rPr>
      </w:pPr>
    </w:p>
    <w:p w14:paraId="5116DDD0">
      <w:pPr>
        <w:snapToGrid w:val="0"/>
        <w:spacing w:before="120" w:beforeLines="50" w:after="50"/>
        <w:rPr>
          <w:rFonts w:ascii="宋体" w:hAnsi="宋体" w:cs="宋体"/>
          <w:bCs/>
          <w:color w:val="auto"/>
          <w:sz w:val="24"/>
          <w:szCs w:val="20"/>
          <w:highlight w:val="none"/>
        </w:rPr>
      </w:pPr>
    </w:p>
    <w:p w14:paraId="1E01574A">
      <w:pPr>
        <w:snapToGrid w:val="0"/>
        <w:spacing w:before="120" w:beforeLines="50" w:after="50"/>
        <w:rPr>
          <w:rFonts w:ascii="宋体" w:hAnsi="宋体" w:cs="宋体"/>
          <w:bCs/>
          <w:color w:val="auto"/>
          <w:sz w:val="24"/>
          <w:szCs w:val="20"/>
          <w:highlight w:val="none"/>
        </w:rPr>
      </w:pPr>
    </w:p>
    <w:p w14:paraId="7E00062C">
      <w:pPr>
        <w:snapToGrid w:val="0"/>
        <w:spacing w:before="120" w:beforeLines="50" w:after="50"/>
        <w:rPr>
          <w:rFonts w:ascii="宋体" w:hAnsi="宋体" w:cs="宋体"/>
          <w:bCs/>
          <w:color w:val="auto"/>
          <w:sz w:val="24"/>
          <w:szCs w:val="20"/>
          <w:highlight w:val="none"/>
        </w:rPr>
      </w:pPr>
    </w:p>
    <w:p w14:paraId="13E4982C">
      <w:pPr>
        <w:snapToGrid w:val="0"/>
        <w:spacing w:before="120" w:beforeLines="50" w:after="50"/>
        <w:rPr>
          <w:rFonts w:ascii="宋体" w:hAnsi="宋体" w:cs="宋体"/>
          <w:bCs/>
          <w:color w:val="auto"/>
          <w:sz w:val="24"/>
          <w:szCs w:val="20"/>
          <w:highlight w:val="none"/>
        </w:rPr>
      </w:pPr>
    </w:p>
    <w:p w14:paraId="305AAE0E">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7" w:name="PO_3000001868_PM002_6"/>
      <w:r>
        <w:rPr>
          <w:rFonts w:hint="eastAsia" w:ascii="宋体" w:hAnsi="宋体" w:cs="宋体"/>
          <w:bCs/>
          <w:color w:val="auto"/>
          <w:sz w:val="32"/>
          <w:szCs w:val="32"/>
          <w:highlight w:val="none"/>
        </w:rPr>
        <w:t>[项目名称]</w:t>
      </w:r>
      <w:bookmarkEnd w:id="77"/>
    </w:p>
    <w:p w14:paraId="0064B4AC">
      <w:pPr>
        <w:snapToGrid w:val="0"/>
        <w:spacing w:before="120" w:beforeLines="50" w:after="50"/>
        <w:ind w:firstLine="720" w:firstLineChars="225"/>
        <w:rPr>
          <w:rFonts w:ascii="宋体" w:hAnsi="宋体" w:cs="宋体"/>
          <w:bCs/>
          <w:color w:val="auto"/>
          <w:sz w:val="32"/>
          <w:szCs w:val="32"/>
          <w:highlight w:val="none"/>
        </w:rPr>
      </w:pPr>
    </w:p>
    <w:p w14:paraId="70123078">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8" w:name="PO_3000001868_PM001_7"/>
      <w:r>
        <w:rPr>
          <w:rFonts w:hint="eastAsia" w:ascii="宋体" w:hAnsi="宋体" w:cs="宋体"/>
          <w:bCs/>
          <w:color w:val="auto"/>
          <w:sz w:val="32"/>
          <w:szCs w:val="32"/>
          <w:highlight w:val="none"/>
        </w:rPr>
        <w:t>[项目编号]</w:t>
      </w:r>
      <w:bookmarkEnd w:id="78"/>
    </w:p>
    <w:p w14:paraId="51F3B995">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EAEB65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5B58CD69">
      <w:pPr>
        <w:snapToGrid w:val="0"/>
        <w:spacing w:before="120" w:beforeLines="50" w:after="50"/>
        <w:ind w:firstLine="720" w:firstLineChars="225"/>
        <w:rPr>
          <w:rFonts w:ascii="宋体" w:hAnsi="宋体" w:cs="宋体"/>
          <w:bCs/>
          <w:color w:val="auto"/>
          <w:sz w:val="32"/>
          <w:szCs w:val="32"/>
          <w:highlight w:val="none"/>
        </w:rPr>
      </w:pPr>
    </w:p>
    <w:p w14:paraId="02E825A1">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3F39D35">
      <w:pPr>
        <w:pStyle w:val="8"/>
        <w:snapToGrid w:val="0"/>
        <w:spacing w:before="50" w:after="50"/>
        <w:ind w:firstLine="720" w:firstLineChars="225"/>
        <w:rPr>
          <w:rFonts w:ascii="宋体" w:hAnsi="宋体" w:cs="宋体"/>
          <w:bCs/>
          <w:color w:val="auto"/>
          <w:sz w:val="32"/>
          <w:szCs w:val="32"/>
          <w:highlight w:val="none"/>
        </w:rPr>
      </w:pPr>
    </w:p>
    <w:p w14:paraId="575584AC">
      <w:pPr>
        <w:pStyle w:val="8"/>
        <w:snapToGrid w:val="0"/>
        <w:spacing w:before="50" w:after="50"/>
        <w:ind w:firstLine="720" w:firstLineChars="225"/>
        <w:rPr>
          <w:rFonts w:ascii="宋体" w:hAnsi="宋体" w:cs="宋体"/>
          <w:bCs/>
          <w:color w:val="auto"/>
          <w:sz w:val="32"/>
          <w:szCs w:val="32"/>
          <w:highlight w:val="none"/>
        </w:rPr>
      </w:pPr>
    </w:p>
    <w:p w14:paraId="59D7ED09">
      <w:pPr>
        <w:pStyle w:val="8"/>
        <w:snapToGrid w:val="0"/>
        <w:spacing w:before="50" w:after="50"/>
        <w:ind w:firstLine="1280" w:firstLineChars="400"/>
        <w:rPr>
          <w:rFonts w:ascii="宋体" w:hAnsi="宋体" w:cs="宋体"/>
          <w:bCs/>
          <w:color w:val="auto"/>
          <w:sz w:val="32"/>
          <w:szCs w:val="32"/>
          <w:highlight w:val="none"/>
        </w:rPr>
      </w:pPr>
    </w:p>
    <w:p w14:paraId="50139494">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62E08F26">
      <w:pPr>
        <w:widowControl/>
        <w:spacing w:line="360" w:lineRule="auto"/>
        <w:jc w:val="left"/>
        <w:rPr>
          <w:rFonts w:ascii="宋体" w:hAnsi="宋体" w:cs="宋体"/>
          <w:b/>
          <w:bCs/>
          <w:color w:val="auto"/>
          <w:sz w:val="32"/>
          <w:szCs w:val="32"/>
          <w:highlight w:val="none"/>
        </w:rPr>
        <w:sectPr>
          <w:pgSz w:w="11910" w:h="16840"/>
          <w:pgMar w:top="1340" w:right="1500" w:bottom="280" w:left="1680" w:header="720" w:footer="720" w:gutter="0"/>
          <w:cols w:space="720" w:num="1"/>
        </w:sectPr>
      </w:pPr>
    </w:p>
    <w:p w14:paraId="2A31B7F4">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6199F545">
      <w:pPr>
        <w:jc w:val="center"/>
        <w:rPr>
          <w:rFonts w:ascii="宋体" w:hAnsi="宋体" w:cs="宋体"/>
          <w:b/>
          <w:color w:val="auto"/>
          <w:kern w:val="0"/>
          <w:sz w:val="28"/>
          <w:szCs w:val="28"/>
          <w:highlight w:val="none"/>
        </w:rPr>
      </w:pPr>
    </w:p>
    <w:p w14:paraId="56308062">
      <w:pPr>
        <w:pStyle w:val="37"/>
        <w:spacing w:line="360" w:lineRule="auto"/>
        <w:rPr>
          <w:rFonts w:ascii="宋体" w:hAnsi="宋体" w:eastAsia="宋体" w:cs="宋体"/>
          <w:color w:val="auto"/>
          <w:highlight w:val="none"/>
        </w:rPr>
      </w:pPr>
      <w:r>
        <w:rPr>
          <w:rFonts w:hint="eastAsia" w:ascii="宋体" w:hAnsi="宋体" w:eastAsia="宋体" w:cs="宋体"/>
          <w:color w:val="auto"/>
          <w:highlight w:val="none"/>
        </w:rPr>
        <w:t>一、无串标行为承诺函………………………………………………………（页码）</w:t>
      </w:r>
    </w:p>
    <w:p w14:paraId="384F6535">
      <w:pPr>
        <w:pStyle w:val="37"/>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26CE1CC3">
      <w:pPr>
        <w:pStyle w:val="37"/>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三、法定代表人授权委托书及委托代理人有效身份证正反面复印件（如有委托时）………（页码）</w:t>
      </w:r>
    </w:p>
    <w:p w14:paraId="6CB65DD2">
      <w:pPr>
        <w:pStyle w:val="37"/>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F3CE651">
      <w:pPr>
        <w:pStyle w:val="37"/>
        <w:spacing w:line="360" w:lineRule="auto"/>
        <w:rPr>
          <w:rFonts w:ascii="宋体" w:hAnsi="宋体" w:eastAsia="宋体" w:cs="宋体"/>
          <w:color w:val="auto"/>
          <w:highlight w:val="none"/>
        </w:rPr>
      </w:pPr>
      <w:bookmarkStart w:id="79" w:name="OLE_LINK7"/>
      <w:bookmarkStart w:id="80" w:name="OLE_LINK6"/>
      <w:bookmarkStart w:id="81" w:name="OLE_LINK5"/>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、服务需求偏离表</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79"/>
      <w:bookmarkEnd w:id="80"/>
    </w:p>
    <w:bookmarkEnd w:id="81"/>
    <w:p w14:paraId="5512BB0A">
      <w:pPr>
        <w:pStyle w:val="37"/>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施工组织设计</w:t>
      </w:r>
      <w:r>
        <w:rPr>
          <w:rFonts w:hint="eastAsia" w:ascii="宋体" w:hAnsi="宋体" w:eastAsia="宋体" w:cs="宋体"/>
          <w:color w:val="auto"/>
          <w:highlight w:val="none"/>
        </w:rPr>
        <w:t>…………………………………………………………（页码）</w:t>
      </w:r>
    </w:p>
    <w:p w14:paraId="7245A7B2">
      <w:pPr>
        <w:pStyle w:val="37"/>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、项目实施人员一览表……………………………………（页码）</w:t>
      </w:r>
    </w:p>
    <w:p w14:paraId="1EDA5D46">
      <w:pPr>
        <w:pStyle w:val="37"/>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代理服务费承诺书</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4290299">
      <w:pPr>
        <w:pStyle w:val="37"/>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九</w:t>
      </w:r>
      <w:r>
        <w:rPr>
          <w:rFonts w:hint="eastAsia" w:ascii="宋体" w:hAnsi="宋体" w:eastAsia="宋体" w:cs="宋体"/>
          <w:color w:val="auto"/>
          <w:highlight w:val="none"/>
        </w:rPr>
        <w:t>、对应采购需求的服务需求、商务条款提供的其他文件资料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8E6C502">
      <w:pPr>
        <w:pStyle w:val="37"/>
        <w:spacing w:line="360" w:lineRule="auto"/>
        <w:rPr>
          <w:rFonts w:ascii="宋体" w:hAnsi="宋体" w:eastAsia="宋体" w:cs="宋体"/>
          <w:color w:val="auto"/>
          <w:highlight w:val="none"/>
        </w:rPr>
      </w:pPr>
      <w:r>
        <w:rPr>
          <w:rFonts w:hint="eastAsia" w:ascii="宋体" w:hAnsi="宋体" w:eastAsia="宋体" w:cs="宋体"/>
          <w:color w:val="auto"/>
          <w:highlight w:val="none"/>
        </w:rPr>
        <w:t>十、服务需求、商务条款要求提供的其他材料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C116AC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注：以上目录是基本格式要求，各供应商可根据自身情况进一步向下增加内容或细化。</w:t>
      </w:r>
    </w:p>
    <w:p w14:paraId="20345898">
      <w:pPr>
        <w:spacing w:line="400" w:lineRule="exact"/>
        <w:rPr>
          <w:rFonts w:ascii="宋体" w:hAnsi="宋体" w:cs="宋体"/>
          <w:color w:val="auto"/>
          <w:sz w:val="32"/>
          <w:szCs w:val="32"/>
          <w:highlight w:val="none"/>
        </w:rPr>
      </w:pPr>
    </w:p>
    <w:p w14:paraId="0B30B912">
      <w:pPr>
        <w:spacing w:line="520" w:lineRule="exact"/>
        <w:ind w:firstLine="880" w:firstLineChars="200"/>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7318E60A">
      <w:pPr>
        <w:spacing w:line="520" w:lineRule="exact"/>
        <w:jc w:val="center"/>
        <w:rPr>
          <w:rFonts w:ascii="宋体" w:hAnsi="宋体" w:cs="宋体"/>
          <w:color w:val="auto"/>
          <w:sz w:val="44"/>
          <w:szCs w:val="44"/>
          <w:highlight w:val="none"/>
        </w:rPr>
      </w:pPr>
    </w:p>
    <w:p w14:paraId="401FB7D0">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40D37E96">
      <w:pPr>
        <w:spacing w:line="520" w:lineRule="exact"/>
        <w:ind w:firstLine="640" w:firstLineChars="200"/>
        <w:rPr>
          <w:rFonts w:ascii="宋体" w:hAnsi="宋体" w:cs="宋体"/>
          <w:color w:val="auto"/>
          <w:sz w:val="32"/>
          <w:szCs w:val="32"/>
          <w:highlight w:val="none"/>
        </w:rPr>
      </w:pPr>
    </w:p>
    <w:p w14:paraId="55A60DE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74143F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7B8A61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65BB20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57E233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2A39F2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4491BD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7A5E940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3FEF77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3FC953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12D6C9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48DFF5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5ABFB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4ACB4C6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1B7EC3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52A3B88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1F746E73">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27C94CB">
      <w:pPr>
        <w:spacing w:line="520" w:lineRule="exact"/>
        <w:ind w:left="239" w:leftChars="114" w:firstLine="6120" w:firstLineChars="2550"/>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665C2D0F">
      <w:pPr>
        <w:spacing w:line="520" w:lineRule="exact"/>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50F971EF">
      <w:pPr>
        <w:spacing w:line="360" w:lineRule="auto"/>
        <w:ind w:left="540"/>
        <w:contextualSpacing/>
        <w:rPr>
          <w:rFonts w:ascii="宋体" w:hAnsi="宋体" w:cs="宋体"/>
          <w:color w:val="auto"/>
          <w:sz w:val="32"/>
          <w:szCs w:val="32"/>
          <w:highlight w:val="none"/>
        </w:rPr>
      </w:pPr>
    </w:p>
    <w:p w14:paraId="38493220">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0BD07F53">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77A742B">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336BAAE0">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09247ED6">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1BB241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135B7162">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286415E9">
      <w:pPr>
        <w:spacing w:line="360" w:lineRule="auto"/>
        <w:ind w:left="540"/>
        <w:contextualSpacing/>
        <w:rPr>
          <w:rFonts w:ascii="宋体" w:hAnsi="宋体" w:cs="宋体"/>
          <w:color w:val="auto"/>
          <w:sz w:val="24"/>
          <w:highlight w:val="none"/>
        </w:rPr>
      </w:pPr>
    </w:p>
    <w:p w14:paraId="33121E13">
      <w:pPr>
        <w:spacing w:line="360" w:lineRule="auto"/>
        <w:ind w:left="540"/>
        <w:contextualSpacing/>
        <w:rPr>
          <w:rFonts w:ascii="宋体" w:hAnsi="宋体" w:cs="宋体"/>
          <w:color w:val="auto"/>
          <w:sz w:val="24"/>
          <w:highlight w:val="none"/>
        </w:rPr>
      </w:pPr>
    </w:p>
    <w:p w14:paraId="24C2F003">
      <w:pPr>
        <w:spacing w:line="360" w:lineRule="auto"/>
        <w:ind w:left="540"/>
        <w:contextualSpacing/>
        <w:rPr>
          <w:rFonts w:ascii="宋体" w:hAnsi="宋体" w:cs="宋体"/>
          <w:color w:val="auto"/>
          <w:sz w:val="24"/>
          <w:highlight w:val="none"/>
        </w:rPr>
      </w:pPr>
    </w:p>
    <w:p w14:paraId="58470A5D">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5B3125CA">
      <w:pPr>
        <w:spacing w:line="360" w:lineRule="auto"/>
        <w:ind w:left="540"/>
        <w:contextualSpacing/>
        <w:rPr>
          <w:rFonts w:ascii="宋体" w:hAnsi="宋体" w:cs="宋体"/>
          <w:color w:val="auto"/>
          <w:sz w:val="24"/>
          <w:highlight w:val="none"/>
        </w:rPr>
      </w:pPr>
    </w:p>
    <w:p w14:paraId="7563E9FE">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BA14790">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23E6521E">
      <w:pPr>
        <w:spacing w:line="360" w:lineRule="auto"/>
        <w:jc w:val="left"/>
        <w:rPr>
          <w:rFonts w:ascii="宋体" w:hAnsi="宋体" w:cs="宋体"/>
          <w:color w:val="auto"/>
          <w:sz w:val="24"/>
          <w:highlight w:val="none"/>
        </w:rPr>
      </w:pPr>
    </w:p>
    <w:p w14:paraId="2733C839">
      <w:pPr>
        <w:spacing w:line="360" w:lineRule="auto"/>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74FE471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FD39E92">
      <w:pPr>
        <w:widowControl/>
        <w:spacing w:line="360" w:lineRule="auto"/>
        <w:jc w:val="left"/>
        <w:rPr>
          <w:rFonts w:ascii="宋体" w:hAnsi="宋体" w:cs="宋体"/>
          <w:color w:val="auto"/>
          <w:sz w:val="24"/>
          <w:highlight w:val="none"/>
        </w:rPr>
        <w:sectPr>
          <w:pgSz w:w="11910" w:h="16840"/>
          <w:pgMar w:top="1340" w:right="1500" w:bottom="280" w:left="1680" w:header="720" w:footer="720" w:gutter="0"/>
          <w:cols w:space="720" w:num="1"/>
        </w:sectPr>
      </w:pPr>
    </w:p>
    <w:tbl>
      <w:tblPr>
        <w:tblStyle w:val="26"/>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43FD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5B59E29A">
            <w:pPr>
              <w:spacing w:line="360" w:lineRule="auto"/>
              <w:rPr>
                <w:rFonts w:ascii="宋体" w:hAnsi="宋体" w:cs="宋体"/>
                <w:b/>
                <w:color w:val="auto"/>
                <w:sz w:val="24"/>
                <w:highlight w:val="none"/>
              </w:rPr>
            </w:pPr>
          </w:p>
          <w:p w14:paraId="788CF6A6">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5DFCE5D1">
      <w:pPr>
        <w:spacing w:line="360" w:lineRule="auto"/>
        <w:ind w:firstLine="482" w:firstLineChars="200"/>
        <w:jc w:val="left"/>
        <w:rPr>
          <w:rFonts w:ascii="宋体" w:hAnsi="宋体" w:cs="宋体"/>
          <w:b/>
          <w:color w:val="auto"/>
          <w:sz w:val="32"/>
          <w:szCs w:val="32"/>
          <w:highlight w:val="none"/>
        </w:rPr>
      </w:pPr>
      <w:r>
        <w:rPr>
          <w:rFonts w:hint="eastAsia" w:ascii="宋体" w:hAnsi="宋体" w:cs="宋体"/>
          <w:b/>
          <w:color w:val="auto"/>
          <w:sz w:val="24"/>
          <w:highlight w:val="none"/>
        </w:rPr>
        <w:t>附件：</w:t>
      </w:r>
    </w:p>
    <w:p w14:paraId="4650C3F5">
      <w:pPr>
        <w:adjustRightInd w:val="0"/>
        <w:snapToGrid w:val="0"/>
        <w:spacing w:line="300" w:lineRule="auto"/>
        <w:jc w:val="left"/>
        <w:rPr>
          <w:rFonts w:ascii="宋体" w:hAnsi="宋体" w:cs="宋体"/>
          <w:b/>
          <w:color w:val="auto"/>
          <w:szCs w:val="21"/>
          <w:highlight w:val="none"/>
        </w:rPr>
      </w:pPr>
    </w:p>
    <w:p w14:paraId="04209ADF">
      <w:pPr>
        <w:spacing w:line="520" w:lineRule="exact"/>
        <w:ind w:firstLine="880"/>
        <w:jc w:val="left"/>
        <w:rPr>
          <w:rFonts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2B33931D">
      <w:pPr>
        <w:spacing w:line="500" w:lineRule="exact"/>
        <w:jc w:val="center"/>
        <w:rPr>
          <w:rFonts w:ascii="宋体" w:hAnsi="宋体" w:cs="宋体"/>
          <w:color w:val="auto"/>
          <w:sz w:val="44"/>
          <w:szCs w:val="44"/>
          <w:highlight w:val="none"/>
        </w:rPr>
      </w:pPr>
    </w:p>
    <w:p w14:paraId="185822C6">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w:t>
      </w:r>
    </w:p>
    <w:p w14:paraId="2F76E2F3">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40313306">
      <w:pPr>
        <w:spacing w:line="520" w:lineRule="exact"/>
        <w:rPr>
          <w:rFonts w:ascii="宋体" w:hAnsi="宋体" w:cs="宋体"/>
          <w:color w:val="auto"/>
          <w:sz w:val="32"/>
          <w:szCs w:val="32"/>
          <w:highlight w:val="none"/>
        </w:rPr>
      </w:pPr>
    </w:p>
    <w:p w14:paraId="17A83CE2">
      <w:pPr>
        <w:spacing w:line="360" w:lineRule="auto"/>
        <w:rPr>
          <w:rFonts w:ascii="宋体" w:hAnsi="宋体" w:cs="宋体"/>
          <w:color w:val="auto"/>
          <w:sz w:val="24"/>
          <w:highlight w:val="none"/>
        </w:rPr>
      </w:pPr>
      <w:r>
        <w:rPr>
          <w:rFonts w:hint="eastAsia" w:ascii="宋体" w:hAnsi="宋体" w:cs="宋体"/>
          <w:color w:val="auto"/>
          <w:sz w:val="24"/>
          <w:highlight w:val="none"/>
        </w:rPr>
        <w:t>致：</w:t>
      </w:r>
      <w:bookmarkStart w:id="82" w:name="PO_3000001868_PM031_7"/>
      <w:r>
        <w:rPr>
          <w:rFonts w:hint="eastAsia" w:ascii="宋体" w:hAnsi="宋体" w:cs="宋体"/>
          <w:color w:val="auto"/>
          <w:sz w:val="24"/>
          <w:highlight w:val="none"/>
          <w:u w:val="single"/>
        </w:rPr>
        <w:t>[采购组织机构]</w:t>
      </w:r>
      <w:bookmarkEnd w:id="82"/>
      <w:r>
        <w:rPr>
          <w:rFonts w:hint="eastAsia" w:ascii="宋体" w:hAnsi="宋体" w:cs="宋体"/>
          <w:color w:val="auto"/>
          <w:sz w:val="24"/>
          <w:highlight w:val="none"/>
        </w:rPr>
        <w:t>：</w:t>
      </w:r>
    </w:p>
    <w:p w14:paraId="0B4F8E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bookmarkStart w:id="83" w:name="PO_3000001868_PM002_7"/>
      <w:r>
        <w:rPr>
          <w:rFonts w:hint="eastAsia" w:ascii="宋体" w:hAnsi="宋体" w:cs="宋体"/>
          <w:color w:val="auto"/>
          <w:sz w:val="24"/>
          <w:highlight w:val="none"/>
          <w:u w:val="single"/>
        </w:rPr>
        <w:t>[项目名称]</w:t>
      </w:r>
      <w:bookmarkEnd w:id="83"/>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7836102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65DB13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6E0E12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6C554D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附：委托代理人有效身份证正反面复印件</w:t>
      </w:r>
    </w:p>
    <w:p w14:paraId="58E1B58D">
      <w:pPr>
        <w:spacing w:line="360" w:lineRule="auto"/>
        <w:rPr>
          <w:rFonts w:ascii="宋体" w:hAnsi="宋体" w:cs="宋体"/>
          <w:color w:val="auto"/>
          <w:sz w:val="24"/>
          <w:highlight w:val="none"/>
        </w:rPr>
      </w:pPr>
    </w:p>
    <w:p w14:paraId="278E6410">
      <w:pPr>
        <w:spacing w:line="360" w:lineRule="auto"/>
        <w:rPr>
          <w:rFonts w:ascii="宋体" w:hAnsi="宋体" w:cs="宋体"/>
          <w:color w:val="auto"/>
          <w:sz w:val="24"/>
          <w:highlight w:val="none"/>
        </w:rPr>
      </w:pPr>
      <w:r>
        <w:rPr>
          <w:rFonts w:hint="eastAsia" w:ascii="宋体" w:hAnsi="宋体" w:cs="宋体"/>
          <w:color w:val="auto"/>
          <w:sz w:val="24"/>
          <w:highlight w:val="none"/>
        </w:rPr>
        <w:t>委托代理人（签字</w:t>
      </w:r>
      <w:r>
        <w:rPr>
          <w:rFonts w:hint="eastAsia" w:ascii="宋体" w:hAnsi="宋体" w:cs="宋体"/>
          <w:color w:val="auto"/>
          <w:sz w:val="24"/>
          <w:highlight w:val="none"/>
          <w:lang w:val="en-US" w:eastAsia="zh-CN"/>
        </w:rPr>
        <w:t>或签章</w:t>
      </w:r>
      <w:r>
        <w:rPr>
          <w:rFonts w:hint="eastAsia" w:ascii="宋体" w:hAnsi="宋体" w:cs="宋体"/>
          <w:color w:val="auto"/>
          <w:sz w:val="24"/>
          <w:highlight w:val="none"/>
        </w:rPr>
        <w:t>）：         法定代表人（签字或</w:t>
      </w:r>
      <w:r>
        <w:rPr>
          <w:rFonts w:hint="eastAsia" w:ascii="宋体" w:hAnsi="宋体" w:cs="宋体"/>
          <w:color w:val="auto"/>
          <w:sz w:val="24"/>
          <w:highlight w:val="none"/>
          <w:lang w:val="en-US" w:eastAsia="zh-CN"/>
        </w:rPr>
        <w:t>签章</w:t>
      </w:r>
      <w:r>
        <w:rPr>
          <w:rFonts w:hint="eastAsia" w:ascii="宋体" w:hAnsi="宋体" w:cs="宋体"/>
          <w:color w:val="auto"/>
          <w:sz w:val="24"/>
          <w:highlight w:val="none"/>
        </w:rPr>
        <w:t xml:space="preserve">）：                    </w:t>
      </w:r>
    </w:p>
    <w:p w14:paraId="4AAF9FF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181DF02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FDD550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0905B40D">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71D68B51">
      <w:pPr>
        <w:spacing w:line="360" w:lineRule="auto"/>
        <w:rPr>
          <w:rFonts w:ascii="宋体" w:hAnsi="宋体" w:cs="宋体"/>
          <w:color w:val="auto"/>
          <w:sz w:val="24"/>
          <w:highlight w:val="none"/>
        </w:rPr>
      </w:pPr>
    </w:p>
    <w:p w14:paraId="17A6EAB9">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12B816F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B59A375">
      <w:pPr>
        <w:spacing w:line="360" w:lineRule="auto"/>
        <w:ind w:firstLine="480" w:firstLineChars="200"/>
        <w:jc w:val="left"/>
        <w:rPr>
          <w:rFonts w:ascii="宋体" w:hAnsi="宋体" w:cs="宋体"/>
          <w:color w:val="auto"/>
          <w:szCs w:val="21"/>
          <w:highlight w:val="none"/>
        </w:rPr>
      </w:pPr>
      <w:r>
        <w:rPr>
          <w:rFonts w:hint="eastAsia" w:ascii="宋体" w:hAnsi="宋体" w:cs="宋体"/>
          <w:color w:val="auto"/>
          <w:sz w:val="24"/>
          <w:highlight w:val="none"/>
        </w:rPr>
        <w:t>3. 法人、其他组织竞标时“我方”是指“我单位”，自然人竞标时“我方”是指“本人”。</w:t>
      </w:r>
    </w:p>
    <w:p w14:paraId="3EEF0389">
      <w:pPr>
        <w:spacing w:line="520" w:lineRule="exact"/>
        <w:ind w:firstLine="420" w:firstLineChars="200"/>
        <w:jc w:val="left"/>
        <w:rPr>
          <w:rFonts w:ascii="宋体" w:hAnsi="宋体" w:cs="宋体"/>
          <w:b/>
          <w:color w:val="auto"/>
          <w:sz w:val="30"/>
          <w:szCs w:val="30"/>
          <w:highlight w:val="none"/>
        </w:rPr>
      </w:pPr>
      <w:r>
        <w:rPr>
          <w:rFonts w:hint="eastAsia" w:ascii="宋体" w:hAnsi="宋体" w:cs="宋体"/>
          <w:color w:val="auto"/>
          <w:szCs w:val="21"/>
          <w:highlight w:val="none"/>
        </w:rPr>
        <w:br w:type="page"/>
      </w:r>
      <w:r>
        <w:rPr>
          <w:rFonts w:hint="eastAsia" w:ascii="宋体" w:hAnsi="宋体" w:cs="宋体"/>
          <w:b/>
          <w:color w:val="auto"/>
          <w:sz w:val="30"/>
          <w:szCs w:val="30"/>
          <w:highlight w:val="none"/>
        </w:rPr>
        <w:t>四、商务条款偏离表</w:t>
      </w:r>
    </w:p>
    <w:p w14:paraId="53EF845F">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5C69886C">
      <w:pPr>
        <w:spacing w:line="520" w:lineRule="exact"/>
        <w:rPr>
          <w:rFonts w:ascii="宋体" w:hAnsi="宋体" w:cs="宋体"/>
          <w:color w:val="auto"/>
          <w:sz w:val="32"/>
          <w:szCs w:val="32"/>
          <w:highlight w:val="none"/>
        </w:rPr>
      </w:pPr>
    </w:p>
    <w:p w14:paraId="71850BF8">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bookmarkStart w:id="84" w:name="PO_3000001868_PM001_8"/>
      <w:r>
        <w:rPr>
          <w:rFonts w:hint="eastAsia" w:ascii="宋体" w:hAnsi="宋体" w:cs="宋体"/>
          <w:color w:val="auto"/>
          <w:sz w:val="24"/>
          <w:highlight w:val="none"/>
          <w:u w:val="single"/>
        </w:rPr>
        <w:t>[项目编号]</w:t>
      </w:r>
      <w:bookmarkEnd w:id="84"/>
      <w:r>
        <w:rPr>
          <w:rFonts w:hint="eastAsia" w:ascii="宋体" w:hAnsi="宋体" w:cs="宋体"/>
          <w:color w:val="auto"/>
          <w:sz w:val="24"/>
          <w:highlight w:val="none"/>
          <w:u w:val="single"/>
        </w:rPr>
        <w:t xml:space="preserve">  </w:t>
      </w:r>
    </w:p>
    <w:p w14:paraId="161B8E88">
      <w:pPr>
        <w:spacing w:line="360" w:lineRule="auto"/>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bookmarkStart w:id="85" w:name="PO_3000001868_PM002_8"/>
      <w:r>
        <w:rPr>
          <w:rFonts w:hint="eastAsia" w:ascii="宋体" w:hAnsi="宋体" w:cs="宋体"/>
          <w:color w:val="auto"/>
          <w:sz w:val="24"/>
          <w:highlight w:val="none"/>
          <w:u w:val="single"/>
        </w:rPr>
        <w:t>[项目名称]</w:t>
      </w:r>
      <w:bookmarkEnd w:id="85"/>
      <w:r>
        <w:rPr>
          <w:rFonts w:hint="eastAsia" w:ascii="宋体" w:hAnsi="宋体" w:cs="宋体"/>
          <w:color w:val="auto"/>
          <w:sz w:val="24"/>
          <w:highlight w:val="none"/>
          <w:u w:val="single"/>
        </w:rPr>
        <w:t xml:space="preserve"> </w:t>
      </w:r>
    </w:p>
    <w:p w14:paraId="43BB5E5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2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49C6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59C5AF7D">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53E4471C">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6E5BC8CD">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0C52AAF">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2086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615E5772">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4E7D8A86">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34EB4B85">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52BD065">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47F64B2">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033526C3">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4DFD139">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8C3D283">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4635F98C">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2B59C910">
            <w:pPr>
              <w:spacing w:line="300" w:lineRule="exact"/>
              <w:rPr>
                <w:rFonts w:ascii="宋体" w:hAnsi="宋体" w:cs="宋体"/>
                <w:color w:val="auto"/>
                <w:szCs w:val="21"/>
                <w:highlight w:val="none"/>
              </w:rPr>
            </w:pPr>
          </w:p>
        </w:tc>
      </w:tr>
      <w:tr w14:paraId="7A62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69842D4">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5B3F35ED">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D3A1512">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23EDCB8">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0D6DC913">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5CBA3D37">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08CC77C9">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62F2CD4D">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F5E4A5D">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0B7CBA71">
            <w:pPr>
              <w:spacing w:line="300" w:lineRule="exact"/>
              <w:rPr>
                <w:rFonts w:ascii="宋体" w:hAnsi="宋体" w:cs="宋体"/>
                <w:color w:val="auto"/>
                <w:szCs w:val="21"/>
                <w:highlight w:val="none"/>
              </w:rPr>
            </w:pPr>
          </w:p>
        </w:tc>
      </w:tr>
      <w:tr w14:paraId="1BA2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3FB62BF4">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51999DA1">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D6F6D9C">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52CF0135">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5F7A84F7">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3A780329">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69BFDE3">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28AF3B56">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5BC1A79C">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1905E396">
            <w:pPr>
              <w:spacing w:line="300" w:lineRule="exact"/>
              <w:rPr>
                <w:rFonts w:ascii="宋体" w:hAnsi="宋体" w:cs="宋体"/>
                <w:color w:val="auto"/>
                <w:szCs w:val="21"/>
                <w:highlight w:val="none"/>
              </w:rPr>
            </w:pPr>
          </w:p>
        </w:tc>
      </w:tr>
    </w:tbl>
    <w:p w14:paraId="54986750">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860DE75">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1.说明：应对照磋商文件“第二章 采购需求”中的商务条款逐条作出明确响应，并作出偏离说明。</w:t>
      </w:r>
    </w:p>
    <w:p w14:paraId="3F106B5E">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0AF1391D">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0F0BF9C6">
      <w:pPr>
        <w:pStyle w:val="15"/>
        <w:spacing w:line="400" w:lineRule="exact"/>
        <w:rPr>
          <w:rFonts w:hAnsi="宋体" w:cs="宋体"/>
          <w:color w:val="auto"/>
          <w:sz w:val="24"/>
          <w:highlight w:val="none"/>
        </w:rPr>
      </w:pPr>
      <w:r>
        <w:rPr>
          <w:rFonts w:hint="eastAsia" w:hAnsi="宋体" w:cs="宋体"/>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12FF9048">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5239E74A">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5364C640">
      <w:pPr>
        <w:snapToGrid w:val="0"/>
        <w:spacing w:line="360" w:lineRule="auto"/>
        <w:ind w:firstLine="602" w:firstLineChars="200"/>
        <w:rPr>
          <w:rFonts w:ascii="宋体" w:hAnsi="宋体" w:cs="宋体"/>
          <w:b/>
          <w:color w:val="auto"/>
          <w:sz w:val="30"/>
          <w:szCs w:val="30"/>
          <w:highlight w:val="none"/>
        </w:rPr>
      </w:pPr>
    </w:p>
    <w:p w14:paraId="705CEBBB">
      <w:pPr>
        <w:snapToGrid w:val="0"/>
        <w:spacing w:line="360" w:lineRule="auto"/>
        <w:ind w:firstLine="602" w:firstLineChars="200"/>
        <w:rPr>
          <w:rFonts w:ascii="宋体" w:hAnsi="宋体" w:cs="宋体"/>
          <w:color w:val="auto"/>
          <w:sz w:val="32"/>
          <w:szCs w:val="32"/>
          <w:highlight w:val="none"/>
        </w:rPr>
      </w:pPr>
      <w:r>
        <w:rPr>
          <w:rFonts w:hint="eastAsia" w:ascii="宋体" w:hAnsi="宋体" w:cs="宋体"/>
          <w:b/>
          <w:color w:val="auto"/>
          <w:sz w:val="30"/>
          <w:szCs w:val="30"/>
          <w:highlight w:val="none"/>
          <w:lang w:val="en-US" w:eastAsia="zh-CN"/>
        </w:rPr>
        <w:t>五</w:t>
      </w:r>
      <w:r>
        <w:rPr>
          <w:rFonts w:hint="eastAsia" w:ascii="宋体" w:hAnsi="宋体" w:cs="宋体"/>
          <w:b/>
          <w:color w:val="auto"/>
          <w:sz w:val="30"/>
          <w:szCs w:val="30"/>
          <w:highlight w:val="none"/>
        </w:rPr>
        <w:t>、服务需求偏离表</w:t>
      </w:r>
    </w:p>
    <w:p w14:paraId="1B9799D3">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服务需求偏离表</w:t>
      </w:r>
    </w:p>
    <w:p w14:paraId="4772FF6A">
      <w:pPr>
        <w:spacing w:line="500" w:lineRule="exact"/>
        <w:jc w:val="center"/>
        <w:rPr>
          <w:rFonts w:ascii="宋体" w:hAnsi="宋体" w:cs="宋体"/>
          <w:b/>
          <w:color w:val="auto"/>
          <w:sz w:val="32"/>
          <w:szCs w:val="32"/>
          <w:highlight w:val="none"/>
        </w:rPr>
      </w:pPr>
    </w:p>
    <w:p w14:paraId="2EC1FA46">
      <w:pPr>
        <w:spacing w:line="360" w:lineRule="auto"/>
        <w:jc w:val="left"/>
        <w:rPr>
          <w:rFonts w:ascii="宋体" w:hAnsi="宋体" w:cs="宋体"/>
          <w:color w:val="auto"/>
          <w:sz w:val="24"/>
          <w:highlight w:val="none"/>
        </w:rPr>
      </w:pPr>
    </w:p>
    <w:p w14:paraId="247C92A6">
      <w:pPr>
        <w:pStyle w:val="15"/>
        <w:spacing w:line="360" w:lineRule="auto"/>
        <w:rPr>
          <w:rFonts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w:t>
      </w:r>
      <w:r>
        <w:rPr>
          <w:rFonts w:hint="eastAsia" w:hAnsi="宋体" w:cs="宋体"/>
          <w:color w:val="auto"/>
          <w:sz w:val="24"/>
          <w:szCs w:val="24"/>
          <w:highlight w:val="none"/>
          <w:u w:val="single"/>
        </w:rPr>
        <w:t xml:space="preserve">        </w:t>
      </w:r>
    </w:p>
    <w:tbl>
      <w:tblPr>
        <w:tblStyle w:val="26"/>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4E63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vAlign w:val="center"/>
          </w:tcPr>
          <w:p w14:paraId="10927385">
            <w:pPr>
              <w:rPr>
                <w:rFonts w:ascii="宋体" w:hAnsi="宋体" w:cs="宋体"/>
                <w:color w:val="auto"/>
                <w:szCs w:val="21"/>
                <w:highlight w:val="none"/>
              </w:rPr>
            </w:pPr>
            <w:r>
              <w:rPr>
                <w:rFonts w:hint="eastAsia" w:ascii="宋体" w:hAnsi="宋体" w:cs="宋体"/>
                <w:color w:val="auto"/>
                <w:szCs w:val="21"/>
                <w:highlight w:val="none"/>
              </w:rPr>
              <w:t>项号</w:t>
            </w:r>
          </w:p>
        </w:tc>
        <w:tc>
          <w:tcPr>
            <w:tcW w:w="3456" w:type="dxa"/>
            <w:gridSpan w:val="3"/>
            <w:tcBorders>
              <w:top w:val="single" w:color="auto" w:sz="4" w:space="0"/>
              <w:left w:val="single" w:color="auto" w:sz="4" w:space="0"/>
              <w:bottom w:val="single" w:color="auto" w:sz="4" w:space="0"/>
              <w:right w:val="single" w:color="auto" w:sz="4" w:space="0"/>
            </w:tcBorders>
            <w:vAlign w:val="center"/>
          </w:tcPr>
          <w:p w14:paraId="3224D015">
            <w:pPr>
              <w:jc w:val="center"/>
              <w:rPr>
                <w:rFonts w:ascii="宋体" w:hAnsi="宋体" w:cs="宋体"/>
                <w:color w:val="auto"/>
                <w:szCs w:val="21"/>
                <w:highlight w:val="none"/>
              </w:rPr>
            </w:pPr>
            <w:r>
              <w:rPr>
                <w:rFonts w:hint="eastAsia" w:ascii="宋体" w:hAnsi="宋体" w:cs="宋体"/>
                <w:color w:val="auto"/>
                <w:szCs w:val="21"/>
                <w:highlight w:val="none"/>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vAlign w:val="center"/>
          </w:tcPr>
          <w:p w14:paraId="039A300D">
            <w:pPr>
              <w:jc w:val="center"/>
              <w:rPr>
                <w:rFonts w:ascii="宋体" w:hAnsi="宋体" w:cs="宋体"/>
                <w:color w:val="auto"/>
                <w:szCs w:val="21"/>
                <w:highlight w:val="none"/>
              </w:rPr>
            </w:pPr>
            <w:r>
              <w:rPr>
                <w:rFonts w:hint="eastAsia" w:ascii="宋体" w:hAnsi="宋体" w:cs="宋体"/>
                <w:color w:val="auto"/>
                <w:szCs w:val="21"/>
                <w:highlight w:val="none"/>
              </w:rPr>
              <w:t>响应文件承诺</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14:paraId="1552EE5C">
            <w:pPr>
              <w:rPr>
                <w:rFonts w:ascii="宋体" w:hAnsi="宋体" w:cs="宋体"/>
                <w:color w:val="auto"/>
                <w:szCs w:val="21"/>
                <w:highlight w:val="none"/>
              </w:rPr>
            </w:pPr>
            <w:r>
              <w:rPr>
                <w:rFonts w:hint="eastAsia" w:ascii="宋体" w:hAnsi="宋体" w:cs="宋体"/>
                <w:color w:val="auto"/>
                <w:szCs w:val="21"/>
                <w:highlight w:val="none"/>
              </w:rPr>
              <w:t>偏离说明</w:t>
            </w:r>
          </w:p>
        </w:tc>
      </w:tr>
      <w:tr w14:paraId="235F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vAlign w:val="center"/>
          </w:tcPr>
          <w:p w14:paraId="42CC2F0D">
            <w:pPr>
              <w:widowControl/>
              <w:jc w:val="left"/>
              <w:rPr>
                <w:rFonts w:ascii="宋体" w:hAnsi="宋体" w:cs="宋体"/>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56861615">
            <w:pPr>
              <w:rPr>
                <w:rFonts w:ascii="宋体" w:hAnsi="宋体" w:cs="宋体"/>
                <w:color w:val="auto"/>
                <w:szCs w:val="21"/>
                <w:highlight w:val="none"/>
              </w:rPr>
            </w:pPr>
            <w:r>
              <w:rPr>
                <w:rFonts w:hint="eastAsia" w:ascii="宋体" w:hAnsi="宋体" w:cs="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4B4F79BD">
            <w:pPr>
              <w:rPr>
                <w:rFonts w:ascii="宋体" w:hAnsi="宋体" w:cs="宋体"/>
                <w:color w:val="auto"/>
                <w:szCs w:val="21"/>
                <w:highlight w:val="none"/>
              </w:rPr>
            </w:pPr>
            <w:r>
              <w:rPr>
                <w:rFonts w:hint="eastAsia" w:ascii="宋体" w:hAnsi="宋体" w:cs="宋体"/>
                <w:color w:val="auto"/>
                <w:szCs w:val="21"/>
                <w:highlight w:val="none"/>
              </w:rPr>
              <w:t>数量</w:t>
            </w:r>
          </w:p>
        </w:tc>
        <w:tc>
          <w:tcPr>
            <w:tcW w:w="1577" w:type="dxa"/>
            <w:tcBorders>
              <w:top w:val="single" w:color="auto" w:sz="4" w:space="0"/>
              <w:left w:val="single" w:color="auto" w:sz="4" w:space="0"/>
              <w:bottom w:val="single" w:color="auto" w:sz="4" w:space="0"/>
              <w:right w:val="single" w:color="auto" w:sz="4" w:space="0"/>
            </w:tcBorders>
            <w:vAlign w:val="center"/>
          </w:tcPr>
          <w:p w14:paraId="62FD793A">
            <w:pPr>
              <w:rPr>
                <w:rFonts w:ascii="宋体" w:hAnsi="宋体" w:cs="宋体"/>
                <w:color w:val="auto"/>
                <w:szCs w:val="21"/>
                <w:highlight w:val="none"/>
              </w:rPr>
            </w:pPr>
            <w:r>
              <w:rPr>
                <w:rFonts w:hint="eastAsia" w:ascii="宋体" w:hAnsi="宋体" w:cs="宋体"/>
                <w:color w:val="auto"/>
                <w:szCs w:val="21"/>
                <w:highlight w:val="none"/>
              </w:rPr>
              <w:t>服务参数要求</w:t>
            </w:r>
          </w:p>
        </w:tc>
        <w:tc>
          <w:tcPr>
            <w:tcW w:w="1141" w:type="dxa"/>
            <w:tcBorders>
              <w:top w:val="single" w:color="auto" w:sz="4" w:space="0"/>
              <w:left w:val="single" w:color="auto" w:sz="4" w:space="0"/>
              <w:bottom w:val="single" w:color="auto" w:sz="4" w:space="0"/>
              <w:right w:val="single" w:color="auto" w:sz="4" w:space="0"/>
            </w:tcBorders>
            <w:vAlign w:val="center"/>
          </w:tcPr>
          <w:p w14:paraId="5A5ABB1E">
            <w:pPr>
              <w:rPr>
                <w:rFonts w:ascii="宋体" w:hAnsi="宋体" w:cs="宋体"/>
                <w:color w:val="auto"/>
                <w:szCs w:val="21"/>
                <w:highlight w:val="none"/>
              </w:rPr>
            </w:pPr>
            <w:r>
              <w:rPr>
                <w:rFonts w:hint="eastAsia" w:ascii="宋体" w:hAnsi="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53C07E7E">
            <w:pPr>
              <w:rPr>
                <w:rFonts w:ascii="宋体" w:hAnsi="宋体" w:cs="宋体"/>
                <w:color w:val="auto"/>
                <w:szCs w:val="21"/>
                <w:highlight w:val="none"/>
              </w:rPr>
            </w:pPr>
            <w:r>
              <w:rPr>
                <w:rFonts w:hint="eastAsia" w:ascii="宋体" w:hAnsi="宋体" w:cs="宋体"/>
                <w:color w:val="auto"/>
                <w:szCs w:val="21"/>
                <w:highlight w:val="none"/>
              </w:rPr>
              <w:t>数量</w:t>
            </w:r>
          </w:p>
        </w:tc>
        <w:tc>
          <w:tcPr>
            <w:tcW w:w="1147" w:type="dxa"/>
            <w:tcBorders>
              <w:top w:val="single" w:color="auto" w:sz="4" w:space="0"/>
              <w:left w:val="single" w:color="auto" w:sz="4" w:space="0"/>
              <w:bottom w:val="single" w:color="auto" w:sz="4" w:space="0"/>
              <w:right w:val="single" w:color="auto" w:sz="4" w:space="0"/>
            </w:tcBorders>
            <w:vAlign w:val="center"/>
          </w:tcPr>
          <w:p w14:paraId="65810363">
            <w:pPr>
              <w:rPr>
                <w:rFonts w:ascii="宋体" w:hAnsi="宋体" w:cs="宋体"/>
                <w:color w:val="auto"/>
                <w:szCs w:val="21"/>
                <w:highlight w:val="none"/>
              </w:rPr>
            </w:pPr>
            <w:r>
              <w:rPr>
                <w:rFonts w:hint="eastAsia" w:ascii="宋体" w:hAnsi="宋体" w:cs="宋体"/>
                <w:color w:val="auto"/>
                <w:szCs w:val="21"/>
                <w:highlight w:val="none"/>
              </w:rPr>
              <w:t>服务参数</w:t>
            </w: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272B902C">
            <w:pPr>
              <w:widowControl/>
              <w:jc w:val="left"/>
              <w:rPr>
                <w:rFonts w:ascii="宋体" w:hAnsi="宋体" w:cs="宋体"/>
                <w:color w:val="auto"/>
                <w:szCs w:val="21"/>
                <w:highlight w:val="none"/>
              </w:rPr>
            </w:pPr>
          </w:p>
        </w:tc>
      </w:tr>
      <w:tr w14:paraId="5FE5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70C52F5F">
            <w:pPr>
              <w:rPr>
                <w:rFonts w:ascii="宋体" w:hAnsi="宋体" w:cs="宋体"/>
                <w:color w:val="auto"/>
                <w:szCs w:val="21"/>
                <w:highlight w:val="none"/>
              </w:rPr>
            </w:pPr>
            <w:r>
              <w:rPr>
                <w:rFonts w:hint="eastAsia" w:ascii="宋体" w:hAnsi="宋体" w:cs="宋体"/>
                <w:color w:val="auto"/>
                <w:szCs w:val="21"/>
                <w:highlight w:val="none"/>
              </w:rPr>
              <w:t>1</w:t>
            </w:r>
          </w:p>
        </w:tc>
        <w:tc>
          <w:tcPr>
            <w:tcW w:w="1143" w:type="dxa"/>
            <w:tcBorders>
              <w:top w:val="single" w:color="auto" w:sz="4" w:space="0"/>
              <w:left w:val="single" w:color="auto" w:sz="4" w:space="0"/>
              <w:bottom w:val="single" w:color="auto" w:sz="4" w:space="0"/>
              <w:right w:val="single" w:color="auto" w:sz="4" w:space="0"/>
            </w:tcBorders>
            <w:vAlign w:val="center"/>
          </w:tcPr>
          <w:p w14:paraId="67CFC2A3">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2AA54988">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05FEE95E">
            <w:pPr>
              <w:rPr>
                <w:rFonts w:ascii="宋体" w:hAnsi="宋体" w:cs="宋体"/>
                <w:color w:val="auto"/>
                <w:szCs w:val="21"/>
                <w:highlight w:val="none"/>
              </w:rPr>
            </w:pPr>
            <w:r>
              <w:rPr>
                <w:rFonts w:hint="eastAsia" w:ascii="宋体" w:hAnsi="宋体" w:cs="宋体"/>
                <w:color w:val="auto"/>
                <w:szCs w:val="21"/>
                <w:highlight w:val="none"/>
              </w:rPr>
              <w:t>1  ……</w:t>
            </w:r>
          </w:p>
          <w:p w14:paraId="07F07B75">
            <w:pPr>
              <w:rPr>
                <w:rFonts w:ascii="宋体" w:hAnsi="宋体" w:cs="宋体"/>
                <w:color w:val="auto"/>
                <w:szCs w:val="21"/>
                <w:highlight w:val="none"/>
              </w:rPr>
            </w:pPr>
            <w:r>
              <w:rPr>
                <w:rFonts w:hint="eastAsia" w:ascii="宋体" w:hAnsi="宋体" w:cs="宋体"/>
                <w:color w:val="auto"/>
                <w:szCs w:val="21"/>
                <w:highlight w:val="none"/>
              </w:rPr>
              <w:t>2  ……</w:t>
            </w:r>
          </w:p>
          <w:p w14:paraId="5F55EB75">
            <w:pPr>
              <w:rPr>
                <w:rFonts w:ascii="宋体" w:hAnsi="宋体" w:cs="宋体"/>
                <w:color w:val="auto"/>
                <w:szCs w:val="21"/>
                <w:highlight w:val="none"/>
              </w:rPr>
            </w:pPr>
            <w:r>
              <w:rPr>
                <w:rFonts w:hint="eastAsia" w:ascii="宋体" w:hAnsi="宋体" w:cs="宋体"/>
                <w:color w:val="auto"/>
                <w:szCs w:val="21"/>
                <w:highlight w:val="none"/>
              </w:rPr>
              <w:t>3  ……</w:t>
            </w:r>
          </w:p>
          <w:p w14:paraId="413A5644">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6E3F95E8">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3274DEC6">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13F618A6">
            <w:pPr>
              <w:rPr>
                <w:rFonts w:ascii="宋体" w:hAnsi="宋体" w:cs="宋体"/>
                <w:color w:val="auto"/>
                <w:szCs w:val="21"/>
                <w:highlight w:val="none"/>
              </w:rPr>
            </w:pPr>
            <w:r>
              <w:rPr>
                <w:rFonts w:hint="eastAsia" w:ascii="宋体" w:hAnsi="宋体" w:cs="宋体"/>
                <w:color w:val="auto"/>
                <w:szCs w:val="21"/>
                <w:highlight w:val="none"/>
              </w:rPr>
              <w:t>1  ……</w:t>
            </w:r>
          </w:p>
          <w:p w14:paraId="54DF41AC">
            <w:pPr>
              <w:rPr>
                <w:rFonts w:ascii="宋体" w:hAnsi="宋体" w:cs="宋体"/>
                <w:color w:val="auto"/>
                <w:szCs w:val="21"/>
                <w:highlight w:val="none"/>
              </w:rPr>
            </w:pPr>
            <w:r>
              <w:rPr>
                <w:rFonts w:hint="eastAsia" w:ascii="宋体" w:hAnsi="宋体" w:cs="宋体"/>
                <w:color w:val="auto"/>
                <w:szCs w:val="21"/>
                <w:highlight w:val="none"/>
              </w:rPr>
              <w:t>2  ……</w:t>
            </w:r>
          </w:p>
          <w:p w14:paraId="34E69893">
            <w:pPr>
              <w:rPr>
                <w:rFonts w:ascii="宋体" w:hAnsi="宋体" w:cs="宋体"/>
                <w:color w:val="auto"/>
                <w:szCs w:val="21"/>
                <w:highlight w:val="none"/>
              </w:rPr>
            </w:pPr>
            <w:r>
              <w:rPr>
                <w:rFonts w:hint="eastAsia" w:ascii="宋体" w:hAnsi="宋体" w:cs="宋体"/>
                <w:color w:val="auto"/>
                <w:szCs w:val="21"/>
                <w:highlight w:val="none"/>
              </w:rPr>
              <w:t>3  ……</w:t>
            </w:r>
          </w:p>
          <w:p w14:paraId="4097AC70">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3625DE8F">
            <w:pPr>
              <w:rPr>
                <w:rFonts w:ascii="宋体" w:hAnsi="宋体" w:cs="宋体"/>
                <w:color w:val="auto"/>
                <w:szCs w:val="21"/>
                <w:highlight w:val="none"/>
              </w:rPr>
            </w:pPr>
          </w:p>
        </w:tc>
      </w:tr>
      <w:tr w14:paraId="4BE8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01A6BB75">
            <w:pPr>
              <w:rPr>
                <w:rFonts w:ascii="宋体" w:hAnsi="宋体" w:cs="宋体"/>
                <w:color w:val="auto"/>
                <w:szCs w:val="21"/>
                <w:highlight w:val="none"/>
              </w:rPr>
            </w:pPr>
            <w:r>
              <w:rPr>
                <w:rFonts w:hint="eastAsia" w:ascii="宋体" w:hAnsi="宋体" w:cs="宋体"/>
                <w:color w:val="auto"/>
                <w:szCs w:val="21"/>
                <w:highlight w:val="none"/>
              </w:rPr>
              <w:t>2</w:t>
            </w:r>
          </w:p>
        </w:tc>
        <w:tc>
          <w:tcPr>
            <w:tcW w:w="1143" w:type="dxa"/>
            <w:tcBorders>
              <w:top w:val="single" w:color="auto" w:sz="4" w:space="0"/>
              <w:left w:val="single" w:color="auto" w:sz="4" w:space="0"/>
              <w:bottom w:val="single" w:color="auto" w:sz="4" w:space="0"/>
              <w:right w:val="single" w:color="auto" w:sz="4" w:space="0"/>
            </w:tcBorders>
            <w:vAlign w:val="center"/>
          </w:tcPr>
          <w:p w14:paraId="78DC6864">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37131C2A">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52586660">
            <w:pPr>
              <w:rPr>
                <w:rFonts w:ascii="宋体" w:hAnsi="宋体" w:cs="宋体"/>
                <w:color w:val="auto"/>
                <w:szCs w:val="21"/>
                <w:highlight w:val="none"/>
              </w:rPr>
            </w:pPr>
            <w:r>
              <w:rPr>
                <w:rFonts w:hint="eastAsia" w:ascii="宋体" w:hAnsi="宋体" w:cs="宋体"/>
                <w:color w:val="auto"/>
                <w:szCs w:val="21"/>
                <w:highlight w:val="none"/>
              </w:rPr>
              <w:t>1  ……</w:t>
            </w:r>
          </w:p>
          <w:p w14:paraId="0F5F3B09">
            <w:pPr>
              <w:rPr>
                <w:rFonts w:ascii="宋体" w:hAnsi="宋体" w:cs="宋体"/>
                <w:color w:val="auto"/>
                <w:szCs w:val="21"/>
                <w:highlight w:val="none"/>
              </w:rPr>
            </w:pPr>
            <w:r>
              <w:rPr>
                <w:rFonts w:hint="eastAsia" w:ascii="宋体" w:hAnsi="宋体" w:cs="宋体"/>
                <w:color w:val="auto"/>
                <w:szCs w:val="21"/>
                <w:highlight w:val="none"/>
              </w:rPr>
              <w:t>2  ……</w:t>
            </w:r>
          </w:p>
          <w:p w14:paraId="0DF28F62">
            <w:pPr>
              <w:rPr>
                <w:rFonts w:ascii="宋体" w:hAnsi="宋体" w:cs="宋体"/>
                <w:color w:val="auto"/>
                <w:szCs w:val="21"/>
                <w:highlight w:val="none"/>
              </w:rPr>
            </w:pPr>
            <w:r>
              <w:rPr>
                <w:rFonts w:hint="eastAsia" w:ascii="宋体" w:hAnsi="宋体" w:cs="宋体"/>
                <w:color w:val="auto"/>
                <w:szCs w:val="21"/>
                <w:highlight w:val="none"/>
              </w:rPr>
              <w:t>3  ……</w:t>
            </w:r>
          </w:p>
          <w:p w14:paraId="3D15C8E0">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4221A94F">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1FE12538">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0F022496">
            <w:pPr>
              <w:rPr>
                <w:rFonts w:ascii="宋体" w:hAnsi="宋体" w:cs="宋体"/>
                <w:color w:val="auto"/>
                <w:szCs w:val="21"/>
                <w:highlight w:val="none"/>
              </w:rPr>
            </w:pPr>
            <w:r>
              <w:rPr>
                <w:rFonts w:hint="eastAsia" w:ascii="宋体" w:hAnsi="宋体" w:cs="宋体"/>
                <w:color w:val="auto"/>
                <w:szCs w:val="21"/>
                <w:highlight w:val="none"/>
              </w:rPr>
              <w:t>1  ……</w:t>
            </w:r>
          </w:p>
          <w:p w14:paraId="5B2E717C">
            <w:pPr>
              <w:rPr>
                <w:rFonts w:ascii="宋体" w:hAnsi="宋体" w:cs="宋体"/>
                <w:color w:val="auto"/>
                <w:szCs w:val="21"/>
                <w:highlight w:val="none"/>
              </w:rPr>
            </w:pPr>
            <w:r>
              <w:rPr>
                <w:rFonts w:hint="eastAsia" w:ascii="宋体" w:hAnsi="宋体" w:cs="宋体"/>
                <w:color w:val="auto"/>
                <w:szCs w:val="21"/>
                <w:highlight w:val="none"/>
              </w:rPr>
              <w:t>2  ……</w:t>
            </w:r>
          </w:p>
          <w:p w14:paraId="2A66DD7C">
            <w:pPr>
              <w:rPr>
                <w:rFonts w:ascii="宋体" w:hAnsi="宋体" w:cs="宋体"/>
                <w:color w:val="auto"/>
                <w:szCs w:val="21"/>
                <w:highlight w:val="none"/>
              </w:rPr>
            </w:pPr>
            <w:r>
              <w:rPr>
                <w:rFonts w:hint="eastAsia" w:ascii="宋体" w:hAnsi="宋体" w:cs="宋体"/>
                <w:color w:val="auto"/>
                <w:szCs w:val="21"/>
                <w:highlight w:val="none"/>
              </w:rPr>
              <w:t>3  ……</w:t>
            </w:r>
          </w:p>
          <w:p w14:paraId="6BA29B5F">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42165AE4">
            <w:pPr>
              <w:rPr>
                <w:rFonts w:ascii="宋体" w:hAnsi="宋体" w:cs="宋体"/>
                <w:color w:val="auto"/>
                <w:szCs w:val="21"/>
                <w:highlight w:val="none"/>
              </w:rPr>
            </w:pPr>
          </w:p>
        </w:tc>
      </w:tr>
      <w:tr w14:paraId="10A5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4C236F21">
            <w:pPr>
              <w:rPr>
                <w:rFonts w:ascii="宋体" w:hAnsi="宋体" w:cs="宋体"/>
                <w:color w:val="auto"/>
                <w:szCs w:val="21"/>
                <w:highlight w:val="none"/>
              </w:rPr>
            </w:pPr>
            <w:r>
              <w:rPr>
                <w:rFonts w:hint="eastAsia" w:ascii="宋体" w:hAnsi="宋体" w:cs="宋体"/>
                <w:color w:val="auto"/>
                <w:szCs w:val="21"/>
                <w:highlight w:val="none"/>
              </w:rPr>
              <w:t>...</w:t>
            </w:r>
          </w:p>
        </w:tc>
        <w:tc>
          <w:tcPr>
            <w:tcW w:w="1143" w:type="dxa"/>
            <w:tcBorders>
              <w:top w:val="single" w:color="auto" w:sz="4" w:space="0"/>
              <w:left w:val="single" w:color="auto" w:sz="4" w:space="0"/>
              <w:bottom w:val="single" w:color="auto" w:sz="4" w:space="0"/>
              <w:right w:val="single" w:color="auto" w:sz="4" w:space="0"/>
            </w:tcBorders>
            <w:vAlign w:val="center"/>
          </w:tcPr>
          <w:p w14:paraId="115E6453">
            <w:pPr>
              <w:rPr>
                <w:rFonts w:ascii="宋体" w:hAnsi="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4F92F896">
            <w:pPr>
              <w:rPr>
                <w:rFonts w:ascii="宋体" w:hAnsi="宋体" w:cs="宋体"/>
                <w:color w:val="auto"/>
                <w:szCs w:val="21"/>
                <w:highlight w:val="none"/>
              </w:rPr>
            </w:pPr>
          </w:p>
        </w:tc>
        <w:tc>
          <w:tcPr>
            <w:tcW w:w="1577" w:type="dxa"/>
            <w:tcBorders>
              <w:top w:val="single" w:color="auto" w:sz="4" w:space="0"/>
              <w:left w:val="single" w:color="auto" w:sz="4" w:space="0"/>
              <w:bottom w:val="single" w:color="auto" w:sz="4" w:space="0"/>
              <w:right w:val="single" w:color="auto" w:sz="4" w:space="0"/>
            </w:tcBorders>
            <w:vAlign w:val="center"/>
          </w:tcPr>
          <w:p w14:paraId="496E8B52">
            <w:pPr>
              <w:rPr>
                <w:rFonts w:ascii="宋体" w:hAnsi="宋体" w:cs="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center"/>
          </w:tcPr>
          <w:p w14:paraId="0B9DCB3E">
            <w:pPr>
              <w:rPr>
                <w:rFonts w:ascii="宋体" w:hAnsi="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14:paraId="24A3D464">
            <w:pPr>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AFA8849">
            <w:pPr>
              <w:rPr>
                <w:rFonts w:ascii="宋体"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22814458">
            <w:pPr>
              <w:rPr>
                <w:rFonts w:ascii="宋体" w:hAnsi="宋体" w:cs="宋体"/>
                <w:color w:val="auto"/>
                <w:szCs w:val="21"/>
                <w:highlight w:val="none"/>
              </w:rPr>
            </w:pPr>
          </w:p>
        </w:tc>
      </w:tr>
    </w:tbl>
    <w:p w14:paraId="68D6030F">
      <w:pPr>
        <w:pStyle w:val="10"/>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33260016">
      <w:pPr>
        <w:pStyle w:val="10"/>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6A6A3CED">
      <w:pPr>
        <w:pStyle w:val="10"/>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1.说明：应对照磋商文件“第二章”中“服务需求一览表”的采购清单及技术参数条款逐条作出明确响应，并作出偏离说明。</w:t>
      </w:r>
    </w:p>
    <w:p w14:paraId="4E50FA61">
      <w:pPr>
        <w:pStyle w:val="12"/>
        <w:spacing w:line="400" w:lineRule="exact"/>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4D7391BA">
      <w:pPr>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3.表格内容均需按要求填写并盖章，不得留空，否则按竞标无效处理。</w:t>
      </w:r>
    </w:p>
    <w:p w14:paraId="6E639AB6">
      <w:pPr>
        <w:pStyle w:val="15"/>
        <w:spacing w:line="400" w:lineRule="exact"/>
        <w:rPr>
          <w:rFonts w:hAnsi="宋体" w:cs="宋体"/>
          <w:color w:val="auto"/>
          <w:sz w:val="21"/>
          <w:highlight w:val="none"/>
        </w:rPr>
      </w:pPr>
      <w:r>
        <w:rPr>
          <w:rFonts w:hint="eastAsia" w:hAnsi="宋体" w:cs="宋体"/>
          <w:color w:val="auto"/>
          <w:sz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42411B72">
      <w:pPr>
        <w:pStyle w:val="12"/>
        <w:spacing w:line="360" w:lineRule="auto"/>
        <w:ind w:firstLine="0" w:firstLineChars="0"/>
        <w:rPr>
          <w:rFonts w:ascii="宋体" w:hAnsi="宋体" w:eastAsia="宋体" w:cs="宋体"/>
          <w:color w:val="auto"/>
          <w:sz w:val="24"/>
          <w:highlight w:val="none"/>
        </w:rPr>
      </w:pPr>
      <w:r>
        <w:rPr>
          <w:rFonts w:hint="eastAsia" w:ascii="宋体" w:hAnsi="宋体" w:eastAsia="宋体" w:cs="宋体"/>
          <w:color w:val="auto"/>
          <w:sz w:val="21"/>
          <w:szCs w:val="21"/>
          <w:highlight w:val="none"/>
        </w:rPr>
        <w:t>5. 如技术偏离表中的竞标响应与佐证材料不一致的，以佐证材料为准。</w:t>
      </w:r>
    </w:p>
    <w:p w14:paraId="31A32B40">
      <w:pPr>
        <w:snapToGrid w:val="0"/>
        <w:spacing w:line="360" w:lineRule="auto"/>
        <w:ind w:firstLine="602" w:firstLineChars="200"/>
        <w:rPr>
          <w:rFonts w:ascii="宋体" w:hAnsi="宋体" w:cs="宋体"/>
          <w:b/>
          <w:color w:val="auto"/>
          <w:sz w:val="30"/>
          <w:szCs w:val="30"/>
          <w:highlight w:val="none"/>
        </w:rPr>
      </w:pPr>
    </w:p>
    <w:p w14:paraId="45CCC2AB">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CFEAB43">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124B1C6">
      <w:pPr>
        <w:adjustRightInd w:val="0"/>
        <w:snapToGrid w:val="0"/>
        <w:spacing w:line="520" w:lineRule="exact"/>
        <w:jc w:val="center"/>
        <w:rPr>
          <w:rFonts w:ascii="宋体" w:hAnsi="宋体" w:cs="宋体"/>
          <w:bCs/>
          <w:color w:val="auto"/>
          <w:sz w:val="44"/>
          <w:szCs w:val="44"/>
          <w:highlight w:val="none"/>
        </w:rPr>
      </w:pPr>
    </w:p>
    <w:p w14:paraId="51B6A712">
      <w:pPr>
        <w:pStyle w:val="35"/>
        <w:rPr>
          <w:rFonts w:ascii="宋体" w:hAnsi="宋体" w:eastAsia="宋体" w:cs="宋体"/>
          <w:color w:val="auto"/>
          <w:highlight w:val="none"/>
        </w:rPr>
      </w:pPr>
    </w:p>
    <w:p w14:paraId="381FC9AF">
      <w:pPr>
        <w:snapToGrid w:val="0"/>
        <w:spacing w:line="360" w:lineRule="auto"/>
        <w:ind w:firstLine="602" w:firstLineChars="200"/>
        <w:rPr>
          <w:rFonts w:ascii="宋体" w:hAnsi="宋体" w:cs="宋体"/>
          <w:b/>
          <w:color w:val="auto"/>
          <w:sz w:val="30"/>
          <w:szCs w:val="30"/>
          <w:highlight w:val="none"/>
        </w:rPr>
      </w:pPr>
    </w:p>
    <w:p w14:paraId="7F44BD83">
      <w:pPr>
        <w:snapToGrid w:val="0"/>
        <w:spacing w:line="360" w:lineRule="auto"/>
        <w:ind w:firstLine="602" w:firstLineChars="200"/>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val="en-US" w:eastAsia="zh-CN"/>
        </w:rPr>
        <w:t>施工组织设计</w:t>
      </w:r>
    </w:p>
    <w:p w14:paraId="5B7251E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w:t>
      </w:r>
      <w:r>
        <w:rPr>
          <w:rFonts w:hint="eastAsia" w:ascii="宋体" w:hAnsi="宋体" w:cs="宋体"/>
          <w:color w:val="auto"/>
          <w:sz w:val="24"/>
          <w:highlight w:val="none"/>
          <w:lang w:val="en-US" w:eastAsia="zh-CN"/>
        </w:rPr>
        <w:t>评审办法内容编制</w:t>
      </w:r>
      <w:r>
        <w:rPr>
          <w:rFonts w:hint="eastAsia" w:ascii="宋体" w:hAnsi="宋体" w:cs="宋体"/>
          <w:color w:val="auto"/>
          <w:sz w:val="24"/>
          <w:highlight w:val="none"/>
        </w:rPr>
        <w:t>）</w:t>
      </w:r>
    </w:p>
    <w:p w14:paraId="0DE13E75">
      <w:pPr>
        <w:rPr>
          <w:rFonts w:ascii="宋体" w:hAnsi="宋体" w:cs="宋体"/>
          <w:b/>
          <w:bCs/>
          <w:color w:val="auto"/>
          <w:kern w:val="0"/>
          <w:sz w:val="24"/>
          <w:highlight w:val="none"/>
          <w:lang w:val="zh-CN"/>
        </w:rPr>
      </w:pPr>
      <w:bookmarkStart w:id="86" w:name="_Toc78473822"/>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(以生效日算起)</w:t>
      </w:r>
      <w:bookmarkEnd w:id="86"/>
      <w:r>
        <w:rPr>
          <w:rFonts w:hint="eastAsia" w:ascii="宋体" w:hAnsi="宋体" w:cs="宋体"/>
          <w:b/>
          <w:color w:val="auto"/>
          <w:sz w:val="24"/>
          <w:highlight w:val="none"/>
        </w:rPr>
        <w:t xml:space="preserve"> </w:t>
      </w:r>
    </w:p>
    <w:tbl>
      <w:tblPr>
        <w:tblStyle w:val="26"/>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4B60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765C483A">
            <w:pPr>
              <w:spacing w:line="360" w:lineRule="auto"/>
              <w:rPr>
                <w:rFonts w:ascii="宋体" w:hAnsi="宋体" w:cs="宋体"/>
                <w:color w:val="auto"/>
                <w:sz w:val="24"/>
                <w:highlight w:val="none"/>
              </w:rPr>
            </w:pPr>
            <w:r>
              <w:rPr>
                <w:rFonts w:hint="eastAsia" w:ascii="宋体" w:hAnsi="宋体" w:cs="宋体"/>
                <w:color w:val="auto"/>
                <w:highlight w:val="none"/>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00BEA0E8">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10E15F7A">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4D61E025">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1312;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0BEA0E8">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0E15F7A">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D61E025">
                              <w:pPr>
                                <w:snapToGrid w:val="0"/>
                              </w:pPr>
                              <w:r>
                                <w:rPr>
                                  <w:rFonts w:hint="eastAsia"/>
                                </w:rPr>
                                <w:t>日</w:t>
                              </w:r>
                            </w:p>
                          </w:txbxContent>
                        </v:textbox>
                      </v:shape>
                    </v:group>
                  </w:pict>
                </mc:Fallback>
              </mc:AlternateContent>
            </w:r>
          </w:p>
          <w:p w14:paraId="1AAF8ADD">
            <w:pPr>
              <w:spacing w:line="360" w:lineRule="auto"/>
              <w:rPr>
                <w:rFonts w:ascii="宋体" w:hAnsi="宋体" w:cs="宋体"/>
                <w:color w:val="auto"/>
                <w:sz w:val="24"/>
                <w:highlight w:val="none"/>
              </w:rPr>
            </w:pPr>
          </w:p>
          <w:p w14:paraId="34B3BD3F">
            <w:pPr>
              <w:spacing w:line="360" w:lineRule="auto"/>
              <w:rPr>
                <w:rFonts w:ascii="宋体" w:hAnsi="宋体" w:cs="宋体"/>
                <w:color w:val="auto"/>
                <w:sz w:val="24"/>
                <w:highlight w:val="none"/>
              </w:rPr>
            </w:pPr>
          </w:p>
          <w:p w14:paraId="3940FA55">
            <w:pPr>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30B4CD7F">
            <w:pPr>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09B8F296">
            <w:pPr>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394329B6">
            <w:pPr>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4D07B19F">
            <w:pPr>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2A4025D6">
            <w:pPr>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793CC861">
            <w:pPr>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4C2FEFB3">
            <w:pPr>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404CDC6B">
            <w:pPr>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78C9B178">
            <w:pPr>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434861EA">
            <w:pPr>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44F47552">
            <w:pPr>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5C45B825">
            <w:pPr>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20AF52AE">
            <w:pPr>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7A3E93E7">
            <w:pPr>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2B38CE5A">
            <w:pPr>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76B9B0B5">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2507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40EF65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D531AA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CC10B4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97173E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BB84F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53F791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1B49BC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8A2145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96FFAE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3B9AE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9A722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EE88E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8E909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A6EDA9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5D188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195FA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9FD692">
            <w:pPr>
              <w:spacing w:line="360" w:lineRule="auto"/>
              <w:rPr>
                <w:rFonts w:ascii="宋体" w:hAnsi="宋体" w:cs="宋体"/>
                <w:color w:val="auto"/>
                <w:sz w:val="24"/>
                <w:highlight w:val="none"/>
              </w:rPr>
            </w:pPr>
          </w:p>
        </w:tc>
      </w:tr>
      <w:tr w14:paraId="27CB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82D59C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E10E14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82C8B2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F2E9DE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A81A1C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2D0A9E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A0B089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5D30F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FC777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9394C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06E83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8BCAC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4A70D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7D0D5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3D067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788500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B172A1">
            <w:pPr>
              <w:spacing w:line="360" w:lineRule="auto"/>
              <w:rPr>
                <w:rFonts w:ascii="宋体" w:hAnsi="宋体" w:cs="宋体"/>
                <w:color w:val="auto"/>
                <w:sz w:val="24"/>
                <w:highlight w:val="none"/>
              </w:rPr>
            </w:pPr>
          </w:p>
        </w:tc>
      </w:tr>
      <w:tr w14:paraId="7EE2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64A216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5395F5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9D8711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1D568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ABC5BC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DC5236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3493F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B4BE7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49383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2B291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ADC01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39A77F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672786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4163B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A1533D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51BC5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350710F">
            <w:pPr>
              <w:spacing w:line="360" w:lineRule="auto"/>
              <w:rPr>
                <w:rFonts w:ascii="宋体" w:hAnsi="宋体" w:cs="宋体"/>
                <w:color w:val="auto"/>
                <w:sz w:val="24"/>
                <w:highlight w:val="none"/>
              </w:rPr>
            </w:pPr>
          </w:p>
        </w:tc>
      </w:tr>
      <w:tr w14:paraId="33E8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DA81E5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82D24C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C3387EF">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B88397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2933EB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0E38C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DA768D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CE684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E1C1F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735288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D6C293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1675F5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8C347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4E0371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6FF535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112A75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3B8613">
            <w:pPr>
              <w:spacing w:line="360" w:lineRule="auto"/>
              <w:rPr>
                <w:rFonts w:ascii="宋体" w:hAnsi="宋体" w:cs="宋体"/>
                <w:color w:val="auto"/>
                <w:sz w:val="24"/>
                <w:highlight w:val="none"/>
              </w:rPr>
            </w:pPr>
          </w:p>
        </w:tc>
      </w:tr>
      <w:tr w14:paraId="387D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E80EC2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D4CEE4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DCC138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E52C92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5DE07E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28F417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7D1558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DBD07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B7D91E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47A0E4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6AAF2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0E0E6E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7A6FDB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FC578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8F2FF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53CAC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DE6C868">
            <w:pPr>
              <w:spacing w:line="360" w:lineRule="auto"/>
              <w:rPr>
                <w:rFonts w:ascii="宋体" w:hAnsi="宋体" w:cs="宋体"/>
                <w:color w:val="auto"/>
                <w:sz w:val="24"/>
                <w:highlight w:val="none"/>
              </w:rPr>
            </w:pPr>
          </w:p>
        </w:tc>
      </w:tr>
      <w:tr w14:paraId="2524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B80877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1691E8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97F0B2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4A93B4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3C9A34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85B114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03123C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7276D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82AA11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A34E1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2FDAC9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78860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0773B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E67F8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3E5B0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BB222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64AB6DD">
            <w:pPr>
              <w:spacing w:line="360" w:lineRule="auto"/>
              <w:rPr>
                <w:rFonts w:ascii="宋体" w:hAnsi="宋体" w:cs="宋体"/>
                <w:color w:val="auto"/>
                <w:sz w:val="24"/>
                <w:highlight w:val="none"/>
              </w:rPr>
            </w:pPr>
          </w:p>
        </w:tc>
      </w:tr>
      <w:tr w14:paraId="021C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386E88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ACDFCA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94DCEA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C1F05E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FCCA1F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05F04B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420C0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CC7128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45C24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84CA24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8A3E68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F2E0C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D9FA43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0811E4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B3CE7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26CB34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094C0B">
            <w:pPr>
              <w:spacing w:line="360" w:lineRule="auto"/>
              <w:rPr>
                <w:rFonts w:ascii="宋体" w:hAnsi="宋体" w:cs="宋体"/>
                <w:color w:val="auto"/>
                <w:sz w:val="24"/>
                <w:highlight w:val="none"/>
              </w:rPr>
            </w:pPr>
          </w:p>
        </w:tc>
      </w:tr>
      <w:tr w14:paraId="7F85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F82B4E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EE8352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DAB7FB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189362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05FFB2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87F92B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C9710A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5D0B28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EF387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B8FD0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11637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AF083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1ED24C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70D11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90E25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FCB1B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9CB446">
            <w:pPr>
              <w:spacing w:line="360" w:lineRule="auto"/>
              <w:rPr>
                <w:rFonts w:ascii="宋体" w:hAnsi="宋体" w:cs="宋体"/>
                <w:color w:val="auto"/>
                <w:sz w:val="24"/>
                <w:highlight w:val="none"/>
              </w:rPr>
            </w:pPr>
          </w:p>
        </w:tc>
      </w:tr>
      <w:tr w14:paraId="0A13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71DCB1E">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4BBCAB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4B9443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962E8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9BC709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24472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2A41D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B5352E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40677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B3AEB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0DCD7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28079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A4A36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3308B1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94564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6B0FEC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C50480">
            <w:pPr>
              <w:spacing w:line="360" w:lineRule="auto"/>
              <w:rPr>
                <w:rFonts w:ascii="宋体" w:hAnsi="宋体" w:cs="宋体"/>
                <w:color w:val="auto"/>
                <w:sz w:val="24"/>
                <w:highlight w:val="none"/>
              </w:rPr>
            </w:pPr>
          </w:p>
        </w:tc>
      </w:tr>
    </w:tbl>
    <w:p w14:paraId="45496A85">
      <w:pPr>
        <w:autoSpaceDE w:val="0"/>
        <w:autoSpaceDN w:val="0"/>
        <w:spacing w:line="360" w:lineRule="auto"/>
        <w:rPr>
          <w:rFonts w:ascii="宋体" w:hAnsi="宋体" w:cs="宋体"/>
          <w:color w:val="auto"/>
          <w:kern w:val="0"/>
          <w:sz w:val="24"/>
          <w:highlight w:val="none"/>
        </w:rPr>
      </w:pPr>
      <w:r>
        <w:rPr>
          <w:rFonts w:hint="eastAsia" w:ascii="宋体" w:hAnsi="宋体" w:cs="宋体"/>
          <w:b/>
          <w:color w:val="auto"/>
          <w:sz w:val="24"/>
          <w:highlight w:val="none"/>
        </w:rPr>
        <w:t>注：供应商可按上述时间表的格式自行编制切合实际的具体时间表。</w:t>
      </w:r>
    </w:p>
    <w:p w14:paraId="13647611">
      <w:pPr>
        <w:spacing w:line="500" w:lineRule="exact"/>
        <w:rPr>
          <w:rFonts w:ascii="宋体" w:hAnsi="宋体" w:cs="宋体"/>
          <w:color w:val="auto"/>
          <w:sz w:val="32"/>
          <w:szCs w:val="32"/>
          <w:highlight w:val="none"/>
        </w:rPr>
      </w:pPr>
    </w:p>
    <w:p w14:paraId="7E23AA72">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541168F">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D1EBF35">
      <w:pPr>
        <w:spacing w:line="500" w:lineRule="exact"/>
        <w:rPr>
          <w:rFonts w:ascii="宋体" w:hAnsi="宋体" w:cs="宋体"/>
          <w:color w:val="auto"/>
          <w:sz w:val="32"/>
          <w:szCs w:val="32"/>
          <w:highlight w:val="none"/>
        </w:rPr>
      </w:pPr>
    </w:p>
    <w:p w14:paraId="158FA0A8">
      <w:pPr>
        <w:snapToGrid w:val="0"/>
        <w:spacing w:line="360" w:lineRule="auto"/>
        <w:ind w:firstLine="602" w:firstLineChars="200"/>
        <w:rPr>
          <w:rFonts w:ascii="宋体" w:hAnsi="宋体" w:cs="宋体"/>
          <w:b/>
          <w:color w:val="auto"/>
          <w:sz w:val="30"/>
          <w:szCs w:val="30"/>
          <w:highlight w:val="none"/>
        </w:rPr>
      </w:pPr>
    </w:p>
    <w:p w14:paraId="772F6764">
      <w:pPr>
        <w:snapToGrid w:val="0"/>
        <w:spacing w:line="360" w:lineRule="auto"/>
        <w:ind w:firstLine="602" w:firstLineChars="200"/>
        <w:rPr>
          <w:rFonts w:ascii="宋体" w:hAnsi="宋体" w:cs="宋体"/>
          <w:b/>
          <w:color w:val="auto"/>
          <w:sz w:val="30"/>
          <w:szCs w:val="30"/>
          <w:highlight w:val="none"/>
        </w:rPr>
      </w:pPr>
    </w:p>
    <w:p w14:paraId="06F58BF3">
      <w:pPr>
        <w:snapToGrid w:val="0"/>
        <w:spacing w:line="360" w:lineRule="auto"/>
        <w:ind w:firstLine="602" w:firstLineChars="200"/>
        <w:rPr>
          <w:rFonts w:ascii="宋体" w:hAnsi="宋体" w:cs="宋体"/>
          <w:b/>
          <w:color w:val="auto"/>
          <w:sz w:val="30"/>
          <w:szCs w:val="30"/>
          <w:highlight w:val="none"/>
        </w:rPr>
      </w:pPr>
    </w:p>
    <w:p w14:paraId="579046E5">
      <w:pPr>
        <w:snapToGrid w:val="0"/>
        <w:spacing w:line="360" w:lineRule="auto"/>
        <w:ind w:firstLine="602" w:firstLineChars="200"/>
        <w:rPr>
          <w:rFonts w:ascii="宋体" w:hAnsi="宋体" w:cs="宋体"/>
          <w:b/>
          <w:color w:val="auto"/>
          <w:sz w:val="30"/>
          <w:szCs w:val="30"/>
          <w:highlight w:val="none"/>
        </w:rPr>
      </w:pPr>
    </w:p>
    <w:p w14:paraId="13838507">
      <w:pPr>
        <w:snapToGrid w:val="0"/>
        <w:spacing w:line="360" w:lineRule="auto"/>
        <w:ind w:firstLine="602" w:firstLineChars="200"/>
        <w:rPr>
          <w:rFonts w:ascii="宋体" w:hAnsi="宋体" w:cs="宋体"/>
          <w:b/>
          <w:color w:val="auto"/>
          <w:sz w:val="30"/>
          <w:szCs w:val="30"/>
          <w:highlight w:val="none"/>
        </w:rPr>
      </w:pPr>
    </w:p>
    <w:p w14:paraId="36D574AC">
      <w:pPr>
        <w:snapToGrid w:val="0"/>
        <w:spacing w:line="360" w:lineRule="auto"/>
        <w:ind w:firstLine="602" w:firstLineChars="200"/>
        <w:rPr>
          <w:rFonts w:ascii="宋体" w:hAnsi="宋体" w:cs="宋体"/>
          <w:b/>
          <w:color w:val="auto"/>
          <w:sz w:val="30"/>
          <w:szCs w:val="30"/>
          <w:highlight w:val="none"/>
        </w:rPr>
      </w:pPr>
    </w:p>
    <w:p w14:paraId="36CB11AB">
      <w:pPr>
        <w:snapToGrid w:val="0"/>
        <w:spacing w:line="360" w:lineRule="auto"/>
        <w:ind w:firstLine="602" w:firstLineChars="200"/>
        <w:rPr>
          <w:rFonts w:ascii="宋体" w:hAnsi="宋体" w:cs="宋体"/>
          <w:b/>
          <w:color w:val="auto"/>
          <w:sz w:val="30"/>
          <w:szCs w:val="30"/>
          <w:highlight w:val="none"/>
        </w:rPr>
      </w:pPr>
    </w:p>
    <w:p w14:paraId="23031F9F">
      <w:pPr>
        <w:snapToGrid w:val="0"/>
        <w:spacing w:line="360" w:lineRule="auto"/>
        <w:ind w:firstLine="602" w:firstLineChars="200"/>
        <w:rPr>
          <w:rFonts w:ascii="宋体" w:hAnsi="宋体" w:cs="宋体"/>
          <w:b/>
          <w:color w:val="auto"/>
          <w:sz w:val="30"/>
          <w:szCs w:val="30"/>
          <w:highlight w:val="none"/>
        </w:rPr>
      </w:pPr>
    </w:p>
    <w:p w14:paraId="39D65EB2">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七</w:t>
      </w:r>
      <w:r>
        <w:rPr>
          <w:rFonts w:hint="eastAsia" w:ascii="宋体" w:hAnsi="宋体" w:cs="宋体"/>
          <w:b/>
          <w:color w:val="auto"/>
          <w:sz w:val="30"/>
          <w:szCs w:val="30"/>
          <w:highlight w:val="none"/>
        </w:rPr>
        <w:t>、项目实施人员一览表</w:t>
      </w:r>
    </w:p>
    <w:p w14:paraId="2A337C2C">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（由供应商根据采购需求及采购文件要求编制）</w:t>
      </w:r>
    </w:p>
    <w:p w14:paraId="6DDC7589">
      <w:pPr>
        <w:pStyle w:val="15"/>
        <w:rPr>
          <w:rFonts w:hAnsi="宋体" w:cs="宋体"/>
          <w:color w:val="auto"/>
          <w:sz w:val="24"/>
          <w:szCs w:val="24"/>
          <w:highlight w:val="none"/>
        </w:rPr>
      </w:pPr>
      <w:r>
        <w:rPr>
          <w:rFonts w:hint="eastAsia" w:hAnsi="宋体" w:cs="宋体"/>
          <w:color w:val="auto"/>
          <w:sz w:val="24"/>
          <w:szCs w:val="24"/>
          <w:highlight w:val="none"/>
        </w:rPr>
        <w:t>响应分标：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3E140D7F">
      <w:pPr>
        <w:keepNext/>
        <w:autoSpaceDE w:val="0"/>
        <w:autoSpaceDN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6"/>
        <w:tblW w:w="8755" w:type="dxa"/>
        <w:tblInd w:w="116" w:type="dxa"/>
        <w:tblLayout w:type="fixed"/>
        <w:tblCellMar>
          <w:top w:w="0" w:type="dxa"/>
          <w:left w:w="108" w:type="dxa"/>
          <w:bottom w:w="0" w:type="dxa"/>
          <w:right w:w="108" w:type="dxa"/>
        </w:tblCellMar>
      </w:tblPr>
      <w:tblGrid>
        <w:gridCol w:w="2061"/>
        <w:gridCol w:w="1287"/>
        <w:gridCol w:w="1260"/>
        <w:gridCol w:w="4147"/>
      </w:tblGrid>
      <w:tr w14:paraId="43814F08">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52D7E1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021CB8CE">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EA544A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6D29AC9E">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响应截止时间前三年业绩及承担的主要工作情况，曾担任项目经理的项目应列明细</w:t>
            </w:r>
          </w:p>
        </w:tc>
      </w:tr>
      <w:tr w14:paraId="3E57B4C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2F1BBB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19372C7">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D895A7F">
            <w:pPr>
              <w:autoSpaceDE w:val="0"/>
              <w:autoSpaceDN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11BC0664">
            <w:pPr>
              <w:autoSpaceDE w:val="0"/>
              <w:autoSpaceDN w:val="0"/>
              <w:spacing w:line="360" w:lineRule="auto"/>
              <w:jc w:val="center"/>
              <w:rPr>
                <w:rFonts w:ascii="宋体" w:hAnsi="宋体" w:cs="宋体"/>
                <w:color w:val="auto"/>
                <w:sz w:val="24"/>
                <w:highlight w:val="none"/>
              </w:rPr>
            </w:pPr>
          </w:p>
        </w:tc>
      </w:tr>
      <w:tr w14:paraId="40478A89">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CDBA51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DF16582">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27AD5B76">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B315AAC">
            <w:pPr>
              <w:widowControl/>
              <w:jc w:val="left"/>
              <w:rPr>
                <w:rFonts w:ascii="宋体" w:hAnsi="宋体" w:cs="宋体"/>
                <w:color w:val="auto"/>
                <w:sz w:val="24"/>
                <w:highlight w:val="none"/>
              </w:rPr>
            </w:pPr>
          </w:p>
        </w:tc>
      </w:tr>
      <w:tr w14:paraId="131CE80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5923C75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2097FF0C">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045F5D5">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5C8FBAF">
            <w:pPr>
              <w:widowControl/>
              <w:jc w:val="left"/>
              <w:rPr>
                <w:rFonts w:ascii="宋体" w:hAnsi="宋体" w:cs="宋体"/>
                <w:color w:val="auto"/>
                <w:sz w:val="24"/>
                <w:highlight w:val="none"/>
              </w:rPr>
            </w:pPr>
          </w:p>
        </w:tc>
      </w:tr>
      <w:tr w14:paraId="34DA77F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CE1C4B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6B7D7707">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3CCB35A">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39F4501">
            <w:pPr>
              <w:widowControl/>
              <w:jc w:val="left"/>
              <w:rPr>
                <w:rFonts w:ascii="宋体" w:hAnsi="宋体" w:cs="宋体"/>
                <w:color w:val="auto"/>
                <w:sz w:val="24"/>
                <w:highlight w:val="none"/>
              </w:rPr>
            </w:pPr>
          </w:p>
        </w:tc>
      </w:tr>
      <w:tr w14:paraId="5841D431">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20DC302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4D4D355F">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CE482AC">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BCBA224">
            <w:pPr>
              <w:widowControl/>
              <w:jc w:val="left"/>
              <w:rPr>
                <w:rFonts w:ascii="宋体" w:hAnsi="宋体" w:cs="宋体"/>
                <w:color w:val="auto"/>
                <w:sz w:val="24"/>
                <w:highlight w:val="none"/>
              </w:rPr>
            </w:pPr>
          </w:p>
        </w:tc>
      </w:tr>
      <w:tr w14:paraId="025939BF">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1D50480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35F43EF6">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6012191">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1DAB449">
            <w:pPr>
              <w:widowControl/>
              <w:jc w:val="left"/>
              <w:rPr>
                <w:rFonts w:ascii="宋体" w:hAnsi="宋体" w:cs="宋体"/>
                <w:color w:val="auto"/>
                <w:sz w:val="24"/>
                <w:highlight w:val="none"/>
              </w:rPr>
            </w:pPr>
          </w:p>
        </w:tc>
      </w:tr>
      <w:tr w14:paraId="5AF58C0D">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62E66E5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47138188">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F492586">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F12AEDC">
            <w:pPr>
              <w:widowControl/>
              <w:jc w:val="left"/>
              <w:rPr>
                <w:rFonts w:ascii="宋体" w:hAnsi="宋体" w:cs="宋体"/>
                <w:color w:val="auto"/>
                <w:sz w:val="24"/>
                <w:highlight w:val="none"/>
              </w:rPr>
            </w:pPr>
          </w:p>
        </w:tc>
      </w:tr>
      <w:tr w14:paraId="5396E31C">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6A1A136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06B3C449">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42C49FE">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9DD6F9D">
            <w:pPr>
              <w:widowControl/>
              <w:jc w:val="left"/>
              <w:rPr>
                <w:rFonts w:ascii="宋体" w:hAnsi="宋体" w:cs="宋体"/>
                <w:color w:val="auto"/>
                <w:sz w:val="24"/>
                <w:highlight w:val="none"/>
              </w:rPr>
            </w:pPr>
          </w:p>
        </w:tc>
      </w:tr>
      <w:tr w14:paraId="2B2C133E">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16EBF8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EA3D756">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91772F7">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1A89DFD">
            <w:pPr>
              <w:widowControl/>
              <w:jc w:val="left"/>
              <w:rPr>
                <w:rFonts w:ascii="宋体" w:hAnsi="宋体" w:cs="宋体"/>
                <w:color w:val="auto"/>
                <w:sz w:val="24"/>
                <w:highlight w:val="none"/>
              </w:rPr>
            </w:pPr>
          </w:p>
        </w:tc>
      </w:tr>
    </w:tbl>
    <w:p w14:paraId="37A3158A">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注：须随表提交相应的证书复印件并注明所在响应技术文件页码。</w:t>
      </w:r>
    </w:p>
    <w:p w14:paraId="6D203269">
      <w:pPr>
        <w:autoSpaceDE w:val="0"/>
        <w:autoSpaceDN w:val="0"/>
        <w:spacing w:line="360" w:lineRule="auto"/>
        <w:rPr>
          <w:rFonts w:ascii="宋体" w:hAnsi="宋体" w:cs="宋体"/>
          <w:b/>
          <w:color w:val="auto"/>
          <w:sz w:val="24"/>
          <w:highlight w:val="none"/>
        </w:rPr>
      </w:pPr>
    </w:p>
    <w:p w14:paraId="7550E534">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本项目的</w:t>
      </w:r>
      <w:r>
        <w:rPr>
          <w:rFonts w:hint="eastAsia" w:ascii="宋体" w:hAnsi="宋体" w:cs="宋体"/>
          <w:b/>
          <w:color w:val="auto"/>
          <w:sz w:val="24"/>
          <w:highlight w:val="none"/>
          <w:lang w:val="en-US" w:eastAsia="zh-CN"/>
        </w:rPr>
        <w:t>其他</w:t>
      </w:r>
      <w:r>
        <w:rPr>
          <w:rFonts w:hint="eastAsia" w:ascii="宋体" w:hAnsi="宋体" w:cs="宋体"/>
          <w:b/>
          <w:color w:val="auto"/>
          <w:sz w:val="24"/>
          <w:highlight w:val="none"/>
        </w:rPr>
        <w:t>人员情况表</w:t>
      </w:r>
      <w:r>
        <w:rPr>
          <w:rFonts w:hint="eastAsia" w:ascii="宋体" w:hAnsi="宋体" w:cs="宋体"/>
          <w:color w:val="auto"/>
          <w:sz w:val="24"/>
          <w:highlight w:val="none"/>
        </w:rPr>
        <w:t>（按此格式自制）</w:t>
      </w:r>
    </w:p>
    <w:tbl>
      <w:tblPr>
        <w:tblStyle w:val="26"/>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1116"/>
        <w:gridCol w:w="1254"/>
      </w:tblGrid>
      <w:tr w14:paraId="2275B41C">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A1CD74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063DF1F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7CE48C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0D1A603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7DBF4B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423EDA2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34E279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2EA9F44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0BFB76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6357C88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7BD96FB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1116" w:type="dxa"/>
            <w:tcBorders>
              <w:top w:val="single" w:color="auto" w:sz="6" w:space="0"/>
              <w:left w:val="single" w:color="auto" w:sz="6" w:space="0"/>
              <w:bottom w:val="single" w:color="auto" w:sz="6" w:space="0"/>
              <w:right w:val="single" w:color="auto" w:sz="6" w:space="0"/>
            </w:tcBorders>
            <w:vAlign w:val="center"/>
          </w:tcPr>
          <w:p w14:paraId="2F59D2D3">
            <w:pPr>
              <w:autoSpaceDE w:val="0"/>
              <w:autoSpaceDN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执业资格证书</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p>
        </w:tc>
        <w:tc>
          <w:tcPr>
            <w:tcW w:w="1254" w:type="dxa"/>
            <w:tcBorders>
              <w:top w:val="single" w:color="auto" w:sz="6" w:space="0"/>
              <w:left w:val="single" w:color="auto" w:sz="6" w:space="0"/>
              <w:bottom w:val="single" w:color="auto" w:sz="6" w:space="0"/>
              <w:right w:val="single" w:color="auto" w:sz="6" w:space="0"/>
            </w:tcBorders>
            <w:vAlign w:val="center"/>
          </w:tcPr>
          <w:p w14:paraId="6955443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49817425">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69B0B308">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DFD8A39">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70D7F52">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473CA0B">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44C7E23D">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DEBDFEF">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255898B">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3DB46B7">
            <w:pPr>
              <w:autoSpaceDE w:val="0"/>
              <w:autoSpaceDN w:val="0"/>
              <w:spacing w:line="360" w:lineRule="auto"/>
              <w:rPr>
                <w:rFonts w:ascii="宋体" w:hAnsi="宋体" w:cs="宋体"/>
                <w:color w:val="auto"/>
                <w:sz w:val="24"/>
                <w:highlight w:val="none"/>
              </w:rPr>
            </w:pPr>
          </w:p>
        </w:tc>
        <w:tc>
          <w:tcPr>
            <w:tcW w:w="1116" w:type="dxa"/>
            <w:tcBorders>
              <w:top w:val="single" w:color="auto" w:sz="6" w:space="0"/>
              <w:left w:val="single" w:color="auto" w:sz="6" w:space="0"/>
              <w:bottom w:val="single" w:color="auto" w:sz="6" w:space="0"/>
              <w:right w:val="single" w:color="auto" w:sz="6" w:space="0"/>
            </w:tcBorders>
          </w:tcPr>
          <w:p w14:paraId="1BC1B29D">
            <w:pPr>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single" w:color="auto" w:sz="6" w:space="0"/>
              <w:right w:val="single" w:color="auto" w:sz="6" w:space="0"/>
            </w:tcBorders>
          </w:tcPr>
          <w:p w14:paraId="1ACA4504">
            <w:pPr>
              <w:autoSpaceDE w:val="0"/>
              <w:autoSpaceDN w:val="0"/>
              <w:spacing w:line="360" w:lineRule="auto"/>
              <w:rPr>
                <w:rFonts w:ascii="宋体" w:hAnsi="宋体" w:cs="宋体"/>
                <w:color w:val="auto"/>
                <w:sz w:val="24"/>
                <w:highlight w:val="none"/>
              </w:rPr>
            </w:pPr>
          </w:p>
        </w:tc>
      </w:tr>
      <w:tr w14:paraId="4C2ACF90">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44B3DC8A">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FEFA506">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AD3595F">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4977BA9">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AAE11AE">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CCA9BC6">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EF0C373">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F6AC68C">
            <w:pPr>
              <w:autoSpaceDE w:val="0"/>
              <w:autoSpaceDN w:val="0"/>
              <w:spacing w:line="360" w:lineRule="auto"/>
              <w:rPr>
                <w:rFonts w:ascii="宋体" w:hAnsi="宋体" w:cs="宋体"/>
                <w:color w:val="auto"/>
                <w:sz w:val="24"/>
                <w:highlight w:val="none"/>
              </w:rPr>
            </w:pPr>
          </w:p>
        </w:tc>
        <w:tc>
          <w:tcPr>
            <w:tcW w:w="1116" w:type="dxa"/>
            <w:tcBorders>
              <w:top w:val="single" w:color="auto" w:sz="6" w:space="0"/>
              <w:left w:val="single" w:color="auto" w:sz="6" w:space="0"/>
              <w:bottom w:val="single" w:color="auto" w:sz="6" w:space="0"/>
              <w:right w:val="single" w:color="auto" w:sz="6" w:space="0"/>
            </w:tcBorders>
          </w:tcPr>
          <w:p w14:paraId="414BDA59">
            <w:pPr>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single" w:color="auto" w:sz="6" w:space="0"/>
              <w:right w:val="single" w:color="auto" w:sz="6" w:space="0"/>
            </w:tcBorders>
          </w:tcPr>
          <w:p w14:paraId="405F6D7D">
            <w:pPr>
              <w:autoSpaceDE w:val="0"/>
              <w:autoSpaceDN w:val="0"/>
              <w:spacing w:line="360" w:lineRule="auto"/>
              <w:rPr>
                <w:rFonts w:ascii="宋体" w:hAnsi="宋体" w:cs="宋体"/>
                <w:color w:val="auto"/>
                <w:sz w:val="24"/>
                <w:highlight w:val="none"/>
              </w:rPr>
            </w:pPr>
          </w:p>
        </w:tc>
      </w:tr>
    </w:tbl>
    <w:p w14:paraId="02539F9F">
      <w:pPr>
        <w:spacing w:line="360" w:lineRule="auto"/>
        <w:rPr>
          <w:rFonts w:ascii="宋体" w:hAnsi="宋体" w:cs="宋体"/>
          <w:b/>
          <w:bCs/>
          <w:color w:val="auto"/>
          <w:sz w:val="24"/>
          <w:highlight w:val="none"/>
        </w:rPr>
      </w:pPr>
      <w:r>
        <w:rPr>
          <w:rFonts w:hint="eastAsia" w:ascii="宋体" w:hAnsi="宋体" w:cs="宋体"/>
          <w:b/>
          <w:color w:val="auto"/>
          <w:sz w:val="24"/>
          <w:highlight w:val="none"/>
        </w:rPr>
        <w:t>注：供应商可按上述的格式自行编制，须随表提交相应的证书复印件并注明所在响应技术文件页码。</w:t>
      </w:r>
    </w:p>
    <w:p w14:paraId="5FA302FD">
      <w:pPr>
        <w:snapToGrid w:val="0"/>
        <w:spacing w:line="360" w:lineRule="auto"/>
        <w:ind w:firstLine="602" w:firstLineChars="200"/>
        <w:rPr>
          <w:rFonts w:ascii="宋体" w:hAnsi="宋体" w:cs="宋体"/>
          <w:b/>
          <w:color w:val="auto"/>
          <w:sz w:val="30"/>
          <w:szCs w:val="30"/>
          <w:highlight w:val="none"/>
        </w:rPr>
      </w:pPr>
    </w:p>
    <w:p w14:paraId="326DB12B">
      <w:pPr>
        <w:autoSpaceDE w:val="0"/>
        <w:autoSpaceDN w:val="0"/>
        <w:spacing w:line="360" w:lineRule="auto"/>
        <w:ind w:firstLine="6505" w:firstLineChars="2700"/>
        <w:rPr>
          <w:rFonts w:ascii="宋体" w:hAnsi="宋体" w:cs="宋体"/>
          <w:b/>
          <w:bCs/>
          <w:color w:val="auto"/>
          <w:sz w:val="24"/>
          <w:highlight w:val="none"/>
        </w:rPr>
      </w:pPr>
    </w:p>
    <w:p w14:paraId="61C81260">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26E5626">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B65ACAC">
      <w:pPr>
        <w:autoSpaceDE w:val="0"/>
        <w:autoSpaceDN w:val="0"/>
        <w:spacing w:line="360" w:lineRule="auto"/>
        <w:ind w:firstLine="6480" w:firstLineChars="2700"/>
        <w:rPr>
          <w:rFonts w:ascii="宋体" w:hAnsi="宋体" w:cs="宋体"/>
          <w:color w:val="auto"/>
          <w:kern w:val="0"/>
          <w:sz w:val="24"/>
          <w:highlight w:val="none"/>
          <w:lang w:val="zh-CN"/>
        </w:rPr>
      </w:pPr>
    </w:p>
    <w:p w14:paraId="7154520B">
      <w:pPr>
        <w:snapToGrid w:val="0"/>
        <w:spacing w:line="360" w:lineRule="auto"/>
        <w:ind w:firstLine="602" w:firstLineChars="200"/>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八、</w:t>
      </w:r>
      <w:r>
        <w:rPr>
          <w:rFonts w:hint="eastAsia" w:ascii="宋体" w:hAnsi="宋体" w:cs="宋体"/>
          <w:b/>
          <w:color w:val="auto"/>
          <w:sz w:val="30"/>
          <w:szCs w:val="30"/>
          <w:highlight w:val="none"/>
        </w:rPr>
        <w:t>代理服务费承诺书</w:t>
      </w:r>
    </w:p>
    <w:p w14:paraId="3C468F40">
      <w:pPr>
        <w:numPr>
          <w:ilvl w:val="0"/>
          <w:numId w:val="0"/>
        </w:numPr>
        <w:snapToGrid w:val="0"/>
        <w:spacing w:line="360" w:lineRule="auto"/>
        <w:ind w:firstLine="2409" w:firstLineChars="800"/>
        <w:rPr>
          <w:rFonts w:hint="eastAsia" w:ascii="宋体" w:hAnsi="宋体" w:cs="宋体"/>
          <w:b/>
          <w:color w:val="auto"/>
          <w:sz w:val="30"/>
          <w:szCs w:val="30"/>
          <w:highlight w:val="none"/>
        </w:rPr>
      </w:pPr>
      <w:r>
        <w:rPr>
          <w:rFonts w:hint="eastAsia" w:ascii="宋体" w:hAnsi="宋体" w:cs="宋体"/>
          <w:b/>
          <w:color w:val="auto"/>
          <w:sz w:val="30"/>
          <w:szCs w:val="30"/>
          <w:highlight w:val="none"/>
        </w:rPr>
        <w:t>代理服务费承诺书</w:t>
      </w:r>
    </w:p>
    <w:p w14:paraId="5D8C1990">
      <w:pPr>
        <w:snapToGrid w:val="0"/>
        <w:spacing w:before="120" w:beforeLines="50" w:after="50"/>
        <w:jc w:val="center"/>
        <w:rPr>
          <w:rFonts w:hint="eastAsia" w:ascii="宋体" w:hAnsi="宋体"/>
          <w:b/>
          <w:color w:val="auto"/>
          <w:sz w:val="24"/>
          <w:highlight w:val="none"/>
        </w:rPr>
      </w:pPr>
    </w:p>
    <w:p w14:paraId="270C85F7">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r>
        <w:rPr>
          <w:rFonts w:hint="eastAsia" w:ascii="宋体" w:hAnsi="宋体"/>
          <w:color w:val="auto"/>
          <w:sz w:val="24"/>
          <w:highlight w:val="none"/>
        </w:rPr>
        <w:t>：</w:t>
      </w:r>
    </w:p>
    <w:p w14:paraId="116A9DA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29D8C122">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1.我方承诺，若本单位成交，保证在发出成交通知书之日起25日内，按本项目磋商文件的规定标准向贵单位一次性足额支付代理服务费, 在领取成交通知书后，由于被质疑、投诉或者其他原因而导致成交结果改变，我方将放弃对已缴纳的成交服务费追还的一切权利。</w:t>
      </w:r>
    </w:p>
    <w:p w14:paraId="5422D899">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5C56E231">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795F0B11">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7CD58455">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A28EE5A">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4E3DF54D">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002C2D25">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3394F6FF">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（3）在税局登记的地址</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78C603D">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（4）在税局登记的电话</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8112B78">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52E1125">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32473CA">
      <w:pPr>
        <w:spacing w:line="440" w:lineRule="exact"/>
        <w:rPr>
          <w:rFonts w:hint="eastAsia" w:ascii="宋体" w:hAnsi="宋体"/>
          <w:color w:val="auto"/>
          <w:sz w:val="24"/>
          <w:highlight w:val="none"/>
        </w:rPr>
      </w:pPr>
    </w:p>
    <w:p w14:paraId="6932DBFE">
      <w:pPr>
        <w:spacing w:line="440" w:lineRule="exact"/>
        <w:rPr>
          <w:rFonts w:hint="eastAsia" w:ascii="宋体" w:hAnsi="宋体"/>
          <w:color w:val="auto"/>
          <w:sz w:val="24"/>
          <w:highlight w:val="none"/>
        </w:rPr>
      </w:pPr>
    </w:p>
    <w:p w14:paraId="1DE8A481">
      <w:pPr>
        <w:spacing w:line="440" w:lineRule="exact"/>
        <w:rPr>
          <w:rFonts w:hint="eastAsia" w:ascii="宋体" w:hAnsi="宋体"/>
          <w:color w:val="auto"/>
          <w:sz w:val="24"/>
          <w:highlight w:val="none"/>
        </w:rPr>
      </w:pPr>
    </w:p>
    <w:p w14:paraId="384721A7">
      <w:pPr>
        <w:snapToGrid w:val="0"/>
        <w:spacing w:line="360" w:lineRule="auto"/>
        <w:ind w:left="-2" w:leftChars="-1" w:right="-817" w:rightChars="-389" w:firstLine="1920" w:firstLineChars="80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7CC3B378">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37416EBB">
      <w:pPr>
        <w:snapToGrid w:val="0"/>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3DCA8217">
      <w:pPr>
        <w:snapToGrid w:val="0"/>
        <w:spacing w:line="360" w:lineRule="auto"/>
        <w:ind w:firstLine="602" w:firstLineChars="200"/>
        <w:rPr>
          <w:rFonts w:hint="eastAsia" w:ascii="宋体" w:hAnsi="宋体" w:cs="宋体"/>
          <w:b/>
          <w:color w:val="auto"/>
          <w:sz w:val="30"/>
          <w:szCs w:val="30"/>
          <w:highlight w:val="none"/>
        </w:rPr>
      </w:pPr>
    </w:p>
    <w:p w14:paraId="734FBB08">
      <w:pPr>
        <w:numPr>
          <w:ilvl w:val="0"/>
          <w:numId w:val="0"/>
        </w:num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九</w:t>
      </w:r>
      <w:r>
        <w:rPr>
          <w:rFonts w:hint="eastAsia" w:ascii="宋体" w:hAnsi="宋体" w:cs="宋体"/>
          <w:b/>
          <w:color w:val="auto"/>
          <w:sz w:val="30"/>
          <w:szCs w:val="30"/>
          <w:highlight w:val="none"/>
        </w:rPr>
        <w:t>.对应采购需求的服务需求、商务条款提供的其他文件资料；</w:t>
      </w:r>
    </w:p>
    <w:p w14:paraId="12414542">
      <w:pPr>
        <w:numPr>
          <w:ilvl w:val="0"/>
          <w:numId w:val="0"/>
        </w:num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十</w:t>
      </w:r>
      <w:r>
        <w:rPr>
          <w:rFonts w:hint="eastAsia" w:ascii="宋体" w:hAnsi="宋体" w:cs="宋体"/>
          <w:b/>
          <w:color w:val="auto"/>
          <w:sz w:val="30"/>
          <w:szCs w:val="30"/>
          <w:highlight w:val="none"/>
        </w:rPr>
        <w:t>.供应商认为需要提供的其他有关资料。</w:t>
      </w:r>
    </w:p>
    <w:p w14:paraId="1ECDE605">
      <w:pPr>
        <w:autoSpaceDE w:val="0"/>
        <w:autoSpaceDN w:val="0"/>
        <w:spacing w:line="360" w:lineRule="auto"/>
        <w:ind w:firstLine="6505" w:firstLineChars="2700"/>
        <w:rPr>
          <w:rFonts w:ascii="宋体" w:hAnsi="宋体" w:cs="宋体"/>
          <w:b/>
          <w:bCs/>
          <w:color w:val="auto"/>
          <w:sz w:val="24"/>
          <w:highlight w:val="none"/>
        </w:rPr>
      </w:pPr>
    </w:p>
    <w:p w14:paraId="2C9FD35A">
      <w:pPr>
        <w:pStyle w:val="3"/>
        <w:jc w:val="center"/>
        <w:rPr>
          <w:rFonts w:ascii="宋体" w:hAnsi="宋体" w:cs="宋体"/>
          <w:color w:val="auto"/>
          <w:highlight w:val="none"/>
        </w:rPr>
      </w:pPr>
      <w:bookmarkStart w:id="87" w:name="_Toc80205941"/>
      <w:bookmarkStart w:id="88" w:name="_Toc32512"/>
      <w:r>
        <w:rPr>
          <w:rFonts w:hint="eastAsia" w:ascii="宋体" w:hAnsi="宋体" w:cs="宋体"/>
          <w:color w:val="auto"/>
          <w:highlight w:val="none"/>
        </w:rPr>
        <w:t>第四节 报价文件格式</w:t>
      </w:r>
      <w:bookmarkEnd w:id="87"/>
      <w:bookmarkEnd w:id="88"/>
    </w:p>
    <w:p w14:paraId="31806E02">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3B289FB1">
      <w:pPr>
        <w:snapToGrid w:val="0"/>
        <w:spacing w:before="120" w:beforeLines="50" w:after="50"/>
        <w:rPr>
          <w:rFonts w:ascii="宋体" w:hAnsi="宋体" w:cs="宋体"/>
          <w:color w:val="auto"/>
          <w:sz w:val="24"/>
          <w:szCs w:val="20"/>
          <w:highlight w:val="none"/>
        </w:rPr>
      </w:pPr>
    </w:p>
    <w:p w14:paraId="24420DF0">
      <w:pPr>
        <w:snapToGrid w:val="0"/>
        <w:spacing w:before="120" w:beforeLines="50" w:after="50"/>
        <w:rPr>
          <w:rFonts w:ascii="宋体" w:hAnsi="宋体" w:cs="宋体"/>
          <w:color w:val="auto"/>
          <w:sz w:val="24"/>
          <w:szCs w:val="20"/>
          <w:highlight w:val="none"/>
        </w:rPr>
      </w:pPr>
    </w:p>
    <w:p w14:paraId="7712D18C">
      <w:pPr>
        <w:snapToGrid w:val="0"/>
        <w:spacing w:before="120" w:beforeLines="50" w:after="50"/>
        <w:rPr>
          <w:rFonts w:ascii="宋体" w:hAnsi="宋体" w:cs="宋体"/>
          <w:color w:val="auto"/>
          <w:sz w:val="24"/>
          <w:szCs w:val="20"/>
          <w:highlight w:val="none"/>
        </w:rPr>
      </w:pPr>
    </w:p>
    <w:p w14:paraId="75FB0839">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5120630A">
      <w:pPr>
        <w:snapToGrid w:val="0"/>
        <w:spacing w:before="120" w:beforeLines="50" w:after="50"/>
        <w:rPr>
          <w:rFonts w:ascii="宋体" w:hAnsi="宋体" w:cs="宋体"/>
          <w:bCs/>
          <w:color w:val="auto"/>
          <w:sz w:val="24"/>
          <w:szCs w:val="20"/>
          <w:highlight w:val="none"/>
        </w:rPr>
      </w:pPr>
    </w:p>
    <w:p w14:paraId="1FE5DBEC">
      <w:pPr>
        <w:snapToGrid w:val="0"/>
        <w:spacing w:before="120" w:beforeLines="50" w:after="50"/>
        <w:rPr>
          <w:rFonts w:ascii="宋体" w:hAnsi="宋体" w:cs="宋体"/>
          <w:bCs/>
          <w:color w:val="auto"/>
          <w:sz w:val="24"/>
          <w:szCs w:val="20"/>
          <w:highlight w:val="none"/>
        </w:rPr>
      </w:pPr>
    </w:p>
    <w:p w14:paraId="737336FE">
      <w:pPr>
        <w:snapToGrid w:val="0"/>
        <w:spacing w:before="120" w:beforeLines="50" w:after="50"/>
        <w:rPr>
          <w:rFonts w:ascii="宋体" w:hAnsi="宋体" w:cs="宋体"/>
          <w:bCs/>
          <w:color w:val="auto"/>
          <w:sz w:val="24"/>
          <w:szCs w:val="20"/>
          <w:highlight w:val="none"/>
        </w:rPr>
      </w:pPr>
    </w:p>
    <w:p w14:paraId="0ED3DEA3">
      <w:pPr>
        <w:snapToGrid w:val="0"/>
        <w:spacing w:before="120" w:beforeLines="50" w:after="50"/>
        <w:rPr>
          <w:rFonts w:ascii="宋体" w:hAnsi="宋体" w:cs="宋体"/>
          <w:bCs/>
          <w:color w:val="auto"/>
          <w:sz w:val="24"/>
          <w:szCs w:val="20"/>
          <w:highlight w:val="none"/>
        </w:rPr>
      </w:pPr>
    </w:p>
    <w:p w14:paraId="2386CD1E">
      <w:pPr>
        <w:snapToGrid w:val="0"/>
        <w:spacing w:before="120" w:beforeLines="50" w:after="50"/>
        <w:rPr>
          <w:rFonts w:ascii="宋体" w:hAnsi="宋体" w:cs="宋体"/>
          <w:bCs/>
          <w:color w:val="auto"/>
          <w:sz w:val="24"/>
          <w:szCs w:val="20"/>
          <w:highlight w:val="none"/>
        </w:rPr>
      </w:pPr>
    </w:p>
    <w:p w14:paraId="5DD918CD">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89" w:name="PO_3000001868_PM002_9"/>
      <w:r>
        <w:rPr>
          <w:rFonts w:hint="eastAsia" w:ascii="宋体" w:hAnsi="宋体" w:cs="宋体"/>
          <w:bCs/>
          <w:color w:val="auto"/>
          <w:sz w:val="32"/>
          <w:szCs w:val="32"/>
          <w:highlight w:val="none"/>
        </w:rPr>
        <w:t>[项目名称]</w:t>
      </w:r>
      <w:bookmarkEnd w:id="89"/>
    </w:p>
    <w:p w14:paraId="34AC2F45">
      <w:pPr>
        <w:snapToGrid w:val="0"/>
        <w:spacing w:before="120" w:beforeLines="50" w:after="50"/>
        <w:ind w:firstLine="720" w:firstLineChars="225"/>
        <w:rPr>
          <w:rFonts w:ascii="宋体" w:hAnsi="宋体" w:cs="宋体"/>
          <w:bCs/>
          <w:color w:val="auto"/>
          <w:sz w:val="32"/>
          <w:szCs w:val="32"/>
          <w:highlight w:val="none"/>
        </w:rPr>
      </w:pPr>
    </w:p>
    <w:p w14:paraId="5A051E4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90" w:name="PO_3000001868_PM001_9"/>
      <w:r>
        <w:rPr>
          <w:rFonts w:hint="eastAsia" w:ascii="宋体" w:hAnsi="宋体" w:cs="宋体"/>
          <w:bCs/>
          <w:color w:val="auto"/>
          <w:sz w:val="32"/>
          <w:szCs w:val="32"/>
          <w:highlight w:val="none"/>
        </w:rPr>
        <w:t>[项目编号]</w:t>
      </w:r>
      <w:bookmarkEnd w:id="90"/>
    </w:p>
    <w:p w14:paraId="285348D9">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D394EC5">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1DA7F262">
      <w:pPr>
        <w:snapToGrid w:val="0"/>
        <w:spacing w:before="120" w:beforeLines="50" w:after="50"/>
        <w:ind w:firstLine="720" w:firstLineChars="225"/>
        <w:rPr>
          <w:rFonts w:ascii="宋体" w:hAnsi="宋体" w:cs="宋体"/>
          <w:bCs/>
          <w:color w:val="auto"/>
          <w:sz w:val="32"/>
          <w:szCs w:val="32"/>
          <w:highlight w:val="none"/>
        </w:rPr>
      </w:pPr>
    </w:p>
    <w:p w14:paraId="1A8022C0">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CF02938">
      <w:pPr>
        <w:pStyle w:val="8"/>
        <w:snapToGrid w:val="0"/>
        <w:spacing w:before="50" w:after="50"/>
        <w:ind w:firstLine="720" w:firstLineChars="225"/>
        <w:rPr>
          <w:rFonts w:ascii="宋体" w:hAnsi="宋体" w:cs="宋体"/>
          <w:bCs/>
          <w:color w:val="auto"/>
          <w:sz w:val="32"/>
          <w:szCs w:val="32"/>
          <w:highlight w:val="none"/>
        </w:rPr>
      </w:pPr>
    </w:p>
    <w:p w14:paraId="04E52320">
      <w:pPr>
        <w:pStyle w:val="8"/>
        <w:snapToGrid w:val="0"/>
        <w:spacing w:before="50" w:after="50"/>
        <w:ind w:firstLine="720" w:firstLineChars="225"/>
        <w:rPr>
          <w:rFonts w:ascii="宋体" w:hAnsi="宋体" w:cs="宋体"/>
          <w:bCs/>
          <w:color w:val="auto"/>
          <w:sz w:val="32"/>
          <w:szCs w:val="32"/>
          <w:highlight w:val="none"/>
        </w:rPr>
      </w:pPr>
    </w:p>
    <w:p w14:paraId="03DFF8AA">
      <w:pPr>
        <w:pStyle w:val="8"/>
        <w:snapToGrid w:val="0"/>
        <w:spacing w:before="50" w:after="50"/>
        <w:ind w:firstLine="1280" w:firstLineChars="400"/>
        <w:rPr>
          <w:rFonts w:ascii="宋体" w:hAnsi="宋体" w:cs="宋体"/>
          <w:bCs/>
          <w:color w:val="auto"/>
          <w:sz w:val="32"/>
          <w:szCs w:val="32"/>
          <w:highlight w:val="none"/>
        </w:rPr>
      </w:pPr>
    </w:p>
    <w:p w14:paraId="5C9E5771">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17A72703">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53FA7010">
      <w:pPr>
        <w:rPr>
          <w:rFonts w:ascii="宋体" w:hAnsi="宋体" w:cs="宋体"/>
          <w:color w:val="auto"/>
          <w:highlight w:val="none"/>
        </w:rPr>
      </w:pPr>
    </w:p>
    <w:p w14:paraId="61F38A42">
      <w:pPr>
        <w:rPr>
          <w:rFonts w:ascii="宋体" w:hAnsi="宋体" w:cs="宋体"/>
          <w:color w:val="auto"/>
          <w:kern w:val="0"/>
          <w:sz w:val="24"/>
          <w:highlight w:val="none"/>
        </w:rPr>
      </w:pPr>
      <w:r>
        <w:rPr>
          <w:rFonts w:hint="eastAsia" w:ascii="宋体" w:hAnsi="宋体" w:cs="宋体"/>
          <w:color w:val="auto"/>
          <w:kern w:val="0"/>
          <w:sz w:val="24"/>
          <w:highlight w:val="none"/>
        </w:rPr>
        <w:t>一、响应函………………………………………………………（页码）</w:t>
      </w:r>
    </w:p>
    <w:p w14:paraId="1215EB38">
      <w:pPr>
        <w:rPr>
          <w:rFonts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69344531">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三、已标价工程量清单</w:t>
      </w:r>
      <w:r>
        <w:rPr>
          <w:rFonts w:hint="eastAsia" w:ascii="宋体" w:hAnsi="宋体" w:eastAsia="宋体" w:cs="宋体"/>
          <w:color w:val="auto"/>
          <w:kern w:val="0"/>
          <w:sz w:val="24"/>
          <w:highlight w:val="none"/>
        </w:rPr>
        <w:t>………………………………………（页码）</w:t>
      </w:r>
    </w:p>
    <w:p w14:paraId="19914AD9">
      <w:pPr>
        <w:snapToGrid w:val="0"/>
        <w:spacing w:before="120" w:beforeLines="50" w:after="50" w:line="360" w:lineRule="auto"/>
        <w:ind w:left="142" w:firstLine="480" w:firstLineChars="200"/>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275367E0">
      <w:pPr>
        <w:pStyle w:val="15"/>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响应函</w:t>
      </w:r>
    </w:p>
    <w:p w14:paraId="07B09E73">
      <w:pPr>
        <w:pStyle w:val="15"/>
        <w:spacing w:line="360" w:lineRule="auto"/>
        <w:rPr>
          <w:rFonts w:hAnsi="宋体" w:cs="宋体"/>
          <w:color w:val="auto"/>
          <w:szCs w:val="20"/>
          <w:highlight w:val="none"/>
        </w:rPr>
      </w:pPr>
      <w:r>
        <w:rPr>
          <w:rFonts w:hint="eastAsia" w:hAnsi="宋体" w:cs="宋体"/>
          <w:color w:val="auto"/>
          <w:szCs w:val="20"/>
          <w:highlight w:val="none"/>
        </w:rPr>
        <w:t>致：</w:t>
      </w:r>
      <w:r>
        <w:rPr>
          <w:rFonts w:hint="eastAsia" w:hAnsi="宋体" w:cs="宋体"/>
          <w:color w:val="auto"/>
          <w:szCs w:val="20"/>
          <w:highlight w:val="none"/>
          <w:u w:val="single"/>
        </w:rPr>
        <w:t xml:space="preserve"> </w:t>
      </w:r>
      <w:bookmarkStart w:id="91" w:name="PO_3000001868_PM031_4"/>
      <w:r>
        <w:rPr>
          <w:rFonts w:hint="eastAsia" w:hAnsi="宋体" w:cs="宋体"/>
          <w:color w:val="auto"/>
          <w:szCs w:val="20"/>
          <w:highlight w:val="none"/>
          <w:u w:val="single"/>
        </w:rPr>
        <w:t>[采购组织机构]</w:t>
      </w:r>
      <w:bookmarkEnd w:id="91"/>
      <w:r>
        <w:rPr>
          <w:rFonts w:hint="eastAsia" w:hAnsi="宋体" w:cs="宋体"/>
          <w:color w:val="auto"/>
          <w:szCs w:val="20"/>
          <w:highlight w:val="none"/>
          <w:u w:val="single"/>
        </w:rPr>
        <w:t xml:space="preserve"> </w:t>
      </w:r>
    </w:p>
    <w:p w14:paraId="678089CB">
      <w:pPr>
        <w:pStyle w:val="15"/>
        <w:spacing w:line="360" w:lineRule="auto"/>
        <w:ind w:firstLine="400" w:firstLineChars="200"/>
        <w:rPr>
          <w:rFonts w:hAnsi="宋体" w:cs="宋体"/>
          <w:color w:val="auto"/>
          <w:szCs w:val="20"/>
          <w:highlight w:val="none"/>
        </w:rPr>
      </w:pPr>
      <w:r>
        <w:rPr>
          <w:rFonts w:hint="eastAsia" w:hAnsi="宋体" w:cs="宋体"/>
          <w:color w:val="auto"/>
          <w:szCs w:val="20"/>
          <w:highlight w:val="none"/>
        </w:rPr>
        <w:t>我方已仔细阅读了贵方组织的</w:t>
      </w:r>
      <w:r>
        <w:rPr>
          <w:rFonts w:hint="eastAsia" w:hAnsi="宋体" w:cs="宋体"/>
          <w:color w:val="auto"/>
          <w:szCs w:val="20"/>
          <w:highlight w:val="none"/>
          <w:u w:val="single"/>
        </w:rPr>
        <w:t xml:space="preserve"> </w:t>
      </w:r>
      <w:bookmarkStart w:id="92" w:name="PO_3000001868_PM002_10"/>
      <w:r>
        <w:rPr>
          <w:rFonts w:hint="eastAsia" w:hAnsi="宋体" w:cs="宋体"/>
          <w:color w:val="auto"/>
          <w:szCs w:val="20"/>
          <w:highlight w:val="none"/>
          <w:u w:val="single"/>
        </w:rPr>
        <w:t>[项目名称]</w:t>
      </w:r>
      <w:bookmarkEnd w:id="92"/>
      <w:r>
        <w:rPr>
          <w:rFonts w:hint="eastAsia" w:hAnsi="宋体" w:cs="宋体"/>
          <w:color w:val="auto"/>
          <w:szCs w:val="20"/>
          <w:highlight w:val="none"/>
          <w:u w:val="single"/>
        </w:rPr>
        <w:t xml:space="preserve">  </w:t>
      </w:r>
      <w:r>
        <w:rPr>
          <w:rFonts w:hint="eastAsia" w:hAnsi="宋体" w:cs="宋体"/>
          <w:color w:val="auto"/>
          <w:szCs w:val="20"/>
          <w:highlight w:val="none"/>
        </w:rPr>
        <w:t>项目（项目编号：</w:t>
      </w:r>
      <w:r>
        <w:rPr>
          <w:rFonts w:hint="eastAsia" w:hAnsi="宋体" w:cs="宋体"/>
          <w:color w:val="auto"/>
          <w:szCs w:val="20"/>
          <w:highlight w:val="none"/>
          <w:u w:val="single"/>
        </w:rPr>
        <w:t xml:space="preserve">  </w:t>
      </w:r>
      <w:bookmarkStart w:id="93" w:name="PO_3000001868_PM001_10"/>
      <w:r>
        <w:rPr>
          <w:rFonts w:hint="eastAsia" w:hAnsi="宋体" w:cs="宋体"/>
          <w:color w:val="auto"/>
          <w:szCs w:val="20"/>
          <w:highlight w:val="none"/>
          <w:u w:val="single"/>
        </w:rPr>
        <w:t>[项目编号]</w:t>
      </w:r>
      <w:bookmarkEnd w:id="93"/>
      <w:r>
        <w:rPr>
          <w:rFonts w:hint="eastAsia" w:hAnsi="宋体" w:cs="宋体"/>
          <w:color w:val="auto"/>
          <w:szCs w:val="20"/>
          <w:highlight w:val="none"/>
          <w:u w:val="single"/>
        </w:rPr>
        <w:t xml:space="preserve"> </w:t>
      </w:r>
      <w:r>
        <w:rPr>
          <w:rFonts w:hint="eastAsia" w:hAnsi="宋体" w:cs="宋体"/>
          <w:color w:val="auto"/>
          <w:szCs w:val="20"/>
          <w:highlight w:val="none"/>
        </w:rPr>
        <w:t xml:space="preserve">）的竞争性磋商采购文件的全部内容，现正式递交下述文件参加贵方组织的本次政府采购活动： </w:t>
      </w:r>
    </w:p>
    <w:p w14:paraId="5540207E">
      <w:pPr>
        <w:pStyle w:val="15"/>
        <w:spacing w:line="360" w:lineRule="auto"/>
        <w:ind w:firstLine="400" w:firstLineChars="200"/>
        <w:rPr>
          <w:rFonts w:hAnsi="宋体" w:cs="宋体"/>
          <w:color w:val="auto"/>
          <w:szCs w:val="20"/>
          <w:highlight w:val="none"/>
        </w:rPr>
      </w:pPr>
      <w:r>
        <w:rPr>
          <w:rFonts w:hint="eastAsia" w:hAnsi="宋体" w:cs="宋体"/>
          <w:color w:val="auto"/>
          <w:szCs w:val="20"/>
          <w:highlight w:val="none"/>
        </w:rPr>
        <w:t>一、首次报价文件电子版</w:t>
      </w:r>
      <w:r>
        <w:rPr>
          <w:rFonts w:hint="eastAsia" w:hAnsi="宋体" w:cs="宋体"/>
          <w:color w:val="auto"/>
          <w:szCs w:val="20"/>
          <w:highlight w:val="none"/>
          <w:u w:val="single"/>
        </w:rPr>
        <w:t xml:space="preserve">   </w:t>
      </w:r>
      <w:r>
        <w:rPr>
          <w:rFonts w:hint="eastAsia" w:hAnsi="宋体" w:cs="宋体"/>
          <w:color w:val="auto"/>
          <w:szCs w:val="20"/>
          <w:highlight w:val="none"/>
        </w:rPr>
        <w:t>份（包含按“第三章 供应商须知”提交的全部文件）；</w:t>
      </w:r>
    </w:p>
    <w:p w14:paraId="4D035C89">
      <w:pPr>
        <w:pStyle w:val="15"/>
        <w:spacing w:line="360" w:lineRule="auto"/>
        <w:ind w:firstLine="400" w:firstLineChars="200"/>
        <w:rPr>
          <w:rFonts w:hAnsi="宋体" w:cs="宋体"/>
          <w:color w:val="auto"/>
          <w:szCs w:val="20"/>
          <w:highlight w:val="none"/>
        </w:rPr>
      </w:pPr>
      <w:r>
        <w:rPr>
          <w:rFonts w:hint="eastAsia" w:hAnsi="宋体" w:cs="宋体"/>
          <w:color w:val="auto"/>
          <w:szCs w:val="20"/>
          <w:highlight w:val="none"/>
        </w:rPr>
        <w:t>二、技术文件电子版</w:t>
      </w:r>
      <w:r>
        <w:rPr>
          <w:rFonts w:hint="eastAsia" w:hAnsi="宋体" w:cs="宋体"/>
          <w:color w:val="auto"/>
          <w:szCs w:val="20"/>
          <w:highlight w:val="none"/>
          <w:u w:val="single"/>
        </w:rPr>
        <w:t xml:space="preserve">   </w:t>
      </w:r>
      <w:r>
        <w:rPr>
          <w:rFonts w:hint="eastAsia" w:hAnsi="宋体" w:cs="宋体"/>
          <w:color w:val="auto"/>
          <w:szCs w:val="20"/>
          <w:highlight w:val="none"/>
        </w:rPr>
        <w:t>份（包含按“第三章 供应商须知”提交的全部文件）；商务文件电子版</w:t>
      </w:r>
      <w:r>
        <w:rPr>
          <w:rFonts w:hint="eastAsia" w:hAnsi="宋体" w:cs="宋体"/>
          <w:color w:val="auto"/>
          <w:szCs w:val="20"/>
          <w:highlight w:val="none"/>
          <w:u w:val="single"/>
        </w:rPr>
        <w:t xml:space="preserve">   </w:t>
      </w:r>
      <w:r>
        <w:rPr>
          <w:rFonts w:hint="eastAsia" w:hAnsi="宋体" w:cs="宋体"/>
          <w:color w:val="auto"/>
          <w:szCs w:val="20"/>
          <w:highlight w:val="none"/>
        </w:rPr>
        <w:t>份（包含按“第三章 供应商须知”提交的全部文件）；（商务技术文件已合并装订成册）；</w:t>
      </w:r>
    </w:p>
    <w:p w14:paraId="2C0E7845">
      <w:pPr>
        <w:pStyle w:val="15"/>
        <w:spacing w:line="360" w:lineRule="auto"/>
        <w:ind w:firstLine="400" w:firstLineChars="200"/>
        <w:rPr>
          <w:rFonts w:hAnsi="宋体" w:cs="宋体"/>
          <w:color w:val="auto"/>
          <w:szCs w:val="20"/>
          <w:highlight w:val="none"/>
        </w:rPr>
      </w:pPr>
      <w:r>
        <w:rPr>
          <w:rFonts w:hint="eastAsia" w:hAnsi="宋体" w:cs="宋体"/>
          <w:color w:val="auto"/>
          <w:szCs w:val="20"/>
          <w:highlight w:val="none"/>
        </w:rPr>
        <w:t>三、资格证明文件电子版（包含按“第三章供应商须知”提交的全部文件）；</w:t>
      </w:r>
    </w:p>
    <w:p w14:paraId="26466CF0">
      <w:pPr>
        <w:pStyle w:val="15"/>
        <w:spacing w:line="360" w:lineRule="auto"/>
        <w:ind w:firstLine="400" w:firstLineChars="200"/>
        <w:rPr>
          <w:rFonts w:hAnsi="宋体" w:cs="宋体"/>
          <w:color w:val="auto"/>
          <w:szCs w:val="20"/>
          <w:highlight w:val="none"/>
        </w:rPr>
      </w:pPr>
      <w:r>
        <w:rPr>
          <w:rFonts w:hint="eastAsia" w:hAnsi="宋体" w:cs="宋体"/>
          <w:color w:val="auto"/>
          <w:szCs w:val="20"/>
          <w:highlight w:val="none"/>
        </w:rPr>
        <w:t>据此函，签字人兹宣布：</w:t>
      </w:r>
    </w:p>
    <w:p w14:paraId="51947E0E">
      <w:pPr>
        <w:pStyle w:val="15"/>
        <w:spacing w:line="360" w:lineRule="auto"/>
        <w:ind w:firstLine="482"/>
        <w:rPr>
          <w:rFonts w:hint="eastAsia" w:hAnsi="宋体" w:eastAsia="宋体" w:cs="宋体"/>
          <w:color w:val="auto"/>
          <w:szCs w:val="20"/>
          <w:highlight w:val="none"/>
          <w:lang w:eastAsia="zh-CN"/>
        </w:rPr>
      </w:pPr>
      <w:r>
        <w:rPr>
          <w:rFonts w:hint="eastAsia" w:hAnsi="宋体" w:cs="宋体"/>
          <w:color w:val="auto"/>
          <w:szCs w:val="20"/>
          <w:highlight w:val="none"/>
        </w:rPr>
        <w:t>1、我方愿意以</w:t>
      </w:r>
      <w:r>
        <w:rPr>
          <w:rFonts w:hint="eastAsia" w:hAnsi="宋体" w:cs="宋体"/>
          <w:color w:val="auto"/>
          <w:szCs w:val="20"/>
          <w:highlight w:val="none"/>
          <w:u w:val="single"/>
        </w:rPr>
        <w:t xml:space="preserve"> </w:t>
      </w:r>
      <w:r>
        <w:rPr>
          <w:rFonts w:hint="eastAsia" w:hAnsi="宋体" w:cs="宋体"/>
          <w:color w:val="auto"/>
          <w:szCs w:val="20"/>
          <w:highlight w:val="none"/>
          <w:u w:val="single"/>
          <w:lang w:val="en-US" w:eastAsia="zh-CN"/>
        </w:rPr>
        <w:t>人民币</w:t>
      </w:r>
      <w:r>
        <w:rPr>
          <w:rFonts w:hint="eastAsia" w:hAnsi="宋体" w:cs="宋体"/>
          <w:color w:val="auto"/>
          <w:szCs w:val="20"/>
          <w:highlight w:val="none"/>
          <w:u w:val="single"/>
        </w:rPr>
        <w:t xml:space="preserve">             </w:t>
      </w:r>
      <w:r>
        <w:rPr>
          <w:rFonts w:hint="eastAsia" w:hAnsi="宋体" w:cs="宋体"/>
          <w:color w:val="auto"/>
          <w:szCs w:val="20"/>
          <w:highlight w:val="none"/>
          <w:u w:val="single"/>
          <w:lang w:eastAsia="zh-CN"/>
        </w:rPr>
        <w:t>（￥</w:t>
      </w:r>
      <w:r>
        <w:rPr>
          <w:rFonts w:hint="eastAsia" w:hAnsi="宋体" w:cs="宋体"/>
          <w:color w:val="auto"/>
          <w:szCs w:val="20"/>
          <w:highlight w:val="none"/>
          <w:u w:val="single"/>
          <w:lang w:val="en-US" w:eastAsia="zh-CN"/>
        </w:rPr>
        <w:t xml:space="preserve">      ）</w:t>
      </w:r>
      <w:r>
        <w:rPr>
          <w:rFonts w:hint="eastAsia" w:hAnsi="宋体" w:cs="宋体"/>
          <w:color w:val="auto"/>
          <w:szCs w:val="20"/>
          <w:highlight w:val="none"/>
        </w:rPr>
        <w:t>的竞标</w:t>
      </w:r>
      <w:r>
        <w:rPr>
          <w:rFonts w:hint="eastAsia" w:hAnsi="宋体" w:cs="宋体"/>
          <w:color w:val="auto"/>
          <w:szCs w:val="20"/>
          <w:highlight w:val="none"/>
          <w:lang w:val="en-US" w:eastAsia="zh-CN"/>
        </w:rPr>
        <w:t>总</w:t>
      </w:r>
      <w:r>
        <w:rPr>
          <w:rFonts w:hint="eastAsia" w:hAnsi="宋体" w:cs="宋体"/>
          <w:color w:val="auto"/>
          <w:szCs w:val="20"/>
          <w:highlight w:val="none"/>
        </w:rPr>
        <w:t>报价，</w:t>
      </w:r>
      <w:r>
        <w:rPr>
          <w:rFonts w:hint="eastAsia" w:hAnsi="宋体" w:cs="宋体"/>
          <w:color w:val="auto"/>
          <w:highlight w:val="none"/>
          <w:lang w:val="en-US" w:eastAsia="zh-CN"/>
        </w:rPr>
        <w:t>工期</w:t>
      </w:r>
      <w:r>
        <w:rPr>
          <w:rFonts w:hint="eastAsia" w:hAnsi="宋体" w:cs="宋体"/>
          <w:color w:val="auto"/>
          <w:szCs w:val="20"/>
          <w:highlight w:val="none"/>
        </w:rPr>
        <w:t>（无分标时填写）：</w:t>
      </w:r>
      <w:r>
        <w:rPr>
          <w:rFonts w:hint="eastAsia" w:hAnsi="宋体" w:cs="宋体"/>
          <w:color w:val="auto"/>
          <w:szCs w:val="20"/>
          <w:highlight w:val="none"/>
          <w:u w:val="single"/>
        </w:rPr>
        <w:t xml:space="preserve">            </w:t>
      </w:r>
      <w:r>
        <w:rPr>
          <w:rFonts w:hint="eastAsia" w:hAnsi="宋体" w:cs="宋体"/>
          <w:color w:val="auto"/>
          <w:szCs w:val="20"/>
          <w:highlight w:val="none"/>
        </w:rPr>
        <w:t>，</w:t>
      </w:r>
      <w:r>
        <w:rPr>
          <w:rFonts w:hint="eastAsia" w:hAnsi="宋体" w:cs="宋体"/>
          <w:color w:val="auto"/>
          <w:szCs w:val="20"/>
          <w:highlight w:val="none"/>
          <w:lang w:val="en-US" w:eastAsia="zh-CN"/>
        </w:rPr>
        <w:t>工程质量：</w:t>
      </w:r>
      <w:r>
        <w:rPr>
          <w:rFonts w:hint="eastAsia" w:hAnsi="宋体" w:cs="宋体"/>
          <w:color w:val="auto"/>
          <w:szCs w:val="20"/>
          <w:highlight w:val="none"/>
          <w:u w:val="single"/>
          <w:lang w:val="en-US" w:eastAsia="zh-CN"/>
        </w:rPr>
        <w:t xml:space="preserve">    </w:t>
      </w:r>
      <w:r>
        <w:rPr>
          <w:rFonts w:hint="eastAsia" w:hAnsi="宋体" w:cs="宋体"/>
          <w:color w:val="auto"/>
          <w:szCs w:val="20"/>
          <w:highlight w:val="none"/>
          <w:u w:val="none"/>
          <w:lang w:val="en-US" w:eastAsia="zh-CN"/>
        </w:rPr>
        <w:t>，安全目标：</w:t>
      </w:r>
      <w:r>
        <w:rPr>
          <w:rFonts w:hint="eastAsia" w:hAnsi="宋体" w:cs="宋体"/>
          <w:color w:val="auto"/>
          <w:szCs w:val="20"/>
          <w:highlight w:val="none"/>
          <w:u w:val="single"/>
          <w:lang w:val="en-US" w:eastAsia="zh-CN"/>
        </w:rPr>
        <w:t xml:space="preserve">        </w:t>
      </w:r>
      <w:r>
        <w:rPr>
          <w:rFonts w:hint="eastAsia" w:hAnsi="宋体" w:cs="宋体"/>
          <w:color w:val="auto"/>
          <w:szCs w:val="20"/>
          <w:highlight w:val="none"/>
          <w:u w:val="none"/>
          <w:lang w:val="en-US" w:eastAsia="zh-CN"/>
        </w:rPr>
        <w:t>，</w:t>
      </w:r>
      <w:r>
        <w:rPr>
          <w:rFonts w:hint="eastAsia" w:hAnsi="宋体" w:cs="宋体"/>
          <w:color w:val="auto"/>
          <w:szCs w:val="20"/>
          <w:highlight w:val="none"/>
        </w:rPr>
        <w:t>提供本项目竞争性磋商采购文件第二章“服务需求一览表”中相应的采购内容</w:t>
      </w:r>
      <w:r>
        <w:rPr>
          <w:rFonts w:hint="eastAsia" w:hAnsi="宋体" w:cs="宋体"/>
          <w:color w:val="auto"/>
          <w:szCs w:val="20"/>
          <w:highlight w:val="none"/>
          <w:lang w:eastAsia="zh-CN"/>
        </w:rPr>
        <w:t>，</w:t>
      </w:r>
      <w:r>
        <w:rPr>
          <w:rFonts w:hint="eastAsia" w:hAnsi="宋体" w:cs="宋体"/>
          <w:color w:val="auto"/>
          <w:szCs w:val="20"/>
          <w:highlight w:val="none"/>
          <w:lang w:val="en-US" w:eastAsia="zh-CN"/>
        </w:rPr>
        <w:t>并</w:t>
      </w:r>
      <w:r>
        <w:rPr>
          <w:rFonts w:hint="eastAsia" w:hAnsi="宋体" w:cs="宋体"/>
          <w:color w:val="auto"/>
          <w:szCs w:val="20"/>
          <w:highlight w:val="none"/>
          <w:lang w:eastAsia="zh-CN"/>
        </w:rPr>
        <w:t>按合同约定实施和完成承包工程，修补工程中的任何缺陷。</w:t>
      </w:r>
    </w:p>
    <w:p w14:paraId="14B8E16A">
      <w:pPr>
        <w:pStyle w:val="15"/>
        <w:spacing w:line="360" w:lineRule="auto"/>
        <w:ind w:firstLine="482"/>
        <w:rPr>
          <w:rFonts w:hAnsi="宋体" w:cs="宋体"/>
          <w:color w:val="auto"/>
          <w:szCs w:val="20"/>
          <w:highlight w:val="none"/>
        </w:rPr>
      </w:pPr>
      <w:r>
        <w:rPr>
          <w:rFonts w:hint="eastAsia" w:hAnsi="宋体" w:cs="宋体"/>
          <w:color w:val="auto"/>
          <w:szCs w:val="20"/>
          <w:highlight w:val="none"/>
        </w:rPr>
        <w:t>2、我方同意自本项目竞争性磋商采购文件采购公告规定的递交响应文件截止时间起遵循本响应函，并承诺在“第三章 供应商须知”规定的响应有效期内不修改、撤销响应文件。</w:t>
      </w:r>
    </w:p>
    <w:p w14:paraId="5743F63C">
      <w:pPr>
        <w:pStyle w:val="15"/>
        <w:spacing w:line="360" w:lineRule="auto"/>
        <w:ind w:firstLine="482"/>
        <w:rPr>
          <w:rFonts w:hAnsi="宋体" w:cs="宋体"/>
          <w:color w:val="auto"/>
          <w:szCs w:val="20"/>
          <w:highlight w:val="none"/>
        </w:rPr>
      </w:pPr>
      <w:r>
        <w:rPr>
          <w:rFonts w:hint="eastAsia" w:hAnsi="宋体" w:cs="宋体"/>
          <w:color w:val="auto"/>
          <w:szCs w:val="20"/>
          <w:highlight w:val="none"/>
        </w:rPr>
        <w:t>3、我方在此声明，所递交的响应文件及有关资料内容完整、真实和准确。</w:t>
      </w:r>
    </w:p>
    <w:p w14:paraId="2B6FFA51">
      <w:pPr>
        <w:pStyle w:val="15"/>
        <w:spacing w:line="360" w:lineRule="auto"/>
        <w:ind w:firstLine="482"/>
        <w:rPr>
          <w:rFonts w:hAnsi="宋体" w:cs="宋体"/>
          <w:color w:val="auto"/>
          <w:szCs w:val="20"/>
          <w:highlight w:val="none"/>
        </w:rPr>
      </w:pPr>
      <w:r>
        <w:rPr>
          <w:rFonts w:hint="eastAsia" w:hAnsi="宋体" w:cs="宋体"/>
          <w:color w:val="auto"/>
          <w:szCs w:val="20"/>
          <w:highlight w:val="none"/>
        </w:rPr>
        <w:t>4、如本项目采购内容涉及须符合国家强制规定的，我方承诺我方本次竞标均符合国家有关强制规定。</w:t>
      </w:r>
    </w:p>
    <w:p w14:paraId="0FB592AF">
      <w:pPr>
        <w:pStyle w:val="15"/>
        <w:spacing w:line="360" w:lineRule="auto"/>
        <w:ind w:firstLine="482"/>
        <w:rPr>
          <w:rFonts w:hAnsi="宋体" w:cs="宋体"/>
          <w:color w:val="auto"/>
          <w:szCs w:val="20"/>
          <w:highlight w:val="none"/>
        </w:rPr>
      </w:pPr>
      <w:r>
        <w:rPr>
          <w:rFonts w:hint="eastAsia" w:hAnsi="宋体" w:cs="宋体"/>
          <w:color w:val="auto"/>
          <w:szCs w:val="20"/>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0AA515B7">
      <w:pPr>
        <w:pStyle w:val="15"/>
        <w:spacing w:line="360" w:lineRule="auto"/>
        <w:ind w:firstLine="482"/>
        <w:rPr>
          <w:rFonts w:hAnsi="宋体" w:cs="宋体"/>
          <w:color w:val="auto"/>
          <w:szCs w:val="20"/>
          <w:highlight w:val="none"/>
        </w:rPr>
      </w:pPr>
      <w:r>
        <w:rPr>
          <w:rFonts w:hint="eastAsia" w:hAnsi="宋体" w:cs="宋体"/>
          <w:color w:val="auto"/>
          <w:szCs w:val="20"/>
          <w:highlight w:val="none"/>
        </w:rPr>
        <w:t>6、我方已详细审核竞争性磋商采购文件，我方知道必须放弃提出含糊不清或误解问题的权利。</w:t>
      </w:r>
    </w:p>
    <w:p w14:paraId="416F1997">
      <w:pPr>
        <w:pStyle w:val="15"/>
        <w:spacing w:line="360" w:lineRule="auto"/>
        <w:ind w:firstLine="482"/>
        <w:rPr>
          <w:rFonts w:hAnsi="宋体" w:cs="宋体"/>
          <w:color w:val="auto"/>
          <w:szCs w:val="20"/>
          <w:highlight w:val="none"/>
        </w:rPr>
      </w:pPr>
      <w:r>
        <w:rPr>
          <w:rFonts w:hint="eastAsia" w:hAnsi="宋体" w:cs="宋体"/>
          <w:color w:val="auto"/>
          <w:szCs w:val="20"/>
          <w:highlight w:val="none"/>
        </w:rPr>
        <w:t>7、我方承诺满足竞争性磋商采购文件第六章“合同文本”的条款，承担完成合同的责任和义务。</w:t>
      </w:r>
    </w:p>
    <w:p w14:paraId="7474F08C">
      <w:pPr>
        <w:pStyle w:val="15"/>
        <w:spacing w:line="360" w:lineRule="auto"/>
        <w:ind w:firstLine="482"/>
        <w:rPr>
          <w:rFonts w:hAnsi="宋体" w:cs="宋体"/>
          <w:color w:val="auto"/>
          <w:szCs w:val="20"/>
          <w:highlight w:val="none"/>
        </w:rPr>
      </w:pPr>
      <w:r>
        <w:rPr>
          <w:rFonts w:hint="eastAsia" w:hAnsi="宋体" w:cs="宋体"/>
          <w:color w:val="auto"/>
          <w:szCs w:val="20"/>
          <w:highlight w:val="none"/>
        </w:rPr>
        <w:t>8、我方同意应贵方要求提供与本竞标有关的任何数据或资料。若贵方需要，我方愿意提供我方作出的一切承诺的证明材料。</w:t>
      </w:r>
    </w:p>
    <w:p w14:paraId="54F6786A">
      <w:pPr>
        <w:pStyle w:val="15"/>
        <w:spacing w:line="360" w:lineRule="auto"/>
        <w:ind w:firstLine="482"/>
        <w:rPr>
          <w:rFonts w:hAnsi="宋体" w:cs="宋体"/>
          <w:color w:val="auto"/>
          <w:szCs w:val="20"/>
          <w:highlight w:val="none"/>
        </w:rPr>
      </w:pPr>
      <w:r>
        <w:rPr>
          <w:rFonts w:hint="eastAsia" w:hAnsi="宋体" w:cs="宋体"/>
          <w:color w:val="auto"/>
          <w:szCs w:val="20"/>
          <w:highlight w:val="none"/>
        </w:rPr>
        <w:t>9、我方完全理解贵方不一定接受响应报价最低的竞标人为成交供应商的行为。</w:t>
      </w:r>
    </w:p>
    <w:p w14:paraId="4C6323F8">
      <w:pPr>
        <w:pStyle w:val="15"/>
        <w:spacing w:line="360" w:lineRule="auto"/>
        <w:ind w:firstLine="482"/>
        <w:rPr>
          <w:rFonts w:hAnsi="宋体" w:cs="宋体"/>
          <w:color w:val="auto"/>
          <w:szCs w:val="20"/>
          <w:highlight w:val="none"/>
        </w:rPr>
      </w:pPr>
      <w:r>
        <w:rPr>
          <w:rFonts w:hint="eastAsia" w:hAnsi="宋体" w:cs="宋体"/>
          <w:color w:val="auto"/>
          <w:szCs w:val="20"/>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91CA98D">
      <w:pPr>
        <w:pStyle w:val="15"/>
        <w:numPr>
          <w:ilvl w:val="0"/>
          <w:numId w:val="3"/>
        </w:numPr>
        <w:tabs>
          <w:tab w:val="left" w:pos="945"/>
        </w:tabs>
        <w:spacing w:line="360" w:lineRule="auto"/>
        <w:rPr>
          <w:rFonts w:hAnsi="宋体" w:cs="宋体"/>
          <w:color w:val="auto"/>
          <w:szCs w:val="20"/>
          <w:highlight w:val="none"/>
        </w:rPr>
      </w:pPr>
      <w:r>
        <w:rPr>
          <w:rFonts w:hint="eastAsia" w:hAnsi="宋体" w:cs="宋体"/>
          <w:color w:val="auto"/>
          <w:szCs w:val="20"/>
          <w:highlight w:val="none"/>
        </w:rPr>
        <w:t>提供虚假材料谋取中标、成交的；</w:t>
      </w:r>
    </w:p>
    <w:p w14:paraId="58B4DB06">
      <w:pPr>
        <w:pStyle w:val="15"/>
        <w:numPr>
          <w:ilvl w:val="0"/>
          <w:numId w:val="3"/>
        </w:numPr>
        <w:tabs>
          <w:tab w:val="left" w:pos="945"/>
        </w:tabs>
        <w:spacing w:line="360" w:lineRule="auto"/>
        <w:rPr>
          <w:rFonts w:hAnsi="宋体" w:cs="宋体"/>
          <w:color w:val="auto"/>
          <w:szCs w:val="20"/>
          <w:highlight w:val="none"/>
        </w:rPr>
      </w:pPr>
      <w:r>
        <w:rPr>
          <w:rFonts w:hint="eastAsia" w:hAnsi="宋体" w:cs="宋体"/>
          <w:color w:val="auto"/>
          <w:szCs w:val="20"/>
          <w:highlight w:val="none"/>
        </w:rPr>
        <w:t>采取不正当手段诋毁、排挤其他供应商的；</w:t>
      </w:r>
    </w:p>
    <w:p w14:paraId="4042A0D2">
      <w:pPr>
        <w:pStyle w:val="15"/>
        <w:numPr>
          <w:ilvl w:val="0"/>
          <w:numId w:val="3"/>
        </w:numPr>
        <w:tabs>
          <w:tab w:val="left" w:pos="945"/>
        </w:tabs>
        <w:spacing w:line="360" w:lineRule="auto"/>
        <w:rPr>
          <w:rFonts w:hAnsi="宋体" w:cs="宋体"/>
          <w:color w:val="auto"/>
          <w:szCs w:val="20"/>
          <w:highlight w:val="none"/>
        </w:rPr>
      </w:pPr>
      <w:r>
        <w:rPr>
          <w:rFonts w:hint="eastAsia" w:hAnsi="宋体" w:cs="宋体"/>
          <w:color w:val="auto"/>
          <w:szCs w:val="20"/>
          <w:highlight w:val="none"/>
        </w:rPr>
        <w:t>与采购人、其他供应商或者采购代理机构恶意串通的；</w:t>
      </w:r>
    </w:p>
    <w:p w14:paraId="10B95B00">
      <w:pPr>
        <w:pStyle w:val="15"/>
        <w:numPr>
          <w:ilvl w:val="0"/>
          <w:numId w:val="3"/>
        </w:numPr>
        <w:tabs>
          <w:tab w:val="left" w:pos="945"/>
        </w:tabs>
        <w:spacing w:line="360" w:lineRule="auto"/>
        <w:rPr>
          <w:rFonts w:hAnsi="宋体" w:cs="宋体"/>
          <w:color w:val="auto"/>
          <w:szCs w:val="20"/>
          <w:highlight w:val="none"/>
        </w:rPr>
      </w:pPr>
      <w:r>
        <w:rPr>
          <w:rFonts w:hint="eastAsia" w:hAnsi="宋体" w:cs="宋体"/>
          <w:color w:val="auto"/>
          <w:szCs w:val="20"/>
          <w:highlight w:val="none"/>
        </w:rPr>
        <w:t>向采购人、采购代理机构行贿或者提供其他不正当利益的；</w:t>
      </w:r>
    </w:p>
    <w:p w14:paraId="1C67007F">
      <w:pPr>
        <w:pStyle w:val="15"/>
        <w:numPr>
          <w:ilvl w:val="0"/>
          <w:numId w:val="3"/>
        </w:numPr>
        <w:tabs>
          <w:tab w:val="left" w:pos="945"/>
        </w:tabs>
        <w:spacing w:line="360" w:lineRule="auto"/>
        <w:rPr>
          <w:rFonts w:hAnsi="宋体" w:cs="宋体"/>
          <w:color w:val="auto"/>
          <w:szCs w:val="20"/>
          <w:highlight w:val="none"/>
        </w:rPr>
      </w:pPr>
      <w:r>
        <w:rPr>
          <w:rFonts w:hint="eastAsia" w:hAnsi="宋体" w:cs="宋体"/>
          <w:color w:val="auto"/>
          <w:szCs w:val="20"/>
          <w:highlight w:val="none"/>
        </w:rPr>
        <w:t>在采购过程中与采购人进行协商谈判的；</w:t>
      </w:r>
    </w:p>
    <w:p w14:paraId="1BA5889C">
      <w:pPr>
        <w:pStyle w:val="15"/>
        <w:numPr>
          <w:ilvl w:val="0"/>
          <w:numId w:val="3"/>
        </w:numPr>
        <w:tabs>
          <w:tab w:val="left" w:pos="945"/>
        </w:tabs>
        <w:spacing w:line="360" w:lineRule="auto"/>
        <w:rPr>
          <w:rFonts w:hAnsi="宋体" w:cs="宋体"/>
          <w:color w:val="auto"/>
          <w:szCs w:val="20"/>
          <w:highlight w:val="none"/>
        </w:rPr>
      </w:pPr>
      <w:r>
        <w:rPr>
          <w:rFonts w:hint="eastAsia" w:hAnsi="宋体" w:cs="宋体"/>
          <w:color w:val="auto"/>
          <w:szCs w:val="20"/>
          <w:highlight w:val="none"/>
        </w:rPr>
        <w:t>拒绝有关部门监督检查或提供虚假情况的。</w:t>
      </w:r>
    </w:p>
    <w:p w14:paraId="29957F1B">
      <w:pPr>
        <w:pStyle w:val="15"/>
        <w:spacing w:line="360" w:lineRule="auto"/>
        <w:ind w:firstLine="420"/>
        <w:rPr>
          <w:rFonts w:hAnsi="宋体" w:cs="宋体"/>
          <w:color w:val="auto"/>
          <w:szCs w:val="20"/>
          <w:highlight w:val="none"/>
        </w:rPr>
      </w:pPr>
      <w:r>
        <w:rPr>
          <w:rFonts w:hint="eastAsia" w:hAnsi="宋体" w:cs="宋体"/>
          <w:color w:val="auto"/>
          <w:szCs w:val="20"/>
          <w:highlight w:val="none"/>
        </w:rPr>
        <w:t>11.与本磋商有关的一切正式往来信函请寄：</w:t>
      </w:r>
    </w:p>
    <w:p w14:paraId="74A41332">
      <w:pPr>
        <w:pStyle w:val="15"/>
        <w:spacing w:line="360" w:lineRule="auto"/>
        <w:ind w:firstLine="420"/>
        <w:rPr>
          <w:rFonts w:hAnsi="宋体" w:cs="宋体"/>
          <w:color w:val="auto"/>
          <w:szCs w:val="20"/>
          <w:highlight w:val="none"/>
        </w:rPr>
      </w:pPr>
      <w:r>
        <w:rPr>
          <w:rFonts w:hint="eastAsia" w:hAnsi="宋体" w:cs="宋体"/>
          <w:color w:val="auto"/>
          <w:szCs w:val="20"/>
          <w:highlight w:val="none"/>
        </w:rPr>
        <w:t>地址：</w:t>
      </w:r>
      <w:r>
        <w:rPr>
          <w:rFonts w:hint="eastAsia" w:hAnsi="宋体" w:cs="宋体"/>
          <w:color w:val="auto"/>
          <w:szCs w:val="20"/>
          <w:highlight w:val="none"/>
          <w:u w:val="single"/>
        </w:rPr>
        <w:t xml:space="preserve">                                                        </w:t>
      </w:r>
      <w:r>
        <w:rPr>
          <w:rFonts w:hint="eastAsia" w:hAnsi="宋体" w:cs="宋体"/>
          <w:color w:val="auto"/>
          <w:szCs w:val="20"/>
          <w:highlight w:val="none"/>
        </w:rPr>
        <w:t xml:space="preserve"> </w:t>
      </w:r>
    </w:p>
    <w:p w14:paraId="1AFBF7C8">
      <w:pPr>
        <w:pStyle w:val="15"/>
        <w:spacing w:line="360" w:lineRule="auto"/>
        <w:ind w:firstLine="420"/>
        <w:rPr>
          <w:rFonts w:hAnsi="宋体" w:cs="宋体"/>
          <w:color w:val="auto"/>
          <w:szCs w:val="20"/>
          <w:highlight w:val="none"/>
          <w:u w:val="single"/>
        </w:rPr>
      </w:pPr>
      <w:r>
        <w:rPr>
          <w:rFonts w:hint="eastAsia" w:hAnsi="宋体" w:cs="宋体"/>
          <w:color w:val="auto"/>
          <w:szCs w:val="20"/>
          <w:highlight w:val="none"/>
        </w:rPr>
        <w:t>电话：</w:t>
      </w:r>
      <w:r>
        <w:rPr>
          <w:rFonts w:hint="eastAsia" w:hAnsi="宋体" w:cs="宋体"/>
          <w:color w:val="auto"/>
          <w:szCs w:val="20"/>
          <w:highlight w:val="none"/>
          <w:u w:val="single"/>
        </w:rPr>
        <w:t xml:space="preserve">                                      　　　　　　　　　</w:t>
      </w:r>
    </w:p>
    <w:p w14:paraId="63D70748">
      <w:pPr>
        <w:pStyle w:val="15"/>
        <w:spacing w:line="360" w:lineRule="auto"/>
        <w:ind w:firstLine="420"/>
        <w:rPr>
          <w:rFonts w:hAnsi="宋体" w:cs="宋体"/>
          <w:color w:val="auto"/>
          <w:szCs w:val="20"/>
          <w:highlight w:val="none"/>
        </w:rPr>
      </w:pPr>
      <w:r>
        <w:rPr>
          <w:rFonts w:hint="eastAsia" w:hAnsi="宋体" w:cs="宋体"/>
          <w:color w:val="auto"/>
          <w:szCs w:val="20"/>
          <w:highlight w:val="none"/>
        </w:rPr>
        <w:t>传真：</w:t>
      </w:r>
      <w:r>
        <w:rPr>
          <w:rFonts w:hint="eastAsia" w:hAnsi="宋体" w:cs="宋体"/>
          <w:color w:val="auto"/>
          <w:szCs w:val="20"/>
          <w:highlight w:val="none"/>
          <w:u w:val="single"/>
        </w:rPr>
        <w:t>　　　　　　　　　　　　　　　　　　　　　　　　　　　　</w:t>
      </w:r>
    </w:p>
    <w:p w14:paraId="757FF7C3">
      <w:pPr>
        <w:pStyle w:val="15"/>
        <w:spacing w:line="360" w:lineRule="auto"/>
        <w:ind w:firstLine="420"/>
        <w:rPr>
          <w:rFonts w:hAnsi="宋体" w:cs="宋体"/>
          <w:color w:val="auto"/>
          <w:szCs w:val="20"/>
          <w:highlight w:val="none"/>
          <w:u w:val="single"/>
        </w:rPr>
      </w:pPr>
      <w:r>
        <w:rPr>
          <w:rFonts w:hint="eastAsia" w:hAnsi="宋体" w:cs="宋体"/>
          <w:color w:val="auto"/>
          <w:szCs w:val="20"/>
          <w:highlight w:val="none"/>
        </w:rPr>
        <w:t>邮政编码：</w:t>
      </w:r>
      <w:r>
        <w:rPr>
          <w:rFonts w:hint="eastAsia" w:hAnsi="宋体" w:cs="宋体"/>
          <w:color w:val="auto"/>
          <w:szCs w:val="20"/>
          <w:highlight w:val="none"/>
          <w:u w:val="single"/>
        </w:rPr>
        <w:t xml:space="preserve">                                                    </w:t>
      </w:r>
    </w:p>
    <w:p w14:paraId="3C617004">
      <w:pPr>
        <w:pStyle w:val="15"/>
        <w:spacing w:line="360" w:lineRule="auto"/>
        <w:ind w:firstLine="420"/>
        <w:rPr>
          <w:rFonts w:hAnsi="宋体" w:cs="宋体"/>
          <w:color w:val="auto"/>
          <w:szCs w:val="20"/>
          <w:highlight w:val="none"/>
          <w:u w:val="single"/>
        </w:rPr>
      </w:pPr>
      <w:r>
        <w:rPr>
          <w:rFonts w:hint="eastAsia" w:hAnsi="宋体" w:cs="宋体"/>
          <w:color w:val="auto"/>
          <w:szCs w:val="20"/>
          <w:highlight w:val="none"/>
        </w:rPr>
        <w:t>开户名称：</w:t>
      </w:r>
      <w:r>
        <w:rPr>
          <w:rFonts w:hint="eastAsia" w:hAnsi="宋体" w:cs="宋体"/>
          <w:color w:val="auto"/>
          <w:szCs w:val="20"/>
          <w:highlight w:val="none"/>
          <w:u w:val="single"/>
        </w:rPr>
        <w:t xml:space="preserve">                                                    </w:t>
      </w:r>
    </w:p>
    <w:p w14:paraId="2FD11976">
      <w:pPr>
        <w:pStyle w:val="15"/>
        <w:spacing w:line="360" w:lineRule="auto"/>
        <w:ind w:firstLine="420"/>
        <w:rPr>
          <w:rFonts w:hAnsi="宋体" w:cs="宋体"/>
          <w:color w:val="auto"/>
          <w:szCs w:val="20"/>
          <w:highlight w:val="none"/>
          <w:u w:val="single"/>
        </w:rPr>
      </w:pPr>
      <w:r>
        <w:rPr>
          <w:rFonts w:hint="eastAsia" w:hAnsi="宋体" w:cs="宋体"/>
          <w:color w:val="auto"/>
          <w:szCs w:val="20"/>
          <w:highlight w:val="none"/>
        </w:rPr>
        <w:t>开户银行：</w:t>
      </w:r>
      <w:r>
        <w:rPr>
          <w:rFonts w:hint="eastAsia" w:hAnsi="宋体" w:cs="宋体"/>
          <w:color w:val="auto"/>
          <w:szCs w:val="20"/>
          <w:highlight w:val="none"/>
          <w:u w:val="single"/>
        </w:rPr>
        <w:t xml:space="preserve">                                                    </w:t>
      </w:r>
    </w:p>
    <w:p w14:paraId="01A5E678">
      <w:pPr>
        <w:pStyle w:val="15"/>
        <w:spacing w:line="360" w:lineRule="auto"/>
        <w:ind w:firstLine="420"/>
        <w:rPr>
          <w:rFonts w:hAnsi="宋体" w:cs="宋体"/>
          <w:color w:val="auto"/>
          <w:szCs w:val="20"/>
          <w:highlight w:val="none"/>
          <w:u w:val="single"/>
        </w:rPr>
      </w:pPr>
      <w:r>
        <w:rPr>
          <w:rFonts w:hint="eastAsia" w:hAnsi="宋体" w:cs="宋体"/>
          <w:color w:val="auto"/>
          <w:szCs w:val="20"/>
          <w:highlight w:val="none"/>
        </w:rPr>
        <w:t>银行账号：</w:t>
      </w:r>
      <w:r>
        <w:rPr>
          <w:rFonts w:hint="eastAsia" w:hAnsi="宋体" w:cs="宋体"/>
          <w:color w:val="auto"/>
          <w:szCs w:val="20"/>
          <w:highlight w:val="none"/>
          <w:u w:val="single"/>
        </w:rPr>
        <w:t xml:space="preserve">                                                    </w:t>
      </w:r>
    </w:p>
    <w:p w14:paraId="57792856">
      <w:pPr>
        <w:pStyle w:val="13"/>
        <w:tabs>
          <w:tab w:val="left" w:pos="939"/>
        </w:tabs>
        <w:spacing w:line="360" w:lineRule="auto"/>
        <w:ind w:left="141" w:leftChars="67" w:firstLine="300" w:firstLineChars="150"/>
        <w:rPr>
          <w:rFonts w:ascii="宋体" w:hAnsi="宋体" w:cs="宋体"/>
          <w:color w:val="auto"/>
          <w:sz w:val="20"/>
          <w:szCs w:val="20"/>
          <w:highlight w:val="none"/>
        </w:rPr>
      </w:pPr>
      <w:r>
        <w:rPr>
          <w:rFonts w:hint="eastAsia" w:ascii="宋体" w:hAnsi="宋体" w:cs="宋体"/>
          <w:color w:val="auto"/>
          <w:sz w:val="20"/>
          <w:szCs w:val="20"/>
          <w:highlight w:val="none"/>
        </w:rPr>
        <w:t>特此承诺。</w:t>
      </w:r>
    </w:p>
    <w:p w14:paraId="72891655">
      <w:pPr>
        <w:spacing w:line="360" w:lineRule="auto"/>
        <w:jc w:val="left"/>
        <w:rPr>
          <w:rFonts w:ascii="宋体" w:hAnsi="宋体" w:cs="宋体"/>
          <w:color w:val="auto"/>
          <w:szCs w:val="21"/>
          <w:highlight w:val="none"/>
        </w:rPr>
      </w:pPr>
    </w:p>
    <w:p w14:paraId="189F3616">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7EB2622">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2965081">
      <w:pPr>
        <w:widowControl/>
        <w:spacing w:line="360" w:lineRule="auto"/>
        <w:jc w:val="left"/>
        <w:rPr>
          <w:rFonts w:ascii="宋体" w:hAnsi="宋体" w:cs="宋体"/>
          <w:color w:val="auto"/>
          <w:kern w:val="0"/>
          <w:sz w:val="24"/>
          <w:highlight w:val="none"/>
          <w:lang w:val="zh-CN"/>
        </w:rPr>
        <w:sectPr>
          <w:pgSz w:w="11910" w:h="16840"/>
          <w:pgMar w:top="1340" w:right="1500" w:bottom="280" w:left="1680" w:header="720" w:footer="720" w:gutter="0"/>
          <w:cols w:space="720" w:num="1"/>
        </w:sectPr>
      </w:pPr>
    </w:p>
    <w:p w14:paraId="0103A7D6">
      <w:pPr>
        <w:autoSpaceDE w:val="0"/>
        <w:autoSpaceDN w:val="0"/>
        <w:spacing w:line="360" w:lineRule="auto"/>
        <w:ind w:firstLine="6480" w:firstLineChars="2700"/>
        <w:rPr>
          <w:rFonts w:ascii="宋体" w:hAnsi="宋体" w:cs="宋体"/>
          <w:color w:val="auto"/>
          <w:kern w:val="0"/>
          <w:sz w:val="24"/>
          <w:highlight w:val="none"/>
          <w:lang w:val="zh-CN"/>
        </w:rPr>
      </w:pPr>
    </w:p>
    <w:p w14:paraId="4AC7D38B">
      <w:pPr>
        <w:spacing w:line="52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二、响应报价表</w:t>
      </w:r>
    </w:p>
    <w:p w14:paraId="72FE5A16">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bookmarkStart w:id="94" w:name="PO_3000001868_PM002_11"/>
      <w:r>
        <w:rPr>
          <w:rFonts w:hint="eastAsia" w:ascii="宋体" w:hAnsi="宋体" w:cs="宋体"/>
          <w:color w:val="auto"/>
          <w:sz w:val="24"/>
          <w:highlight w:val="none"/>
          <w:u w:val="single"/>
        </w:rPr>
        <w:t>[项目名称]</w:t>
      </w:r>
      <w:bookmarkEnd w:id="94"/>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bookmarkStart w:id="95" w:name="PO_3000001868_PM001_11"/>
      <w:r>
        <w:rPr>
          <w:rFonts w:hint="eastAsia" w:ascii="宋体" w:hAnsi="宋体" w:cs="宋体"/>
          <w:color w:val="auto"/>
          <w:sz w:val="24"/>
          <w:highlight w:val="none"/>
          <w:u w:val="single"/>
        </w:rPr>
        <w:t>[项目编号]</w:t>
      </w:r>
      <w:bookmarkEnd w:id="95"/>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F17DFA7">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6"/>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89"/>
        <w:gridCol w:w="1290"/>
        <w:gridCol w:w="1154"/>
        <w:gridCol w:w="957"/>
      </w:tblGrid>
      <w:tr w14:paraId="4820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1E403B5D">
            <w:pPr>
              <w:rPr>
                <w:rFonts w:ascii="宋体" w:hAnsi="宋体" w:cs="宋体"/>
                <w:color w:val="auto"/>
                <w:szCs w:val="22"/>
                <w:highlight w:val="none"/>
              </w:rPr>
            </w:pPr>
            <w:r>
              <w:rPr>
                <w:rFonts w:hint="eastAsia" w:ascii="宋体" w:hAnsi="宋体" w:cs="宋体"/>
                <w:color w:val="auto"/>
                <w:szCs w:val="22"/>
                <w:highlight w:val="none"/>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1A730D58">
            <w:pPr>
              <w:rPr>
                <w:rFonts w:ascii="宋体" w:hAnsi="宋体" w:cs="宋体"/>
                <w:color w:val="auto"/>
                <w:szCs w:val="22"/>
                <w:highlight w:val="none"/>
              </w:rPr>
            </w:pPr>
            <w:r>
              <w:rPr>
                <w:rFonts w:hint="eastAsia" w:ascii="宋体" w:hAnsi="宋体" w:cs="宋体"/>
                <w:color w:val="auto"/>
                <w:szCs w:val="22"/>
                <w:highlight w:val="none"/>
                <w:lang w:val="en-US" w:eastAsia="zh-CN"/>
              </w:rPr>
              <w:t>工程</w:t>
            </w:r>
            <w:r>
              <w:rPr>
                <w:rFonts w:hint="eastAsia" w:ascii="宋体" w:hAnsi="宋体" w:cs="宋体"/>
                <w:color w:val="auto"/>
                <w:szCs w:val="22"/>
                <w:highlight w:val="none"/>
              </w:rPr>
              <w:t>名称</w:t>
            </w:r>
          </w:p>
        </w:tc>
        <w:tc>
          <w:tcPr>
            <w:tcW w:w="2063" w:type="dxa"/>
            <w:tcBorders>
              <w:top w:val="single" w:color="auto" w:sz="4" w:space="0"/>
              <w:left w:val="single" w:color="auto" w:sz="4" w:space="0"/>
              <w:bottom w:val="single" w:color="auto" w:sz="4" w:space="0"/>
              <w:right w:val="single" w:color="auto" w:sz="4" w:space="0"/>
            </w:tcBorders>
            <w:vAlign w:val="center"/>
          </w:tcPr>
          <w:p w14:paraId="3C0C6B38">
            <w:pPr>
              <w:jc w:val="center"/>
              <w:rPr>
                <w:rFonts w:ascii="宋体" w:hAnsi="宋体" w:cs="宋体"/>
                <w:color w:val="auto"/>
                <w:szCs w:val="22"/>
                <w:highlight w:val="none"/>
              </w:rPr>
            </w:pPr>
            <w:r>
              <w:rPr>
                <w:rFonts w:hint="eastAsia" w:ascii="宋体" w:hAnsi="宋体" w:cs="宋体"/>
                <w:color w:val="auto"/>
                <w:szCs w:val="22"/>
                <w:highlight w:val="none"/>
                <w:lang w:val="en-US" w:eastAsia="zh-CN"/>
              </w:rPr>
              <w:t>工程</w:t>
            </w:r>
            <w:r>
              <w:rPr>
                <w:rFonts w:hint="eastAsia" w:ascii="宋体" w:hAnsi="宋体" w:cs="宋体"/>
                <w:color w:val="auto"/>
                <w:szCs w:val="22"/>
                <w:highlight w:val="none"/>
              </w:rPr>
              <w:t>内容</w:t>
            </w:r>
          </w:p>
        </w:tc>
        <w:tc>
          <w:tcPr>
            <w:tcW w:w="1080" w:type="dxa"/>
            <w:tcBorders>
              <w:top w:val="single" w:color="auto" w:sz="4" w:space="0"/>
              <w:left w:val="single" w:color="auto" w:sz="4" w:space="0"/>
              <w:bottom w:val="single" w:color="auto" w:sz="4" w:space="0"/>
              <w:right w:val="single" w:color="auto" w:sz="4" w:space="0"/>
            </w:tcBorders>
            <w:vAlign w:val="center"/>
          </w:tcPr>
          <w:p w14:paraId="1EE108D0">
            <w:pPr>
              <w:jc w:val="center"/>
              <w:rPr>
                <w:rFonts w:ascii="宋体" w:hAnsi="宋体" w:cs="宋体"/>
                <w:color w:val="auto"/>
                <w:szCs w:val="22"/>
                <w:highlight w:val="none"/>
              </w:rPr>
            </w:pPr>
            <w:r>
              <w:rPr>
                <w:rFonts w:hint="eastAsia" w:ascii="宋体" w:hAnsi="宋体" w:cs="宋体"/>
                <w:color w:val="auto"/>
                <w:szCs w:val="22"/>
                <w:highlight w:val="none"/>
              </w:rPr>
              <w:t>数量</w:t>
            </w:r>
          </w:p>
        </w:tc>
        <w:tc>
          <w:tcPr>
            <w:tcW w:w="1289" w:type="dxa"/>
            <w:tcBorders>
              <w:top w:val="single" w:color="auto" w:sz="4" w:space="0"/>
              <w:left w:val="single" w:color="auto" w:sz="4" w:space="0"/>
              <w:bottom w:val="single" w:color="auto" w:sz="4" w:space="0"/>
              <w:right w:val="single" w:color="auto" w:sz="4" w:space="0"/>
            </w:tcBorders>
            <w:vAlign w:val="center"/>
          </w:tcPr>
          <w:p w14:paraId="46708BFE">
            <w:pPr>
              <w:jc w:val="cente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单价（元）</w:t>
            </w:r>
          </w:p>
        </w:tc>
        <w:tc>
          <w:tcPr>
            <w:tcW w:w="1290" w:type="dxa"/>
            <w:tcBorders>
              <w:top w:val="single" w:color="auto" w:sz="4" w:space="0"/>
              <w:left w:val="single" w:color="auto" w:sz="4" w:space="0"/>
              <w:bottom w:val="single" w:color="auto" w:sz="4" w:space="0"/>
              <w:right w:val="single" w:color="auto" w:sz="4" w:space="0"/>
            </w:tcBorders>
            <w:vAlign w:val="center"/>
          </w:tcPr>
          <w:p w14:paraId="2D262965">
            <w:pPr>
              <w:jc w:val="center"/>
              <w:rPr>
                <w:rFonts w:hint="eastAsia" w:ascii="宋体" w:hAnsi="宋体" w:cs="宋体"/>
                <w:color w:val="auto"/>
                <w:szCs w:val="22"/>
                <w:highlight w:val="none"/>
              </w:rPr>
            </w:pPr>
            <w:r>
              <w:rPr>
                <w:rFonts w:hint="eastAsia" w:ascii="宋体" w:hAnsi="宋体" w:cs="宋体"/>
                <w:color w:val="auto"/>
                <w:szCs w:val="22"/>
                <w:highlight w:val="none"/>
              </w:rPr>
              <w:t>磋商</w:t>
            </w:r>
            <w:r>
              <w:rPr>
                <w:rFonts w:hint="eastAsia" w:ascii="宋体" w:hAnsi="宋体" w:cs="宋体"/>
                <w:color w:val="auto"/>
                <w:szCs w:val="22"/>
                <w:highlight w:val="none"/>
                <w:lang w:val="en-US" w:eastAsia="zh-CN"/>
              </w:rPr>
              <w:t>总</w:t>
            </w:r>
            <w:r>
              <w:rPr>
                <w:rFonts w:hint="eastAsia" w:ascii="宋体" w:hAnsi="宋体" w:cs="宋体"/>
                <w:color w:val="auto"/>
                <w:szCs w:val="22"/>
                <w:highlight w:val="none"/>
              </w:rPr>
              <w:t>报价</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元）</w:t>
            </w:r>
          </w:p>
        </w:tc>
        <w:tc>
          <w:tcPr>
            <w:tcW w:w="1154" w:type="dxa"/>
            <w:tcBorders>
              <w:top w:val="single" w:color="auto" w:sz="4" w:space="0"/>
              <w:left w:val="single" w:color="auto" w:sz="4" w:space="0"/>
              <w:bottom w:val="single" w:color="auto" w:sz="4" w:space="0"/>
              <w:right w:val="single" w:color="auto" w:sz="4" w:space="0"/>
            </w:tcBorders>
            <w:vAlign w:val="center"/>
          </w:tcPr>
          <w:p w14:paraId="0A2E6291">
            <w:pPr>
              <w:spacing w:line="360" w:lineRule="auto"/>
              <w:jc w:val="center"/>
              <w:rPr>
                <w:rFonts w:hint="eastAsia" w:ascii="宋体" w:hAnsi="宋体" w:eastAsia="宋体" w:cs="宋体"/>
                <w:color w:val="auto"/>
                <w:szCs w:val="22"/>
                <w:highlight w:val="none"/>
                <w:lang w:eastAsia="zh-CN"/>
              </w:rPr>
            </w:pPr>
            <w:r>
              <w:rPr>
                <w:rFonts w:hint="eastAsia" w:ascii="宋体" w:hAnsi="宋体" w:cs="宋体"/>
                <w:color w:val="auto"/>
                <w:szCs w:val="21"/>
                <w:highlight w:val="none"/>
                <w:lang w:val="en-US" w:eastAsia="zh-CN"/>
              </w:rPr>
              <w:t>工期</w:t>
            </w:r>
          </w:p>
        </w:tc>
        <w:tc>
          <w:tcPr>
            <w:tcW w:w="957" w:type="dxa"/>
            <w:tcBorders>
              <w:top w:val="single" w:color="auto" w:sz="4" w:space="0"/>
              <w:left w:val="single" w:color="auto" w:sz="4" w:space="0"/>
              <w:bottom w:val="single" w:color="auto" w:sz="4" w:space="0"/>
              <w:right w:val="single" w:color="auto" w:sz="4" w:space="0"/>
            </w:tcBorders>
            <w:vAlign w:val="center"/>
          </w:tcPr>
          <w:p w14:paraId="5928093B">
            <w:pPr>
              <w:rPr>
                <w:rFonts w:ascii="宋体" w:hAnsi="宋体" w:cs="宋体"/>
                <w:color w:val="auto"/>
                <w:szCs w:val="22"/>
                <w:highlight w:val="none"/>
              </w:rPr>
            </w:pPr>
            <w:r>
              <w:rPr>
                <w:rFonts w:hint="eastAsia" w:ascii="宋体" w:hAnsi="宋体" w:cs="宋体"/>
                <w:color w:val="auto"/>
                <w:szCs w:val="22"/>
                <w:highlight w:val="none"/>
              </w:rPr>
              <w:t>备注</w:t>
            </w:r>
          </w:p>
        </w:tc>
      </w:tr>
      <w:tr w14:paraId="5536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4CCA2C9">
            <w:pPr>
              <w:rPr>
                <w:rFonts w:ascii="宋体" w:hAnsi="宋体" w:cs="宋体"/>
                <w:color w:val="auto"/>
                <w:szCs w:val="22"/>
                <w:highlight w:val="none"/>
              </w:rPr>
            </w:pPr>
            <w:r>
              <w:rPr>
                <w:rFonts w:hint="eastAsia" w:ascii="宋体" w:hAnsi="宋体" w:cs="宋体"/>
                <w:color w:val="auto"/>
                <w:szCs w:val="22"/>
                <w:highlight w:val="none"/>
              </w:rPr>
              <w:t>1</w:t>
            </w:r>
          </w:p>
        </w:tc>
        <w:tc>
          <w:tcPr>
            <w:tcW w:w="1259" w:type="dxa"/>
            <w:tcBorders>
              <w:top w:val="single" w:color="auto" w:sz="4" w:space="0"/>
              <w:left w:val="single" w:color="auto" w:sz="4" w:space="0"/>
              <w:bottom w:val="single" w:color="auto" w:sz="4" w:space="0"/>
              <w:right w:val="single" w:color="auto" w:sz="4" w:space="0"/>
            </w:tcBorders>
            <w:vAlign w:val="center"/>
          </w:tcPr>
          <w:p w14:paraId="709DC279">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15D9B636">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4B95A31">
            <w:pPr>
              <w:rPr>
                <w:rFonts w:ascii="宋体" w:hAnsi="宋体" w:cs="宋体"/>
                <w:color w:val="auto"/>
                <w:szCs w:val="22"/>
                <w:highlight w:val="none"/>
              </w:rPr>
            </w:pPr>
            <w:r>
              <w:rPr>
                <w:rFonts w:hint="eastAsia" w:ascii="宋体" w:hAnsi="宋体" w:cs="宋体"/>
                <w:color w:val="auto"/>
                <w:szCs w:val="22"/>
                <w:highlight w:val="none"/>
                <w:lang w:val="en-US" w:eastAsia="zh-CN"/>
              </w:rPr>
              <w:t>详见已标价工程量清单</w:t>
            </w:r>
            <w:r>
              <w:rPr>
                <w:rFonts w:ascii="宋体" w:hAnsi="宋体" w:cs="宋体"/>
                <w:color w:val="auto"/>
                <w:szCs w:val="22"/>
                <w:highlight w:val="none"/>
              </w:rPr>
              <w:t xml:space="preserve">  </w:t>
            </w:r>
          </w:p>
        </w:tc>
        <w:tc>
          <w:tcPr>
            <w:tcW w:w="1289" w:type="dxa"/>
            <w:tcBorders>
              <w:top w:val="single" w:color="auto" w:sz="4" w:space="0"/>
              <w:left w:val="single" w:color="auto" w:sz="4" w:space="0"/>
              <w:bottom w:val="single" w:color="auto" w:sz="4" w:space="0"/>
              <w:right w:val="single" w:color="auto" w:sz="4" w:space="0"/>
            </w:tcBorders>
            <w:vAlign w:val="center"/>
          </w:tcPr>
          <w:p w14:paraId="4CC43642">
            <w:pPr>
              <w:rPr>
                <w:rFonts w:ascii="宋体" w:hAnsi="宋体" w:cs="宋体"/>
                <w:color w:val="auto"/>
                <w:szCs w:val="22"/>
                <w:highlight w:val="none"/>
              </w:rPr>
            </w:pPr>
            <w:r>
              <w:rPr>
                <w:rFonts w:hint="eastAsia" w:ascii="宋体" w:hAnsi="宋体" w:cs="宋体"/>
                <w:color w:val="auto"/>
                <w:szCs w:val="22"/>
                <w:highlight w:val="none"/>
                <w:lang w:val="en-US" w:eastAsia="zh-CN"/>
              </w:rPr>
              <w:t>详见已标价工程量清单</w:t>
            </w:r>
            <w:r>
              <w:rPr>
                <w:rFonts w:ascii="宋体" w:hAnsi="宋体" w:cs="宋体"/>
                <w:color w:val="auto"/>
                <w:szCs w:val="22"/>
                <w:highlight w:val="none"/>
              </w:rPr>
              <w:t xml:space="preserve">  </w:t>
            </w:r>
          </w:p>
        </w:tc>
        <w:tc>
          <w:tcPr>
            <w:tcW w:w="1290" w:type="dxa"/>
            <w:tcBorders>
              <w:top w:val="single" w:color="auto" w:sz="4" w:space="0"/>
              <w:left w:val="single" w:color="auto" w:sz="4" w:space="0"/>
              <w:bottom w:val="single" w:color="auto" w:sz="4" w:space="0"/>
              <w:right w:val="single" w:color="auto" w:sz="4" w:space="0"/>
            </w:tcBorders>
            <w:vAlign w:val="center"/>
          </w:tcPr>
          <w:p w14:paraId="3EC85FF1">
            <w:pPr>
              <w:rPr>
                <w:rFonts w:hint="eastAsia" w:ascii="宋体" w:hAnsi="宋体" w:cs="宋体"/>
                <w:color w:val="auto"/>
                <w:szCs w:val="22"/>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642C17B3">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A82B515">
            <w:pPr>
              <w:rPr>
                <w:rFonts w:ascii="宋体" w:hAnsi="宋体" w:cs="宋体"/>
                <w:color w:val="auto"/>
                <w:szCs w:val="22"/>
                <w:highlight w:val="none"/>
              </w:rPr>
            </w:pPr>
          </w:p>
        </w:tc>
      </w:tr>
      <w:tr w14:paraId="2B4A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16655997">
            <w:pPr>
              <w:rPr>
                <w:rFonts w:ascii="宋体" w:hAnsi="宋体" w:cs="宋体"/>
                <w:color w:val="auto"/>
                <w:szCs w:val="22"/>
                <w:highlight w:val="none"/>
              </w:rPr>
            </w:pPr>
            <w:r>
              <w:rPr>
                <w:rFonts w:hint="eastAsia" w:ascii="宋体" w:hAnsi="宋体" w:cs="宋体"/>
                <w:color w:val="auto"/>
                <w:szCs w:val="22"/>
                <w:highlight w:val="none"/>
              </w:rPr>
              <w:t>报价合计（包含税费等所有费用）：</w:t>
            </w:r>
            <w:r>
              <w:rPr>
                <w:rFonts w:hint="eastAsia" w:ascii="宋体" w:hAnsi="宋体" w:cs="宋体"/>
                <w:color w:val="auto"/>
                <w:szCs w:val="22"/>
                <w:highlight w:val="none"/>
                <w:lang w:val="en-US" w:eastAsia="zh-CN"/>
              </w:rPr>
              <w:t>（大写）人民币         （￥       ）</w:t>
            </w:r>
            <w:r>
              <w:rPr>
                <w:rFonts w:hint="eastAsia" w:ascii="宋体" w:hAnsi="宋体" w:cs="宋体"/>
                <w:color w:val="auto"/>
                <w:szCs w:val="22"/>
                <w:highlight w:val="none"/>
              </w:rPr>
              <w:t xml:space="preserve">                               </w:t>
            </w:r>
          </w:p>
        </w:tc>
      </w:tr>
      <w:tr w14:paraId="5EB9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6E99CF6E">
            <w:pPr>
              <w:rPr>
                <w:rFonts w:ascii="宋体" w:hAnsi="宋体" w:cs="宋体"/>
                <w:color w:val="auto"/>
                <w:szCs w:val="22"/>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val="en-US" w:eastAsia="zh-CN"/>
              </w:rPr>
              <w:t>无</w:t>
            </w: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4D36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35B88E32">
            <w:pP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rPr>
              <w:t>验收标准：</w:t>
            </w:r>
          </w:p>
        </w:tc>
      </w:tr>
      <w:tr w14:paraId="09F7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4565B06F">
            <w:pPr>
              <w:rPr>
                <w:rFonts w:ascii="宋体" w:hAnsi="宋体" w:cs="宋体"/>
                <w:color w:val="auto"/>
                <w:szCs w:val="22"/>
                <w:highlight w:val="none"/>
              </w:rPr>
            </w:pPr>
            <w:r>
              <w:rPr>
                <w:rFonts w:hint="eastAsia" w:ascii="宋体" w:hAnsi="宋体" w:cs="宋体"/>
                <w:color w:val="auto"/>
                <w:szCs w:val="22"/>
                <w:highlight w:val="none"/>
              </w:rPr>
              <w:t>优惠及其它</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如有，没有写无）</w:t>
            </w:r>
            <w:r>
              <w:rPr>
                <w:rFonts w:hint="eastAsia" w:ascii="宋体" w:hAnsi="宋体" w:cs="宋体"/>
                <w:color w:val="auto"/>
                <w:szCs w:val="22"/>
                <w:highlight w:val="none"/>
              </w:rPr>
              <w:t>：</w:t>
            </w:r>
          </w:p>
        </w:tc>
      </w:tr>
    </w:tbl>
    <w:p w14:paraId="14E43166">
      <w:pPr>
        <w:snapToGrid w:val="0"/>
        <w:spacing w:before="50" w:after="50"/>
        <w:ind w:firstLine="480" w:firstLineChars="200"/>
        <w:jc w:val="left"/>
        <w:rPr>
          <w:rFonts w:hint="eastAsia" w:ascii="宋体" w:hAnsi="宋体" w:cs="宋体"/>
          <w:color w:val="auto"/>
          <w:kern w:val="0"/>
          <w:sz w:val="24"/>
          <w:highlight w:val="none"/>
          <w:lang w:val="zh-CN"/>
        </w:rPr>
      </w:pPr>
    </w:p>
    <w:p w14:paraId="126DE727">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26FB6CA2">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cs="宋体"/>
          <w:b/>
          <w:color w:val="auto"/>
          <w:kern w:val="0"/>
          <w:sz w:val="24"/>
          <w:highlight w:val="none"/>
          <w:lang w:val="zh-CN"/>
        </w:rPr>
        <w:t>。</w:t>
      </w:r>
    </w:p>
    <w:p w14:paraId="085498FD">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否则其响应作无效响应处理。</w:t>
      </w:r>
    </w:p>
    <w:p w14:paraId="12A72FC5">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3、以上表格要求细分项目及报价，在“具体服务内容”一栏中，填写具体服务范围、服务标准。</w:t>
      </w:r>
    </w:p>
    <w:p w14:paraId="32C9DBF4">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4、特别提示：采购机构将对项目名称和项目编号，成交供应商名称、地址和成交金额，主要成交标的的名称、服务范围、服务要求、服务时间、服务标准等予以公示。</w:t>
      </w:r>
    </w:p>
    <w:p w14:paraId="0ABA5835">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5、</w:t>
      </w:r>
      <w:r>
        <w:rPr>
          <w:rFonts w:hint="eastAsia" w:ascii="宋体" w:hAnsi="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22B27B87">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E8D94FA">
      <w:pPr>
        <w:pStyle w:val="15"/>
        <w:spacing w:line="500" w:lineRule="exact"/>
        <w:ind w:firstLine="6360" w:firstLineChars="2650"/>
        <w:rPr>
          <w:rFonts w:hAnsi="宋体" w:cs="宋体"/>
          <w:color w:val="auto"/>
          <w:sz w:val="24"/>
          <w:highlight w:val="none"/>
          <w:lang w:val="zh-CN"/>
        </w:rPr>
      </w:pPr>
      <w:r>
        <w:rPr>
          <w:rFonts w:hint="eastAsia" w:hAnsi="宋体" w:cs="宋体"/>
          <w:color w:val="auto"/>
          <w:sz w:val="24"/>
          <w:highlight w:val="none"/>
          <w:lang w:val="zh-CN"/>
        </w:rPr>
        <w:t>日期：  年  月   日</w:t>
      </w:r>
    </w:p>
    <w:p w14:paraId="2DE3E686">
      <w:pPr>
        <w:widowControl/>
        <w:jc w:val="left"/>
        <w:rPr>
          <w:rFonts w:ascii="宋体" w:hAnsi="宋体" w:cs="宋体"/>
          <w:color w:val="auto"/>
          <w:kern w:val="0"/>
          <w:sz w:val="24"/>
          <w:szCs w:val="21"/>
          <w:highlight w:val="none"/>
          <w:lang w:val="zh-CN"/>
        </w:rPr>
      </w:pPr>
    </w:p>
    <w:p w14:paraId="6CCC7493">
      <w:pPr>
        <w:numPr>
          <w:ilvl w:val="0"/>
          <w:numId w:val="4"/>
        </w:numPr>
        <w:spacing w:line="520" w:lineRule="exact"/>
        <w:ind w:firstLine="643" w:firstLineChars="200"/>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已标价工程量清单</w:t>
      </w:r>
    </w:p>
    <w:p w14:paraId="2452D375">
      <w:pPr>
        <w:bidi w:val="0"/>
        <w:rPr>
          <w:rFonts w:hint="eastAsia"/>
          <w:color w:val="auto"/>
          <w:highlight w:val="none"/>
        </w:rPr>
      </w:pPr>
      <w:bookmarkStart w:id="96" w:name="_Toc31723070"/>
      <w:bookmarkEnd w:id="96"/>
      <w:bookmarkStart w:id="97" w:name="_Toc31728084"/>
      <w:bookmarkEnd w:id="97"/>
      <w:bookmarkStart w:id="98" w:name="_Toc35611516"/>
      <w:bookmarkEnd w:id="98"/>
      <w:bookmarkStart w:id="99" w:name="_Toc35611438"/>
      <w:bookmarkEnd w:id="99"/>
      <w:bookmarkStart w:id="100" w:name="_Toc44229899"/>
      <w:bookmarkEnd w:id="100"/>
      <w:bookmarkStart w:id="101" w:name="_Toc80205942"/>
      <w:bookmarkStart w:id="102" w:name="_Toc15428"/>
      <w:r>
        <w:rPr>
          <w:rFonts w:hint="eastAsia"/>
          <w:color w:val="auto"/>
          <w:highlight w:val="none"/>
        </w:rPr>
        <w:t>供应商应按照第</w:t>
      </w:r>
      <w:r>
        <w:rPr>
          <w:rFonts w:hint="eastAsia"/>
          <w:color w:val="auto"/>
          <w:highlight w:val="none"/>
          <w:lang w:eastAsia="zh-CN"/>
        </w:rPr>
        <w:t>七</w:t>
      </w:r>
      <w:r>
        <w:rPr>
          <w:rFonts w:hint="eastAsia"/>
          <w:color w:val="auto"/>
          <w:highlight w:val="none"/>
        </w:rPr>
        <w:t>章“工程量清单、图纸”的要求逐项填报工程量清单，包括工程量清单说明、投标报价说明、计日工说明、其他说明及工程量清单各项表格。</w:t>
      </w:r>
    </w:p>
    <w:p w14:paraId="3C7E95B0">
      <w:pPr>
        <w:bidi w:val="0"/>
        <w:jc w:val="right"/>
        <w:rPr>
          <w:rFonts w:hint="eastAsia"/>
          <w:color w:val="auto"/>
          <w:highlight w:val="none"/>
        </w:rPr>
      </w:pPr>
      <w:r>
        <w:rPr>
          <w:rFonts w:hint="eastAsia" w:ascii="宋体" w:hAnsi="宋体" w:cs="宋体"/>
          <w:color w:val="auto"/>
          <w:kern w:val="0"/>
          <w:sz w:val="24"/>
          <w:highlight w:val="none"/>
        </w:rPr>
        <w:t>供应商名称（电子签章）：</w:t>
      </w:r>
    </w:p>
    <w:bookmarkEnd w:id="101"/>
    <w:bookmarkEnd w:id="102"/>
    <w:p w14:paraId="2AD71D77">
      <w:pPr>
        <w:spacing w:line="520" w:lineRule="exact"/>
        <w:jc w:val="center"/>
        <w:rPr>
          <w:rFonts w:ascii="宋体" w:hAnsi="宋体" w:cs="宋体"/>
          <w:color w:val="auto"/>
          <w:sz w:val="24"/>
          <w:highlight w:val="none"/>
        </w:rPr>
      </w:pPr>
    </w:p>
    <w:p w14:paraId="797F99CB">
      <w:pPr>
        <w:spacing w:line="520" w:lineRule="exact"/>
        <w:jc w:val="center"/>
        <w:rPr>
          <w:rFonts w:ascii="宋体" w:hAnsi="宋体" w:cs="宋体"/>
          <w:color w:val="auto"/>
          <w:sz w:val="24"/>
          <w:highlight w:val="none"/>
        </w:rPr>
      </w:pPr>
    </w:p>
    <w:p w14:paraId="44B9C141">
      <w:pPr>
        <w:spacing w:line="520" w:lineRule="exact"/>
        <w:jc w:val="center"/>
        <w:rPr>
          <w:rFonts w:ascii="宋体" w:hAnsi="宋体" w:cs="宋体"/>
          <w:color w:val="auto"/>
          <w:sz w:val="24"/>
          <w:highlight w:val="none"/>
        </w:rPr>
      </w:pPr>
    </w:p>
    <w:p w14:paraId="415E4111">
      <w:pPr>
        <w:spacing w:line="520" w:lineRule="exact"/>
        <w:jc w:val="center"/>
        <w:rPr>
          <w:rFonts w:ascii="宋体" w:hAnsi="宋体" w:cs="宋体"/>
          <w:color w:val="auto"/>
          <w:sz w:val="24"/>
          <w:highlight w:val="none"/>
        </w:rPr>
      </w:pPr>
    </w:p>
    <w:p w14:paraId="77A608C6">
      <w:pPr>
        <w:spacing w:line="520" w:lineRule="exact"/>
        <w:jc w:val="center"/>
        <w:rPr>
          <w:rFonts w:ascii="宋体" w:hAnsi="宋体" w:cs="宋体"/>
          <w:color w:val="auto"/>
          <w:sz w:val="24"/>
          <w:highlight w:val="none"/>
        </w:rPr>
      </w:pPr>
    </w:p>
    <w:p w14:paraId="79810BA5">
      <w:pPr>
        <w:pStyle w:val="2"/>
        <w:jc w:val="center"/>
        <w:rPr>
          <w:rFonts w:ascii="宋体" w:hAnsi="宋体" w:cs="宋体"/>
          <w:b w:val="0"/>
          <w:bCs w:val="0"/>
          <w:color w:val="auto"/>
          <w:highlight w:val="none"/>
        </w:rPr>
      </w:pPr>
      <w:bookmarkStart w:id="103" w:name="_Toc10609"/>
      <w:r>
        <w:rPr>
          <w:rFonts w:hint="eastAsia" w:ascii="宋体" w:hAnsi="宋体" w:cs="宋体"/>
          <w:b w:val="0"/>
          <w:bCs w:val="0"/>
          <w:color w:val="auto"/>
          <w:highlight w:val="none"/>
        </w:rPr>
        <w:t>第六章  合同文本</w:t>
      </w:r>
      <w:r>
        <w:rPr>
          <w:rFonts w:hint="eastAsia" w:ascii="宋体" w:hAnsi="宋体" w:cs="宋体"/>
          <w:b w:val="0"/>
          <w:bCs w:val="0"/>
          <w:color w:val="auto"/>
          <w:highlight w:val="none"/>
        </w:rPr>
        <w:br w:type="page"/>
      </w:r>
      <w:bookmarkEnd w:id="103"/>
    </w:p>
    <w:p w14:paraId="5BE3280A">
      <w:pPr>
        <w:rPr>
          <w:rFonts w:ascii="宋体" w:hAnsi="宋体" w:cs="宋体"/>
          <w:b/>
          <w:bCs/>
          <w:color w:val="auto"/>
          <w:highlight w:val="none"/>
        </w:rPr>
      </w:pPr>
      <w:r>
        <w:rPr>
          <w:rFonts w:hint="eastAsia" w:ascii="宋体" w:hAnsi="宋体" w:cs="宋体"/>
          <w:color w:val="auto"/>
          <w:sz w:val="24"/>
          <w:highlight w:val="none"/>
        </w:rPr>
        <w:t>“广西政府采购云平台”平台合同编号：</w:t>
      </w:r>
    </w:p>
    <w:p w14:paraId="5E395FAA">
      <w:pPr>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 </w:t>
      </w:r>
    </w:p>
    <w:p w14:paraId="2BC9BB51">
      <w:pPr>
        <w:spacing w:line="360" w:lineRule="auto"/>
        <w:ind w:firstLine="420" w:firstLineChars="200"/>
        <w:rPr>
          <w:rFonts w:hint="eastAsia" w:ascii="宋体" w:hAnsi="宋体" w:cs="宋体"/>
          <w:color w:val="auto"/>
          <w:highlight w:val="none"/>
          <w:lang w:val="en-US" w:eastAsia="zh-CN"/>
        </w:rPr>
      </w:pPr>
    </w:p>
    <w:p w14:paraId="7EF60780">
      <w:pPr>
        <w:spacing w:line="360" w:lineRule="auto"/>
        <w:ind w:firstLine="420" w:firstLineChars="200"/>
        <w:rPr>
          <w:rFonts w:hint="eastAsia" w:ascii="宋体" w:hAnsi="宋体" w:cs="宋体"/>
          <w:color w:val="auto"/>
          <w:highlight w:val="none"/>
          <w:lang w:val="en-US" w:eastAsia="zh-CN"/>
        </w:rPr>
      </w:pPr>
    </w:p>
    <w:p w14:paraId="536CA060">
      <w:pPr>
        <w:spacing w:line="360" w:lineRule="auto"/>
        <w:ind w:firstLine="420" w:firstLineChars="200"/>
        <w:rPr>
          <w:rFonts w:hint="eastAsia" w:ascii="宋体" w:hAnsi="宋体" w:cs="宋体"/>
          <w:color w:val="auto"/>
          <w:highlight w:val="none"/>
          <w:lang w:val="en-US" w:eastAsia="zh-CN"/>
        </w:rPr>
      </w:pPr>
    </w:p>
    <w:p w14:paraId="28BCD44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484670FE">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bookmarkStart w:id="104" w:name="PO_3000001868_PM002_15"/>
      <w:r>
        <w:rPr>
          <w:rFonts w:hint="eastAsia" w:ascii="宋体" w:hAnsi="宋体" w:cs="宋体"/>
          <w:b/>
          <w:bCs/>
          <w:color w:val="auto"/>
          <w:sz w:val="44"/>
          <w:highlight w:val="none"/>
          <w:u w:val="single"/>
        </w:rPr>
        <w:t>[项目名称]</w:t>
      </w:r>
      <w:bookmarkEnd w:id="104"/>
      <w:r>
        <w:rPr>
          <w:rFonts w:hint="eastAsia" w:ascii="宋体" w:hAnsi="宋体" w:cs="宋体"/>
          <w:b/>
          <w:bCs/>
          <w:color w:val="auto"/>
          <w:sz w:val="44"/>
          <w:highlight w:val="none"/>
        </w:rPr>
        <w:t>合同</w:t>
      </w:r>
    </w:p>
    <w:p w14:paraId="56D13E92">
      <w:pPr>
        <w:spacing w:line="360" w:lineRule="auto"/>
        <w:jc w:val="center"/>
        <w:rPr>
          <w:rFonts w:ascii="宋体" w:hAnsi="宋体" w:cs="宋体"/>
          <w:b/>
          <w:bCs/>
          <w:color w:val="auto"/>
          <w:sz w:val="44"/>
          <w:highlight w:val="none"/>
        </w:rPr>
      </w:pPr>
    </w:p>
    <w:p w14:paraId="1E638BC0">
      <w:pPr>
        <w:spacing w:line="360" w:lineRule="auto"/>
        <w:ind w:firstLine="3507" w:firstLineChars="794"/>
        <w:rPr>
          <w:rFonts w:ascii="宋体" w:hAnsi="宋体" w:cs="宋体"/>
          <w:b/>
          <w:bCs/>
          <w:color w:val="auto"/>
          <w:sz w:val="44"/>
          <w:highlight w:val="none"/>
        </w:rPr>
      </w:pPr>
    </w:p>
    <w:p w14:paraId="703E6C84">
      <w:pPr>
        <w:spacing w:line="360" w:lineRule="auto"/>
        <w:ind w:firstLine="3507" w:firstLineChars="794"/>
        <w:rPr>
          <w:rFonts w:ascii="宋体" w:hAnsi="宋体" w:cs="宋体"/>
          <w:b/>
          <w:bCs/>
          <w:color w:val="auto"/>
          <w:sz w:val="44"/>
          <w:highlight w:val="none"/>
        </w:rPr>
      </w:pPr>
    </w:p>
    <w:p w14:paraId="61F12F23">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采购项目编号：</w:t>
      </w:r>
      <w:r>
        <w:rPr>
          <w:rFonts w:hint="eastAsia" w:ascii="宋体" w:hAnsi="宋体" w:cs="宋体"/>
          <w:b/>
          <w:color w:val="auto"/>
          <w:sz w:val="36"/>
          <w:szCs w:val="36"/>
          <w:highlight w:val="none"/>
          <w:u w:val="single"/>
        </w:rPr>
        <w:t xml:space="preserve"> </w:t>
      </w:r>
    </w:p>
    <w:p w14:paraId="79FB0DCF">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采购计划编号：</w:t>
      </w:r>
      <w:r>
        <w:rPr>
          <w:rFonts w:hint="eastAsia" w:ascii="宋体" w:hAnsi="宋体" w:cs="宋体"/>
          <w:b/>
          <w:color w:val="auto"/>
          <w:sz w:val="36"/>
          <w:szCs w:val="36"/>
          <w:highlight w:val="none"/>
          <w:u w:val="single"/>
        </w:rPr>
        <w:t xml:space="preserve"> </w:t>
      </w:r>
    </w:p>
    <w:p w14:paraId="32D41C31">
      <w:pPr>
        <w:ind w:firstLine="1308" w:firstLineChars="545"/>
        <w:rPr>
          <w:rFonts w:ascii="宋体" w:hAnsi="宋体" w:cs="宋体"/>
          <w:color w:val="auto"/>
          <w:sz w:val="24"/>
          <w:highlight w:val="none"/>
        </w:rPr>
      </w:pPr>
    </w:p>
    <w:p w14:paraId="77344E32">
      <w:pPr>
        <w:ind w:firstLine="1995" w:firstLineChars="552"/>
        <w:rPr>
          <w:rFonts w:ascii="宋体" w:hAnsi="宋体" w:cs="宋体"/>
          <w:b/>
          <w:color w:val="auto"/>
          <w:sz w:val="36"/>
          <w:szCs w:val="36"/>
          <w:highlight w:val="none"/>
          <w:u w:val="single"/>
        </w:rPr>
      </w:pPr>
    </w:p>
    <w:p w14:paraId="3188D612">
      <w:pPr>
        <w:ind w:firstLine="1995" w:firstLineChars="552"/>
        <w:rPr>
          <w:rFonts w:ascii="宋体" w:hAnsi="宋体" w:cs="宋体"/>
          <w:b/>
          <w:color w:val="auto"/>
          <w:sz w:val="36"/>
          <w:szCs w:val="36"/>
          <w:highlight w:val="none"/>
          <w:u w:val="single"/>
        </w:rPr>
      </w:pPr>
    </w:p>
    <w:p w14:paraId="2434987F">
      <w:pPr>
        <w:tabs>
          <w:tab w:val="left" w:pos="7200"/>
        </w:tabs>
        <w:spacing w:line="360" w:lineRule="auto"/>
        <w:ind w:firstLine="1995" w:firstLineChars="552"/>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bookmarkStart w:id="105" w:name="PO_3000001868_PM026_4"/>
      <w:r>
        <w:rPr>
          <w:rFonts w:hint="eastAsia" w:ascii="宋体" w:hAnsi="宋体" w:cs="宋体"/>
          <w:b/>
          <w:color w:val="auto"/>
          <w:sz w:val="36"/>
          <w:szCs w:val="36"/>
          <w:highlight w:val="none"/>
          <w:u w:val="single"/>
        </w:rPr>
        <w:t>[采购人]</w:t>
      </w:r>
      <w:bookmarkEnd w:id="105"/>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r>
        <w:rPr>
          <w:rFonts w:hint="eastAsia" w:ascii="宋体" w:hAnsi="宋体" w:cs="宋体"/>
          <w:b/>
          <w:color w:val="auto"/>
          <w:sz w:val="36"/>
          <w:szCs w:val="36"/>
          <w:highlight w:val="none"/>
          <w:u w:val="single"/>
        </w:rPr>
        <w:t xml:space="preserve"> </w:t>
      </w:r>
    </w:p>
    <w:p w14:paraId="4317EFB7">
      <w:pPr>
        <w:tabs>
          <w:tab w:val="left" w:pos="7380"/>
        </w:tabs>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中标</w:t>
      </w:r>
      <w:r>
        <w:rPr>
          <w:rFonts w:hint="eastAsia" w:ascii="宋体" w:hAnsi="宋体" w:cs="宋体"/>
          <w:b/>
          <w:color w:val="auto"/>
          <w:sz w:val="36"/>
          <w:szCs w:val="36"/>
          <w:highlight w:val="none"/>
          <w:lang w:eastAsia="zh-CN"/>
        </w:rPr>
        <w:t>（</w:t>
      </w:r>
      <w:r>
        <w:rPr>
          <w:rFonts w:hint="eastAsia" w:ascii="宋体" w:hAnsi="宋体" w:cs="宋体"/>
          <w:b/>
          <w:color w:val="auto"/>
          <w:sz w:val="36"/>
          <w:szCs w:val="36"/>
          <w:highlight w:val="none"/>
          <w:lang w:val="en-US" w:eastAsia="zh-CN"/>
        </w:rPr>
        <w:t>成交</w:t>
      </w:r>
      <w:r>
        <w:rPr>
          <w:rFonts w:hint="eastAsia" w:ascii="宋体" w:hAnsi="宋体" w:cs="宋体"/>
          <w:b/>
          <w:color w:val="auto"/>
          <w:sz w:val="36"/>
          <w:szCs w:val="36"/>
          <w:highlight w:val="none"/>
          <w:lang w:eastAsia="zh-CN"/>
        </w:rPr>
        <w:t>）</w:t>
      </w:r>
      <w:r>
        <w:rPr>
          <w:rFonts w:hint="eastAsia" w:ascii="宋体" w:hAnsi="宋体" w:cs="宋体"/>
          <w:b/>
          <w:color w:val="auto"/>
          <w:sz w:val="36"/>
          <w:szCs w:val="36"/>
          <w:highlight w:val="none"/>
        </w:rPr>
        <w:t>供应商：</w:t>
      </w:r>
      <w:r>
        <w:rPr>
          <w:rFonts w:hint="eastAsia" w:ascii="宋体" w:hAnsi="宋体" w:cs="宋体"/>
          <w:b/>
          <w:color w:val="auto"/>
          <w:sz w:val="36"/>
          <w:szCs w:val="36"/>
          <w:highlight w:val="none"/>
          <w:u w:val="single"/>
        </w:rPr>
        <w:t xml:space="preserve">                   </w:t>
      </w:r>
    </w:p>
    <w:p w14:paraId="5C55F5E9">
      <w:pPr>
        <w:tabs>
          <w:tab w:val="left" w:pos="7380"/>
        </w:tabs>
        <w:spacing w:line="360" w:lineRule="auto"/>
        <w:rPr>
          <w:rFonts w:ascii="宋体" w:hAnsi="宋体" w:cs="宋体"/>
          <w:b/>
          <w:bCs/>
          <w:color w:val="auto"/>
          <w:sz w:val="44"/>
          <w:highlight w:val="none"/>
        </w:rPr>
      </w:pPr>
    </w:p>
    <w:p w14:paraId="41DE94E3">
      <w:pPr>
        <w:tabs>
          <w:tab w:val="left" w:pos="7380"/>
        </w:tabs>
        <w:spacing w:line="360" w:lineRule="auto"/>
        <w:rPr>
          <w:rFonts w:ascii="宋体" w:hAnsi="宋体" w:cs="宋体"/>
          <w:b/>
          <w:bCs/>
          <w:color w:val="auto"/>
          <w:sz w:val="44"/>
          <w:highlight w:val="none"/>
        </w:rPr>
      </w:pPr>
    </w:p>
    <w:p w14:paraId="0AD53B48">
      <w:pPr>
        <w:tabs>
          <w:tab w:val="left" w:pos="7380"/>
        </w:tabs>
        <w:spacing w:line="360" w:lineRule="auto"/>
        <w:rPr>
          <w:rFonts w:ascii="宋体" w:hAnsi="宋体" w:cs="宋体"/>
          <w:b/>
          <w:bCs/>
          <w:color w:val="auto"/>
          <w:sz w:val="44"/>
          <w:highlight w:val="none"/>
        </w:rPr>
      </w:pPr>
    </w:p>
    <w:p w14:paraId="16037D27">
      <w:pPr>
        <w:tabs>
          <w:tab w:val="left" w:pos="7380"/>
        </w:tabs>
        <w:spacing w:line="360" w:lineRule="auto"/>
        <w:ind w:firstLine="3360" w:firstLineChars="1400"/>
        <w:rPr>
          <w:rFonts w:ascii="宋体" w:hAnsi="宋体" w:cs="宋体"/>
          <w:color w:val="auto"/>
          <w:sz w:val="24"/>
          <w:highlight w:val="none"/>
          <w:lang w:val="zh-CN"/>
        </w:rPr>
      </w:pPr>
      <w:r>
        <w:rPr>
          <w:rFonts w:hint="eastAsia" w:ascii="宋体" w:hAnsi="宋体" w:cs="宋体"/>
          <w:color w:val="auto"/>
          <w:sz w:val="24"/>
          <w:highlight w:val="none"/>
          <w:lang w:val="zh-CN"/>
        </w:rPr>
        <w:t>签订时间：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14:paraId="32131B01">
      <w:pPr>
        <w:snapToGrid w:val="0"/>
        <w:spacing w:line="360" w:lineRule="auto"/>
        <w:rPr>
          <w:rFonts w:hint="eastAsia" w:ascii="宋体" w:hAnsi="宋体" w:cs="宋体"/>
          <w:b/>
          <w:bCs/>
          <w:color w:val="auto"/>
          <w:sz w:val="44"/>
          <w:highlight w:val="none"/>
        </w:rPr>
      </w:pPr>
      <w:r>
        <w:rPr>
          <w:rFonts w:hint="eastAsia" w:ascii="宋体" w:hAnsi="宋体" w:cs="宋体"/>
          <w:b/>
          <w:bCs/>
          <w:color w:val="auto"/>
          <w:sz w:val="44"/>
          <w:highlight w:val="none"/>
        </w:rPr>
        <w:br w:type="page"/>
      </w:r>
    </w:p>
    <w:p w14:paraId="004EF04A">
      <w:pPr>
        <w:snapToGrid w:val="0"/>
        <w:spacing w:line="360" w:lineRule="auto"/>
        <w:rPr>
          <w:rFonts w:hint="eastAsia" w:ascii="宋体" w:hAnsi="宋体" w:cs="宋体"/>
          <w:b/>
          <w:bCs/>
          <w:color w:val="auto"/>
          <w:sz w:val="44"/>
          <w:highlight w:val="none"/>
        </w:rPr>
      </w:pPr>
    </w:p>
    <w:p w14:paraId="002DC788">
      <w:pPr>
        <w:snapToGrid w:val="0"/>
        <w:spacing w:line="360" w:lineRule="auto"/>
        <w:rPr>
          <w:rFonts w:hint="eastAsia" w:ascii="宋体" w:hAnsi="宋体" w:cs="宋体"/>
          <w:b/>
          <w:bCs/>
          <w:color w:val="auto"/>
          <w:sz w:val="44"/>
          <w:highlight w:val="none"/>
        </w:rPr>
      </w:pPr>
    </w:p>
    <w:p w14:paraId="2D4D429B">
      <w:pPr>
        <w:snapToGrid w:val="0"/>
        <w:spacing w:line="360" w:lineRule="auto"/>
        <w:rPr>
          <w:rFonts w:hint="eastAsia" w:ascii="宋体" w:hAnsi="宋体" w:cs="宋体"/>
          <w:b/>
          <w:bCs/>
          <w:color w:val="auto"/>
          <w:sz w:val="44"/>
          <w:highlight w:val="none"/>
        </w:rPr>
      </w:pPr>
    </w:p>
    <w:p w14:paraId="53A546AC">
      <w:pPr>
        <w:snapToGrid w:val="0"/>
        <w:spacing w:line="360" w:lineRule="auto"/>
        <w:rPr>
          <w:rFonts w:hint="eastAsia" w:ascii="宋体" w:hAnsi="宋体" w:cs="宋体"/>
          <w:b/>
          <w:bCs/>
          <w:color w:val="auto"/>
          <w:sz w:val="44"/>
          <w:highlight w:val="none"/>
        </w:rPr>
      </w:pPr>
    </w:p>
    <w:p w14:paraId="6BF8CE95">
      <w:pPr>
        <w:snapToGrid w:val="0"/>
        <w:spacing w:line="360" w:lineRule="auto"/>
        <w:jc w:val="center"/>
        <w:rPr>
          <w:rFonts w:ascii="宋体" w:hAnsi="宋体" w:cs="宋体"/>
          <w:color w:val="auto"/>
          <w:kern w:val="0"/>
          <w:sz w:val="24"/>
          <w:highlight w:val="none"/>
        </w:rPr>
      </w:pPr>
      <w:r>
        <w:rPr>
          <w:rFonts w:hint="eastAsia" w:ascii="宋体" w:hAnsi="宋体" w:eastAsia="宋体" w:cs="宋体"/>
          <w:b/>
          <w:color w:val="auto"/>
          <w:sz w:val="56"/>
          <w:szCs w:val="56"/>
          <w:highlight w:val="none"/>
        </w:rPr>
        <w:t>公路工程施工合同</w:t>
      </w:r>
    </w:p>
    <w:p w14:paraId="6DBDE096">
      <w:pPr>
        <w:snapToGrid w:val="0"/>
        <w:spacing w:line="360" w:lineRule="auto"/>
        <w:rPr>
          <w:rFonts w:ascii="宋体" w:hAnsi="宋体" w:cs="宋体"/>
          <w:color w:val="auto"/>
          <w:kern w:val="0"/>
          <w:sz w:val="24"/>
          <w:highlight w:val="none"/>
        </w:rPr>
      </w:pPr>
    </w:p>
    <w:p w14:paraId="74FA5546">
      <w:pPr>
        <w:widowControl/>
        <w:jc w:val="left"/>
        <w:rPr>
          <w:rFonts w:ascii="宋体" w:hAnsi="宋体" w:cs="宋体"/>
          <w:color w:val="auto"/>
          <w:kern w:val="0"/>
          <w:sz w:val="32"/>
          <w:szCs w:val="20"/>
          <w:highlight w:val="none"/>
        </w:rPr>
        <w:sectPr>
          <w:pgSz w:w="11906" w:h="16838"/>
          <w:pgMar w:top="1134" w:right="1134" w:bottom="1134" w:left="1134" w:header="720" w:footer="720" w:gutter="0"/>
          <w:cols w:space="720" w:num="1"/>
          <w:docGrid w:type="lines" w:linePitch="331" w:charSpace="0"/>
        </w:sectPr>
      </w:pPr>
    </w:p>
    <w:p w14:paraId="368362E4">
      <w:pPr>
        <w:pageBreakBefore w:val="0"/>
        <w:kinsoku/>
        <w:overflowPunct/>
        <w:topLinePunct w:val="0"/>
        <w:autoSpaceDE/>
        <w:autoSpaceDN/>
        <w:bidi w:val="0"/>
        <w:spacing w:line="360" w:lineRule="auto"/>
        <w:jc w:val="center"/>
        <w:textAlignment w:val="auto"/>
        <w:rPr>
          <w:rFonts w:hint="eastAsia" w:ascii="宋体" w:hAnsi="宋体" w:eastAsia="宋体" w:cs="宋体"/>
          <w:b/>
          <w:bCs/>
          <w:color w:val="auto"/>
          <w:sz w:val="28"/>
          <w:szCs w:val="28"/>
          <w:highlight w:val="none"/>
        </w:rPr>
      </w:pPr>
      <w:bookmarkStart w:id="106" w:name="_Toc517163145"/>
      <w:bookmarkStart w:id="107" w:name="_Toc508779702"/>
      <w:bookmarkStart w:id="108" w:name="_Toc2532"/>
      <w:bookmarkStart w:id="109" w:name="_Toc367270683"/>
      <w:bookmarkStart w:id="110" w:name="_Toc394929411"/>
      <w:bookmarkStart w:id="111" w:name="_Toc514759025"/>
      <w:bookmarkStart w:id="112" w:name="_Toc511595186"/>
      <w:r>
        <w:rPr>
          <w:rFonts w:hint="eastAsia" w:ascii="宋体" w:hAnsi="宋体" w:eastAsia="宋体" w:cs="宋体"/>
          <w:b/>
          <w:bCs/>
          <w:color w:val="auto"/>
          <w:sz w:val="28"/>
          <w:szCs w:val="28"/>
          <w:highlight w:val="none"/>
        </w:rPr>
        <w:t>合 同 协 议 书</w:t>
      </w:r>
    </w:p>
    <w:p w14:paraId="1BC3CB24">
      <w:pPr>
        <w:pStyle w:val="44"/>
        <w:pageBreakBefore w:val="0"/>
        <w:shd w:val="clear" w:color="auto" w:fill="auto"/>
        <w:tabs>
          <w:tab w:val="left" w:leader="underscore" w:pos="1756"/>
          <w:tab w:val="left" w:leader="underscore" w:pos="8354"/>
        </w:tabs>
        <w:kinsoku/>
        <w:wordWrap w:val="0"/>
        <w:overflowPunct/>
        <w:topLinePunct w:val="0"/>
        <w:autoSpaceDE/>
        <w:autoSpaceDN/>
        <w:bidi w:val="0"/>
        <w:spacing w:before="0" w:line="360" w:lineRule="auto"/>
        <w:ind w:firstLine="780" w:firstLineChars="3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Style w:val="45"/>
          <w:rFonts w:hint="eastAsia" w:ascii="宋体" w:hAnsi="宋体" w:eastAsia="宋体" w:cs="宋体"/>
          <w:color w:val="auto"/>
          <w:highlight w:val="none"/>
          <w:u w:val="single"/>
        </w:rPr>
        <w:t>(发包人名称，以下简称“发包人”）</w:t>
      </w:r>
      <w:r>
        <w:rPr>
          <w:rStyle w:val="45"/>
          <w:rFonts w:hint="eastAsia" w:ascii="宋体" w:hAnsi="宋体" w:eastAsia="宋体" w:cs="宋体"/>
          <w:color w:val="auto"/>
          <w:highlight w:val="none"/>
        </w:rPr>
        <w:t>为实施</w:t>
      </w:r>
      <w:r>
        <w:rPr>
          <w:rStyle w:val="45"/>
          <w:rFonts w:hint="eastAsia" w:ascii="宋体" w:hAnsi="宋体" w:eastAsia="宋体" w:cs="宋体"/>
          <w:color w:val="auto"/>
          <w:highlight w:val="none"/>
          <w:u w:val="single"/>
        </w:rPr>
        <w:t>(项目名称)</w:t>
      </w:r>
      <w:r>
        <w:rPr>
          <w:rStyle w:val="45"/>
          <w:rFonts w:hint="eastAsia" w:ascii="宋体" w:hAnsi="宋体" w:eastAsia="宋体" w:cs="宋体"/>
          <w:color w:val="auto"/>
          <w:highlight w:val="none"/>
        </w:rPr>
        <w:t>，已接受</w:t>
      </w:r>
      <w:r>
        <w:rPr>
          <w:rStyle w:val="45"/>
          <w:rFonts w:hint="eastAsia" w:ascii="宋体" w:hAnsi="宋体" w:eastAsia="宋体" w:cs="宋体"/>
          <w:color w:val="auto"/>
          <w:highlight w:val="none"/>
          <w:u w:val="single"/>
        </w:rPr>
        <w:t>(承包人名称，以下简称“承包人”）</w:t>
      </w:r>
      <w:r>
        <w:rPr>
          <w:rStyle w:val="45"/>
          <w:rFonts w:hint="eastAsia" w:ascii="宋体" w:hAnsi="宋体" w:eastAsia="宋体" w:cs="宋体"/>
          <w:color w:val="auto"/>
          <w:highlight w:val="none"/>
        </w:rPr>
        <w:t>对该项目</w:t>
      </w:r>
      <w:r>
        <w:rPr>
          <w:rStyle w:val="45"/>
          <w:rFonts w:hint="eastAsia" w:ascii="宋体" w:hAnsi="宋体" w:eastAsia="宋体" w:cs="宋体"/>
          <w:color w:val="auto"/>
          <w:highlight w:val="none"/>
          <w:u w:val="single"/>
          <w:lang w:val="en-US"/>
        </w:rPr>
        <w:t xml:space="preserve">   </w:t>
      </w:r>
      <w:r>
        <w:rPr>
          <w:rStyle w:val="45"/>
          <w:rFonts w:hint="eastAsia" w:ascii="宋体" w:hAnsi="宋体" w:eastAsia="宋体" w:cs="宋体"/>
          <w:color w:val="auto"/>
          <w:highlight w:val="none"/>
          <w:u w:val="single"/>
        </w:rPr>
        <w:t>标段</w:t>
      </w:r>
      <w:r>
        <w:rPr>
          <w:rStyle w:val="45"/>
          <w:rFonts w:hint="eastAsia" w:ascii="宋体" w:hAnsi="宋体" w:eastAsia="宋体" w:cs="宋体"/>
          <w:color w:val="auto"/>
          <w:highlight w:val="none"/>
        </w:rPr>
        <w:t>施工的投标。发包人和承包人共同达成如下协议。</w:t>
      </w:r>
    </w:p>
    <w:p w14:paraId="457455A5">
      <w:pPr>
        <w:pStyle w:val="44"/>
        <w:pageBreakBefore w:val="0"/>
        <w:shd w:val="clear" w:color="auto" w:fill="auto"/>
        <w:tabs>
          <w:tab w:val="left" w:pos="1074"/>
        </w:tabs>
        <w:kinsoku/>
        <w:wordWrap w:val="0"/>
        <w:overflowPunct/>
        <w:topLinePunct w:val="0"/>
        <w:autoSpaceDE/>
        <w:autoSpaceDN/>
        <w:bidi w:val="0"/>
        <w:spacing w:before="0" w:line="360" w:lineRule="auto"/>
        <w:ind w:firstLine="420" w:firstLineChars="200"/>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1．建设内容：</w:t>
      </w:r>
      <w:r>
        <w:rPr>
          <w:rStyle w:val="45"/>
          <w:rFonts w:hint="eastAsia" w:ascii="宋体" w:hAnsi="宋体" w:eastAsia="宋体" w:cs="宋体"/>
          <w:color w:val="auto"/>
          <w:sz w:val="21"/>
          <w:szCs w:val="21"/>
          <w:highlight w:val="none"/>
          <w:u w:val="single"/>
          <w:lang w:val="en-US"/>
        </w:rPr>
        <w:t xml:space="preserve">                                                  </w:t>
      </w:r>
      <w:r>
        <w:rPr>
          <w:rStyle w:val="45"/>
          <w:rFonts w:hint="eastAsia" w:ascii="宋体" w:hAnsi="宋体" w:eastAsia="宋体" w:cs="宋体"/>
          <w:color w:val="auto"/>
          <w:highlight w:val="none"/>
        </w:rPr>
        <w:t>。</w:t>
      </w:r>
    </w:p>
    <w:p w14:paraId="41F2000B">
      <w:pPr>
        <w:pStyle w:val="44"/>
        <w:pageBreakBefore w:val="0"/>
        <w:shd w:val="clear" w:color="auto" w:fill="auto"/>
        <w:tabs>
          <w:tab w:val="left" w:pos="1098"/>
        </w:tabs>
        <w:kinsoku/>
        <w:overflowPunct/>
        <w:topLinePunct w:val="0"/>
        <w:autoSpaceDE/>
        <w:autoSpaceDN/>
        <w:bidi w:val="0"/>
        <w:spacing w:before="0" w:line="360" w:lineRule="auto"/>
        <w:ind w:firstLine="420" w:firstLineChars="200"/>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2．下列文件应视为构成合同文件的组成部分：</w:t>
      </w:r>
    </w:p>
    <w:p w14:paraId="4B5B98CA">
      <w:pPr>
        <w:pStyle w:val="44"/>
        <w:pageBreakBefore w:val="0"/>
        <w:shd w:val="clear" w:color="auto" w:fill="auto"/>
        <w:tabs>
          <w:tab w:val="left" w:pos="1373"/>
        </w:tabs>
        <w:kinsoku/>
        <w:overflowPunct/>
        <w:topLinePunct w:val="0"/>
        <w:autoSpaceDE/>
        <w:autoSpaceDN/>
        <w:bidi w:val="0"/>
        <w:spacing w:before="0" w:line="360" w:lineRule="auto"/>
        <w:jc w:val="left"/>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（1）本协议书及各种合同附件（含评标期间和合同谈判过程中的澄清文件和补充资料）；</w:t>
      </w:r>
    </w:p>
    <w:p w14:paraId="3708FA00">
      <w:pPr>
        <w:pStyle w:val="44"/>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（2）成交通知书；</w:t>
      </w:r>
    </w:p>
    <w:p w14:paraId="38DE822C">
      <w:pPr>
        <w:pStyle w:val="44"/>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（3）项目专用合同条款；</w:t>
      </w:r>
    </w:p>
    <w:p w14:paraId="1AF08D0F">
      <w:pPr>
        <w:pStyle w:val="44"/>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w:t>
      </w:r>
      <w:r>
        <w:rPr>
          <w:rStyle w:val="45"/>
          <w:rFonts w:hint="eastAsia" w:ascii="宋体" w:hAnsi="宋体" w:eastAsia="宋体" w:cs="宋体"/>
          <w:color w:val="auto"/>
          <w:sz w:val="21"/>
          <w:szCs w:val="21"/>
          <w:highlight w:val="none"/>
          <w:lang w:val="en-US"/>
        </w:rPr>
        <w:t>4</w:t>
      </w:r>
      <w:r>
        <w:rPr>
          <w:rStyle w:val="45"/>
          <w:rFonts w:hint="eastAsia" w:ascii="宋体" w:hAnsi="宋体" w:eastAsia="宋体" w:cs="宋体"/>
          <w:color w:val="auto"/>
          <w:sz w:val="21"/>
          <w:szCs w:val="21"/>
          <w:highlight w:val="none"/>
        </w:rPr>
        <w:t>）公路工程专用合同条款；</w:t>
      </w:r>
    </w:p>
    <w:p w14:paraId="6A2E1108">
      <w:pPr>
        <w:pStyle w:val="44"/>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w:t>
      </w:r>
      <w:r>
        <w:rPr>
          <w:rStyle w:val="45"/>
          <w:rFonts w:hint="eastAsia" w:ascii="宋体" w:hAnsi="宋体" w:eastAsia="宋体" w:cs="宋体"/>
          <w:color w:val="auto"/>
          <w:sz w:val="21"/>
          <w:szCs w:val="21"/>
          <w:highlight w:val="none"/>
          <w:lang w:val="en-US"/>
        </w:rPr>
        <w:t>5</w:t>
      </w:r>
      <w:r>
        <w:rPr>
          <w:rStyle w:val="45"/>
          <w:rFonts w:hint="eastAsia" w:ascii="宋体" w:hAnsi="宋体" w:eastAsia="宋体" w:cs="宋体"/>
          <w:color w:val="auto"/>
          <w:sz w:val="21"/>
          <w:szCs w:val="21"/>
          <w:highlight w:val="none"/>
        </w:rPr>
        <w:t>）通用合同条款；</w:t>
      </w:r>
    </w:p>
    <w:p w14:paraId="3E11377A">
      <w:pPr>
        <w:pStyle w:val="44"/>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w:t>
      </w:r>
      <w:r>
        <w:rPr>
          <w:rStyle w:val="45"/>
          <w:rFonts w:hint="eastAsia" w:ascii="宋体" w:hAnsi="宋体" w:eastAsia="宋体" w:cs="宋体"/>
          <w:color w:val="auto"/>
          <w:sz w:val="21"/>
          <w:szCs w:val="21"/>
          <w:highlight w:val="none"/>
          <w:lang w:val="en-US"/>
        </w:rPr>
        <w:t>8</w:t>
      </w:r>
      <w:r>
        <w:rPr>
          <w:rStyle w:val="45"/>
          <w:rFonts w:hint="eastAsia" w:ascii="宋体" w:hAnsi="宋体" w:eastAsia="宋体" w:cs="宋体"/>
          <w:color w:val="auto"/>
          <w:sz w:val="21"/>
          <w:szCs w:val="21"/>
          <w:highlight w:val="none"/>
        </w:rPr>
        <w:t>）工程量清单计量规则；</w:t>
      </w:r>
    </w:p>
    <w:p w14:paraId="33510746">
      <w:pPr>
        <w:pStyle w:val="44"/>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w:t>
      </w:r>
      <w:r>
        <w:rPr>
          <w:rStyle w:val="45"/>
          <w:rFonts w:hint="eastAsia" w:ascii="宋体" w:hAnsi="宋体" w:eastAsia="宋体" w:cs="宋体"/>
          <w:color w:val="auto"/>
          <w:sz w:val="21"/>
          <w:szCs w:val="21"/>
          <w:highlight w:val="none"/>
          <w:lang w:val="en-US"/>
        </w:rPr>
        <w:t>7</w:t>
      </w:r>
      <w:r>
        <w:rPr>
          <w:rStyle w:val="45"/>
          <w:rFonts w:hint="eastAsia" w:ascii="宋体" w:hAnsi="宋体" w:eastAsia="宋体" w:cs="宋体"/>
          <w:color w:val="auto"/>
          <w:sz w:val="21"/>
          <w:szCs w:val="21"/>
          <w:highlight w:val="none"/>
        </w:rPr>
        <w:t>）技术规范；</w:t>
      </w:r>
    </w:p>
    <w:p w14:paraId="78B5BA50">
      <w:pPr>
        <w:pStyle w:val="44"/>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w:t>
      </w:r>
      <w:r>
        <w:rPr>
          <w:rStyle w:val="45"/>
          <w:rFonts w:hint="eastAsia" w:ascii="宋体" w:hAnsi="宋体" w:eastAsia="宋体" w:cs="宋体"/>
          <w:color w:val="auto"/>
          <w:sz w:val="21"/>
          <w:szCs w:val="21"/>
          <w:highlight w:val="none"/>
          <w:lang w:val="en-US"/>
        </w:rPr>
        <w:t>8</w:t>
      </w:r>
      <w:r>
        <w:rPr>
          <w:rStyle w:val="45"/>
          <w:rFonts w:hint="eastAsia" w:ascii="宋体" w:hAnsi="宋体" w:eastAsia="宋体" w:cs="宋体"/>
          <w:color w:val="auto"/>
          <w:sz w:val="21"/>
          <w:szCs w:val="21"/>
          <w:highlight w:val="none"/>
        </w:rPr>
        <w:t>）图纸；</w:t>
      </w:r>
    </w:p>
    <w:p w14:paraId="7AE999BC">
      <w:pPr>
        <w:pStyle w:val="44"/>
        <w:pageBreakBefore w:val="0"/>
        <w:shd w:val="clear" w:color="auto" w:fill="auto"/>
        <w:tabs>
          <w:tab w:val="left" w:pos="1506"/>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w:t>
      </w:r>
      <w:r>
        <w:rPr>
          <w:rStyle w:val="45"/>
          <w:rFonts w:hint="eastAsia" w:ascii="宋体" w:hAnsi="宋体" w:eastAsia="宋体" w:cs="宋体"/>
          <w:color w:val="auto"/>
          <w:sz w:val="21"/>
          <w:szCs w:val="21"/>
          <w:highlight w:val="none"/>
          <w:lang w:val="en-US"/>
        </w:rPr>
        <w:t>9</w:t>
      </w:r>
      <w:r>
        <w:rPr>
          <w:rStyle w:val="45"/>
          <w:rFonts w:hint="eastAsia" w:ascii="宋体" w:hAnsi="宋体" w:eastAsia="宋体" w:cs="宋体"/>
          <w:color w:val="auto"/>
          <w:sz w:val="21"/>
          <w:szCs w:val="21"/>
          <w:highlight w:val="none"/>
        </w:rPr>
        <w:t>）已标价工程量清单；</w:t>
      </w:r>
    </w:p>
    <w:p w14:paraId="300E1B9C">
      <w:pPr>
        <w:pStyle w:val="44"/>
        <w:pageBreakBefore w:val="0"/>
        <w:shd w:val="clear" w:color="auto" w:fill="auto"/>
        <w:tabs>
          <w:tab w:val="left" w:pos="1506"/>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（1</w:t>
      </w:r>
      <w:r>
        <w:rPr>
          <w:rStyle w:val="45"/>
          <w:rFonts w:hint="eastAsia" w:ascii="宋体" w:hAnsi="宋体" w:eastAsia="宋体" w:cs="宋体"/>
          <w:color w:val="auto"/>
          <w:sz w:val="21"/>
          <w:szCs w:val="21"/>
          <w:highlight w:val="none"/>
          <w:lang w:val="en-US"/>
        </w:rPr>
        <w:t>0</w:t>
      </w:r>
      <w:r>
        <w:rPr>
          <w:rStyle w:val="45"/>
          <w:rFonts w:hint="eastAsia" w:ascii="宋体" w:hAnsi="宋体" w:eastAsia="宋体" w:cs="宋体"/>
          <w:color w:val="auto"/>
          <w:sz w:val="21"/>
          <w:szCs w:val="21"/>
          <w:highlight w:val="none"/>
        </w:rPr>
        <w:t>）承包人有关人员、设备投入的承诺及响应文件中的施工组织设计；</w:t>
      </w:r>
    </w:p>
    <w:p w14:paraId="43F889E3">
      <w:pPr>
        <w:pStyle w:val="44"/>
        <w:pageBreakBefore w:val="0"/>
        <w:shd w:val="clear" w:color="auto" w:fill="auto"/>
        <w:tabs>
          <w:tab w:val="left" w:pos="1506"/>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（1</w:t>
      </w:r>
      <w:r>
        <w:rPr>
          <w:rStyle w:val="45"/>
          <w:rFonts w:hint="eastAsia" w:ascii="宋体" w:hAnsi="宋体" w:eastAsia="宋体" w:cs="宋体"/>
          <w:color w:val="auto"/>
          <w:sz w:val="21"/>
          <w:szCs w:val="21"/>
          <w:highlight w:val="none"/>
          <w:lang w:val="en-US"/>
        </w:rPr>
        <w:t>1</w:t>
      </w:r>
      <w:r>
        <w:rPr>
          <w:rStyle w:val="45"/>
          <w:rFonts w:hint="eastAsia" w:ascii="宋体" w:hAnsi="宋体" w:eastAsia="宋体" w:cs="宋体"/>
          <w:color w:val="auto"/>
          <w:sz w:val="21"/>
          <w:szCs w:val="21"/>
          <w:highlight w:val="none"/>
        </w:rPr>
        <w:t>）其他合同文件。</w:t>
      </w:r>
    </w:p>
    <w:p w14:paraId="3525C771">
      <w:pPr>
        <w:pStyle w:val="44"/>
        <w:pageBreakBefore w:val="0"/>
        <w:shd w:val="clear" w:color="auto" w:fill="auto"/>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上述合同文件互相补充和解释。如果合同文件之间存在矛盾或不一致之处，</w:t>
      </w:r>
    </w:p>
    <w:p w14:paraId="1B9A2025">
      <w:pPr>
        <w:pStyle w:val="44"/>
        <w:pageBreakBefore w:val="0"/>
        <w:shd w:val="clear" w:color="auto" w:fill="auto"/>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以上述文件的排列顺序在先者为准。</w:t>
      </w:r>
    </w:p>
    <w:p w14:paraId="7620D5C8">
      <w:pPr>
        <w:pStyle w:val="44"/>
        <w:pageBreakBefore w:val="0"/>
        <w:shd w:val="clear" w:color="auto" w:fill="auto"/>
        <w:tabs>
          <w:tab w:val="left" w:pos="1101"/>
        </w:tabs>
        <w:kinsoku/>
        <w:overflowPunct/>
        <w:topLinePunct w:val="0"/>
        <w:autoSpaceDE/>
        <w:autoSpaceDN/>
        <w:bidi w:val="0"/>
        <w:spacing w:before="0" w:line="360" w:lineRule="auto"/>
        <w:jc w:val="both"/>
        <w:textAlignment w:val="auto"/>
        <w:rPr>
          <w:rStyle w:val="45"/>
          <w:rFonts w:hint="eastAsia" w:ascii="宋体" w:hAnsi="宋体" w:eastAsia="宋体" w:cs="宋体"/>
          <w:color w:val="auto"/>
          <w:sz w:val="21"/>
          <w:szCs w:val="21"/>
          <w:highlight w:val="none"/>
        </w:rPr>
      </w:pPr>
      <w:r>
        <w:rPr>
          <w:rStyle w:val="45"/>
          <w:rFonts w:hint="eastAsia" w:ascii="宋体" w:hAnsi="宋体" w:eastAsia="宋体" w:cs="宋体"/>
          <w:color w:val="auto"/>
          <w:sz w:val="21"/>
          <w:szCs w:val="21"/>
          <w:highlight w:val="none"/>
          <w:lang w:val="en-US"/>
        </w:rPr>
        <w:t>3.</w:t>
      </w:r>
      <w:r>
        <w:rPr>
          <w:rStyle w:val="45"/>
          <w:rFonts w:hint="eastAsia" w:ascii="宋体" w:hAnsi="宋体" w:eastAsia="宋体" w:cs="宋体"/>
          <w:color w:val="auto"/>
          <w:sz w:val="21"/>
          <w:szCs w:val="21"/>
          <w:highlight w:val="none"/>
        </w:rPr>
        <w:t>根据工程量清单所列的预计数量和单价或总额价计算的签约合同价：人民币（大写）</w:t>
      </w:r>
      <w:r>
        <w:rPr>
          <w:rStyle w:val="45"/>
          <w:rFonts w:hint="eastAsia" w:ascii="宋体" w:hAnsi="宋体" w:eastAsia="宋体" w:cs="宋体"/>
          <w:color w:val="auto"/>
          <w:sz w:val="21"/>
          <w:szCs w:val="21"/>
          <w:highlight w:val="none"/>
          <w:u w:val="single"/>
        </w:rPr>
        <w:t xml:space="preserve">  （¥     </w:t>
      </w:r>
      <w:r>
        <w:rPr>
          <w:rStyle w:val="45"/>
          <w:rFonts w:hint="eastAsia" w:ascii="宋体" w:hAnsi="宋体" w:eastAsia="宋体" w:cs="宋体"/>
          <w:color w:val="auto"/>
          <w:sz w:val="21"/>
          <w:szCs w:val="21"/>
          <w:highlight w:val="none"/>
          <w:u w:val="single"/>
        </w:rPr>
        <w:tab/>
      </w:r>
      <w:r>
        <w:rPr>
          <w:rStyle w:val="45"/>
          <w:rFonts w:hint="eastAsia" w:ascii="宋体" w:hAnsi="宋体" w:eastAsia="宋体" w:cs="宋体"/>
          <w:color w:val="auto"/>
          <w:sz w:val="21"/>
          <w:szCs w:val="21"/>
          <w:highlight w:val="none"/>
          <w:u w:val="single"/>
        </w:rPr>
        <w:t>）</w:t>
      </w:r>
      <w:r>
        <w:rPr>
          <w:rStyle w:val="45"/>
          <w:rFonts w:hint="eastAsia" w:ascii="宋体" w:hAnsi="宋体" w:eastAsia="宋体" w:cs="宋体"/>
          <w:color w:val="auto"/>
          <w:sz w:val="21"/>
          <w:szCs w:val="21"/>
          <w:highlight w:val="none"/>
        </w:rPr>
        <w:t>。</w:t>
      </w:r>
    </w:p>
    <w:p w14:paraId="40A8F581">
      <w:pPr>
        <w:pStyle w:val="44"/>
        <w:pageBreakBefore w:val="0"/>
        <w:shd w:val="clear" w:color="auto" w:fill="auto"/>
        <w:tabs>
          <w:tab w:val="left" w:pos="1101"/>
        </w:tabs>
        <w:kinsoku/>
        <w:overflowPunct/>
        <w:topLinePunct w:val="0"/>
        <w:autoSpaceDE/>
        <w:autoSpaceDN/>
        <w:bidi w:val="0"/>
        <w:spacing w:before="0" w:line="360" w:lineRule="auto"/>
        <w:jc w:val="both"/>
        <w:textAlignment w:val="auto"/>
        <w:rPr>
          <w:rStyle w:val="45"/>
          <w:rFonts w:hint="eastAsia" w:ascii="宋体" w:hAnsi="宋体" w:eastAsia="宋体" w:cs="宋体"/>
          <w:color w:val="auto"/>
          <w:sz w:val="21"/>
          <w:szCs w:val="21"/>
          <w:highlight w:val="none"/>
        </w:rPr>
      </w:pPr>
      <w:r>
        <w:rPr>
          <w:rStyle w:val="45"/>
          <w:rFonts w:hint="eastAsia" w:ascii="宋体" w:hAnsi="宋体" w:eastAsia="宋体" w:cs="宋体"/>
          <w:color w:val="auto"/>
          <w:sz w:val="21"/>
          <w:szCs w:val="21"/>
          <w:highlight w:val="none"/>
          <w:lang w:val="en-US"/>
        </w:rPr>
        <w:t>4.合同价格形式：综合单价合同。</w:t>
      </w:r>
    </w:p>
    <w:p w14:paraId="06766A04">
      <w:pPr>
        <w:pStyle w:val="44"/>
        <w:pageBreakBefore w:val="0"/>
        <w:shd w:val="clear" w:color="auto" w:fill="auto"/>
        <w:tabs>
          <w:tab w:val="left" w:pos="1101"/>
        </w:tabs>
        <w:kinsoku/>
        <w:overflowPunct/>
        <w:topLinePunct w:val="0"/>
        <w:autoSpaceDE/>
        <w:autoSpaceDN/>
        <w:bidi w:val="0"/>
        <w:spacing w:before="0" w:line="360" w:lineRule="auto"/>
        <w:jc w:val="both"/>
        <w:textAlignment w:val="auto"/>
        <w:rPr>
          <w:rStyle w:val="45"/>
          <w:rFonts w:hint="eastAsia" w:ascii="宋体" w:hAnsi="宋体" w:eastAsia="宋体" w:cs="宋体"/>
          <w:color w:val="auto"/>
          <w:sz w:val="21"/>
          <w:szCs w:val="21"/>
          <w:highlight w:val="none"/>
        </w:rPr>
      </w:pPr>
      <w:r>
        <w:rPr>
          <w:rStyle w:val="45"/>
          <w:rFonts w:hint="eastAsia" w:ascii="宋体" w:hAnsi="宋体" w:eastAsia="宋体" w:cs="宋体"/>
          <w:color w:val="auto"/>
          <w:sz w:val="21"/>
          <w:szCs w:val="21"/>
          <w:highlight w:val="none"/>
          <w:lang w:val="en-US"/>
        </w:rPr>
        <w:t>5</w:t>
      </w:r>
      <w:r>
        <w:rPr>
          <w:rStyle w:val="45"/>
          <w:rFonts w:hint="eastAsia" w:ascii="宋体" w:hAnsi="宋体" w:eastAsia="宋体" w:cs="宋体"/>
          <w:color w:val="auto"/>
          <w:sz w:val="21"/>
          <w:szCs w:val="21"/>
          <w:highlight w:val="none"/>
        </w:rPr>
        <w:t>．承包人项目经理：</w:t>
      </w:r>
      <w:r>
        <w:rPr>
          <w:rStyle w:val="45"/>
          <w:rFonts w:hint="eastAsia" w:ascii="宋体" w:hAnsi="宋体" w:eastAsia="宋体" w:cs="宋体"/>
          <w:color w:val="auto"/>
          <w:sz w:val="21"/>
          <w:szCs w:val="21"/>
          <w:highlight w:val="none"/>
          <w:u w:val="single"/>
        </w:rPr>
        <w:t xml:space="preserve">                 </w:t>
      </w:r>
      <w:r>
        <w:rPr>
          <w:rStyle w:val="45"/>
          <w:rFonts w:hint="eastAsia" w:ascii="宋体" w:hAnsi="宋体" w:eastAsia="宋体" w:cs="宋体"/>
          <w:color w:val="auto"/>
          <w:sz w:val="21"/>
          <w:szCs w:val="21"/>
          <w:highlight w:val="none"/>
        </w:rPr>
        <w:t xml:space="preserve"> 。承包人项目总工：</w:t>
      </w:r>
      <w:r>
        <w:rPr>
          <w:rStyle w:val="45"/>
          <w:rFonts w:hint="eastAsia" w:ascii="宋体" w:hAnsi="宋体" w:eastAsia="宋体" w:cs="宋体"/>
          <w:color w:val="auto"/>
          <w:sz w:val="21"/>
          <w:szCs w:val="21"/>
          <w:highlight w:val="none"/>
          <w:u w:val="single"/>
        </w:rPr>
        <w:tab/>
      </w:r>
      <w:r>
        <w:rPr>
          <w:rStyle w:val="45"/>
          <w:rFonts w:hint="eastAsia" w:ascii="宋体" w:hAnsi="宋体" w:eastAsia="宋体" w:cs="宋体"/>
          <w:color w:val="auto"/>
          <w:sz w:val="21"/>
          <w:szCs w:val="21"/>
          <w:highlight w:val="none"/>
          <w:u w:val="single"/>
          <w:lang w:val="en-US"/>
        </w:rPr>
        <w:t xml:space="preserve">                    </w:t>
      </w:r>
      <w:r>
        <w:rPr>
          <w:rStyle w:val="45"/>
          <w:rFonts w:hint="eastAsia" w:ascii="宋体" w:hAnsi="宋体" w:eastAsia="宋体" w:cs="宋体"/>
          <w:color w:val="auto"/>
          <w:sz w:val="21"/>
          <w:szCs w:val="21"/>
          <w:highlight w:val="none"/>
          <w:lang w:val="en-US"/>
        </w:rPr>
        <w:t xml:space="preserve"> </w:t>
      </w:r>
      <w:r>
        <w:rPr>
          <w:rStyle w:val="45"/>
          <w:rFonts w:hint="eastAsia" w:ascii="宋体" w:hAnsi="宋体" w:eastAsia="宋体" w:cs="宋体"/>
          <w:color w:val="auto"/>
          <w:sz w:val="21"/>
          <w:szCs w:val="21"/>
          <w:highlight w:val="none"/>
        </w:rPr>
        <w:t>。</w:t>
      </w:r>
    </w:p>
    <w:p w14:paraId="14031410">
      <w:pPr>
        <w:pStyle w:val="44"/>
        <w:pageBreakBefore w:val="0"/>
        <w:shd w:val="clear" w:color="auto" w:fill="auto"/>
        <w:tabs>
          <w:tab w:val="left" w:pos="1098"/>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lang w:val="en-US"/>
        </w:rPr>
        <w:t>6</w:t>
      </w:r>
      <w:r>
        <w:rPr>
          <w:rStyle w:val="45"/>
          <w:rFonts w:hint="eastAsia" w:ascii="宋体" w:hAnsi="宋体" w:eastAsia="宋体" w:cs="宋体"/>
          <w:color w:val="auto"/>
          <w:sz w:val="21"/>
          <w:szCs w:val="21"/>
          <w:highlight w:val="none"/>
        </w:rPr>
        <w:t>．工程质量符合</w:t>
      </w:r>
      <w:r>
        <w:rPr>
          <w:rStyle w:val="45"/>
          <w:rFonts w:hint="eastAsia" w:ascii="宋体" w:hAnsi="宋体" w:eastAsia="宋体" w:cs="宋体"/>
          <w:color w:val="auto"/>
          <w:sz w:val="21"/>
          <w:szCs w:val="21"/>
          <w:highlight w:val="none"/>
          <w:u w:val="single"/>
        </w:rPr>
        <w:tab/>
      </w:r>
      <w:r>
        <w:rPr>
          <w:rStyle w:val="45"/>
          <w:rFonts w:hint="eastAsia" w:ascii="宋体" w:hAnsi="宋体" w:eastAsia="宋体" w:cs="宋体"/>
          <w:color w:val="auto"/>
          <w:sz w:val="21"/>
          <w:szCs w:val="21"/>
          <w:highlight w:val="none"/>
          <w:u w:val="single"/>
          <w:lang w:val="en-US"/>
        </w:rPr>
        <w:t xml:space="preserve">                     </w:t>
      </w:r>
      <w:r>
        <w:rPr>
          <w:rStyle w:val="45"/>
          <w:rFonts w:hint="eastAsia" w:ascii="宋体" w:hAnsi="宋体" w:eastAsia="宋体" w:cs="宋体"/>
          <w:color w:val="auto"/>
          <w:sz w:val="21"/>
          <w:szCs w:val="21"/>
          <w:highlight w:val="none"/>
        </w:rPr>
        <w:t>标准。工程安全目标</w:t>
      </w:r>
      <w:r>
        <w:rPr>
          <w:rStyle w:val="45"/>
          <w:rFonts w:hint="eastAsia" w:ascii="宋体" w:hAnsi="宋体" w:eastAsia="宋体" w:cs="宋体"/>
          <w:color w:val="auto"/>
          <w:sz w:val="21"/>
          <w:szCs w:val="21"/>
          <w:highlight w:val="none"/>
          <w:u w:val="none"/>
        </w:rPr>
        <w:t>：</w:t>
      </w:r>
      <w:r>
        <w:rPr>
          <w:rStyle w:val="45"/>
          <w:rFonts w:hint="eastAsia" w:ascii="宋体" w:hAnsi="宋体" w:eastAsia="宋体" w:cs="宋体"/>
          <w:color w:val="auto"/>
          <w:sz w:val="21"/>
          <w:szCs w:val="21"/>
          <w:highlight w:val="none"/>
          <w:u w:val="single"/>
        </w:rPr>
        <w:tab/>
      </w:r>
      <w:r>
        <w:rPr>
          <w:rStyle w:val="45"/>
          <w:rFonts w:hint="eastAsia" w:ascii="宋体" w:hAnsi="宋体" w:eastAsia="宋体" w:cs="宋体"/>
          <w:color w:val="auto"/>
          <w:sz w:val="21"/>
          <w:szCs w:val="21"/>
          <w:highlight w:val="none"/>
          <w:u w:val="single"/>
          <w:lang w:val="en-US"/>
        </w:rPr>
        <w:t xml:space="preserve">     </w:t>
      </w:r>
      <w:r>
        <w:rPr>
          <w:rStyle w:val="45"/>
          <w:rFonts w:hint="eastAsia" w:ascii="宋体" w:hAnsi="宋体" w:eastAsia="宋体" w:cs="宋体"/>
          <w:color w:val="auto"/>
          <w:sz w:val="21"/>
          <w:szCs w:val="21"/>
          <w:highlight w:val="none"/>
        </w:rPr>
        <w:t>。</w:t>
      </w:r>
    </w:p>
    <w:p w14:paraId="0A7FD8B8">
      <w:pPr>
        <w:pStyle w:val="44"/>
        <w:pageBreakBefore w:val="0"/>
        <w:shd w:val="clear" w:color="auto" w:fill="auto"/>
        <w:tabs>
          <w:tab w:val="left" w:pos="1101"/>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lang w:val="en-US"/>
        </w:rPr>
        <w:t>7</w:t>
      </w:r>
      <w:r>
        <w:rPr>
          <w:rStyle w:val="45"/>
          <w:rFonts w:hint="eastAsia" w:ascii="宋体" w:hAnsi="宋体" w:eastAsia="宋体" w:cs="宋体"/>
          <w:color w:val="auto"/>
          <w:sz w:val="21"/>
          <w:szCs w:val="21"/>
          <w:highlight w:val="none"/>
        </w:rPr>
        <w:t>．承包人承诺按合同约定承担工程的实施、完成及缺陷修复。</w:t>
      </w:r>
    </w:p>
    <w:p w14:paraId="569B736A">
      <w:pPr>
        <w:pStyle w:val="44"/>
        <w:pageBreakBefore w:val="0"/>
        <w:shd w:val="clear" w:color="auto" w:fill="auto"/>
        <w:tabs>
          <w:tab w:val="left" w:pos="1101"/>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lang w:val="en-US"/>
        </w:rPr>
        <w:t>8</w:t>
      </w:r>
      <w:r>
        <w:rPr>
          <w:rStyle w:val="45"/>
          <w:rFonts w:hint="eastAsia" w:ascii="宋体" w:hAnsi="宋体" w:eastAsia="宋体" w:cs="宋体"/>
          <w:color w:val="auto"/>
          <w:sz w:val="21"/>
          <w:szCs w:val="21"/>
          <w:highlight w:val="none"/>
        </w:rPr>
        <w:t>．发包人承诺按合同约定的条件、时间和方式向承包人支付合同价款。</w:t>
      </w:r>
    </w:p>
    <w:p w14:paraId="63AA3753">
      <w:pPr>
        <w:pStyle w:val="44"/>
        <w:pageBreakBefore w:val="0"/>
        <w:shd w:val="clear" w:color="auto" w:fill="auto"/>
        <w:tabs>
          <w:tab w:val="left" w:pos="110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lang w:val="en-US"/>
        </w:rPr>
        <w:t>9</w:t>
      </w:r>
      <w:r>
        <w:rPr>
          <w:rStyle w:val="45"/>
          <w:rFonts w:hint="eastAsia" w:ascii="宋体" w:hAnsi="宋体" w:eastAsia="宋体" w:cs="宋体"/>
          <w:color w:val="auto"/>
          <w:sz w:val="21"/>
          <w:szCs w:val="21"/>
          <w:highlight w:val="none"/>
        </w:rPr>
        <w:t>．承包人应按照发包人指示开工，工期为_</w:t>
      </w:r>
      <w:r>
        <w:rPr>
          <w:rStyle w:val="45"/>
          <w:rFonts w:hint="eastAsia" w:ascii="宋体" w:hAnsi="宋体" w:eastAsia="宋体" w:cs="宋体"/>
          <w:color w:val="auto"/>
          <w:sz w:val="21"/>
          <w:szCs w:val="21"/>
          <w:highlight w:val="none"/>
          <w:u w:val="single"/>
        </w:rPr>
        <w:t xml:space="preserve">   </w:t>
      </w:r>
      <w:r>
        <w:rPr>
          <w:rStyle w:val="45"/>
          <w:rFonts w:hint="eastAsia" w:ascii="宋体" w:hAnsi="宋体" w:eastAsia="宋体" w:cs="宋体"/>
          <w:color w:val="auto"/>
          <w:sz w:val="21"/>
          <w:szCs w:val="21"/>
          <w:highlight w:val="none"/>
        </w:rPr>
        <w:t>日历天。</w:t>
      </w:r>
    </w:p>
    <w:p w14:paraId="57B19DBB">
      <w:pPr>
        <w:pStyle w:val="44"/>
        <w:pageBreakBefore w:val="0"/>
        <w:shd w:val="clear" w:color="auto" w:fill="auto"/>
        <w:tabs>
          <w:tab w:val="left" w:pos="1043"/>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lang w:val="en-US"/>
        </w:rPr>
        <w:t>10</w:t>
      </w:r>
      <w:r>
        <w:rPr>
          <w:rStyle w:val="45"/>
          <w:rFonts w:hint="eastAsia" w:ascii="宋体" w:hAnsi="宋体" w:eastAsia="宋体" w:cs="宋体"/>
          <w:color w:val="auto"/>
          <w:sz w:val="21"/>
          <w:szCs w:val="21"/>
          <w:highlight w:val="none"/>
        </w:rPr>
        <w:t>．本协议书在承包人提供履约保证金后，由双方法定代表人或其委托代理人签署并加盖单位章后生效。全部工程完工后经交工验收合格、缺陷责任期满签发缺 陷责任终止证书后失效。</w:t>
      </w:r>
    </w:p>
    <w:p w14:paraId="03A8F031">
      <w:pPr>
        <w:pStyle w:val="44"/>
        <w:pageBreakBefore w:val="0"/>
        <w:shd w:val="clear" w:color="auto" w:fill="auto"/>
        <w:tabs>
          <w:tab w:val="left" w:leader="underscore" w:pos="4168"/>
          <w:tab w:val="left" w:leader="underscore" w:pos="8283"/>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1</w:t>
      </w:r>
      <w:r>
        <w:rPr>
          <w:rStyle w:val="45"/>
          <w:rFonts w:hint="eastAsia" w:ascii="宋体" w:hAnsi="宋体" w:eastAsia="宋体" w:cs="宋体"/>
          <w:color w:val="auto"/>
          <w:sz w:val="21"/>
          <w:szCs w:val="21"/>
          <w:highlight w:val="none"/>
          <w:lang w:val="en-US"/>
        </w:rPr>
        <w:t>1</w:t>
      </w:r>
      <w:r>
        <w:rPr>
          <w:rStyle w:val="45"/>
          <w:rFonts w:hint="eastAsia" w:ascii="宋体" w:hAnsi="宋体" w:eastAsia="宋体" w:cs="宋体"/>
          <w:color w:val="auto"/>
          <w:sz w:val="21"/>
          <w:szCs w:val="21"/>
          <w:highlight w:val="none"/>
        </w:rPr>
        <w:t>．本协议书正本二份、副本</w:t>
      </w:r>
      <w:r>
        <w:rPr>
          <w:rStyle w:val="45"/>
          <w:rFonts w:hint="eastAsia" w:ascii="宋体" w:hAnsi="宋体" w:eastAsia="宋体" w:cs="宋体"/>
          <w:color w:val="auto"/>
          <w:sz w:val="21"/>
          <w:szCs w:val="21"/>
          <w:highlight w:val="none"/>
        </w:rPr>
        <w:tab/>
      </w:r>
      <w:r>
        <w:rPr>
          <w:rStyle w:val="45"/>
          <w:rFonts w:hint="eastAsia" w:ascii="宋体" w:hAnsi="宋体" w:eastAsia="宋体" w:cs="宋体"/>
          <w:color w:val="auto"/>
          <w:sz w:val="21"/>
          <w:szCs w:val="21"/>
          <w:highlight w:val="none"/>
        </w:rPr>
        <w:t>份，合同双方各执正本一份，副本</w:t>
      </w:r>
      <w:r>
        <w:rPr>
          <w:rStyle w:val="45"/>
          <w:rFonts w:hint="eastAsia" w:ascii="宋体" w:hAnsi="宋体" w:eastAsia="宋体" w:cs="宋体"/>
          <w:color w:val="auto"/>
          <w:sz w:val="21"/>
          <w:szCs w:val="21"/>
          <w:highlight w:val="none"/>
        </w:rPr>
        <w:tab/>
      </w:r>
      <w:r>
        <w:rPr>
          <w:rStyle w:val="45"/>
          <w:rFonts w:hint="eastAsia" w:ascii="宋体" w:hAnsi="宋体" w:eastAsia="宋体" w:cs="宋体"/>
          <w:color w:val="auto"/>
          <w:sz w:val="21"/>
          <w:szCs w:val="21"/>
          <w:highlight w:val="none"/>
        </w:rPr>
        <w:t>份，</w:t>
      </w:r>
    </w:p>
    <w:p w14:paraId="0933875B">
      <w:pPr>
        <w:pStyle w:val="44"/>
        <w:pageBreakBefore w:val="0"/>
        <w:shd w:val="clear" w:color="auto" w:fill="auto"/>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当正本与副本的内容不一致时，以正本为准。</w:t>
      </w:r>
    </w:p>
    <w:p w14:paraId="63A510B0">
      <w:pPr>
        <w:numPr>
          <w:ilvl w:val="0"/>
          <w:numId w:val="5"/>
        </w:numPr>
        <w:bidi w:val="0"/>
        <w:rPr>
          <w:rFonts w:hint="eastAsia"/>
          <w:color w:val="auto"/>
          <w:highlight w:val="none"/>
        </w:rPr>
      </w:pPr>
      <w:r>
        <w:rPr>
          <w:rFonts w:hint="eastAsia"/>
          <w:color w:val="auto"/>
          <w:highlight w:val="none"/>
        </w:rPr>
        <w:t>合同未尽事宜，双方另行签订补充协议。补充协议是合同的组成部分。</w:t>
      </w:r>
    </w:p>
    <w:p w14:paraId="54F5B713">
      <w:pPr>
        <w:bidi w:val="0"/>
        <w:rPr>
          <w:rFonts w:hint="eastAsia" w:ascii="宋体" w:hAnsi="宋体" w:eastAsia="宋体" w:cs="宋体"/>
          <w:color w:val="auto"/>
          <w:highlight w:val="none"/>
        </w:rPr>
      </w:pPr>
    </w:p>
    <w:p w14:paraId="70CE3035">
      <w:pPr>
        <w:bidi w:val="0"/>
        <w:rPr>
          <w:rFonts w:hint="eastAsia" w:ascii="宋体" w:hAnsi="宋体" w:eastAsia="宋体" w:cs="宋体"/>
          <w:color w:val="auto"/>
          <w:highlight w:val="none"/>
        </w:rPr>
      </w:pPr>
      <w:r>
        <w:rPr>
          <w:rFonts w:hint="eastAsia" w:ascii="宋体" w:hAnsi="宋体" w:eastAsia="宋体" w:cs="宋体"/>
          <w:color w:val="auto"/>
          <w:highlight w:val="none"/>
        </w:rPr>
        <w:t>发包人：</w:t>
      </w:r>
      <w:r>
        <w:rPr>
          <w:rFonts w:hint="eastAsia" w:ascii="宋体" w:hAnsi="宋体" w:eastAsia="宋体" w:cs="宋体"/>
          <w:color w:val="auto"/>
          <w:highlight w:val="none"/>
        </w:rPr>
        <w:tab/>
      </w:r>
      <w:r>
        <w:rPr>
          <w:rFonts w:hint="eastAsia" w:ascii="宋体" w:hAnsi="宋体" w:eastAsia="宋体" w:cs="宋体"/>
          <w:color w:val="auto"/>
          <w:highlight w:val="none"/>
        </w:rPr>
        <w:t>（盖单位章）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承包人：</w:t>
      </w:r>
      <w:r>
        <w:rPr>
          <w:rFonts w:hint="eastAsia" w:ascii="宋体" w:hAnsi="宋体" w:eastAsia="宋体" w:cs="宋体"/>
          <w:color w:val="auto"/>
          <w:highlight w:val="none"/>
        </w:rPr>
        <w:tab/>
      </w:r>
      <w:r>
        <w:rPr>
          <w:rFonts w:hint="eastAsia" w:ascii="宋体" w:hAnsi="宋体" w:eastAsia="宋体" w:cs="宋体"/>
          <w:color w:val="auto"/>
          <w:highlight w:val="none"/>
        </w:rPr>
        <w:t>（盖单位章）</w:t>
      </w:r>
    </w:p>
    <w:p w14:paraId="20349497">
      <w:pPr>
        <w:pageBreakBefore w:val="0"/>
        <w:kinsoku/>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p>
    <w:p w14:paraId="082EAB21">
      <w:pPr>
        <w:pageBreakBefore w:val="0"/>
        <w:kinsoku/>
        <w:overflowPunct/>
        <w:topLinePunct w:val="0"/>
        <w:autoSpaceDE/>
        <w:autoSpaceDN/>
        <w:bidi w:val="0"/>
        <w:spacing w:line="360" w:lineRule="auto"/>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经办人：</w:t>
      </w:r>
      <w:r>
        <w:rPr>
          <w:rFonts w:hint="eastAsia" w:ascii="宋体" w:hAnsi="宋体" w:eastAsia="宋体" w:cs="宋体"/>
          <w:color w:val="auto"/>
          <w:highlight w:val="none"/>
        </w:rPr>
        <w:t>（签字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经办人：</w:t>
      </w:r>
      <w:r>
        <w:rPr>
          <w:rFonts w:hint="eastAsia" w:ascii="宋体" w:hAnsi="宋体" w:eastAsia="宋体" w:cs="宋体"/>
          <w:color w:val="auto"/>
          <w:highlight w:val="none"/>
        </w:rPr>
        <w:t>（签字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p>
    <w:p w14:paraId="5C44D738">
      <w:pPr>
        <w:pageBreakBefore w:val="0"/>
        <w:kinsoku/>
        <w:overflowPunct/>
        <w:topLinePunct w:val="0"/>
        <w:autoSpaceDE/>
        <w:autoSpaceDN/>
        <w:bidi w:val="0"/>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年  月  日</w:t>
      </w:r>
      <w:r>
        <w:rPr>
          <w:rFonts w:hint="eastAsia" w:ascii="宋体" w:hAnsi="宋体" w:eastAsia="宋体" w:cs="宋体"/>
          <w:color w:val="auto"/>
          <w:highlight w:val="none"/>
        </w:rPr>
        <w:tab/>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年  月  日</w:t>
      </w:r>
    </w:p>
    <w:p w14:paraId="398F65DA">
      <w:pPr>
        <w:rPr>
          <w:rFonts w:hint="eastAsia" w:ascii="宋体" w:hAnsi="宋体" w:eastAsia="宋体" w:cs="宋体"/>
          <w:color w:val="auto"/>
          <w:highlight w:val="none"/>
        </w:rPr>
      </w:pPr>
    </w:p>
    <w:p w14:paraId="5C7DAD28">
      <w:pPr>
        <w:pStyle w:val="4"/>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第一节  通用合同条款</w:t>
      </w:r>
      <w:bookmarkEnd w:id="106"/>
      <w:bookmarkEnd w:id="107"/>
      <w:bookmarkEnd w:id="108"/>
      <w:bookmarkEnd w:id="109"/>
      <w:bookmarkEnd w:id="110"/>
      <w:bookmarkEnd w:id="111"/>
      <w:bookmarkEnd w:id="112"/>
    </w:p>
    <w:p w14:paraId="1014B2E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13" w:name="_Toc122424184"/>
      <w:bookmarkStart w:id="114" w:name="_Toc122424433"/>
      <w:bookmarkStart w:id="115" w:name="_Toc27832"/>
      <w:r>
        <w:rPr>
          <w:rFonts w:hint="eastAsia" w:ascii="宋体" w:hAnsi="宋体" w:eastAsia="宋体" w:cs="宋体"/>
          <w:color w:val="auto"/>
          <w:highlight w:val="none"/>
        </w:rPr>
        <w:t>1. 一般约定</w:t>
      </w:r>
      <w:bookmarkEnd w:id="113"/>
      <w:bookmarkEnd w:id="114"/>
      <w:bookmarkEnd w:id="115"/>
    </w:p>
    <w:p w14:paraId="6F1A430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6" w:name="_Toc20252"/>
      <w:r>
        <w:rPr>
          <w:rFonts w:hint="eastAsia" w:ascii="宋体" w:hAnsi="宋体" w:eastAsia="宋体" w:cs="宋体"/>
          <w:color w:val="auto"/>
          <w:highlight w:val="none"/>
        </w:rPr>
        <w:t>1.1 词语定义</w:t>
      </w:r>
      <w:bookmarkEnd w:id="116"/>
    </w:p>
    <w:p w14:paraId="4A9475C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通用合同条款、专用合同条款中的下列词语应具有本款所赋予的含义。</w:t>
      </w:r>
    </w:p>
    <w:p w14:paraId="1B9B6F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 合同</w:t>
      </w:r>
    </w:p>
    <w:p w14:paraId="3E55CEF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 合同文件（或称合同）：指合同协议书、中标通知书、投标函及投标函附录、专用合同条款、通用合同条款、技术标准和要求、图纸、已标价工程量清单，以及其他合同文件。</w:t>
      </w:r>
    </w:p>
    <w:p w14:paraId="1090719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1.1.1.2 合同协议书：指第1.5款所指的合同协议书。</w:t>
      </w:r>
    </w:p>
    <w:p w14:paraId="565E486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1.1.1.3 中标通知书：指发包人通知承包人中标的函件。</w:t>
      </w:r>
    </w:p>
    <w:p w14:paraId="3FC38F9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1.1.1.4 投标函：指构成合同文件组成部分的由承包人填写并签署的投标函。</w:t>
      </w:r>
    </w:p>
    <w:p w14:paraId="7925A7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1.1.1.5 投标函附录：指附在投标函后构成合同文件的投标函附录。</w:t>
      </w:r>
    </w:p>
    <w:p w14:paraId="425823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1.1.1.6 技术标准和要求：指构成合同文件组成部分的名为技术标准和要求的文件，包括合同双方当事人约定对其所作的修改或补充。</w:t>
      </w:r>
    </w:p>
    <w:p w14:paraId="73ACA47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1.1.1.7图纸：指包含在合同中的工程图纸，以及由发包人按合同约定提供的任何补充和修改的图纸，包括配套的说明。</w:t>
      </w:r>
    </w:p>
    <w:p w14:paraId="6428722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1.1.1.8 已标价工程量清单：指构成合同文件组成部分的由承包人按照规定的格式和要求填写并标明价格的工程量清单。</w:t>
      </w:r>
    </w:p>
    <w:p w14:paraId="2666F69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1.1.1.9 其他合同文件：指经合同双方当事人确认构成合同文件的其他文件。</w:t>
      </w:r>
    </w:p>
    <w:p w14:paraId="2A4E1F8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 合同当事人和人员</w:t>
      </w:r>
    </w:p>
    <w:p w14:paraId="7FE6917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1.1.2.1 合同当事人:指发包人和（或）承包人。</w:t>
      </w:r>
    </w:p>
    <w:p w14:paraId="26B7AD0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1.1.2.2 发包人：指专用合同条款中指明并与承包人在合同协议书中签字的当事人。</w:t>
      </w:r>
    </w:p>
    <w:p w14:paraId="7ED604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1.1.2.3 承包人：指与发包人签订合同协议书的当事人。</w:t>
      </w:r>
    </w:p>
    <w:p w14:paraId="5A82E0D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1.1.2.4 承包人项目经理：指承包人派驻施工场地的全权负责人。</w:t>
      </w:r>
    </w:p>
    <w:p w14:paraId="20BFE0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1.1.2.5 分包人：指从承包人处分包合同中某一部分工程，并与其签订分包合同的分包人。</w:t>
      </w:r>
    </w:p>
    <w:p w14:paraId="2AB94DA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1.1.2.6 监理人：指在专用合同条款中指明的，受发包人委托对合同履行实施管理的法人或其他组织。</w:t>
      </w:r>
    </w:p>
    <w:p w14:paraId="4F62A2D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1.1.2.7 总监理工程师（总监）：指由监理人委派常驻施工场地对合同履行实施管理的全权负责人。</w:t>
      </w:r>
    </w:p>
    <w:p w14:paraId="6CEB7D6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 工程和设备</w:t>
      </w:r>
    </w:p>
    <w:p w14:paraId="2DE7792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 工程：指永久工程和（或）临时工程。</w:t>
      </w:r>
    </w:p>
    <w:p w14:paraId="3564AF6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1.1.3.2 永久工程：指按合同约定建造并移交给发包人的工程，包括工程设备。</w:t>
      </w:r>
    </w:p>
    <w:p w14:paraId="64BD142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1.1.3.3 临时工程：指为完成合同约定的永久工程所修建的各类临时性工程，不包括施工设备。</w:t>
      </w:r>
    </w:p>
    <w:p w14:paraId="4863B6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1.1.3.4 单位工程：指专用合同条款中指明特定范围的永久工程。</w:t>
      </w:r>
    </w:p>
    <w:p w14:paraId="113AE1E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1.1.3.5 工程设备：指构成或计划构成永久工程一部分的机电设备、金属结构设备、仪器装置及其他类似的设备和装置。</w:t>
      </w:r>
    </w:p>
    <w:p w14:paraId="59697B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1.1.3.6 施工设备：指为完成合同约定的各项工作所需的设备、器具和其他物品，不包括临时工程和材料。</w:t>
      </w:r>
    </w:p>
    <w:p w14:paraId="3698DF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1.1.3.7 临时设施：指为完成合同约定的各项工作所服务的临时性生产和生活设施。</w:t>
      </w:r>
    </w:p>
    <w:p w14:paraId="0AF8D68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1.1.3.8 承包人设备：指承包人自带的施工设备。</w:t>
      </w:r>
    </w:p>
    <w:p w14:paraId="09EBE6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1.1.3.9 施工场地（或称工地、现场）：指用于合同工程施工的场所，以及在合同中指定作为施工场地组成部分的其他场所，包括永久占地和临时占地。</w:t>
      </w:r>
    </w:p>
    <w:p w14:paraId="209B30B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1.1.3.10 永久占地：指专用合同条款中指明为实施合同工程需永久占用的土地。</w:t>
      </w:r>
    </w:p>
    <w:p w14:paraId="6D1057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1.1.3.11 临时占地：指专用合同条款中指明为实施合同工程需临时占用的土地。</w:t>
      </w:r>
    </w:p>
    <w:p w14:paraId="5F4C61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 日期</w:t>
      </w:r>
    </w:p>
    <w:p w14:paraId="2D0989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1.1.4.1 开工通知：指监理人按第11.1款通知承包人开工的函件。</w:t>
      </w:r>
    </w:p>
    <w:p w14:paraId="22A18F0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1.1.4.2 开工日期：指监理人按第11.1款发出的开工通知中写明的开工日期。</w:t>
      </w:r>
    </w:p>
    <w:p w14:paraId="514702B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1.1.4.3工期：指承包人在投标函中承诺的完成合同工程所需的期限，包括按第11.3款、第11.4款和第11.6款约定所作的变更。</w:t>
      </w:r>
    </w:p>
    <w:p w14:paraId="4368A85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1.1.4.4 竣工日期：指第1.1.4.3目约定工期届满时的日期。实际竣工日期以工程接收证书中写明的日期为准。</w:t>
      </w:r>
    </w:p>
    <w:p w14:paraId="32F5479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1.1.4.5 缺陷责任期：指履行第19.2款约定的缺陷责任的期限，具体期限由专用合同条款约定，包括根据第19.3款约定所作的延长。</w:t>
      </w:r>
    </w:p>
    <w:p w14:paraId="6621CD8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1.1.4.6 基准日期：指投标截止时间前28天的日期。</w:t>
      </w:r>
    </w:p>
    <w:p w14:paraId="64E5E19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1.1.4.7 天：除特别指明外，指日历天。合同中按天计算时间的，开始当天不计入，从次日开始计算。期限最后一天的截止时间为当天24:00。</w:t>
      </w:r>
    </w:p>
    <w:p w14:paraId="37A66B5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 合同价格和费用</w:t>
      </w:r>
    </w:p>
    <w:p w14:paraId="693DA5C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1.1.5.1 签约合同价：指签定合同时合同协议书中写明的，包括了暂列金额、暂估价的合同总金额。</w:t>
      </w:r>
    </w:p>
    <w:p w14:paraId="78465F8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1.1.5.2 合同价格：指承包人按合同约定完成了包括缺陷责任期内的全部承包工作后，发包人应付给承包人的金额，包括在履行合同过程中按合同约定进行的变更和调整。</w:t>
      </w:r>
    </w:p>
    <w:p w14:paraId="0D82EC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1.1.5.3 费用：指为履行合同所发生的或将要发生的所有合理开支，包括管理费和应分摊的其他费用，但不包括利润。</w:t>
      </w:r>
    </w:p>
    <w:p w14:paraId="23AC9FF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1.1.5.4 暂列金额：指已标价工程量清单中所列的暂列金额，用于在签订协议书时尚未确定或不可预见变更的施工及其所需材料、工程设备、服务等的金额，包括以计日工方式支付的金额。</w:t>
      </w:r>
    </w:p>
    <w:p w14:paraId="2FC0CB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1.1.5.5暂估价：指发包人在工程量清单中给定的用于支付必然发生但暂时不能确定价格的材料、设备以及专业工程的金额。</w:t>
      </w:r>
    </w:p>
    <w:p w14:paraId="7FAF926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1.1.5.6 计日工：指对零星工作采取的一种计价方式，按合同中的计日工子目及其单价计价付款。</w:t>
      </w:r>
    </w:p>
    <w:p w14:paraId="6248934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1.1.5.7 质量保证金（或称保留金）：指按第17.4.1项约定用于保证在缺陷责任期内履行缺陷修复义务的金额。</w:t>
      </w:r>
    </w:p>
    <w:p w14:paraId="514617C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 其他</w:t>
      </w:r>
    </w:p>
    <w:p w14:paraId="17B5AC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1.1.6.1 书面形式：指合同文件、信函、电报、传真等可以有形地表现所载内容的形式。</w:t>
      </w:r>
    </w:p>
    <w:p w14:paraId="6ED4168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7" w:name="_Toc15769"/>
      <w:r>
        <w:rPr>
          <w:rFonts w:hint="eastAsia" w:ascii="宋体" w:hAnsi="宋体" w:eastAsia="宋体" w:cs="宋体"/>
          <w:color w:val="auto"/>
          <w:highlight w:val="none"/>
        </w:rPr>
        <w:t>1.2 语言文字</w:t>
      </w:r>
      <w:bookmarkEnd w:id="117"/>
    </w:p>
    <w:p w14:paraId="5E120F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除专用术语外，合同使用的语言文字为中文。必要时专用术语应附有中文注释。</w:t>
      </w:r>
    </w:p>
    <w:p w14:paraId="367F6BA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8" w:name="_Toc11417"/>
      <w:r>
        <w:rPr>
          <w:rFonts w:hint="eastAsia" w:ascii="宋体" w:hAnsi="宋体" w:eastAsia="宋体" w:cs="宋体"/>
          <w:color w:val="auto"/>
          <w:highlight w:val="none"/>
        </w:rPr>
        <w:t>1.3 法律</w:t>
      </w:r>
      <w:bookmarkEnd w:id="118"/>
    </w:p>
    <w:p w14:paraId="6E94DE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适用于合同的法律包括中华人民共和国法律、行政法规、部门规章，以及工程所在地的地方法规、自治条例、单行条例和地方政府规章。</w:t>
      </w:r>
    </w:p>
    <w:p w14:paraId="2714FBD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9" w:name="_Toc32224"/>
      <w:r>
        <w:rPr>
          <w:rFonts w:hint="eastAsia" w:ascii="宋体" w:hAnsi="宋体" w:eastAsia="宋体" w:cs="宋体"/>
          <w:color w:val="auto"/>
          <w:highlight w:val="none"/>
        </w:rPr>
        <w:t>1.4 合同文件的优先顺序</w:t>
      </w:r>
      <w:bookmarkEnd w:id="119"/>
    </w:p>
    <w:p w14:paraId="31C65D3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组成合同的各项文件应互相解释，互为说明。除专用合同条款另有约定外，解释合同文件的优先顺序如下：</w:t>
      </w:r>
    </w:p>
    <w:p w14:paraId="07A0B63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（1）合同协议书；</w:t>
      </w:r>
    </w:p>
    <w:p w14:paraId="770FB3B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（2）中标通知书；</w:t>
      </w:r>
    </w:p>
    <w:p w14:paraId="6A13619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（3）投标函及投标函附录；</w:t>
      </w:r>
    </w:p>
    <w:p w14:paraId="05E8588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（4）专用合同条款；</w:t>
      </w:r>
    </w:p>
    <w:p w14:paraId="2FD31A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（5）通用合同条款；</w:t>
      </w:r>
    </w:p>
    <w:p w14:paraId="38CADEB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（6）技术标准和要求；</w:t>
      </w:r>
    </w:p>
    <w:p w14:paraId="3C88F32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（7）图纸；</w:t>
      </w:r>
    </w:p>
    <w:p w14:paraId="17A7BB6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（8）已标价工程量清单；</w:t>
      </w:r>
    </w:p>
    <w:p w14:paraId="566D818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（9）其他合同文件。</w:t>
      </w:r>
    </w:p>
    <w:p w14:paraId="0F58534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0" w:name="_Toc1568"/>
      <w:r>
        <w:rPr>
          <w:rFonts w:hint="eastAsia" w:ascii="宋体" w:hAnsi="宋体" w:eastAsia="宋体" w:cs="宋体"/>
          <w:color w:val="auto"/>
          <w:highlight w:val="none"/>
        </w:rPr>
        <w:t>1.5 合同协议书</w:t>
      </w:r>
      <w:bookmarkEnd w:id="120"/>
    </w:p>
    <w:p w14:paraId="7C0E63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承包人按中标通知书规定的时间与发包人签订合同协议书。除法律另有规定或合同另有约定外，发包人和承包人的法定代表人或其委托代理人在合同协议书上签字并盖单位章后，合同生效。</w:t>
      </w:r>
    </w:p>
    <w:p w14:paraId="7FE3387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1" w:name="_Toc13393"/>
      <w:r>
        <w:rPr>
          <w:rFonts w:hint="eastAsia" w:ascii="宋体" w:hAnsi="宋体" w:eastAsia="宋体" w:cs="宋体"/>
          <w:color w:val="auto"/>
          <w:highlight w:val="none"/>
        </w:rPr>
        <w:t>1.6 图纸和承包人文件</w:t>
      </w:r>
      <w:bookmarkEnd w:id="121"/>
    </w:p>
    <w:p w14:paraId="1002F6F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1.6.1图纸的提供</w:t>
      </w:r>
    </w:p>
    <w:p w14:paraId="4DDB32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除专用合同条款另有约定外，图纸应在合理的期限内按照合同约定的数量提供给承包人。由于发包人未按时提供图纸造成工期延误的，按第11.3款的约定办理。</w:t>
      </w:r>
    </w:p>
    <w:p w14:paraId="4611A2A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1.6.2 承包人提供的文件</w:t>
      </w:r>
    </w:p>
    <w:p w14:paraId="422A196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按专用合同条款约定由承包人提供的文件，包括部分工程的大样图、加工图等，承包人应按约定的数量和期限报送监理人。监理人应在专用合同条款约定的期限内批复。</w:t>
      </w:r>
    </w:p>
    <w:p w14:paraId="29DFAD3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1.6.3 图纸的修改</w:t>
      </w:r>
    </w:p>
    <w:p w14:paraId="0A7E5A8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14:paraId="375688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1.6.4 图纸的错误</w:t>
      </w:r>
    </w:p>
    <w:p w14:paraId="0BB6ED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承包人发现发包人提供的图纸存在明显错误或疏忽，应及时通知监理人。</w:t>
      </w:r>
    </w:p>
    <w:p w14:paraId="04A06C6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1.6.5 图纸和承包人文件的保管</w:t>
      </w:r>
    </w:p>
    <w:p w14:paraId="6F7AF7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监理人和承包人均应在施工场地各保存一套完整的包含第1.6.1项、第1.6.2项、第1.6.3项约定内容的图纸和承包人文件。</w:t>
      </w:r>
    </w:p>
    <w:p w14:paraId="40D3DDC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2" w:name="_Toc25436"/>
      <w:r>
        <w:rPr>
          <w:rFonts w:hint="eastAsia" w:ascii="宋体" w:hAnsi="宋体" w:eastAsia="宋体" w:cs="宋体"/>
          <w:color w:val="auto"/>
          <w:highlight w:val="none"/>
        </w:rPr>
        <w:t>1.7 联络</w:t>
      </w:r>
      <w:bookmarkEnd w:id="122"/>
    </w:p>
    <w:p w14:paraId="5D04453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 与合同有关的通知、批准、证明、证书、指示、要求、请求、同意、意见、确定和决定等，均应采用书面形式。</w:t>
      </w:r>
    </w:p>
    <w:p w14:paraId="401837E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1.7.2 第1.7.1项中的通知、批准、证明、证书、指示、要求、请求、同意、意见、确定和决定等来往函件，均应在合同约定的期限内送达指定地点和接收人，并办理签收手续。</w:t>
      </w:r>
    </w:p>
    <w:p w14:paraId="43E0023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3" w:name="_Toc15893"/>
      <w:r>
        <w:rPr>
          <w:rFonts w:hint="eastAsia" w:ascii="宋体" w:hAnsi="宋体" w:eastAsia="宋体" w:cs="宋体"/>
          <w:color w:val="auto"/>
          <w:highlight w:val="none"/>
        </w:rPr>
        <w:t>1.8 转让</w:t>
      </w:r>
      <w:bookmarkEnd w:id="123"/>
    </w:p>
    <w:p w14:paraId="162A09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除合同另有约定外，未经对方当事人同意，一方当事人不得将合同权利全部或部分转让给第三人，也不得全部或部分转移合同义务。</w:t>
      </w:r>
    </w:p>
    <w:p w14:paraId="37CC35E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4" w:name="_Toc30802"/>
      <w:r>
        <w:rPr>
          <w:rFonts w:hint="eastAsia" w:ascii="宋体" w:hAnsi="宋体" w:eastAsia="宋体" w:cs="宋体"/>
          <w:color w:val="auto"/>
          <w:highlight w:val="none"/>
        </w:rPr>
        <w:t>1.9 严禁贿赂</w:t>
      </w:r>
      <w:bookmarkEnd w:id="124"/>
    </w:p>
    <w:p w14:paraId="7B3517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合同双方当事人不得以贿赂或变相贿赂的方式，谋取不当利益或损害对方权益。因贿赂造成对方损失的，行为人应赔偿损失，并承担相应的法律责任。</w:t>
      </w:r>
    </w:p>
    <w:p w14:paraId="1EECDF8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5" w:name="_Toc9359"/>
      <w:r>
        <w:rPr>
          <w:rFonts w:hint="eastAsia" w:ascii="宋体" w:hAnsi="宋体" w:eastAsia="宋体" w:cs="宋体"/>
          <w:color w:val="auto"/>
          <w:highlight w:val="none"/>
        </w:rPr>
        <w:t>1.10 化石、文物</w:t>
      </w:r>
      <w:bookmarkEnd w:id="125"/>
    </w:p>
    <w:p w14:paraId="00215DC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3E12CD2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1.10.2 承包人发现文物后不及时报告或隐瞒不报，致使文物丢失或损坏的，应赔偿损失，并承担相应的法律责任。</w:t>
      </w:r>
    </w:p>
    <w:p w14:paraId="06B34FD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 专利技术</w:t>
      </w:r>
    </w:p>
    <w:p w14:paraId="0AC527B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14:paraId="451E7EF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1.11.2 承包人在投标文件中采用专利技术的，专利技术的使用费包含在投标报价内。</w:t>
      </w:r>
    </w:p>
    <w:p w14:paraId="25B6561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1.11.3 承包人的技术秘密和声明需要保密的资料和信息，发包人和监理人不得为合同以外的目的泄露给他人。</w:t>
      </w:r>
    </w:p>
    <w:p w14:paraId="6FBDC4A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6" w:name="_Toc8296"/>
      <w:r>
        <w:rPr>
          <w:rFonts w:hint="eastAsia" w:ascii="宋体" w:hAnsi="宋体" w:eastAsia="宋体" w:cs="宋体"/>
          <w:color w:val="auto"/>
          <w:highlight w:val="none"/>
        </w:rPr>
        <w:t>1.12 图纸和文件的保密</w:t>
      </w:r>
      <w:bookmarkEnd w:id="126"/>
    </w:p>
    <w:p w14:paraId="61F1F90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1.12.1 发包人提供的图纸和文件，未经发包人同意，承包人不得为合同以外的目的泄露给他人或公开发表与引用。</w:t>
      </w:r>
    </w:p>
    <w:p w14:paraId="0AA6968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1.12.2 承包人提供的文件，未经承包人同意，发包人和监理人不得为合同以外的目的泄露给他人或公开发表与引用。</w:t>
      </w:r>
    </w:p>
    <w:p w14:paraId="11B60628">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27" w:name="_Toc122424434"/>
      <w:bookmarkStart w:id="128" w:name="_Toc122424185"/>
      <w:bookmarkStart w:id="129" w:name="_Toc14047"/>
      <w:r>
        <w:rPr>
          <w:rFonts w:hint="eastAsia" w:ascii="宋体" w:hAnsi="宋体" w:eastAsia="宋体" w:cs="宋体"/>
          <w:color w:val="auto"/>
          <w:highlight w:val="none"/>
        </w:rPr>
        <w:t>2. 发包人义务</w:t>
      </w:r>
      <w:bookmarkEnd w:id="127"/>
      <w:bookmarkEnd w:id="128"/>
      <w:bookmarkEnd w:id="129"/>
    </w:p>
    <w:p w14:paraId="1DD2F65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0" w:name="_Toc29283"/>
      <w:r>
        <w:rPr>
          <w:rFonts w:hint="eastAsia" w:ascii="宋体" w:hAnsi="宋体" w:eastAsia="宋体" w:cs="宋体"/>
          <w:color w:val="auto"/>
          <w:highlight w:val="none"/>
        </w:rPr>
        <w:t>2.1 遵守法律</w:t>
      </w:r>
      <w:bookmarkEnd w:id="130"/>
    </w:p>
    <w:p w14:paraId="6AE9F4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发包人在履行合同过程中应遵守法律，并保证承包人免于承担因发包人违反法律而引起的任何责任。</w:t>
      </w:r>
    </w:p>
    <w:p w14:paraId="448B3DD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1" w:name="_Toc11340"/>
      <w:r>
        <w:rPr>
          <w:rFonts w:hint="eastAsia" w:ascii="宋体" w:hAnsi="宋体" w:eastAsia="宋体" w:cs="宋体"/>
          <w:color w:val="auto"/>
          <w:highlight w:val="none"/>
        </w:rPr>
        <w:t>2.2 发出开工通知</w:t>
      </w:r>
      <w:bookmarkEnd w:id="131"/>
    </w:p>
    <w:p w14:paraId="3EAF46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发包人应委托监理人按第11.1款的约定向承包人发出开工通知。</w:t>
      </w:r>
    </w:p>
    <w:p w14:paraId="0B8C9E6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2" w:name="_Toc15775"/>
      <w:r>
        <w:rPr>
          <w:rFonts w:hint="eastAsia" w:ascii="宋体" w:hAnsi="宋体" w:eastAsia="宋体" w:cs="宋体"/>
          <w:color w:val="auto"/>
          <w:highlight w:val="none"/>
        </w:rPr>
        <w:t>2.3 提供施工场地</w:t>
      </w:r>
      <w:bookmarkEnd w:id="132"/>
    </w:p>
    <w:p w14:paraId="1718A32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发包人应按专用合同条款约定向承包人提供施工场地，以及施工场地内地下管线和地下设施等有关资料，并保证资料的真实、准确、完整。</w:t>
      </w:r>
    </w:p>
    <w:p w14:paraId="7D6073A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3" w:name="_Toc32559"/>
      <w:r>
        <w:rPr>
          <w:rFonts w:hint="eastAsia" w:ascii="宋体" w:hAnsi="宋体" w:eastAsia="宋体" w:cs="宋体"/>
          <w:color w:val="auto"/>
          <w:highlight w:val="none"/>
        </w:rPr>
        <w:t>2.4 协助承包人办理证件和批件</w:t>
      </w:r>
      <w:bookmarkEnd w:id="133"/>
    </w:p>
    <w:p w14:paraId="164B433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发包人应协助承包人办理法律规定的有关施工证件和批件。</w:t>
      </w:r>
    </w:p>
    <w:p w14:paraId="408AE14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4" w:name="_Toc467"/>
      <w:r>
        <w:rPr>
          <w:rFonts w:hint="eastAsia" w:ascii="宋体" w:hAnsi="宋体" w:eastAsia="宋体" w:cs="宋体"/>
          <w:color w:val="auto"/>
          <w:highlight w:val="none"/>
        </w:rPr>
        <w:t>2.5 组织设计交底</w:t>
      </w:r>
      <w:bookmarkEnd w:id="134"/>
    </w:p>
    <w:p w14:paraId="60C7686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发包人应根据合同进度计划，组织设计单位向承包人进行设计交底。</w:t>
      </w:r>
    </w:p>
    <w:p w14:paraId="12A2AC2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5" w:name="_Toc27676"/>
      <w:r>
        <w:rPr>
          <w:rFonts w:hint="eastAsia" w:ascii="宋体" w:hAnsi="宋体" w:eastAsia="宋体" w:cs="宋体"/>
          <w:color w:val="auto"/>
          <w:highlight w:val="none"/>
        </w:rPr>
        <w:t>2.6 支付合同价款</w:t>
      </w:r>
      <w:bookmarkEnd w:id="135"/>
    </w:p>
    <w:p w14:paraId="15062B8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发包人应按合同约定向承包人及时支付合同价款。</w:t>
      </w:r>
    </w:p>
    <w:p w14:paraId="5284F75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6" w:name="_Toc15895"/>
      <w:r>
        <w:rPr>
          <w:rFonts w:hint="eastAsia" w:ascii="宋体" w:hAnsi="宋体" w:eastAsia="宋体" w:cs="宋体"/>
          <w:color w:val="auto"/>
          <w:highlight w:val="none"/>
        </w:rPr>
        <w:t>2.7 组织竣工验收</w:t>
      </w:r>
      <w:bookmarkEnd w:id="136"/>
    </w:p>
    <w:p w14:paraId="107D9E4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发包人应按合同约定及时组织竣工验收。</w:t>
      </w:r>
    </w:p>
    <w:p w14:paraId="2F5EEF7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7" w:name="_Toc8017"/>
      <w:r>
        <w:rPr>
          <w:rFonts w:hint="eastAsia" w:ascii="宋体" w:hAnsi="宋体" w:eastAsia="宋体" w:cs="宋体"/>
          <w:color w:val="auto"/>
          <w:highlight w:val="none"/>
        </w:rPr>
        <w:t>2.8 其他义务</w:t>
      </w:r>
      <w:bookmarkEnd w:id="137"/>
    </w:p>
    <w:p w14:paraId="24C214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发包人应履行合同约定的其他义务。</w:t>
      </w:r>
    </w:p>
    <w:p w14:paraId="114B9627">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38" w:name="_Toc122424186"/>
      <w:bookmarkStart w:id="139" w:name="_Toc6416"/>
      <w:bookmarkStart w:id="140" w:name="_Toc122424435"/>
      <w:r>
        <w:rPr>
          <w:rFonts w:hint="eastAsia" w:ascii="宋体" w:hAnsi="宋体" w:eastAsia="宋体" w:cs="宋体"/>
          <w:color w:val="auto"/>
          <w:highlight w:val="none"/>
        </w:rPr>
        <w:t>3. 监理人</w:t>
      </w:r>
      <w:bookmarkEnd w:id="138"/>
      <w:bookmarkEnd w:id="139"/>
      <w:bookmarkEnd w:id="140"/>
    </w:p>
    <w:p w14:paraId="0EB657A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1" w:name="_Toc10941"/>
      <w:r>
        <w:rPr>
          <w:rFonts w:hint="eastAsia" w:ascii="宋体" w:hAnsi="宋体" w:eastAsia="宋体" w:cs="宋体"/>
          <w:color w:val="auto"/>
          <w:highlight w:val="none"/>
        </w:rPr>
        <w:t>3.1 监理人的职责和权力</w:t>
      </w:r>
      <w:bookmarkEnd w:id="141"/>
    </w:p>
    <w:p w14:paraId="557CC1E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3.1.1 监理人受发包人委托，享有合同约定的权力。监理人在行使某项权力前需要经发包人事先批准而通用合同条款没有指明的，应在专用合同条款中指明。</w:t>
      </w:r>
    </w:p>
    <w:p w14:paraId="7948719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3.1.2 监理人发出的任何指示应视为已得到发包人的批准，但监理人无权免除或变更合同约定的发包人和承包人的权利、义务和责任。</w:t>
      </w:r>
    </w:p>
    <w:p w14:paraId="4B92902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3.1.3 合同约定应由承包人承担的义务和责任，不因监理人对承包人提交文件的审查或批准，对工程、材料和设备的检查和检验，以及为实施监理作出的指示等职务行为而减轻或解除。</w:t>
      </w:r>
    </w:p>
    <w:p w14:paraId="2020176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2" w:name="_Toc13155"/>
      <w:r>
        <w:rPr>
          <w:rFonts w:hint="eastAsia" w:ascii="宋体" w:hAnsi="宋体" w:eastAsia="宋体" w:cs="宋体"/>
          <w:color w:val="auto"/>
          <w:highlight w:val="none"/>
        </w:rPr>
        <w:t>3.2 总监理工程师</w:t>
      </w:r>
      <w:bookmarkEnd w:id="142"/>
    </w:p>
    <w:p w14:paraId="4347B2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发包人应在发出开工通知前将总监理工程师的任命通知承包人。总监理工程师更换时，应在调离14天前通知承包人。总监理工程师短期离开施工场地的，应委派代表代行其职责，并通知承包人。</w:t>
      </w:r>
    </w:p>
    <w:p w14:paraId="06034A1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 监理人员</w:t>
      </w:r>
    </w:p>
    <w:p w14:paraId="02D374E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287FA85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3DC53F7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3.3.3 承包人对总监理工程师授权的监理人员发出的指示有疑问的，可向总监理工程师提出书面异议，总监理工程师应在48小时内对该指示予以确认、更改或撤销。</w:t>
      </w:r>
    </w:p>
    <w:p w14:paraId="48D5E5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3.3.4 除专用合同条款另有约定外，总监理工程师不应将第3.5款约定应由总监理工程师作出确定的权力授权或委托给其他监理人员。</w:t>
      </w:r>
    </w:p>
    <w:p w14:paraId="3B0AA55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3" w:name="_Toc16098"/>
      <w:r>
        <w:rPr>
          <w:rFonts w:hint="eastAsia" w:ascii="宋体" w:hAnsi="宋体" w:eastAsia="宋体" w:cs="宋体"/>
          <w:color w:val="auto"/>
          <w:highlight w:val="none"/>
        </w:rPr>
        <w:t>3.4 监理人的指示</w:t>
      </w:r>
      <w:bookmarkEnd w:id="143"/>
    </w:p>
    <w:p w14:paraId="623F361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3.4.1 监理人应按第3.1款的约定向承包人发出指示，监理人的指示应盖有监理人授权的施工场地机构章，并由总监理工程师或总监理工程师按第3.3.1项约定授权的监理人员签字。</w:t>
      </w:r>
    </w:p>
    <w:p w14:paraId="5DC20A8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3.4.2 承包人收到监理人按第3.4.1项作出的指示后应遵照执行。指示构成变更的，应按第15条处理。</w:t>
      </w:r>
    </w:p>
    <w:p w14:paraId="063BCEC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1595201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3.4.4 除合同另有约定外，承包人只从总监理工程师或按第3.3.1项被授权的监理人员处取得指示。</w:t>
      </w:r>
    </w:p>
    <w:p w14:paraId="2B3EA66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3.4.5 由于监理人未能按合同约定发出指示、指示延误或指示错误而导致承包人费用增加和（或）工期延误的，由发包人承担赔偿责任。 </w:t>
      </w:r>
    </w:p>
    <w:p w14:paraId="18F12F1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4" w:name="_Toc22256"/>
      <w:r>
        <w:rPr>
          <w:rFonts w:hint="eastAsia" w:ascii="宋体" w:hAnsi="宋体" w:eastAsia="宋体" w:cs="宋体"/>
          <w:color w:val="auto"/>
          <w:highlight w:val="none"/>
        </w:rPr>
        <w:t>3.5 商定或确定</w:t>
      </w:r>
      <w:bookmarkEnd w:id="144"/>
    </w:p>
    <w:p w14:paraId="0633685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3.5.1合同约定总监理工程师应按照本款对任何事项进行商定或确定时，总监理工程师应与合同当事人协商，尽量达成一致。不能达成一致的，总监理工程师应认真研究后审慎确定。</w:t>
      </w:r>
    </w:p>
    <w:p w14:paraId="0BA524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6894A4E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45" w:name="_Toc2069"/>
      <w:bookmarkStart w:id="146" w:name="_Toc122424436"/>
      <w:bookmarkStart w:id="147" w:name="_Toc122424187"/>
      <w:r>
        <w:rPr>
          <w:rFonts w:hint="eastAsia" w:ascii="宋体" w:hAnsi="宋体" w:eastAsia="宋体" w:cs="宋体"/>
          <w:color w:val="auto"/>
          <w:highlight w:val="none"/>
        </w:rPr>
        <w:t>4. 承包人</w:t>
      </w:r>
      <w:bookmarkEnd w:id="145"/>
      <w:bookmarkEnd w:id="146"/>
      <w:bookmarkEnd w:id="147"/>
    </w:p>
    <w:p w14:paraId="5729F53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8" w:name="_Toc20588"/>
      <w:r>
        <w:rPr>
          <w:rFonts w:hint="eastAsia" w:ascii="宋体" w:hAnsi="宋体" w:eastAsia="宋体" w:cs="宋体"/>
          <w:color w:val="auto"/>
          <w:highlight w:val="none"/>
        </w:rPr>
        <w:t>4.1 承包人的一般义务</w:t>
      </w:r>
      <w:bookmarkEnd w:id="148"/>
    </w:p>
    <w:p w14:paraId="3CB960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 遵守法律</w:t>
      </w:r>
    </w:p>
    <w:p w14:paraId="017A8B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承包人在履行合同过程中应遵守法律，并保证发包人免于承担因承包人违反法律而引起的任何责任。</w:t>
      </w:r>
    </w:p>
    <w:p w14:paraId="05B819B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4.1.2 依法纳税</w:t>
      </w:r>
    </w:p>
    <w:p w14:paraId="4963EB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承包人应按有关法律规定纳税，应缴纳的税金包括在合同价格内。</w:t>
      </w:r>
    </w:p>
    <w:p w14:paraId="7293A1F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4.1.3 完成各项承包工作</w:t>
      </w:r>
    </w:p>
    <w:p w14:paraId="52255B3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3F9575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4.1.4 对施工作业和施工方法的完备性负责</w:t>
      </w:r>
    </w:p>
    <w:p w14:paraId="5EE94FD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承包人应按合同约定的工作内容和施工进度要求，编制施工组织设计和施工措施计划，并对所有施工作业和施工方法的完备性和安全可靠性负责。</w:t>
      </w:r>
    </w:p>
    <w:p w14:paraId="23AFFF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4.1.5 保证工程施工和人员的安全</w:t>
      </w:r>
    </w:p>
    <w:p w14:paraId="39F8107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承包人应按第9.2款约定采取施工安全措施，确保工程及其人员、材料、设备和设施的安全，防止因工程施工造成的人身伤害和财产损失。</w:t>
      </w:r>
    </w:p>
    <w:p w14:paraId="6B7E4E4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4.1.6 负责施工场地及其周边环境与生态的保护工作</w:t>
      </w:r>
    </w:p>
    <w:p w14:paraId="49F0E06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承包人应按照第9.4款约定负责施工场地及其周边环境与生态的保护工作。</w:t>
      </w:r>
    </w:p>
    <w:p w14:paraId="48986E0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4.1.7 避免施工对公众与他人的利益造成损害</w:t>
      </w:r>
    </w:p>
    <w:p w14:paraId="0B46980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C2713C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4.1.8 为他人提供方便</w:t>
      </w:r>
    </w:p>
    <w:p w14:paraId="34DEA5B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14:paraId="55D9C6F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4.1.9 工程的维护和照管</w:t>
      </w:r>
    </w:p>
    <w:p w14:paraId="654D7B4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工程接收证书颁发前，承包人应负责照管和维护工程。工程接收证书颁发时尚有部分未竣工工程的，承包人还应负责该未竣工工程的照管和维护工作，直至竣工后移交给发包人为止。</w:t>
      </w:r>
    </w:p>
    <w:p w14:paraId="6494334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4.1.10 其他义务</w:t>
      </w:r>
    </w:p>
    <w:p w14:paraId="10162D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承包人应履行合同约定的其他义务。</w:t>
      </w:r>
    </w:p>
    <w:p w14:paraId="046E452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9" w:name="_Toc19718"/>
      <w:r>
        <w:rPr>
          <w:rFonts w:hint="eastAsia" w:ascii="宋体" w:hAnsi="宋体" w:eastAsia="宋体" w:cs="宋体"/>
          <w:color w:val="auto"/>
          <w:highlight w:val="none"/>
        </w:rPr>
        <w:t>4.2 履约担保</w:t>
      </w:r>
      <w:bookmarkEnd w:id="149"/>
    </w:p>
    <w:p w14:paraId="6410567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承包人应保证其履约担保在发包人颁发工程接收证书前一直有效。发包人应在工程接收证书颁发后28天内把履约担保退还给承包人。</w:t>
      </w:r>
    </w:p>
    <w:p w14:paraId="64034F0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0" w:name="_Toc23431"/>
      <w:r>
        <w:rPr>
          <w:rFonts w:hint="eastAsia" w:ascii="宋体" w:hAnsi="宋体" w:eastAsia="宋体" w:cs="宋体"/>
          <w:color w:val="auto"/>
          <w:highlight w:val="none"/>
        </w:rPr>
        <w:t>4.3 分包</w:t>
      </w:r>
      <w:bookmarkEnd w:id="150"/>
    </w:p>
    <w:p w14:paraId="7C62F34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4.3.1 承包人不得将其承包的全部工程转包给第三人，或将其承包的全部工程肢解后以分包的名义转包给第三人。</w:t>
      </w:r>
    </w:p>
    <w:p w14:paraId="413A172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4.3.2 承包人不得将工程主体、关键性工作分包给第三人。除专用合同条款另有约定外，未经发包人同意，承包人不得将工程的其他部分或工作分包给第三人。</w:t>
      </w:r>
    </w:p>
    <w:p w14:paraId="2D50DDB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4.3.3 分包人的资格能力应与其分包工程的标准和规模相适应。</w:t>
      </w:r>
    </w:p>
    <w:p w14:paraId="351AAAD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4.3.4 按投标函附录约定分包工程的，承包人应向发包人和监理人提交分包合同副本。</w:t>
      </w:r>
    </w:p>
    <w:p w14:paraId="0499BC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4.3.5 承包人应与分包人就分包工程向发包人承担连带责任。</w:t>
      </w:r>
    </w:p>
    <w:p w14:paraId="1E02B9F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1" w:name="_Toc21376"/>
      <w:r>
        <w:rPr>
          <w:rFonts w:hint="eastAsia" w:ascii="宋体" w:hAnsi="宋体" w:eastAsia="宋体" w:cs="宋体"/>
          <w:color w:val="auto"/>
          <w:highlight w:val="none"/>
        </w:rPr>
        <w:t>4.4 联合体</w:t>
      </w:r>
      <w:bookmarkEnd w:id="151"/>
    </w:p>
    <w:p w14:paraId="20EDB6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4.4.1 联合体各方应共同与发包人签订合同协议书。联合体各方应为履行合同承担连带责任。</w:t>
      </w:r>
    </w:p>
    <w:p w14:paraId="6F1910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4.4.2 联合体协议经发包人确认后作为合同附件。在履行合同过程中，未经发包人同意，不得修改联合体协议。</w:t>
      </w:r>
    </w:p>
    <w:p w14:paraId="4E2EF3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4.4.3 联合体牵头人负责与发包人和监理人联系，并接受指示，负责组织联合体各成员全面履行合同。</w:t>
      </w:r>
    </w:p>
    <w:p w14:paraId="432F5BE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4.5 承包人项目经理</w:t>
      </w:r>
    </w:p>
    <w:p w14:paraId="165587B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7DC661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23BE037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4.5.3承包人为履行合同发出的一切函件均应盖有承包人授权的施工场地管理机构章，并由承包人项目经理或其授权代表签字。</w:t>
      </w:r>
    </w:p>
    <w:p w14:paraId="17D057F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4.5.4 承包人项目经理可以授权其下属人员履行其某项职责，但事先应将这些人员的姓名和授权范围通知监理人。</w:t>
      </w:r>
    </w:p>
    <w:p w14:paraId="56622A0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2" w:name="_Toc538"/>
      <w:r>
        <w:rPr>
          <w:rFonts w:hint="eastAsia" w:ascii="宋体" w:hAnsi="宋体" w:eastAsia="宋体" w:cs="宋体"/>
          <w:color w:val="auto"/>
          <w:highlight w:val="none"/>
        </w:rPr>
        <w:t>4.6 承包人人员的管理</w:t>
      </w:r>
      <w:bookmarkEnd w:id="152"/>
    </w:p>
    <w:p w14:paraId="2DD9D6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374207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4.6.2 为完成合同约定的各项工作，承包人应向施工场地派遣或雇佣足够数量的下列人员：</w:t>
      </w:r>
    </w:p>
    <w:p w14:paraId="1ED493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（1）具有相应资格的专业技工和合格的普工；</w:t>
      </w:r>
    </w:p>
    <w:p w14:paraId="471EBC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（2）具有相应施工经验的技术人员；</w:t>
      </w:r>
    </w:p>
    <w:p w14:paraId="603ED88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（3）具有相应岗位资格的各级管理人员。</w:t>
      </w:r>
    </w:p>
    <w:p w14:paraId="3034DA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4.6.3 承包人安排在施工场地的主要管理人员和技术骨干应相对稳定。承包人更换主要管理人员和技术骨干时，应取得监理人的同意。</w:t>
      </w:r>
    </w:p>
    <w:p w14:paraId="2160AD9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4.6.4 特殊岗位的工作人员均应持有相应的资格证明，监理人有权随时检查。监理人认为有必要时，可进行现场考核。</w:t>
      </w:r>
    </w:p>
    <w:p w14:paraId="23D7AA9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3" w:name="_Toc31168"/>
      <w:r>
        <w:rPr>
          <w:rFonts w:hint="eastAsia" w:ascii="宋体" w:hAnsi="宋体" w:eastAsia="宋体" w:cs="宋体"/>
          <w:color w:val="auto"/>
          <w:highlight w:val="none"/>
        </w:rPr>
        <w:t>4.7 撤换承包人项目经理和其他人员</w:t>
      </w:r>
      <w:bookmarkEnd w:id="153"/>
    </w:p>
    <w:p w14:paraId="035EEBA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承包人应对其项目经理和其他人员进行有效管理。监理人要求撤换不能胜任本职工作、行为不端或玩忽职守的承包人项目经理和其他人员的，承包人应予以撤换。</w:t>
      </w:r>
    </w:p>
    <w:p w14:paraId="6D4BE50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4" w:name="_Toc6851"/>
      <w:r>
        <w:rPr>
          <w:rFonts w:hint="eastAsia" w:ascii="宋体" w:hAnsi="宋体" w:eastAsia="宋体" w:cs="宋体"/>
          <w:color w:val="auto"/>
          <w:highlight w:val="none"/>
        </w:rPr>
        <w:t>4.8 保障承包人人员的合法权益</w:t>
      </w:r>
      <w:bookmarkEnd w:id="154"/>
    </w:p>
    <w:p w14:paraId="73F99CD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4.8.1 承包人应与其雇佣的人员签订劳动合同，并按时发放工资。</w:t>
      </w:r>
    </w:p>
    <w:p w14:paraId="2D30E32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772E16C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4.8.3 承包人应为其雇佣人员提供必要的食宿条件，以及符合环境保护和卫生要求的生活环境，在远离城镇的施工场地，还应配备必要的伤病防治和急救的医务人员与医疗设施。</w:t>
      </w:r>
    </w:p>
    <w:p w14:paraId="710806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4462A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4.8.5 承包人应按有关法律规定和合同约定，为其雇佣人员办理保险。</w:t>
      </w:r>
    </w:p>
    <w:p w14:paraId="232C0A8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4.8.6 承包人应负责处理其雇佣人员因工伤亡事故的善后事宜。</w:t>
      </w:r>
    </w:p>
    <w:p w14:paraId="679945E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5" w:name="_Toc25993"/>
      <w:r>
        <w:rPr>
          <w:rFonts w:hint="eastAsia" w:ascii="宋体" w:hAnsi="宋体" w:eastAsia="宋体" w:cs="宋体"/>
          <w:color w:val="auto"/>
          <w:highlight w:val="none"/>
        </w:rPr>
        <w:t>4.9 工程价款应专款专用</w:t>
      </w:r>
      <w:bookmarkEnd w:id="155"/>
    </w:p>
    <w:p w14:paraId="127951D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发包人按合同约定支付给承包人的各项价款应专用于合同工程。</w:t>
      </w:r>
    </w:p>
    <w:p w14:paraId="76CE471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6" w:name="_Toc27321"/>
      <w:r>
        <w:rPr>
          <w:rFonts w:hint="eastAsia" w:ascii="宋体" w:hAnsi="宋体" w:eastAsia="宋体" w:cs="宋体"/>
          <w:color w:val="auto"/>
          <w:highlight w:val="none"/>
        </w:rPr>
        <w:t>4.10 承包人现场查勘</w:t>
      </w:r>
      <w:bookmarkEnd w:id="156"/>
    </w:p>
    <w:p w14:paraId="2C38BB4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4.10.1 发包人应将其持有的现场地质勘探资料、水文气象资料提供给承包人，并对其准确性负责。但承包人应对其阅读上述有关资料后所作出的解释和推断负责。</w:t>
      </w:r>
    </w:p>
    <w:p w14:paraId="34FDA64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04EFAB9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7" w:name="_Toc7633"/>
      <w:r>
        <w:rPr>
          <w:rFonts w:hint="eastAsia" w:ascii="宋体" w:hAnsi="宋体" w:eastAsia="宋体" w:cs="宋体"/>
          <w:color w:val="auto"/>
          <w:highlight w:val="none"/>
        </w:rPr>
        <w:t>4.11 不利物质条件</w:t>
      </w:r>
      <w:bookmarkEnd w:id="157"/>
    </w:p>
    <w:p w14:paraId="622708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4.11.1 不利物质条件，除专用合同条款另有约定外，是指承包人在施工场地遇到的不可预见的自然物质条件、非自然的物质障碍和污染物，包括地下和水文条件，但不包括气候条件。</w:t>
      </w:r>
    </w:p>
    <w:p w14:paraId="520E789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5679EAAB">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58" w:name="_Toc122424437"/>
      <w:bookmarkStart w:id="159" w:name="_Toc122424188"/>
      <w:r>
        <w:rPr>
          <w:rFonts w:hint="eastAsia" w:ascii="宋体" w:hAnsi="宋体" w:eastAsia="宋体" w:cs="宋体"/>
          <w:color w:val="auto"/>
          <w:highlight w:val="none"/>
        </w:rPr>
        <w:t>5. 材料和工程设备</w:t>
      </w:r>
      <w:bookmarkEnd w:id="158"/>
      <w:bookmarkEnd w:id="159"/>
    </w:p>
    <w:p w14:paraId="2A11A0C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0" w:name="_Toc17580"/>
      <w:r>
        <w:rPr>
          <w:rFonts w:hint="eastAsia" w:ascii="宋体" w:hAnsi="宋体" w:eastAsia="宋体" w:cs="宋体"/>
          <w:color w:val="auto"/>
          <w:highlight w:val="none"/>
        </w:rPr>
        <w:t>5.1 承包人提供的材料和工程设备</w:t>
      </w:r>
      <w:bookmarkEnd w:id="160"/>
    </w:p>
    <w:p w14:paraId="789F77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5.1.1 除专用合同条款另有约定外，承包人提供的材料和工程设备均由承包人负责采购、运输和保管。承包人应对其采购的材料和工程设备负责。</w:t>
      </w:r>
    </w:p>
    <w:p w14:paraId="4454D2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4535C9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67D667C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1" w:name="_Toc26086"/>
      <w:r>
        <w:rPr>
          <w:rFonts w:hint="eastAsia" w:ascii="宋体" w:hAnsi="宋体" w:eastAsia="宋体" w:cs="宋体"/>
          <w:color w:val="auto"/>
          <w:highlight w:val="none"/>
        </w:rPr>
        <w:t>5.2 发包人提供的材料和工程设备</w:t>
      </w:r>
      <w:bookmarkEnd w:id="161"/>
    </w:p>
    <w:p w14:paraId="13E72BA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5.2.1 发包人提供的材料和工程设备，应在专用合同条款中写明材料和工程设备的名称、规格、数量、价格、交货方式、交货地点和计划交货日期等。</w:t>
      </w:r>
    </w:p>
    <w:p w14:paraId="155F991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5.2.2 承包人应根据合同进度计划的安排，向监理人报送要求发包人交货的日期计划。发包人应按照监理人与合同双方当事人商定的交货日期，向承包人提交材料和工程设备。</w:t>
      </w:r>
    </w:p>
    <w:p w14:paraId="05AC6F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3F7669E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5.2.4 发包人要求向承包人提前交货的，承包人不得拒绝，但发包人应承担承包人由此增加的费用。 </w:t>
      </w:r>
    </w:p>
    <w:p w14:paraId="6F9C005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5.2.5 承包人要求更改交货日期或地点的，应事先报请监理人批准。由于承包人要求更改交货时间或地点所增加的费用和（或）工期延误由承包人承担。 </w:t>
      </w:r>
    </w:p>
    <w:p w14:paraId="2A5A041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769F7DD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2" w:name="_Toc25028"/>
      <w:r>
        <w:rPr>
          <w:rFonts w:hint="eastAsia" w:ascii="宋体" w:hAnsi="宋体" w:eastAsia="宋体" w:cs="宋体"/>
          <w:color w:val="auto"/>
          <w:highlight w:val="none"/>
        </w:rPr>
        <w:t>5.3 材料和工程设备专用于合同工程</w:t>
      </w:r>
      <w:bookmarkEnd w:id="162"/>
    </w:p>
    <w:p w14:paraId="05D38E7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5.3.1运入施工场地的材料、工程设备，包括备品备件、安装专用工器具与随机资料，必须专用于合同工程，未经监理人同意，承包人不得运出施工场地或挪作他用。</w:t>
      </w:r>
    </w:p>
    <w:p w14:paraId="514328B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7625D60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3" w:name="_Toc14583"/>
      <w:r>
        <w:rPr>
          <w:rFonts w:hint="eastAsia" w:ascii="宋体" w:hAnsi="宋体" w:eastAsia="宋体" w:cs="宋体"/>
          <w:color w:val="auto"/>
          <w:highlight w:val="none"/>
        </w:rPr>
        <w:t>5.4 禁止使用不合格的材料和工程设备</w:t>
      </w:r>
      <w:bookmarkEnd w:id="163"/>
    </w:p>
    <w:p w14:paraId="251AFFE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5.4.1 监理人有权拒绝承包人提供的不合格材料或工程设备，并要求承包人立即进行更换。监理人应在更换后再次进行检查和检验，由此增加的费用和（或）工期延误由承包人承担。</w:t>
      </w:r>
    </w:p>
    <w:p w14:paraId="507830A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5.4.2 监理人发现承包人使用了不合格的材料和工程设备，应即时发出指示要求承包人立即改正，并禁止在工程中继续使用不合格的材料和工程设备。</w:t>
      </w:r>
    </w:p>
    <w:p w14:paraId="020B97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5.4.3 发包人提供的材料或工程设备不符合合同要求的，承包人有权拒绝，并可要求发包人更换，由此增加的费用和（或）工期延误由发包人承担。</w:t>
      </w:r>
    </w:p>
    <w:p w14:paraId="5CD08D8D">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64" w:name="_Toc122424438"/>
      <w:bookmarkStart w:id="165" w:name="_Toc22183"/>
      <w:bookmarkStart w:id="166" w:name="_Toc122424189"/>
      <w:r>
        <w:rPr>
          <w:rFonts w:hint="eastAsia" w:ascii="宋体" w:hAnsi="宋体" w:eastAsia="宋体" w:cs="宋体"/>
          <w:color w:val="auto"/>
          <w:highlight w:val="none"/>
        </w:rPr>
        <w:t>6. 施工设备和临时设施</w:t>
      </w:r>
      <w:bookmarkEnd w:id="164"/>
      <w:bookmarkEnd w:id="165"/>
      <w:bookmarkEnd w:id="166"/>
    </w:p>
    <w:p w14:paraId="6ACCE8F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7" w:name="_Toc18606"/>
      <w:r>
        <w:rPr>
          <w:rFonts w:hint="eastAsia" w:ascii="宋体" w:hAnsi="宋体" w:eastAsia="宋体" w:cs="宋体"/>
          <w:color w:val="auto"/>
          <w:highlight w:val="none"/>
        </w:rPr>
        <w:t>6.1 承包人提供的施工设备和临时设施</w:t>
      </w:r>
      <w:bookmarkEnd w:id="167"/>
    </w:p>
    <w:p w14:paraId="612836E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2F3927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6.1.2除专用合同条款另有约定外，承包人应自行承担修建临时设施的费用，需要临时占地的，应由发包人办理申请手续并承担相应费用。</w:t>
      </w:r>
    </w:p>
    <w:p w14:paraId="4C72682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8" w:name="_Toc12933"/>
      <w:r>
        <w:rPr>
          <w:rFonts w:hint="eastAsia" w:ascii="宋体" w:hAnsi="宋体" w:eastAsia="宋体" w:cs="宋体"/>
          <w:color w:val="auto"/>
          <w:highlight w:val="none"/>
        </w:rPr>
        <w:t>6.2 发包人提供的施工设备和临时设施</w:t>
      </w:r>
      <w:bookmarkEnd w:id="168"/>
    </w:p>
    <w:p w14:paraId="1D3F531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发包人提供的施工设备或临时设施在专用合同条款中约定。</w:t>
      </w:r>
    </w:p>
    <w:p w14:paraId="51BD06C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9" w:name="_Toc4522"/>
      <w:r>
        <w:rPr>
          <w:rFonts w:hint="eastAsia" w:ascii="宋体" w:hAnsi="宋体" w:eastAsia="宋体" w:cs="宋体"/>
          <w:color w:val="auto"/>
          <w:highlight w:val="none"/>
        </w:rPr>
        <w:t>6.3 要求承包人增加或更换施工设备</w:t>
      </w:r>
      <w:bookmarkEnd w:id="169"/>
    </w:p>
    <w:p w14:paraId="477E9E6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承包人使用的施工设备不能满足合同进度计划和（或）质量要求时，监理人有权要求承包人增加或更换施工设备，承包人应及时增加或更换，由此增加的费用和（或）工期延误由承包人承担。</w:t>
      </w:r>
    </w:p>
    <w:p w14:paraId="2522304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0" w:name="_Toc18668"/>
      <w:r>
        <w:rPr>
          <w:rFonts w:hint="eastAsia" w:ascii="宋体" w:hAnsi="宋体" w:eastAsia="宋体" w:cs="宋体"/>
          <w:color w:val="auto"/>
          <w:highlight w:val="none"/>
        </w:rPr>
        <w:t>6.4 施工设备和临时设施专用于合同工程</w:t>
      </w:r>
      <w:bookmarkEnd w:id="170"/>
    </w:p>
    <w:p w14:paraId="1D04F6F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3219CC6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6.4.2 经监理人同意，承包人可根据合同进度计划撤走闲置的施工设备。</w:t>
      </w:r>
    </w:p>
    <w:p w14:paraId="61F0E382">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71" w:name="_Toc122424190"/>
      <w:bookmarkStart w:id="172" w:name="_Toc122424439"/>
      <w:bookmarkStart w:id="173" w:name="_Toc25865"/>
      <w:r>
        <w:rPr>
          <w:rFonts w:hint="eastAsia" w:ascii="宋体" w:hAnsi="宋体" w:eastAsia="宋体" w:cs="宋体"/>
          <w:color w:val="auto"/>
          <w:highlight w:val="none"/>
        </w:rPr>
        <w:t>7. 交通运输</w:t>
      </w:r>
      <w:bookmarkEnd w:id="171"/>
      <w:bookmarkEnd w:id="172"/>
      <w:bookmarkEnd w:id="173"/>
    </w:p>
    <w:p w14:paraId="4F5346D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4" w:name="_Toc19258"/>
      <w:r>
        <w:rPr>
          <w:rFonts w:hint="eastAsia" w:ascii="宋体" w:hAnsi="宋体" w:eastAsia="宋体" w:cs="宋体"/>
          <w:color w:val="auto"/>
          <w:highlight w:val="none"/>
        </w:rPr>
        <w:t>7.1 道路通行权和场外设施</w:t>
      </w:r>
      <w:bookmarkEnd w:id="174"/>
    </w:p>
    <w:p w14:paraId="00C190B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13F7EBA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5" w:name="_Toc10364"/>
      <w:r>
        <w:rPr>
          <w:rFonts w:hint="eastAsia" w:ascii="宋体" w:hAnsi="宋体" w:eastAsia="宋体" w:cs="宋体"/>
          <w:color w:val="auto"/>
          <w:highlight w:val="none"/>
        </w:rPr>
        <w:t>7.2 场内施工道路</w:t>
      </w:r>
      <w:bookmarkEnd w:id="175"/>
    </w:p>
    <w:p w14:paraId="240F92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7.2.1 除专用合同条款另有约定外，承包人应负责修建、维修、养护和管理施工所需的临时道路和交通设施，包括维修、养护和管理发包人提供的道路和交通设施，并承担相应费用。</w:t>
      </w:r>
    </w:p>
    <w:p w14:paraId="0BB27F7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7.2.2 除专用合同条款另有约定外，承包人修建的临时道路和交通设施应免费提供发包人和监理人使用。</w:t>
      </w:r>
    </w:p>
    <w:p w14:paraId="4C08735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6" w:name="_Toc25319"/>
      <w:r>
        <w:rPr>
          <w:rFonts w:hint="eastAsia" w:ascii="宋体" w:hAnsi="宋体" w:eastAsia="宋体" w:cs="宋体"/>
          <w:color w:val="auto"/>
          <w:highlight w:val="none"/>
        </w:rPr>
        <w:t>7.3 场外交通</w:t>
      </w:r>
      <w:bookmarkEnd w:id="176"/>
    </w:p>
    <w:p w14:paraId="19ECE3C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7.3.1 承包人车辆外出行驶所需的场外公共道路的通行费、养路费和税款等由承包人承担。</w:t>
      </w:r>
    </w:p>
    <w:p w14:paraId="26762DD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7.3.2 承包人应遵守有关交通法规，严格按照道路和桥梁的限制荷重安全行驶，并服从交通管理部门的检查和监督。</w:t>
      </w:r>
    </w:p>
    <w:p w14:paraId="58E9048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7.4 超大件和超重件的运输</w:t>
      </w:r>
    </w:p>
    <w:p w14:paraId="3F6187F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5B5D9F0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7" w:name="_Toc31442"/>
      <w:r>
        <w:rPr>
          <w:rFonts w:hint="eastAsia" w:ascii="宋体" w:hAnsi="宋体" w:eastAsia="宋体" w:cs="宋体"/>
          <w:color w:val="auto"/>
          <w:highlight w:val="none"/>
        </w:rPr>
        <w:t>7.5 道路和桥梁的损坏责任</w:t>
      </w:r>
      <w:bookmarkEnd w:id="177"/>
    </w:p>
    <w:p w14:paraId="6FF3066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因承包人运输造成施工场地内外公共道路和桥梁损坏的，由承包人承担修复损坏的全部费用和可能引起的赔偿。</w:t>
      </w:r>
    </w:p>
    <w:p w14:paraId="7955DFE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8" w:name="_Toc15978"/>
      <w:r>
        <w:rPr>
          <w:rFonts w:hint="eastAsia" w:ascii="宋体" w:hAnsi="宋体" w:eastAsia="宋体" w:cs="宋体"/>
          <w:color w:val="auto"/>
          <w:highlight w:val="none"/>
        </w:rPr>
        <w:t>7.6 水路和航空运输</w:t>
      </w:r>
      <w:bookmarkEnd w:id="178"/>
    </w:p>
    <w:p w14:paraId="6CF0CA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本条上述各款的内容适用于水路运输和航空运输，其中“道路”一词的涵义包括河道、航线、船闸、机场、码头、堤防以及水路或航空运输中其他相似结构物；“车辆”一词的涵义包括船舶和飞机等。 </w:t>
      </w:r>
    </w:p>
    <w:p w14:paraId="14F3900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79" w:name="_Toc122424191"/>
      <w:bookmarkStart w:id="180" w:name="_Toc122424440"/>
      <w:bookmarkStart w:id="181" w:name="_Toc6195"/>
      <w:r>
        <w:rPr>
          <w:rFonts w:hint="eastAsia" w:ascii="宋体" w:hAnsi="宋体" w:eastAsia="宋体" w:cs="宋体"/>
          <w:color w:val="auto"/>
          <w:highlight w:val="none"/>
        </w:rPr>
        <w:t>8. 测量放线</w:t>
      </w:r>
      <w:bookmarkEnd w:id="179"/>
      <w:bookmarkEnd w:id="180"/>
      <w:bookmarkEnd w:id="181"/>
    </w:p>
    <w:p w14:paraId="4285415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2" w:name="_Toc17175"/>
      <w:r>
        <w:rPr>
          <w:rFonts w:hint="eastAsia" w:ascii="宋体" w:hAnsi="宋体" w:eastAsia="宋体" w:cs="宋体"/>
          <w:color w:val="auto"/>
          <w:highlight w:val="none"/>
        </w:rPr>
        <w:t>8.1 施工控制网</w:t>
      </w:r>
      <w:bookmarkEnd w:id="182"/>
    </w:p>
    <w:p w14:paraId="036D130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3487C7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8.1.2承包人应负责管理施工控制网点。施工控制网点丢失或损坏的，承包人应及时修复。承包人应承担施工控制网点的管理与修复费用，并在工程竣工后将施工控制网点移交发包人。</w:t>
      </w:r>
    </w:p>
    <w:p w14:paraId="102EE25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3" w:name="_Toc26593"/>
      <w:r>
        <w:rPr>
          <w:rFonts w:hint="eastAsia" w:ascii="宋体" w:hAnsi="宋体" w:eastAsia="宋体" w:cs="宋体"/>
          <w:color w:val="auto"/>
          <w:highlight w:val="none"/>
        </w:rPr>
        <w:t>8.2 施工测量</w:t>
      </w:r>
      <w:bookmarkEnd w:id="183"/>
    </w:p>
    <w:p w14:paraId="540056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8.2.1承包人应负责施工过程中的全部施工测量放线工作，并配置合格的人员、仪器、设备和其他物品。</w:t>
      </w:r>
    </w:p>
    <w:p w14:paraId="70DB8E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8.2.2监理人可以指示承包人进行抽样复测，当复测中发现错误或出现超过合同约定的误差时，承包人应按监理人指示进行修正或补测，并承担相应的复测费用。</w:t>
      </w:r>
    </w:p>
    <w:p w14:paraId="1A04ACF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4" w:name="_Toc24208"/>
      <w:r>
        <w:rPr>
          <w:rFonts w:hint="eastAsia" w:ascii="宋体" w:hAnsi="宋体" w:eastAsia="宋体" w:cs="宋体"/>
          <w:color w:val="auto"/>
          <w:highlight w:val="none"/>
        </w:rPr>
        <w:t>8.3 基准资料错误的责任</w:t>
      </w:r>
      <w:bookmarkEnd w:id="184"/>
    </w:p>
    <w:p w14:paraId="096364D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502800B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5" w:name="_Toc2830"/>
      <w:r>
        <w:rPr>
          <w:rFonts w:hint="eastAsia" w:ascii="宋体" w:hAnsi="宋体" w:eastAsia="宋体" w:cs="宋体"/>
          <w:color w:val="auto"/>
          <w:highlight w:val="none"/>
        </w:rPr>
        <w:t>8.4 监理人使用施工控制网</w:t>
      </w:r>
      <w:bookmarkEnd w:id="185"/>
    </w:p>
    <w:p w14:paraId="3C130A8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监理人需要使用施工控制网的，承包人应提供必要的协助，发包人不再为此支付费用。</w:t>
      </w:r>
    </w:p>
    <w:p w14:paraId="69C73C53">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86" w:name="_Toc21731"/>
      <w:bookmarkStart w:id="187" w:name="_Toc122424192"/>
      <w:bookmarkStart w:id="188" w:name="_Toc122424441"/>
      <w:r>
        <w:rPr>
          <w:rFonts w:hint="eastAsia" w:ascii="宋体" w:hAnsi="宋体" w:eastAsia="宋体" w:cs="宋体"/>
          <w:color w:val="auto"/>
          <w:highlight w:val="none"/>
        </w:rPr>
        <w:t>9. 施工安全、治安保卫和环境保护</w:t>
      </w:r>
      <w:bookmarkEnd w:id="186"/>
      <w:bookmarkEnd w:id="187"/>
      <w:bookmarkEnd w:id="188"/>
    </w:p>
    <w:p w14:paraId="3D3C032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9" w:name="_Toc18091"/>
      <w:r>
        <w:rPr>
          <w:rFonts w:hint="eastAsia" w:ascii="宋体" w:hAnsi="宋体" w:eastAsia="宋体" w:cs="宋体"/>
          <w:color w:val="auto"/>
          <w:highlight w:val="none"/>
        </w:rPr>
        <w:t>9.1 发包人的施工安全责任</w:t>
      </w:r>
      <w:bookmarkEnd w:id="189"/>
    </w:p>
    <w:p w14:paraId="5F54E2C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9.1.1 发包人应按合同约定履行安全职责，授权监理人按合同约定的安全工作内容监督、检查承包人安全工作的实施，组织承包人和有关单位进行安全检查。</w:t>
      </w:r>
    </w:p>
    <w:p w14:paraId="13DEB8C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9.1.2 发包人应对其现场机构雇佣的全部人员的工伤事故承担责任，但由于承包人原因造成发包人人员工伤的，应由承包人承担责任。</w:t>
      </w:r>
    </w:p>
    <w:p w14:paraId="2607B0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9.1.3 发包人应负责赔偿以下各种情况造成的第三者人身伤亡和财产损失：</w:t>
      </w:r>
    </w:p>
    <w:p w14:paraId="30AF85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 工程或工程的任何部分对土地的占用所造成的第三者财产损失；</w:t>
      </w:r>
    </w:p>
    <w:p w14:paraId="7413AEB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 由于发包人原因在施工场地及其毗邻地带造成的第三者人身伤亡和财产损失。</w:t>
      </w:r>
    </w:p>
    <w:p w14:paraId="58F1747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0" w:name="_Toc3052"/>
      <w:r>
        <w:rPr>
          <w:rFonts w:hint="eastAsia" w:ascii="宋体" w:hAnsi="宋体" w:eastAsia="宋体" w:cs="宋体"/>
          <w:color w:val="auto"/>
          <w:highlight w:val="none"/>
        </w:rPr>
        <w:t>9.2 承包人的施工安全责任</w:t>
      </w:r>
      <w:bookmarkEnd w:id="190"/>
    </w:p>
    <w:p w14:paraId="346428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9.2.1 承包人应按合同约定履行安全职责,执行监理人有关安全工作的指示,并在专用合同条款约定的期限内，按合同约定的安全工作内容，编制施工安全措施计划报送监理人审批。</w:t>
      </w:r>
    </w:p>
    <w:p w14:paraId="39F6B6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9.2.2 承包人应加强施工作业安全管理，特别应加强易燃、易爆材料、火工器材、有毒与腐蚀性材料和其他危险品的管理，以及对爆破作业和地下工程施工等危险作业的管理。</w:t>
      </w:r>
    </w:p>
    <w:p w14:paraId="3D103D2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9.2.3 承包人应严格按照国家安全标准制定施工安全操作规程，配备必要的安全生产和劳动保护设施，加强对承包人人员的安全教育，并发放安全工作手册和劳动保护用具。</w:t>
      </w:r>
    </w:p>
    <w:p w14:paraId="40D72B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9.2.4 承包人应按监理人的指示制定应对灾害的紧急预案，报送监理人审批。承包人还应按预案做好安全检查，配置必要的救助物资和器材，切实保护好有关人员的人身和财产安全。</w:t>
      </w:r>
    </w:p>
    <w:p w14:paraId="354FC10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13E204A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9.2.6 承包人应对其履行合同所雇佣的全部人员，包括分包人人员的工伤事故承担责任，但由于发包人原因造成承包人人员工伤事故的，应由发包人承担责任。</w:t>
      </w:r>
    </w:p>
    <w:p w14:paraId="21D00B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9.2.7 由于承包人原因在施工场地内及其毗邻地带造成的第三者人员伤亡和财产损失，由承包人负责赔偿。</w:t>
      </w:r>
    </w:p>
    <w:p w14:paraId="220E5D4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1" w:name="_Toc4874"/>
      <w:r>
        <w:rPr>
          <w:rFonts w:hint="eastAsia" w:ascii="宋体" w:hAnsi="宋体" w:eastAsia="宋体" w:cs="宋体"/>
          <w:color w:val="auto"/>
          <w:highlight w:val="none"/>
        </w:rPr>
        <w:t>9.3 治安保卫</w:t>
      </w:r>
      <w:bookmarkEnd w:id="191"/>
    </w:p>
    <w:p w14:paraId="4DEB64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9.3.1 除合同另有约定外，发包人应与当地公安部门协商，在现场建立治安管理机构或联防组织，统一管理施工场地的治安保卫事项，履行合同工程的治安保卫职责。</w:t>
      </w:r>
    </w:p>
    <w:p w14:paraId="2AB8CB9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9.3.2 发包人和承包人除应协助现场治安管理机构或联防组织维护施工场地的社会治安外，还应做好包括生活区在内的各自管辖区的治安保卫工作。</w:t>
      </w:r>
    </w:p>
    <w:p w14:paraId="0D853F6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09ABB8A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2" w:name="_Toc17658"/>
      <w:r>
        <w:rPr>
          <w:rFonts w:hint="eastAsia" w:ascii="宋体" w:hAnsi="宋体" w:eastAsia="宋体" w:cs="宋体"/>
          <w:color w:val="auto"/>
          <w:highlight w:val="none"/>
        </w:rPr>
        <w:t>9.4 环境保护</w:t>
      </w:r>
      <w:bookmarkEnd w:id="192"/>
    </w:p>
    <w:p w14:paraId="3C5E3E0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9.4.1 承包人在施工过程中，应遵守有关环境保护的法律，履行合同约定的环境保护义务，并对违反法律和合同约定义务所造成的环境破坏、人身伤害和财产损失负责。</w:t>
      </w:r>
    </w:p>
    <w:p w14:paraId="2E710A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9.4.2 承包人应按合同约定的环保工作内容，编制施工环保措施计划，报送监理人审批。</w:t>
      </w:r>
    </w:p>
    <w:p w14:paraId="7C7BFC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4C4BE8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9.4.4 承包人应按合同约定采取有效措施，对施工开挖的边坡及时进行支护,维护排水设施，并进行水土保护，避免因施工造成的地质灾害。</w:t>
      </w:r>
    </w:p>
    <w:p w14:paraId="4B8446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9.4.5 承包人应按国家饮用水管理标准定期对饮用水源进行监测，防止施工活动污染饮用水源。</w:t>
      </w:r>
    </w:p>
    <w:p w14:paraId="52468CA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9.4.6 承包人应按合同约定，加强对噪声、粉尘、废气、废水和废油的控制，努力降低噪声，控制粉尘和废气浓度，做好废水和废油的治理和排放。</w:t>
      </w:r>
    </w:p>
    <w:p w14:paraId="4B9A41E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3" w:name="_Toc13694"/>
      <w:r>
        <w:rPr>
          <w:rFonts w:hint="eastAsia" w:ascii="宋体" w:hAnsi="宋体" w:eastAsia="宋体" w:cs="宋体"/>
          <w:color w:val="auto"/>
          <w:highlight w:val="none"/>
        </w:rPr>
        <w:t>9.5 事故处理</w:t>
      </w:r>
      <w:bookmarkEnd w:id="193"/>
    </w:p>
    <w:p w14:paraId="35E6EEF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583DCDF">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4" w:name="_Toc31845"/>
      <w:bookmarkStart w:id="195" w:name="_Toc122424442"/>
      <w:bookmarkStart w:id="196" w:name="_Toc122424193"/>
      <w:r>
        <w:rPr>
          <w:rFonts w:hint="eastAsia" w:ascii="宋体" w:hAnsi="宋体" w:eastAsia="宋体" w:cs="宋体"/>
          <w:color w:val="auto"/>
          <w:highlight w:val="none"/>
        </w:rPr>
        <w:t>10. 进度计划</w:t>
      </w:r>
      <w:bookmarkEnd w:id="194"/>
      <w:bookmarkEnd w:id="195"/>
      <w:bookmarkEnd w:id="196"/>
    </w:p>
    <w:p w14:paraId="0809C87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7" w:name="_Toc7174"/>
      <w:r>
        <w:rPr>
          <w:rFonts w:hint="eastAsia" w:ascii="宋体" w:hAnsi="宋体" w:eastAsia="宋体" w:cs="宋体"/>
          <w:color w:val="auto"/>
          <w:highlight w:val="none"/>
        </w:rPr>
        <w:t>10.1 合同进度计划</w:t>
      </w:r>
      <w:bookmarkEnd w:id="197"/>
    </w:p>
    <w:p w14:paraId="737410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39A27D9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8" w:name="_Toc26389"/>
      <w:r>
        <w:rPr>
          <w:rFonts w:hint="eastAsia" w:ascii="宋体" w:hAnsi="宋体" w:eastAsia="宋体" w:cs="宋体"/>
          <w:color w:val="auto"/>
          <w:highlight w:val="none"/>
        </w:rPr>
        <w:t>10.2 合同进度计划的修订</w:t>
      </w:r>
      <w:bookmarkEnd w:id="198"/>
    </w:p>
    <w:p w14:paraId="57DE056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36C4098C">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9" w:name="_Toc13126"/>
      <w:bookmarkStart w:id="200" w:name="_Toc122424194"/>
      <w:bookmarkStart w:id="201" w:name="_Toc122424443"/>
      <w:r>
        <w:rPr>
          <w:rFonts w:hint="eastAsia" w:ascii="宋体" w:hAnsi="宋体" w:eastAsia="宋体" w:cs="宋体"/>
          <w:color w:val="auto"/>
          <w:highlight w:val="none"/>
        </w:rPr>
        <w:t>11. 开工和竣工</w:t>
      </w:r>
      <w:bookmarkEnd w:id="199"/>
      <w:bookmarkEnd w:id="200"/>
      <w:bookmarkEnd w:id="201"/>
    </w:p>
    <w:p w14:paraId="6522B83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2" w:name="_Toc1292"/>
      <w:r>
        <w:rPr>
          <w:rFonts w:hint="eastAsia" w:ascii="宋体" w:hAnsi="宋体" w:eastAsia="宋体" w:cs="宋体"/>
          <w:color w:val="auto"/>
          <w:highlight w:val="none"/>
        </w:rPr>
        <w:t>11.1 开工</w:t>
      </w:r>
      <w:bookmarkEnd w:id="202"/>
    </w:p>
    <w:p w14:paraId="70E3425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14:paraId="5C63299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55C99D8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3" w:name="_Toc29021"/>
      <w:r>
        <w:rPr>
          <w:rFonts w:hint="eastAsia" w:ascii="宋体" w:hAnsi="宋体" w:eastAsia="宋体" w:cs="宋体"/>
          <w:color w:val="auto"/>
          <w:highlight w:val="none"/>
        </w:rPr>
        <w:t>11.2 竣工</w:t>
      </w:r>
      <w:bookmarkEnd w:id="203"/>
    </w:p>
    <w:p w14:paraId="70B372E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承包人应在第1.1.4.3目约定的期限内完成合同工程。实际竣工日期在接收证书中写明。</w:t>
      </w:r>
    </w:p>
    <w:p w14:paraId="5E842B4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4" w:name="_Toc14703"/>
      <w:r>
        <w:rPr>
          <w:rFonts w:hint="eastAsia" w:ascii="宋体" w:hAnsi="宋体" w:eastAsia="宋体" w:cs="宋体"/>
          <w:color w:val="auto"/>
          <w:highlight w:val="none"/>
        </w:rPr>
        <w:t>11.3 发包人的工期延误</w:t>
      </w:r>
      <w:bookmarkEnd w:id="204"/>
    </w:p>
    <w:p w14:paraId="5CCA30E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在履行合同过程中，由于发包人的下列原因造成工期延误的，承包人有权要求发包人延长工期和（或）增加费用，并支付合理利润。需要修订合同进度计划的，按照第10.2款的约定办理。</w:t>
      </w:r>
    </w:p>
    <w:p w14:paraId="2E6581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（1）增加合同工作内容；</w:t>
      </w:r>
    </w:p>
    <w:p w14:paraId="099E8B5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（2）改变合同中任何一项工作的质量要求或其他特性；</w:t>
      </w:r>
    </w:p>
    <w:p w14:paraId="08ED2B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（3）发包人迟延提供材料、工程设备或变更交货地点的；</w:t>
      </w:r>
    </w:p>
    <w:p w14:paraId="676E062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（4）因发包人原因导致的暂停施工；</w:t>
      </w:r>
    </w:p>
    <w:p w14:paraId="080412E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（5）提供图纸延误；</w:t>
      </w:r>
    </w:p>
    <w:p w14:paraId="58FE38C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（6）未按合同约定及时支付预付款、进度款；</w:t>
      </w:r>
    </w:p>
    <w:p w14:paraId="79C2B0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（7）发包人造成工期延误的其他原因。</w:t>
      </w:r>
    </w:p>
    <w:p w14:paraId="1B50630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5" w:name="_Toc25691"/>
      <w:r>
        <w:rPr>
          <w:rFonts w:hint="eastAsia" w:ascii="宋体" w:hAnsi="宋体" w:eastAsia="宋体" w:cs="宋体"/>
          <w:color w:val="auto"/>
          <w:highlight w:val="none"/>
        </w:rPr>
        <w:t>11.4 异常恶劣的气候条件</w:t>
      </w:r>
      <w:bookmarkEnd w:id="205"/>
    </w:p>
    <w:p w14:paraId="78427B1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由于出现专用合同条款规定的异常恶劣气候的条件导致工期延误的，承包人有权要求发包人延长工期。</w:t>
      </w:r>
    </w:p>
    <w:p w14:paraId="1C0BE6D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6" w:name="_Toc7073"/>
      <w:r>
        <w:rPr>
          <w:rFonts w:hint="eastAsia" w:ascii="宋体" w:hAnsi="宋体" w:eastAsia="宋体" w:cs="宋体"/>
          <w:color w:val="auto"/>
          <w:highlight w:val="none"/>
        </w:rPr>
        <w:t>11.5 承包人的工期延误</w:t>
      </w:r>
      <w:bookmarkEnd w:id="206"/>
    </w:p>
    <w:p w14:paraId="57C121F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7E99784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7" w:name="_Toc18781"/>
      <w:r>
        <w:rPr>
          <w:rFonts w:hint="eastAsia" w:ascii="宋体" w:hAnsi="宋体" w:eastAsia="宋体" w:cs="宋体"/>
          <w:color w:val="auto"/>
          <w:highlight w:val="none"/>
        </w:rPr>
        <w:t>11.6 工期提前</w:t>
      </w:r>
      <w:bookmarkEnd w:id="207"/>
    </w:p>
    <w:p w14:paraId="7358DB6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46A3EB33">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08" w:name="_Toc122424444"/>
      <w:bookmarkStart w:id="209" w:name="_Toc122424195"/>
      <w:bookmarkStart w:id="210" w:name="_Toc4718"/>
      <w:r>
        <w:rPr>
          <w:rFonts w:hint="eastAsia" w:ascii="宋体" w:hAnsi="宋体" w:eastAsia="宋体" w:cs="宋体"/>
          <w:color w:val="auto"/>
          <w:highlight w:val="none"/>
        </w:rPr>
        <w:t>12. 暂停施工</w:t>
      </w:r>
      <w:bookmarkEnd w:id="208"/>
      <w:bookmarkEnd w:id="209"/>
      <w:bookmarkEnd w:id="210"/>
    </w:p>
    <w:p w14:paraId="3DC0A59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1" w:name="_Toc6557"/>
      <w:r>
        <w:rPr>
          <w:rFonts w:hint="eastAsia" w:ascii="宋体" w:hAnsi="宋体" w:eastAsia="宋体" w:cs="宋体"/>
          <w:color w:val="auto"/>
          <w:highlight w:val="none"/>
        </w:rPr>
        <w:t>12.1 承包人暂停施工的责任</w:t>
      </w:r>
      <w:bookmarkEnd w:id="211"/>
    </w:p>
    <w:p w14:paraId="5E35B57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因下列暂停施工增加的费用和（或）工期延误由承包人承担：</w:t>
      </w:r>
    </w:p>
    <w:p w14:paraId="1EB9CD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（1）承包人违约引起的暂停施工；</w:t>
      </w:r>
    </w:p>
    <w:p w14:paraId="35EA39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（2）由于承包人原因为工程合理施工和安全保障所必需的暂停施工；</w:t>
      </w:r>
    </w:p>
    <w:p w14:paraId="09C8F7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（3）承包人擅自暂停施工；</w:t>
      </w:r>
    </w:p>
    <w:p w14:paraId="4C5D33C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（4）承包人其他原因引起的暂停施工；</w:t>
      </w:r>
    </w:p>
    <w:p w14:paraId="5694565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（5）专用合同条款约定由承包人承担的其他暂停施工。</w:t>
      </w:r>
    </w:p>
    <w:p w14:paraId="1B77644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2" w:name="_Toc4441"/>
      <w:r>
        <w:rPr>
          <w:rFonts w:hint="eastAsia" w:ascii="宋体" w:hAnsi="宋体" w:eastAsia="宋体" w:cs="宋体"/>
          <w:color w:val="auto"/>
          <w:highlight w:val="none"/>
        </w:rPr>
        <w:t>12.2 发包人暂停施工的责任</w:t>
      </w:r>
      <w:bookmarkEnd w:id="212"/>
    </w:p>
    <w:p w14:paraId="4425657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由于发包人原因引起的暂停施工造成工期延误的，承包人有权要求发包人延长工期和（或）增加费用，并支付合理利润。</w:t>
      </w:r>
    </w:p>
    <w:p w14:paraId="1B418B2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3" w:name="_Toc9467"/>
      <w:r>
        <w:rPr>
          <w:rFonts w:hint="eastAsia" w:ascii="宋体" w:hAnsi="宋体" w:eastAsia="宋体" w:cs="宋体"/>
          <w:color w:val="auto"/>
          <w:highlight w:val="none"/>
        </w:rPr>
        <w:t>12.3 监理人暂停施工指示</w:t>
      </w:r>
      <w:bookmarkEnd w:id="213"/>
    </w:p>
    <w:p w14:paraId="72F1B9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5488A9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4CAFCC3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4" w:name="_Toc20870"/>
      <w:r>
        <w:rPr>
          <w:rFonts w:hint="eastAsia" w:ascii="宋体" w:hAnsi="宋体" w:eastAsia="宋体" w:cs="宋体"/>
          <w:color w:val="auto"/>
          <w:highlight w:val="none"/>
        </w:rPr>
        <w:t>12.4 暂停施工后的复工</w:t>
      </w:r>
      <w:bookmarkEnd w:id="214"/>
    </w:p>
    <w:p w14:paraId="72DEE60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0C91C1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12.4.2 承包人无故拖延和拒绝复工的，由此增加的费用和工期延误由承包人承担；因发包人原因无法按时复工的，承包人有权要求发包人延长工期和（或）增加费用，并支付合理利润。</w:t>
      </w:r>
    </w:p>
    <w:p w14:paraId="64D7326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5" w:name="_Toc19907"/>
      <w:r>
        <w:rPr>
          <w:rFonts w:hint="eastAsia" w:ascii="宋体" w:hAnsi="宋体" w:eastAsia="宋体" w:cs="宋体"/>
          <w:color w:val="auto"/>
          <w:highlight w:val="none"/>
        </w:rPr>
        <w:t>12.5 暂停施工持续56天以上</w:t>
      </w:r>
      <w:bookmarkEnd w:id="215"/>
    </w:p>
    <w:p w14:paraId="7F6A09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4DCEE3C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12.5.2 由于承包人责任引起的暂停施工，如承包人在收到监理人暂停施工指示后56天内不认真采取有效的复工措施，造成工期延误，可视为承包人违约，应按第22.1款的规定办理。</w:t>
      </w:r>
    </w:p>
    <w:p w14:paraId="49DB6B8C">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16" w:name="_Toc27358"/>
      <w:bookmarkStart w:id="217" w:name="_Toc122424445"/>
      <w:bookmarkStart w:id="218" w:name="_Toc122424196"/>
      <w:r>
        <w:rPr>
          <w:rFonts w:hint="eastAsia" w:ascii="宋体" w:hAnsi="宋体" w:eastAsia="宋体" w:cs="宋体"/>
          <w:color w:val="auto"/>
          <w:highlight w:val="none"/>
        </w:rPr>
        <w:t>13. 工程质量</w:t>
      </w:r>
      <w:bookmarkEnd w:id="216"/>
      <w:bookmarkEnd w:id="217"/>
      <w:bookmarkEnd w:id="218"/>
    </w:p>
    <w:p w14:paraId="7AC6EAE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9" w:name="_Toc22468"/>
      <w:r>
        <w:rPr>
          <w:rFonts w:hint="eastAsia" w:ascii="宋体" w:hAnsi="宋体" w:eastAsia="宋体" w:cs="宋体"/>
          <w:color w:val="auto"/>
          <w:highlight w:val="none"/>
        </w:rPr>
        <w:t>13.1 工程质量要求</w:t>
      </w:r>
      <w:bookmarkEnd w:id="219"/>
    </w:p>
    <w:p w14:paraId="6C08905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13.1.1 工程质量验收按合同约定验收标准执行。</w:t>
      </w:r>
    </w:p>
    <w:p w14:paraId="6851D40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13.1.2 因承包人原因造成工程质量达不到合同约定验收标准的，监理人有权要求承包人返工直至符合合同要求为止，由此造成的费用增加和（或）工期延误由承包人承担。</w:t>
      </w:r>
    </w:p>
    <w:p w14:paraId="1F5F13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13.1.3 因发包人原因造成工程质量达不到合同约定验收标准的，发包人应承担由于承包人返工造成的费用增加和（或）工期延误，并支付承包人合理利润。</w:t>
      </w:r>
    </w:p>
    <w:p w14:paraId="6F76996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0" w:name="_Toc5979"/>
      <w:r>
        <w:rPr>
          <w:rFonts w:hint="eastAsia" w:ascii="宋体" w:hAnsi="宋体" w:eastAsia="宋体" w:cs="宋体"/>
          <w:color w:val="auto"/>
          <w:highlight w:val="none"/>
        </w:rPr>
        <w:t>13.2 承包人的质量管理</w:t>
      </w:r>
      <w:bookmarkEnd w:id="220"/>
    </w:p>
    <w:p w14:paraId="414745C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6E83E1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13.2.2 承包人应加强对施工人员的质量教育和技术培训，定期考核施工人员的劳动技能，严格执行规范和操作规程。</w:t>
      </w:r>
    </w:p>
    <w:p w14:paraId="51F1CF0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1" w:name="_Toc3312"/>
      <w:r>
        <w:rPr>
          <w:rFonts w:hint="eastAsia" w:ascii="宋体" w:hAnsi="宋体" w:eastAsia="宋体" w:cs="宋体"/>
          <w:color w:val="auto"/>
          <w:highlight w:val="none"/>
        </w:rPr>
        <w:t>13.3 承包人的质量检查</w:t>
      </w:r>
      <w:bookmarkEnd w:id="221"/>
    </w:p>
    <w:p w14:paraId="2AD426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承包人应按合同约定对材料、工程设备以及工程的所有部位及其施工工艺进行全过程的质量检查和检验，并作详细记录，编制工程质量报表，报送监理人审查。</w:t>
      </w:r>
    </w:p>
    <w:p w14:paraId="50B567C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2" w:name="_Toc31128"/>
      <w:r>
        <w:rPr>
          <w:rFonts w:hint="eastAsia" w:ascii="宋体" w:hAnsi="宋体" w:eastAsia="宋体" w:cs="宋体"/>
          <w:color w:val="auto"/>
          <w:highlight w:val="none"/>
        </w:rPr>
        <w:t>13.4 监理人的质量检查</w:t>
      </w:r>
      <w:bookmarkEnd w:id="222"/>
    </w:p>
    <w:p w14:paraId="2FF61AC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6DE26CC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3" w:name="_Toc19479"/>
      <w:r>
        <w:rPr>
          <w:rFonts w:hint="eastAsia" w:ascii="宋体" w:hAnsi="宋体" w:eastAsia="宋体" w:cs="宋体"/>
          <w:color w:val="auto"/>
          <w:highlight w:val="none"/>
        </w:rPr>
        <w:t>13.5 工程隐蔽部位覆盖前的检查</w:t>
      </w:r>
      <w:bookmarkEnd w:id="223"/>
    </w:p>
    <w:p w14:paraId="6389F3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13.5.1 通知监理人检查</w:t>
      </w:r>
    </w:p>
    <w:p w14:paraId="144524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058BCA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13.5.2 监理人未到场检查</w:t>
      </w:r>
    </w:p>
    <w:p w14:paraId="2C451E6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76A70F1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13.5.3 监理人重新检查</w:t>
      </w:r>
    </w:p>
    <w:p w14:paraId="2BE8453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25DB8C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13.5.4 承包人私自覆盖</w:t>
      </w:r>
    </w:p>
    <w:p w14:paraId="2CA9E44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承包人未通知监理人到场检查，私自将工程隐蔽部位覆盖的，监理人有权指示承包人钻孔探测或揭开检查，由此增加的费用和（或）工期延误由承包人承担。</w:t>
      </w:r>
    </w:p>
    <w:p w14:paraId="3989606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4" w:name="_Toc18725"/>
      <w:r>
        <w:rPr>
          <w:rFonts w:hint="eastAsia" w:ascii="宋体" w:hAnsi="宋体" w:eastAsia="宋体" w:cs="宋体"/>
          <w:color w:val="auto"/>
          <w:highlight w:val="none"/>
        </w:rPr>
        <w:t>13.6 清除不合格工程</w:t>
      </w:r>
      <w:bookmarkEnd w:id="224"/>
    </w:p>
    <w:p w14:paraId="78BFF96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79F8D2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13.6.2 由于发包人提供的材料或工程设备不合格造成的工程不合格，需要承包人采取措施补救的，发包人应承担由此增加的费用和（或）工期延误，并支付承包人合理利润。</w:t>
      </w:r>
    </w:p>
    <w:p w14:paraId="492C3DDA">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25" w:name="_Toc122424446"/>
      <w:bookmarkStart w:id="226" w:name="_Toc122424197"/>
      <w:bookmarkStart w:id="227" w:name="_Toc31367"/>
      <w:r>
        <w:rPr>
          <w:rFonts w:hint="eastAsia" w:ascii="宋体" w:hAnsi="宋体" w:eastAsia="宋体" w:cs="宋体"/>
          <w:color w:val="auto"/>
          <w:highlight w:val="none"/>
        </w:rPr>
        <w:t>14. 试验和检验</w:t>
      </w:r>
      <w:bookmarkEnd w:id="225"/>
      <w:bookmarkEnd w:id="226"/>
      <w:bookmarkEnd w:id="227"/>
    </w:p>
    <w:p w14:paraId="1C997DA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8" w:name="_Toc6699"/>
      <w:r>
        <w:rPr>
          <w:rFonts w:hint="eastAsia" w:ascii="宋体" w:hAnsi="宋体" w:eastAsia="宋体" w:cs="宋体"/>
          <w:color w:val="auto"/>
          <w:highlight w:val="none"/>
        </w:rPr>
        <w:t>14.1 材料、工程设备和工程的试验和检验</w:t>
      </w:r>
      <w:bookmarkEnd w:id="228"/>
    </w:p>
    <w:p w14:paraId="692645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55518A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14.1.2 监理人未按合同约定派员参加试验和检验的，除监理人另有指示外，承包人可自行试验和检验，并应立即将试验和检验结果报送监理人，监理人应签字确认。</w:t>
      </w:r>
    </w:p>
    <w:p w14:paraId="3CE529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1DE5806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9" w:name="_Toc22418"/>
      <w:r>
        <w:rPr>
          <w:rFonts w:hint="eastAsia" w:ascii="宋体" w:hAnsi="宋体" w:eastAsia="宋体" w:cs="宋体"/>
          <w:color w:val="auto"/>
          <w:highlight w:val="none"/>
        </w:rPr>
        <w:t>14.2 现场材料试验</w:t>
      </w:r>
      <w:bookmarkEnd w:id="229"/>
    </w:p>
    <w:p w14:paraId="16FA81D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14.2.1 承包人根据合同约定或监理人指示进行的现场材料试验，应由承包人提供试验场所、试验人员、试验设备器材以及其他必要的试验条件。</w:t>
      </w:r>
    </w:p>
    <w:p w14:paraId="60EC7C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14.2.2 监理人在必要时可以使用承包人的试验场所、试验设备器材以及其他试验条件，进行以工程质量检查为目的的复核性材料试验，承包人应予以协助。</w:t>
      </w:r>
    </w:p>
    <w:p w14:paraId="3251CCA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0" w:name="_Toc25433"/>
      <w:r>
        <w:rPr>
          <w:rFonts w:hint="eastAsia" w:ascii="宋体" w:hAnsi="宋体" w:eastAsia="宋体" w:cs="宋体"/>
          <w:color w:val="auto"/>
          <w:highlight w:val="none"/>
        </w:rPr>
        <w:t>14.3 现场工艺试验</w:t>
      </w:r>
      <w:bookmarkEnd w:id="230"/>
    </w:p>
    <w:p w14:paraId="68A9893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52E2DBC0">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31" w:name="_Toc26945"/>
      <w:bookmarkStart w:id="232" w:name="_Toc122424198"/>
      <w:bookmarkStart w:id="233" w:name="_Toc122424447"/>
      <w:r>
        <w:rPr>
          <w:rFonts w:hint="eastAsia" w:ascii="宋体" w:hAnsi="宋体" w:eastAsia="宋体" w:cs="宋体"/>
          <w:color w:val="auto"/>
          <w:highlight w:val="none"/>
        </w:rPr>
        <w:t>15. 变更</w:t>
      </w:r>
      <w:bookmarkEnd w:id="231"/>
      <w:bookmarkEnd w:id="232"/>
      <w:bookmarkEnd w:id="233"/>
    </w:p>
    <w:p w14:paraId="2626B62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4" w:name="_Toc15425"/>
      <w:r>
        <w:rPr>
          <w:rFonts w:hint="eastAsia" w:ascii="宋体" w:hAnsi="宋体" w:eastAsia="宋体" w:cs="宋体"/>
          <w:color w:val="auto"/>
          <w:highlight w:val="none"/>
        </w:rPr>
        <w:t>15.1 变更的范围和内容</w:t>
      </w:r>
      <w:bookmarkEnd w:id="234"/>
    </w:p>
    <w:p w14:paraId="5CE7C8C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除专用合同条款另有约定外，在履行合同中发生以下情形之一，应按照本条规定进行变更。</w:t>
      </w:r>
    </w:p>
    <w:p w14:paraId="2ED7E8F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（1）取消合同中任何一项工作，但被取消的工作不能转由发包人或其他人实施；</w:t>
      </w:r>
    </w:p>
    <w:p w14:paraId="7205C5A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（2）改变合同中任何一项工作的质量或其他特性；</w:t>
      </w:r>
    </w:p>
    <w:p w14:paraId="28FD97D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（3）改变合同工程的基线、标高、位置或尺寸；</w:t>
      </w:r>
    </w:p>
    <w:p w14:paraId="7BF221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（4）改变合同中任何一项工作的施工时间或改变已批准的施工工艺或顺序；</w:t>
      </w:r>
    </w:p>
    <w:p w14:paraId="68BF6A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（5）为完成工程需要追加的额外工作。</w:t>
      </w:r>
    </w:p>
    <w:p w14:paraId="4CD3F26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5" w:name="_Toc13258"/>
      <w:r>
        <w:rPr>
          <w:rFonts w:hint="eastAsia" w:ascii="宋体" w:hAnsi="宋体" w:eastAsia="宋体" w:cs="宋体"/>
          <w:color w:val="auto"/>
          <w:highlight w:val="none"/>
        </w:rPr>
        <w:t>15.2 变更权</w:t>
      </w:r>
      <w:bookmarkEnd w:id="235"/>
    </w:p>
    <w:p w14:paraId="35F97E2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在履行合同过程中，经发包人同意，监理人可按第15.3款约定的变更程序向承包人作出变更指示，承包人应遵照执行。没有监理人的变更指示，承包人不得擅自变更。</w:t>
      </w:r>
    </w:p>
    <w:p w14:paraId="0964B45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6" w:name="_Toc24454"/>
      <w:r>
        <w:rPr>
          <w:rFonts w:hint="eastAsia" w:ascii="宋体" w:hAnsi="宋体" w:eastAsia="宋体" w:cs="宋体"/>
          <w:color w:val="auto"/>
          <w:highlight w:val="none"/>
        </w:rPr>
        <w:t>15.3 变更程序</w:t>
      </w:r>
      <w:bookmarkEnd w:id="236"/>
    </w:p>
    <w:p w14:paraId="4096C9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15.3.1 变更的提出</w:t>
      </w:r>
    </w:p>
    <w:p w14:paraId="5199B9D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1B5EF13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（2）在合同履行过程中，发生第15.1款约定情形的，监理人应按照第15.3.3项约定向承包人发出变更指示。</w:t>
      </w:r>
    </w:p>
    <w:p w14:paraId="1C7053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551DF42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（4）若承包人收到监理人的变更意向书后认为难以实施此项变更，应立即通知监理人，说明原因并附详细依据。监理人与承包人和发包人协商后确定撤销、改变或不改变原变更意向书。</w:t>
      </w:r>
    </w:p>
    <w:p w14:paraId="328E7D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15.3.2 变更估价</w:t>
      </w:r>
    </w:p>
    <w:p w14:paraId="0DCACB0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2749B84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（2）变更工作影响工期的，承包人应提出调整工期的具体细节。监理人认为有必要时，可要求承包人提交要求提前或延长工期的施工进度计划及相应施工措施等详细资料。</w:t>
      </w:r>
    </w:p>
    <w:p w14:paraId="543049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（3）除专用合同条款对期限另有约定外，监理人收到承包人变更报价书后的14天内，根据第15.4款约定的估价原则，按照第3.5款商定或确定变更价格。</w:t>
      </w:r>
    </w:p>
    <w:p w14:paraId="6BF929C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15.3.3 变更指示</w:t>
      </w:r>
    </w:p>
    <w:p w14:paraId="0C116D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（1）变更指示只能由监理人发出。</w:t>
      </w:r>
    </w:p>
    <w:p w14:paraId="267E490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（2）变更指示应说明变更的目的、范围、变更内容以及变更的工程量及其进度和技术要求，并附有关图纸和文件。承包人收到变更指示后，应按变更指示进行变更工作。</w:t>
      </w:r>
    </w:p>
    <w:p w14:paraId="1992BBB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7" w:name="_Toc14717"/>
      <w:r>
        <w:rPr>
          <w:rFonts w:hint="eastAsia" w:ascii="宋体" w:hAnsi="宋体" w:eastAsia="宋体" w:cs="宋体"/>
          <w:color w:val="auto"/>
          <w:highlight w:val="none"/>
        </w:rPr>
        <w:t>15.4 变更的估价原则</w:t>
      </w:r>
      <w:bookmarkEnd w:id="237"/>
    </w:p>
    <w:p w14:paraId="4CB9C08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除专用合同条款另有约定外，因变更引起的价格调整按照本款约定处理。</w:t>
      </w:r>
    </w:p>
    <w:p w14:paraId="0F75632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15.4.1 已标价工程量清单中有适用于变更工作的子目的，采用该子目的单价。</w:t>
      </w:r>
    </w:p>
    <w:p w14:paraId="3469DCB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15.4.2 已标价工程量清单中无适用于变更工作的子目，但有类似子目的，可在合理范围内参照类似子目的单价，由监理人按第3.5款商定或确定变更工作的单价。</w:t>
      </w:r>
    </w:p>
    <w:p w14:paraId="23F7EA3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15.4.3 已标价工程量清单中无适用或类似子目的单价，可按照成本加利润的原则，由监理人按第3.5款商定或确定变更工作的单价。</w:t>
      </w:r>
    </w:p>
    <w:p w14:paraId="269AB58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8" w:name="_Toc6025"/>
      <w:r>
        <w:rPr>
          <w:rFonts w:hint="eastAsia" w:ascii="宋体" w:hAnsi="宋体" w:eastAsia="宋体" w:cs="宋体"/>
          <w:color w:val="auto"/>
          <w:highlight w:val="none"/>
        </w:rPr>
        <w:t>15.5 承包人的合理化建议</w:t>
      </w:r>
      <w:bookmarkEnd w:id="238"/>
    </w:p>
    <w:p w14:paraId="3C70EA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482EEC6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15.5.2 承包人提出的合理化建议降低了合同价格、缩短了工期或者提高了工程经济效益的，发包人可按国家有关规定在专用合同条款中约定给予奖励。</w:t>
      </w:r>
    </w:p>
    <w:p w14:paraId="4ECC13D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9" w:name="_Toc28479"/>
      <w:r>
        <w:rPr>
          <w:rFonts w:hint="eastAsia" w:ascii="宋体" w:hAnsi="宋体" w:eastAsia="宋体" w:cs="宋体"/>
          <w:color w:val="auto"/>
          <w:highlight w:val="none"/>
        </w:rPr>
        <w:t>15.6 暂列金额</w:t>
      </w:r>
      <w:bookmarkEnd w:id="239"/>
    </w:p>
    <w:p w14:paraId="6A1D73C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暂列金额只能按照监理人的指示使用，并对合同价格进行相应调整。</w:t>
      </w:r>
    </w:p>
    <w:p w14:paraId="2C500AF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0" w:name="_Toc12668"/>
      <w:r>
        <w:rPr>
          <w:rFonts w:hint="eastAsia" w:ascii="宋体" w:hAnsi="宋体" w:eastAsia="宋体" w:cs="宋体"/>
          <w:color w:val="auto"/>
          <w:highlight w:val="none"/>
        </w:rPr>
        <w:t>15.7 计日工</w:t>
      </w:r>
      <w:bookmarkEnd w:id="240"/>
    </w:p>
    <w:p w14:paraId="40E2D6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15.7.1 发包人认为有必要时，由监理人通知承包人以计日工方式实施变更的零星工作。其价款按列入已标价工程量清单中的计日工计价子目及其单价进行计算。</w:t>
      </w:r>
    </w:p>
    <w:p w14:paraId="7AB67A2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15.7.2 采用计日工计价的任何一项变更工作，应从暂列金额中支付，承包人应在该项变更的实施过程中，每天提交以下报表和有关凭证报送监理人审批：</w:t>
      </w:r>
    </w:p>
    <w:p w14:paraId="07F439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（1）工作名称、内容和数量；</w:t>
      </w:r>
    </w:p>
    <w:p w14:paraId="75389B7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（2）投入该工作所有人员的姓名、工种、级别和耗用工时；</w:t>
      </w:r>
    </w:p>
    <w:p w14:paraId="6913CE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（3）投入该工作的材料类别和数量；</w:t>
      </w:r>
    </w:p>
    <w:p w14:paraId="1725D7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（4）投入该工作的施工设备型号、台数和耗用台时；</w:t>
      </w:r>
    </w:p>
    <w:p w14:paraId="1FF4144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（5）监理人要求提交的其他资料和凭证。</w:t>
      </w:r>
    </w:p>
    <w:p w14:paraId="0EABBB4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15.7.3 计日工由承包人汇总后，按第17.3.2项的约定列入进度付款申请单，由监理人复核并经发包人同意后列入进度付款。</w:t>
      </w:r>
    </w:p>
    <w:p w14:paraId="3F1AD62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1" w:name="_Toc29143"/>
      <w:r>
        <w:rPr>
          <w:rFonts w:hint="eastAsia" w:ascii="宋体" w:hAnsi="宋体" w:eastAsia="宋体" w:cs="宋体"/>
          <w:color w:val="auto"/>
          <w:highlight w:val="none"/>
        </w:rPr>
        <w:t>15.8 暂估价</w:t>
      </w:r>
      <w:bookmarkEnd w:id="241"/>
    </w:p>
    <w:p w14:paraId="624F21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793D9DC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320166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6F65284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42" w:name="_Toc122424199"/>
      <w:bookmarkStart w:id="243" w:name="_Toc12800"/>
      <w:bookmarkStart w:id="244" w:name="_Toc122424448"/>
      <w:r>
        <w:rPr>
          <w:rFonts w:hint="eastAsia" w:ascii="宋体" w:hAnsi="宋体" w:eastAsia="宋体" w:cs="宋体"/>
          <w:color w:val="auto"/>
          <w:highlight w:val="none"/>
        </w:rPr>
        <w:t>16. 价格调整</w:t>
      </w:r>
      <w:bookmarkEnd w:id="242"/>
      <w:bookmarkEnd w:id="243"/>
      <w:bookmarkEnd w:id="244"/>
    </w:p>
    <w:p w14:paraId="60D6F64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5" w:name="_Toc27279"/>
      <w:r>
        <w:rPr>
          <w:rFonts w:hint="eastAsia" w:ascii="宋体" w:hAnsi="宋体" w:eastAsia="宋体" w:cs="宋体"/>
          <w:color w:val="auto"/>
          <w:highlight w:val="none"/>
        </w:rPr>
        <w:t>16.1 物价波动引起的价格调整</w:t>
      </w:r>
      <w:bookmarkEnd w:id="245"/>
    </w:p>
    <w:p w14:paraId="4F9423F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除专用合同条款另有约定外，因物价波动引起的价格调整按照本款约定处理。</w:t>
      </w:r>
    </w:p>
    <w:p w14:paraId="2C4D6D7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 采用价格指数调整价格差额</w:t>
      </w:r>
    </w:p>
    <w:p w14:paraId="6D4FF9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16.1.1.1 价格调整公式</w:t>
      </w:r>
    </w:p>
    <w:p w14:paraId="4E6BD8B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因人工、材料和设备等价格波动影响合同价格时，根据投标函附录中的价格指数和权重表约定的数据，按以下公式计算差额并调整合同价格。</w:t>
      </w:r>
    </w:p>
    <w:p w14:paraId="492F5D59">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position w:val="-34"/>
          <w:sz w:val="24"/>
          <w:highlight w:val="none"/>
        </w:rPr>
        <w:object>
          <v:shape id="_x0000_i1025" o:spt="75" type="#_x0000_t75" style="height:40.5pt;width:306pt;" o:ole="t" filled="f" o:preferrelative="t" stroked="f" coordsize="21600,21600">
            <v:path/>
            <v:fill on="f" focussize="0,0"/>
            <v:stroke on="f"/>
            <v:imagedata r:id="rId15" o:title=""/>
            <o:lock v:ext="edit" aspectratio="t"/>
            <w10:wrap type="none"/>
            <w10:anchorlock/>
          </v:shape>
          <o:OLEObject Type="Embed" ProgID="Equation.3" ShapeID="_x0000_i1025" DrawAspect="Content" ObjectID="_1468075725" r:id="rId14">
            <o:LockedField>false</o:LockedField>
          </o:OLEObject>
        </w:object>
      </w:r>
    </w:p>
    <w:p w14:paraId="40F95E3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式中： △P -- 需调整的价格差额；</w:t>
      </w:r>
    </w:p>
    <w:p w14:paraId="22B8629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0E46635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A -- 定值权重（即不调部分的权重）；</w:t>
      </w:r>
    </w:p>
    <w:p w14:paraId="592077E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B1; B2 ;B3·····Bn -- 各可调因子的变值权重（即可调部分的权重）为各可调因子在投标函投标总报价中所占的比例；</w:t>
      </w:r>
    </w:p>
    <w:p w14:paraId="77682A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Ft1 ;Ft2 ;Ft3·····Ftn -- 各可调因子的现行价格指数，指第17.3.3项、第17.5.2项和第17.6.2项约定的付款证书相关周期最后一天的前42天的各可调因子的价格指数；</w:t>
      </w:r>
    </w:p>
    <w:p w14:paraId="20EE381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Fo1; Fo2; Fo3·····Fon -- 各可调因子的基本价格指数，指基准日期的各可调因子的价格指数。</w:t>
      </w:r>
    </w:p>
    <w:p w14:paraId="53BE149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244291F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16.1.1.2 暂时确定调整差额</w:t>
      </w:r>
    </w:p>
    <w:p w14:paraId="6FC48CD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在计算调整差额时得不到现行价格指数的，可暂用上一次价格指数计算，并在以后的付款中再按实际价格指数进行调整。</w:t>
      </w:r>
    </w:p>
    <w:p w14:paraId="06C8978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16.1.1.3 权重的调整</w:t>
      </w:r>
    </w:p>
    <w:p w14:paraId="3F1C27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按第15.1款约定的变更导致原定合同中的权重不合理时，由监理人与承包人和发包人协商后进行调整。</w:t>
      </w:r>
    </w:p>
    <w:p w14:paraId="620B315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16.1.1.4 承包人工期延误后的价格调整</w:t>
      </w:r>
    </w:p>
    <w:p w14:paraId="768F6E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5E0F901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16.1.2 采用造价信息调整价格差额</w:t>
      </w:r>
    </w:p>
    <w:p w14:paraId="4D8555F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60250F1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6" w:name="_Toc8116"/>
      <w:r>
        <w:rPr>
          <w:rFonts w:hint="eastAsia" w:ascii="宋体" w:hAnsi="宋体" w:eastAsia="宋体" w:cs="宋体"/>
          <w:color w:val="auto"/>
          <w:highlight w:val="none"/>
        </w:rPr>
        <w:t>16.2 法律变化引起的价格调整</w:t>
      </w:r>
      <w:bookmarkEnd w:id="246"/>
    </w:p>
    <w:p w14:paraId="51E7AA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50D0CEFB">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47" w:name="_Toc122424449"/>
      <w:bookmarkStart w:id="248" w:name="_Toc17915"/>
      <w:bookmarkStart w:id="249" w:name="_Toc122424200"/>
      <w:r>
        <w:rPr>
          <w:rFonts w:hint="eastAsia" w:ascii="宋体" w:hAnsi="宋体" w:eastAsia="宋体" w:cs="宋体"/>
          <w:color w:val="auto"/>
          <w:highlight w:val="none"/>
        </w:rPr>
        <w:t>17. 计量与支付</w:t>
      </w:r>
      <w:bookmarkEnd w:id="247"/>
      <w:bookmarkEnd w:id="248"/>
      <w:bookmarkEnd w:id="249"/>
    </w:p>
    <w:p w14:paraId="3BA0006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0" w:name="_Toc7023"/>
      <w:r>
        <w:rPr>
          <w:rFonts w:hint="eastAsia" w:ascii="宋体" w:hAnsi="宋体" w:eastAsia="宋体" w:cs="宋体"/>
          <w:color w:val="auto"/>
          <w:highlight w:val="none"/>
        </w:rPr>
        <w:t>17.1 计量</w:t>
      </w:r>
      <w:bookmarkEnd w:id="250"/>
    </w:p>
    <w:p w14:paraId="07C1EDD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17.1.1 计量单位</w:t>
      </w:r>
    </w:p>
    <w:p w14:paraId="39F609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计量采用国家法定的计量单位。</w:t>
      </w:r>
    </w:p>
    <w:p w14:paraId="31D015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17.1.2 计量方法</w:t>
      </w:r>
    </w:p>
    <w:p w14:paraId="679C73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工程量清单中的工程量计算规则应按有关国家标准、行业标准的规定，并在合同中约定执行。</w:t>
      </w:r>
    </w:p>
    <w:p w14:paraId="2826D19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17.1.3 计量周期</w:t>
      </w:r>
    </w:p>
    <w:p w14:paraId="62832F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除专用合同条款另有约定外，单价子目已完成工程量按月计量，总价子目的计量周期按批准的支付分解报告确定。</w:t>
      </w:r>
    </w:p>
    <w:p w14:paraId="4626A0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17.1.4 单价子目的计量</w:t>
      </w:r>
    </w:p>
    <w:p w14:paraId="62081B8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（1）已标价工程量清单中的单价子目工程量为估算工程量。结算工程量是承包人实际完成的，并按合同约定的计量方法进行计量的工程量。</w:t>
      </w:r>
    </w:p>
    <w:p w14:paraId="2CB31D0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（2）承包人对已完成的工程进行计量，向监理人提交进度付款申请单、已完成工程量报表和有关计量资料。</w:t>
      </w:r>
    </w:p>
    <w:p w14:paraId="2508EC4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100C6E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（4）监理人认为有必要时，可通知承包人共同进行联合测量、计量，承包人应遵照执行。</w:t>
      </w:r>
    </w:p>
    <w:p w14:paraId="252755E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4DD933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（6）监理人应在收到承包人提交的工程量报表后的7天内进行复核，监理人未在约定时间内复核的，承包人提交的工程量报表中的工程量视为承包人实际完成的工程量，据此计算工程价款。</w:t>
      </w:r>
    </w:p>
    <w:p w14:paraId="1F8627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17.1.5 总价子目的计量</w:t>
      </w:r>
    </w:p>
    <w:p w14:paraId="7AED0F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除专用合同条款另有约定外，总价子目的分解和计量按照下述约定进行。</w:t>
      </w:r>
    </w:p>
    <w:p w14:paraId="3AD34A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（1）总价子目的计量和支付应以总价为基础，不因第16.1款中的因素而进行调整。承包人实际完成的工程量，是进行工程目标管理和控制进度支付的依据。</w:t>
      </w:r>
    </w:p>
    <w:p w14:paraId="2648997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778BBAA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（3）监理人对承包人提交的上述资料进行复核，以确定分阶段实际完成的工程量和工程形象目标。对其有异议的，可要求承包人按第8.2款约定进行共同复核和抽样复测。</w:t>
      </w:r>
    </w:p>
    <w:p w14:paraId="7253C9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（4）除按照第15条约定的变更外，总价子目的工程量是承包人用于结算的最终工程量。 </w:t>
      </w:r>
    </w:p>
    <w:p w14:paraId="0143B37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1" w:name="_Toc13801"/>
      <w:r>
        <w:rPr>
          <w:rFonts w:hint="eastAsia" w:ascii="宋体" w:hAnsi="宋体" w:eastAsia="宋体" w:cs="宋体"/>
          <w:color w:val="auto"/>
          <w:highlight w:val="none"/>
        </w:rPr>
        <w:t>17.2 预付款</w:t>
      </w:r>
      <w:bookmarkEnd w:id="251"/>
    </w:p>
    <w:p w14:paraId="0FA74DC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17.2.1 预付款</w:t>
      </w:r>
    </w:p>
    <w:p w14:paraId="545A55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预付款用于承包人为合同工程施工购置材料、工程设备、施工设备、修建临时设施以及组织施工队伍进场等。预付款的额度和预付办法在专用合同条款中约定。预付款必须专用于合同工程。</w:t>
      </w:r>
    </w:p>
    <w:p w14:paraId="232B246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17.2.2 预付款保函</w:t>
      </w:r>
    </w:p>
    <w:p w14:paraId="6EAADBD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除专用合同条款另有约定外，承包人应在收到预付款的同时向发包人提交预付款保函，预付款保函的担保金额应与预付款金额相同。保函的担保金额可根据预付款扣回的金额相应递减。</w:t>
      </w:r>
    </w:p>
    <w:p w14:paraId="7BB35C5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17.2.3 预付款的扣回与还清</w:t>
      </w:r>
    </w:p>
    <w:p w14:paraId="3B47630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14:paraId="115EFF8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2" w:name="_Toc31468"/>
      <w:r>
        <w:rPr>
          <w:rFonts w:hint="eastAsia" w:ascii="宋体" w:hAnsi="宋体" w:eastAsia="宋体" w:cs="宋体"/>
          <w:color w:val="auto"/>
          <w:highlight w:val="none"/>
        </w:rPr>
        <w:t>17.3 工程进度付款</w:t>
      </w:r>
      <w:bookmarkEnd w:id="252"/>
    </w:p>
    <w:p w14:paraId="78EDC58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17.3.1 付款周期</w:t>
      </w:r>
    </w:p>
    <w:p w14:paraId="5B5169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付款周期同计量周期。</w:t>
      </w:r>
    </w:p>
    <w:p w14:paraId="6275F82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17.3.2 进度付款申请单</w:t>
      </w:r>
    </w:p>
    <w:p w14:paraId="089A74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01DEEC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（1）截至本次付款周期末已实施工程的价款；</w:t>
      </w:r>
    </w:p>
    <w:p w14:paraId="762DD16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（2）根据第15条应增加和扣减的变更金额；</w:t>
      </w:r>
    </w:p>
    <w:p w14:paraId="59B0B6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（3）根据第23条应增加和扣减的索赔金额；</w:t>
      </w:r>
    </w:p>
    <w:p w14:paraId="5AC3CB4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（4）根据第17.2款约定应支付的预付款和扣减的返还预付款；</w:t>
      </w:r>
    </w:p>
    <w:p w14:paraId="3BF81F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（5）根据第17.4.1项约定应扣减的质量保证金；</w:t>
      </w:r>
    </w:p>
    <w:p w14:paraId="062A54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（6）根据合同应增加和扣减的其他金额。</w:t>
      </w:r>
    </w:p>
    <w:p w14:paraId="59E1B0F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17.3.3 进度付款证书和支付时间</w:t>
      </w:r>
    </w:p>
    <w:p w14:paraId="035DC30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5C9725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（2）发包人应在监理人收到进度付款申请单后的28天内，将进度应付款支付给承包人。发包人不按期支付的，按专用合同条款的约定支付逾期付款违约金。</w:t>
      </w:r>
    </w:p>
    <w:p w14:paraId="29CFD38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（3）监理人出具进度付款证书，不应视为监理人已同意、批准或接受了承包人完成的该部分工作。</w:t>
      </w:r>
    </w:p>
    <w:p w14:paraId="2E757F9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（4）进度付款涉及政府投资资金的，按照国库集中支付等国家相关规定和专用合同条款的约定办理。</w:t>
      </w:r>
    </w:p>
    <w:p w14:paraId="687EDB4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17.3.4 工程进度付款的修正</w:t>
      </w:r>
    </w:p>
    <w:p w14:paraId="2B6C3C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7F42DF8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3" w:name="_Toc32700"/>
      <w:r>
        <w:rPr>
          <w:rFonts w:hint="eastAsia" w:ascii="宋体" w:hAnsi="宋体" w:eastAsia="宋体" w:cs="宋体"/>
          <w:color w:val="auto"/>
          <w:highlight w:val="none"/>
        </w:rPr>
        <w:t>17.4 质量保证金</w:t>
      </w:r>
      <w:bookmarkEnd w:id="253"/>
    </w:p>
    <w:p w14:paraId="5461FE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3E279DF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29A4589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5ABFBAC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4" w:name="_Toc564"/>
      <w:r>
        <w:rPr>
          <w:rFonts w:hint="eastAsia" w:ascii="宋体" w:hAnsi="宋体" w:eastAsia="宋体" w:cs="宋体"/>
          <w:color w:val="auto"/>
          <w:highlight w:val="none"/>
        </w:rPr>
        <w:t>17.5 竣工结算</w:t>
      </w:r>
      <w:bookmarkEnd w:id="254"/>
    </w:p>
    <w:p w14:paraId="1895413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17.5.1 竣工付款申请单</w:t>
      </w:r>
    </w:p>
    <w:p w14:paraId="0C46B9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2B3FFB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（2）监理人对竣工付款申请单有异议的，有权要求承包人进行修正和提供补充资料。经监理人和承包人协商后，由承包人向监理人提交修正后的竣工付款申请单。</w:t>
      </w:r>
    </w:p>
    <w:p w14:paraId="3A5FE7A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17.5.2 竣工付款证书及支付时间</w:t>
      </w:r>
    </w:p>
    <w:p w14:paraId="11C3E7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1699071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（2）发包人应在监理人出具竣工付款证书后的14天内，将应支付款支付给承包人。发包人不按期支付的，按第17.3.3（2）目的约定，将逾期付款违约金支付给承包人。</w:t>
      </w:r>
    </w:p>
    <w:p w14:paraId="2030D3A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（3）承包人对发包人签认的竣工付款证书有异议的，发包人可出具竣工付款申请单中承包人已同意部分的临时付款证书。存在争议的部分，按第24条的约定办理。</w:t>
      </w:r>
    </w:p>
    <w:p w14:paraId="30C16E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（4）竣工付款涉及政府投资资金的，按第17.3.3（４）目的约定办理。</w:t>
      </w:r>
    </w:p>
    <w:p w14:paraId="23E659B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5" w:name="_Toc25285"/>
      <w:r>
        <w:rPr>
          <w:rFonts w:hint="eastAsia" w:ascii="宋体" w:hAnsi="宋体" w:eastAsia="宋体" w:cs="宋体"/>
          <w:color w:val="auto"/>
          <w:highlight w:val="none"/>
        </w:rPr>
        <w:t>17.6 最终结清</w:t>
      </w:r>
      <w:bookmarkEnd w:id="255"/>
    </w:p>
    <w:p w14:paraId="70C196C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17.6.1 最终结清申请单</w:t>
      </w:r>
    </w:p>
    <w:p w14:paraId="4658B2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（1）缺陷责任期终止证书签发后，承包人可按专用合同条款约定的份数和期限向监理人提交最终结清申请单，并提供相关证明材料。</w:t>
      </w:r>
    </w:p>
    <w:p w14:paraId="75C6DE7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（2）发包人对最终结清申请单内容有异议的，有权要求承包人进行修正和提供补充资料，由承包人向监理人提交修正后的最终结清申请单。</w:t>
      </w:r>
    </w:p>
    <w:p w14:paraId="432648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17.6.2 最终结清证书和支付时间</w:t>
      </w:r>
    </w:p>
    <w:p w14:paraId="7020D63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79D6DB3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（2）发包人应在监理人出具最终结清证书后的14天内，将应支付款支付给承包人。发包人不按期支付的，按第17.3.3（2）目的约定，将逾期付款违约金支付给承包人。</w:t>
      </w:r>
    </w:p>
    <w:p w14:paraId="136DA7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（3）承包人对发包人签认的最终结清证书有异议的，按第24条的约定办理。</w:t>
      </w:r>
    </w:p>
    <w:p w14:paraId="02872C4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（4）最终结清付款涉及政府投资资金的，按第17.3.3（４）目的约定办理。</w:t>
      </w:r>
    </w:p>
    <w:p w14:paraId="4B41E211">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56" w:name="_Toc30994"/>
      <w:bookmarkStart w:id="257" w:name="_Toc122424450"/>
      <w:bookmarkStart w:id="258" w:name="_Toc122424201"/>
      <w:r>
        <w:rPr>
          <w:rFonts w:hint="eastAsia" w:ascii="宋体" w:hAnsi="宋体" w:eastAsia="宋体" w:cs="宋体"/>
          <w:color w:val="auto"/>
          <w:highlight w:val="none"/>
        </w:rPr>
        <w:t>18. 竣工验收</w:t>
      </w:r>
      <w:bookmarkEnd w:id="256"/>
      <w:bookmarkEnd w:id="257"/>
      <w:bookmarkEnd w:id="258"/>
    </w:p>
    <w:p w14:paraId="268440B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9" w:name="_Toc32352"/>
      <w:r>
        <w:rPr>
          <w:rFonts w:hint="eastAsia" w:ascii="宋体" w:hAnsi="宋体" w:eastAsia="宋体" w:cs="宋体"/>
          <w:color w:val="auto"/>
          <w:highlight w:val="none"/>
        </w:rPr>
        <w:t>18.1 竣工验收的含义</w:t>
      </w:r>
      <w:bookmarkEnd w:id="259"/>
    </w:p>
    <w:p w14:paraId="75A3F3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18.1.1 竣工验收指承包人完成了全部合同工作后，发包人按合同要求进行的验收。</w:t>
      </w:r>
    </w:p>
    <w:p w14:paraId="1259CC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18.1.2 国家验收是政府有关部门根据法律、规范、规程和政策要求，针对发包人全面组织实施的整个工程正式交付投运前的验收。</w:t>
      </w:r>
    </w:p>
    <w:p w14:paraId="40BCE69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7C981EA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0" w:name="_Toc1350"/>
      <w:r>
        <w:rPr>
          <w:rFonts w:hint="eastAsia" w:ascii="宋体" w:hAnsi="宋体" w:eastAsia="宋体" w:cs="宋体"/>
          <w:color w:val="auto"/>
          <w:highlight w:val="none"/>
        </w:rPr>
        <w:t>18.2 竣工验收申请报告</w:t>
      </w:r>
      <w:bookmarkEnd w:id="260"/>
    </w:p>
    <w:p w14:paraId="0F4E8F3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当工程具备以下条件时，承包人即可向监理人报送竣工验收申请报告：</w:t>
      </w:r>
    </w:p>
    <w:p w14:paraId="4319EE6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（1）除监理人同意列入缺陷责任期内完成的尾工（甩项）工程和缺陷修补工作外，合同范围内的全部单位工程以及有关工作，包括合同要求的试验、试运行以及检验和验收均已完成，并符合合同要求；</w:t>
      </w:r>
    </w:p>
    <w:p w14:paraId="10818D5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（2）已按合同约定的内容和份数备齐了符合要求的竣工资料； </w:t>
      </w:r>
    </w:p>
    <w:p w14:paraId="26DF888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（3）已按监理人的要求编制了在缺陷责任期内完成的尾工（甩项）工程和缺陷修补工作清单以及相应施工计划；</w:t>
      </w:r>
    </w:p>
    <w:p w14:paraId="0844D22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（4）监理人要求在竣工验收前应完成的其他工作；</w:t>
      </w:r>
    </w:p>
    <w:p w14:paraId="6F6C7D9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（5）监理人要求提交的竣工验收资料清单。</w:t>
      </w:r>
    </w:p>
    <w:p w14:paraId="682422D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1" w:name="_Toc7634"/>
      <w:r>
        <w:rPr>
          <w:rFonts w:hint="eastAsia" w:ascii="宋体" w:hAnsi="宋体" w:eastAsia="宋体" w:cs="宋体"/>
          <w:color w:val="auto"/>
          <w:highlight w:val="none"/>
        </w:rPr>
        <w:t>18.3 验收</w:t>
      </w:r>
      <w:bookmarkEnd w:id="261"/>
    </w:p>
    <w:p w14:paraId="6E545B8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监理人收到承包人按第18.2款约定提交的竣工验收申请报告后，应审查申请报告的各项内容，并按以下不同情况进行处理。</w:t>
      </w:r>
    </w:p>
    <w:p w14:paraId="0830F6C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7EC1B8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18.3.2 监理人审查后认为已具备竣工验收条件的，应在收到竣工验收申请报告后的28天内提请发包人进行工程验收。</w:t>
      </w:r>
    </w:p>
    <w:p w14:paraId="241639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631039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1B423E6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18.3.5 除专用合同条款另有约定外，经验收合格工程的实际竣工日期，以提交竣工验收申请报告的日期为准，并在工程接收证书中写明。</w:t>
      </w:r>
    </w:p>
    <w:p w14:paraId="54F8971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18.3.6 发包人在收到承包人竣工验收申请报告56天后未进行验收的，视为验收合格，实际竣工日期以提交竣工验收申请报告的日期为准，但发包人由于不可抗力不能进行验收的除外。</w:t>
      </w:r>
    </w:p>
    <w:p w14:paraId="4536A4F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2" w:name="_Toc14179"/>
      <w:r>
        <w:rPr>
          <w:rFonts w:hint="eastAsia" w:ascii="宋体" w:hAnsi="宋体" w:eastAsia="宋体" w:cs="宋体"/>
          <w:color w:val="auto"/>
          <w:highlight w:val="none"/>
        </w:rPr>
        <w:t>18.4 单位工程验收</w:t>
      </w:r>
      <w:bookmarkEnd w:id="262"/>
    </w:p>
    <w:p w14:paraId="1F85B1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5DAAA40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18.4.2 发包人在全部工程竣工前，使用已接收的单位工程导致承包人费用增加的，发包人应承担由此增加的费用和（或）工期延误，并支付承包人合理利润。</w:t>
      </w:r>
    </w:p>
    <w:p w14:paraId="7E4A366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3" w:name="_Toc16446"/>
      <w:r>
        <w:rPr>
          <w:rFonts w:hint="eastAsia" w:ascii="宋体" w:hAnsi="宋体" w:eastAsia="宋体" w:cs="宋体"/>
          <w:color w:val="auto"/>
          <w:highlight w:val="none"/>
        </w:rPr>
        <w:t>18.5 施工期运行</w:t>
      </w:r>
      <w:bookmarkEnd w:id="263"/>
    </w:p>
    <w:p w14:paraId="6BF4D8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623197C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18.5.2 在施工期运行中发现工程或工程设备损坏或存在缺陷的，由承包人按第19.2款约定进行修复。</w:t>
      </w:r>
    </w:p>
    <w:p w14:paraId="54A435A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4" w:name="_Toc26484"/>
      <w:r>
        <w:rPr>
          <w:rFonts w:hint="eastAsia" w:ascii="宋体" w:hAnsi="宋体" w:eastAsia="宋体" w:cs="宋体"/>
          <w:color w:val="auto"/>
          <w:highlight w:val="none"/>
        </w:rPr>
        <w:t>18.6 试运行</w:t>
      </w:r>
      <w:bookmarkEnd w:id="264"/>
    </w:p>
    <w:p w14:paraId="0D409DA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18.6.1 除专用合同条款另有约定外，承包人应按专用合同条款约定进行工程及工程设备试运行，负责提供试运行所需的人员、器材和必要的条件，并承担全部试运行费用。</w:t>
      </w:r>
    </w:p>
    <w:p w14:paraId="6E15E4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2306CC8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5" w:name="_Toc9520"/>
      <w:r>
        <w:rPr>
          <w:rFonts w:hint="eastAsia" w:ascii="宋体" w:hAnsi="宋体" w:eastAsia="宋体" w:cs="宋体"/>
          <w:color w:val="auto"/>
          <w:highlight w:val="none"/>
        </w:rPr>
        <w:t>18.7 竣工清场</w:t>
      </w:r>
      <w:bookmarkEnd w:id="265"/>
    </w:p>
    <w:p w14:paraId="3354AAF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18.7.1 除合同另有约定外，工程接收证书颁发后，承包人应按以下要求对施工场地进行清理，直至监理人检验合格为止。竣工清场费用由承包人承担。</w:t>
      </w:r>
    </w:p>
    <w:p w14:paraId="1EF6DD6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（1）施工场地内残留的垃圾已全部清除出场；</w:t>
      </w:r>
    </w:p>
    <w:p w14:paraId="7E5DE4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（2）临时工程已拆除，场地已按合同要求进行清理、平整或复原；</w:t>
      </w:r>
    </w:p>
    <w:p w14:paraId="6B9C2DD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（3）按合同约定应撤离的承包人设备和剩余的材料，包括废弃的施工设备和材料，已按计划撤离施工场地；</w:t>
      </w:r>
    </w:p>
    <w:p w14:paraId="1B9EB99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（4）工程建筑物周边及其附近道路、河道的施工堆积物，已按监理人指示全部清理；</w:t>
      </w:r>
    </w:p>
    <w:p w14:paraId="349DC5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（5）监理人指示的其他场地清理工作已全部完成。</w:t>
      </w:r>
    </w:p>
    <w:p w14:paraId="2FD925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18.7.2 承包人未按监理人的要求恢复临时占地，或者场地清理未达到合同约定的，发包人有权委托其他人恢复或清理，所发生的金额从拟支付给承包人的款项中扣除。</w:t>
      </w:r>
    </w:p>
    <w:p w14:paraId="73131C5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6" w:name="_Toc10196"/>
      <w:r>
        <w:rPr>
          <w:rFonts w:hint="eastAsia" w:ascii="宋体" w:hAnsi="宋体" w:eastAsia="宋体" w:cs="宋体"/>
          <w:color w:val="auto"/>
          <w:highlight w:val="none"/>
        </w:rPr>
        <w:t>18.8 施工队伍的撤离</w:t>
      </w:r>
      <w:bookmarkEnd w:id="266"/>
    </w:p>
    <w:p w14:paraId="411D32E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74717207">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67" w:name="_Toc10892"/>
      <w:bookmarkStart w:id="268" w:name="_Toc122424202"/>
      <w:bookmarkStart w:id="269" w:name="_Toc122424451"/>
      <w:r>
        <w:rPr>
          <w:rFonts w:hint="eastAsia" w:ascii="宋体" w:hAnsi="宋体" w:eastAsia="宋体" w:cs="宋体"/>
          <w:color w:val="auto"/>
          <w:highlight w:val="none"/>
        </w:rPr>
        <w:t>19. 缺陷责任与保修责任</w:t>
      </w:r>
      <w:bookmarkEnd w:id="267"/>
      <w:bookmarkEnd w:id="268"/>
      <w:bookmarkEnd w:id="269"/>
    </w:p>
    <w:p w14:paraId="045D896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0" w:name="_Toc2029"/>
      <w:r>
        <w:rPr>
          <w:rFonts w:hint="eastAsia" w:ascii="宋体" w:hAnsi="宋体" w:eastAsia="宋体" w:cs="宋体"/>
          <w:color w:val="auto"/>
          <w:highlight w:val="none"/>
        </w:rPr>
        <w:t>19.1 缺陷责任期的起算时间</w:t>
      </w:r>
      <w:bookmarkEnd w:id="270"/>
    </w:p>
    <w:p w14:paraId="3135EA0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缺陷责任期自实际竣工日期起计算。在全部工程竣工验收前，已经发包人提前验收的单位工程，其缺陷责任期的起算日期相应提前。</w:t>
      </w:r>
    </w:p>
    <w:p w14:paraId="79F708E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1" w:name="_Toc28384"/>
      <w:r>
        <w:rPr>
          <w:rFonts w:hint="eastAsia" w:ascii="宋体" w:hAnsi="宋体" w:eastAsia="宋体" w:cs="宋体"/>
          <w:color w:val="auto"/>
          <w:highlight w:val="none"/>
        </w:rPr>
        <w:t>19.2 缺陷责任</w:t>
      </w:r>
      <w:bookmarkEnd w:id="271"/>
    </w:p>
    <w:p w14:paraId="4C4730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19.2.1 承包人应在缺陷责任期内对已交付使用的工程承担缺陷责任。</w:t>
      </w:r>
    </w:p>
    <w:p w14:paraId="10402C6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5F9540A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3C4BB1C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19.2.4 承包人不能在合理时间内修复缺陷的，发包人可自行修复或委托其他人修复，所需费用和利润的承担，按第19.2.3项约定办理。</w:t>
      </w:r>
    </w:p>
    <w:p w14:paraId="133F5C9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2" w:name="_Toc28081"/>
      <w:r>
        <w:rPr>
          <w:rFonts w:hint="eastAsia" w:ascii="宋体" w:hAnsi="宋体" w:eastAsia="宋体" w:cs="宋体"/>
          <w:color w:val="auto"/>
          <w:highlight w:val="none"/>
        </w:rPr>
        <w:t>19.3 缺陷责任期的延长</w:t>
      </w:r>
      <w:bookmarkEnd w:id="272"/>
    </w:p>
    <w:p w14:paraId="6AEC63E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112B856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3" w:name="_Toc882"/>
      <w:r>
        <w:rPr>
          <w:rFonts w:hint="eastAsia" w:ascii="宋体" w:hAnsi="宋体" w:eastAsia="宋体" w:cs="宋体"/>
          <w:color w:val="auto"/>
          <w:highlight w:val="none"/>
        </w:rPr>
        <w:t>19.4 进一步试验和试运行</w:t>
      </w:r>
      <w:bookmarkEnd w:id="273"/>
    </w:p>
    <w:p w14:paraId="71DC025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任何一项缺陷或损坏修复后，经检查证明其影响了工程或工程设备的使用性能，承包人应重新进行合同约定的试验和试运行，试验和试运行的全部费用应由责任方承担。</w:t>
      </w:r>
    </w:p>
    <w:p w14:paraId="6BD5FFE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4" w:name="_Toc17413"/>
      <w:r>
        <w:rPr>
          <w:rFonts w:hint="eastAsia" w:ascii="宋体" w:hAnsi="宋体" w:eastAsia="宋体" w:cs="宋体"/>
          <w:color w:val="auto"/>
          <w:highlight w:val="none"/>
        </w:rPr>
        <w:t>19.5 承包人的进入权</w:t>
      </w:r>
      <w:bookmarkEnd w:id="274"/>
    </w:p>
    <w:p w14:paraId="4E0DCB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缺陷责任期内承包人为缺陷修复工作需要，有权进入工程现场，但应遵守发包人的保安和保密规定。</w:t>
      </w:r>
    </w:p>
    <w:p w14:paraId="3D425E5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5" w:name="_Toc4985"/>
      <w:r>
        <w:rPr>
          <w:rFonts w:hint="eastAsia" w:ascii="宋体" w:hAnsi="宋体" w:eastAsia="宋体" w:cs="宋体"/>
          <w:color w:val="auto"/>
          <w:highlight w:val="none"/>
        </w:rPr>
        <w:t>19.6 缺陷责任期终止证书</w:t>
      </w:r>
      <w:bookmarkEnd w:id="275"/>
    </w:p>
    <w:p w14:paraId="45DF839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在第1.1.4.5目约定的缺陷责任期，包括根据第19.3款延长的期限终止后14天内，由监理人向承包人出具经发包人签认的缺陷责任期终止证书，并退还剩余的质量保证金。</w:t>
      </w:r>
    </w:p>
    <w:p w14:paraId="335073B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6" w:name="_Toc28036"/>
      <w:r>
        <w:rPr>
          <w:rFonts w:hint="eastAsia" w:ascii="宋体" w:hAnsi="宋体" w:eastAsia="宋体" w:cs="宋体"/>
          <w:color w:val="auto"/>
          <w:highlight w:val="none"/>
        </w:rPr>
        <w:t>19.7 保修责任</w:t>
      </w:r>
      <w:bookmarkEnd w:id="276"/>
    </w:p>
    <w:p w14:paraId="32E946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48F832EA">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77" w:name="_Toc122424203"/>
      <w:bookmarkStart w:id="278" w:name="_Toc21090"/>
      <w:bookmarkStart w:id="279" w:name="_Toc122424452"/>
      <w:r>
        <w:rPr>
          <w:rFonts w:hint="eastAsia" w:ascii="宋体" w:hAnsi="宋体" w:eastAsia="宋体" w:cs="宋体"/>
          <w:color w:val="auto"/>
          <w:highlight w:val="none"/>
        </w:rPr>
        <w:t>20. 保险</w:t>
      </w:r>
      <w:bookmarkEnd w:id="277"/>
      <w:bookmarkEnd w:id="278"/>
      <w:bookmarkEnd w:id="279"/>
    </w:p>
    <w:p w14:paraId="622F66B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0" w:name="_Toc9782"/>
      <w:r>
        <w:rPr>
          <w:rFonts w:hint="eastAsia" w:ascii="宋体" w:hAnsi="宋体" w:eastAsia="宋体" w:cs="宋体"/>
          <w:color w:val="auto"/>
          <w:highlight w:val="none"/>
        </w:rPr>
        <w:t>20.1 工程保险</w:t>
      </w:r>
      <w:bookmarkEnd w:id="280"/>
    </w:p>
    <w:p w14:paraId="14280F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07D57F3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1" w:name="_Toc20764"/>
      <w:r>
        <w:rPr>
          <w:rFonts w:hint="eastAsia" w:ascii="宋体" w:hAnsi="宋体" w:eastAsia="宋体" w:cs="宋体"/>
          <w:color w:val="auto"/>
          <w:highlight w:val="none"/>
        </w:rPr>
        <w:t>20.2 人员工伤事故的保险</w:t>
      </w:r>
      <w:bookmarkEnd w:id="281"/>
    </w:p>
    <w:p w14:paraId="1E34B9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20.2.1 承包人员工伤事故的保险</w:t>
      </w:r>
    </w:p>
    <w:p w14:paraId="522711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承包人应依照有关法律规定参加工伤保险，为其履行合同所雇佣的全部人员，缴纳工伤保险费，并要求其分包人也进行此项保险。</w:t>
      </w:r>
    </w:p>
    <w:p w14:paraId="3074CF8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20.2.2 发包人员工伤事故的保险</w:t>
      </w:r>
    </w:p>
    <w:p w14:paraId="4702A7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发包人应依照有关法律规定参加工伤保险，为其现场机构雇佣的全部人员，缴纳工伤保险费，并要求其监理人也进行此项保险。</w:t>
      </w:r>
    </w:p>
    <w:p w14:paraId="7EA3F9D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2" w:name="_Toc5176"/>
      <w:r>
        <w:rPr>
          <w:rFonts w:hint="eastAsia" w:ascii="宋体" w:hAnsi="宋体" w:eastAsia="宋体" w:cs="宋体"/>
          <w:color w:val="auto"/>
          <w:highlight w:val="none"/>
        </w:rPr>
        <w:t>20.3 人身意外伤害险</w:t>
      </w:r>
      <w:bookmarkEnd w:id="282"/>
    </w:p>
    <w:p w14:paraId="4F05DB7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20.3.1 发包人应在整个施工期间为其现场机构雇用的全部人员，投保人身意外伤害险，缴纳保险费，并要求其监理人也进行此项保险。</w:t>
      </w:r>
    </w:p>
    <w:p w14:paraId="54843D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20.3.2 承包人应在整个施工期间为其现场机构雇用的全部人员，投保人身意外伤害险，缴纳保险费，并要求其分包人也进行此项保险。</w:t>
      </w:r>
    </w:p>
    <w:p w14:paraId="4BAD1A3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3" w:name="_Toc6828"/>
      <w:r>
        <w:rPr>
          <w:rFonts w:hint="eastAsia" w:ascii="宋体" w:hAnsi="宋体" w:eastAsia="宋体" w:cs="宋体"/>
          <w:color w:val="auto"/>
          <w:highlight w:val="none"/>
        </w:rPr>
        <w:t>20.4 第三者责任险</w:t>
      </w:r>
      <w:bookmarkEnd w:id="283"/>
    </w:p>
    <w:p w14:paraId="3826835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33DEDF5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20.4.2 在缺陷责任期终止证书颁发前，承包人应以承包人和发包人的共同名义，投保第20.4.1项约定的第三者责任险，其保险费率、保险金额等有关内容在专用合同条款中约定。</w:t>
      </w:r>
    </w:p>
    <w:p w14:paraId="2F4355E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4" w:name="_Toc1637"/>
      <w:r>
        <w:rPr>
          <w:rFonts w:hint="eastAsia" w:ascii="宋体" w:hAnsi="宋体" w:eastAsia="宋体" w:cs="宋体"/>
          <w:color w:val="auto"/>
          <w:highlight w:val="none"/>
        </w:rPr>
        <w:t>20.5 其他保险</w:t>
      </w:r>
      <w:bookmarkEnd w:id="284"/>
    </w:p>
    <w:p w14:paraId="5CF1C22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除专用合同条款另有约定外，承包人应为其施工设备、进场的材料和工程设备等办理保险。</w:t>
      </w:r>
    </w:p>
    <w:p w14:paraId="3571B3C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5" w:name="_Toc15017"/>
      <w:r>
        <w:rPr>
          <w:rFonts w:hint="eastAsia" w:ascii="宋体" w:hAnsi="宋体" w:eastAsia="宋体" w:cs="宋体"/>
          <w:color w:val="auto"/>
          <w:highlight w:val="none"/>
        </w:rPr>
        <w:t>20.6 对各项保险的一般要求</w:t>
      </w:r>
      <w:bookmarkEnd w:id="285"/>
    </w:p>
    <w:p w14:paraId="708D78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20.6.1 保险凭证</w:t>
      </w:r>
    </w:p>
    <w:p w14:paraId="0FFD9AD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承包人应在专用合同条款约定的期限内向发包人提交各项保险生效的证据和保险单副本，保险单必须与专用合同条款约定的条件保持一致。</w:t>
      </w:r>
    </w:p>
    <w:p w14:paraId="6F0E9D4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20.6.2 保险合同条款的变动</w:t>
      </w:r>
    </w:p>
    <w:p w14:paraId="65F1CAD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承包人需要变动保险合同条款时，应事先征得发包人同意，并通知监理人。保险人作出变动的，承包人应在收到保险人通知后立即通知发包人和监理人。</w:t>
      </w:r>
    </w:p>
    <w:p w14:paraId="234879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20.6.3 持续保险</w:t>
      </w:r>
    </w:p>
    <w:p w14:paraId="41FA50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承包人应与保险人保持联系，使保险人能够随时了解工程实施中的变动，并确保按保险合同条款要求持续保险。</w:t>
      </w:r>
    </w:p>
    <w:p w14:paraId="260DCF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20.6.4 保险金不足的补偿</w:t>
      </w:r>
    </w:p>
    <w:p w14:paraId="01F5DDA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保险金不足以补偿损失的，应由承包人和（或）发包人按合同约定负责补偿。</w:t>
      </w:r>
    </w:p>
    <w:p w14:paraId="280CA0B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20.6.5 未按约定投保的补救</w:t>
      </w:r>
    </w:p>
    <w:p w14:paraId="5E5375A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（1）由于负有投保义务的一方当事人未按合同约定办理保险，或未能使保险持续有效的，另一方当事人可代为办理，所需费用由对方当事人承担。</w:t>
      </w:r>
    </w:p>
    <w:p w14:paraId="57E563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（2）由于负有投保义务的一方当事人未按合同约定办理某项保险，导致受益人未能得到保险人的赔偿，原应从该项保险得到的保险金应由负有投保义务的一方当事人支付。</w:t>
      </w:r>
    </w:p>
    <w:p w14:paraId="3AC94C5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20.6.6 报告义务</w:t>
      </w:r>
    </w:p>
    <w:p w14:paraId="3DB1570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当保险事故发生时，投保人应按照保险单规定的条件和期限及时向保险人报告。</w:t>
      </w:r>
    </w:p>
    <w:p w14:paraId="4417B72E">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86" w:name="_Toc122424453"/>
      <w:bookmarkStart w:id="287" w:name="_Toc6526"/>
      <w:bookmarkStart w:id="288" w:name="_Toc122424204"/>
      <w:r>
        <w:rPr>
          <w:rFonts w:hint="eastAsia" w:ascii="宋体" w:hAnsi="宋体" w:eastAsia="宋体" w:cs="宋体"/>
          <w:color w:val="auto"/>
          <w:highlight w:val="none"/>
        </w:rPr>
        <w:t>21. 不可抗力</w:t>
      </w:r>
      <w:bookmarkEnd w:id="286"/>
      <w:bookmarkEnd w:id="287"/>
      <w:bookmarkEnd w:id="288"/>
    </w:p>
    <w:p w14:paraId="26BFEDE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9" w:name="_Toc9293"/>
      <w:r>
        <w:rPr>
          <w:rFonts w:hint="eastAsia" w:ascii="宋体" w:hAnsi="宋体" w:eastAsia="宋体" w:cs="宋体"/>
          <w:color w:val="auto"/>
          <w:highlight w:val="none"/>
        </w:rPr>
        <w:t>21.1 不可抗力的确认</w:t>
      </w:r>
      <w:bookmarkEnd w:id="289"/>
    </w:p>
    <w:p w14:paraId="7FDDBAF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0C2AE85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7997301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0" w:name="_Toc32615"/>
      <w:r>
        <w:rPr>
          <w:rFonts w:hint="eastAsia" w:ascii="宋体" w:hAnsi="宋体" w:eastAsia="宋体" w:cs="宋体"/>
          <w:color w:val="auto"/>
          <w:highlight w:val="none"/>
        </w:rPr>
        <w:t>21.2 不可抗力的通知</w:t>
      </w:r>
      <w:bookmarkEnd w:id="290"/>
    </w:p>
    <w:p w14:paraId="31DFAC5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21.2.1 合同一方当事人遇到不可抗力事件，使其履行合同义务受到阻碍时，应立即通知合同另一方当事人和监理人，书面说明不可抗力和受阻碍的详细情况，并提供必要的证明。</w:t>
      </w:r>
    </w:p>
    <w:p w14:paraId="0C4D5CF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2BA9104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1" w:name="_Toc26419"/>
      <w:r>
        <w:rPr>
          <w:rFonts w:hint="eastAsia" w:ascii="宋体" w:hAnsi="宋体" w:eastAsia="宋体" w:cs="宋体"/>
          <w:color w:val="auto"/>
          <w:highlight w:val="none"/>
        </w:rPr>
        <w:t>21.3 不可抗力后果及其处理</w:t>
      </w:r>
      <w:bookmarkEnd w:id="291"/>
    </w:p>
    <w:p w14:paraId="637907F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21.3.1 不可抗力造成损害的责任</w:t>
      </w:r>
    </w:p>
    <w:p w14:paraId="2C8CFB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除专用合同条款另有约定外，不可抗力导致的人员伤亡、财产损失、费用增加和（或）工期延误等后果，由合同双方按以下原则承担：</w:t>
      </w:r>
    </w:p>
    <w:p w14:paraId="5C9E0CE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（1）永久工程，包括已运至施工场地的材料和工程设备的损害，以及因工程损害造成的第三者人员伤亡和财产损失由发包人承担；</w:t>
      </w:r>
    </w:p>
    <w:p w14:paraId="20A7ECF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（2）承包人设备的损坏由承包人承担；</w:t>
      </w:r>
    </w:p>
    <w:p w14:paraId="162F631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（3）发包人和承包人各自承担其人员伤亡和其他财产损失及其相关费用；</w:t>
      </w:r>
    </w:p>
    <w:p w14:paraId="5EDA2B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（4）承包人的停工损失由承包人承担，但停工期间应监理人要求照管工程和清理、修复工程的金额由发包人承担；</w:t>
      </w:r>
    </w:p>
    <w:p w14:paraId="5F86E23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（5）不能按期竣工的，应合理延长工期，承包人不需支付逾期竣工违约金。发包人要求赶工的，承包人应采取赶工措施，赶工费用由发包人承担。</w:t>
      </w:r>
    </w:p>
    <w:p w14:paraId="7EEBF7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21.3.2 延迟履行期间发生的不可抗力</w:t>
      </w:r>
    </w:p>
    <w:p w14:paraId="487AAA8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合同一方当事人延迟履行，在延迟履行期间发生不可抗力的，不免除其责任。</w:t>
      </w:r>
    </w:p>
    <w:p w14:paraId="77CA310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21.3.3 避免和减少不可抗力损失</w:t>
      </w:r>
    </w:p>
    <w:p w14:paraId="086A20B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不可抗力发生后，发包人和承包人均应采取措施尽量避免和减少损失的扩大，任何一方没有采取有效措施导致损失扩大的，应对扩大的损失承担责任。</w:t>
      </w:r>
    </w:p>
    <w:p w14:paraId="241F2E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21.3.4 因不可抗力解除合同</w:t>
      </w:r>
    </w:p>
    <w:p w14:paraId="0B7A30A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04FC300B">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92" w:name="_Toc122424205"/>
      <w:bookmarkStart w:id="293" w:name="_Toc122424454"/>
      <w:bookmarkStart w:id="294" w:name="_Toc16752"/>
      <w:r>
        <w:rPr>
          <w:rFonts w:hint="eastAsia" w:ascii="宋体" w:hAnsi="宋体" w:eastAsia="宋体" w:cs="宋体"/>
          <w:color w:val="auto"/>
          <w:highlight w:val="none"/>
        </w:rPr>
        <w:t>22. 违约</w:t>
      </w:r>
      <w:bookmarkEnd w:id="292"/>
      <w:bookmarkEnd w:id="293"/>
      <w:bookmarkEnd w:id="294"/>
    </w:p>
    <w:p w14:paraId="7062D57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5" w:name="_Toc18184"/>
      <w:r>
        <w:rPr>
          <w:rFonts w:hint="eastAsia" w:ascii="宋体" w:hAnsi="宋体" w:eastAsia="宋体" w:cs="宋体"/>
          <w:color w:val="auto"/>
          <w:highlight w:val="none"/>
        </w:rPr>
        <w:t>22.1 承包人违约</w:t>
      </w:r>
      <w:bookmarkEnd w:id="295"/>
    </w:p>
    <w:p w14:paraId="4AB708D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22.1.1 承包人违约的情形</w:t>
      </w:r>
    </w:p>
    <w:p w14:paraId="4BC0657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在履行合同过程中发生的下列情况属承包人违约：</w:t>
      </w:r>
    </w:p>
    <w:p w14:paraId="73CA36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（1）承包人违反第1.8款或第4.3款的约定，私自将合同的全部或部分权利转让给其他人，或私自将合同的全部或部分义务转移给其他人；</w:t>
      </w:r>
    </w:p>
    <w:p w14:paraId="32C657E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（2）承包人违反第5.3款或第6.4款的约定，未经监理人批准，私自将已按合同约定进入施工场地的施工设备、临时设施或材料撤离施工场地；</w:t>
      </w:r>
    </w:p>
    <w:p w14:paraId="785430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（3）承包人违反第5.4款的约定使用了不合格材料或工程设备，工程质量达不到标准要求，又拒绝清除不合格工程；</w:t>
      </w:r>
    </w:p>
    <w:p w14:paraId="09B467D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（4）承包人未能按合同进度计划及时完成合同约定的工作，已造成或预期造成工期延误；</w:t>
      </w:r>
    </w:p>
    <w:p w14:paraId="1BDC0B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（5）承包人在缺陷责任期内，未能对工程接收证书所列的缺陷清单的内容或缺陷责任期内发生的缺陷进行修复，而又拒绝按监理人指示再进行修补；</w:t>
      </w:r>
    </w:p>
    <w:p w14:paraId="1AF1BC3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（6）承包人无法继续履行或明确表示不履行或实质上已停止履行合同；</w:t>
      </w:r>
    </w:p>
    <w:p w14:paraId="45785D2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（7）承包人不按合同约定履行义务的其他情况。</w:t>
      </w:r>
    </w:p>
    <w:p w14:paraId="41FF8C6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22.1.2 对承包人违约的处理</w:t>
      </w:r>
    </w:p>
    <w:p w14:paraId="3E873A5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（1）承包人发生第22.1.1（6）目约定的违约情况时，发包人可通知承包人立即解除合同，并按有关法律处理。</w:t>
      </w:r>
    </w:p>
    <w:p w14:paraId="377FB1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（2）承包人发生除第22.1.1（6）目约定以外的其他违约情况时，监理人可向承包人发出整改通知，要求其在指定的期限内改正。承包人应承担其违约所引起的费用增加和（或）工期延误。</w:t>
      </w:r>
    </w:p>
    <w:p w14:paraId="2BC3D5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（3）经检查证明承包人已采取了有效措施纠正违约行为，具备复工条件的，可由监理人签发复工通知复工。</w:t>
      </w:r>
    </w:p>
    <w:p w14:paraId="29E58C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22.1.3 承包人违约解除合同</w:t>
      </w:r>
    </w:p>
    <w:p w14:paraId="21F635A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234B6DA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22.1.4 合同解除后的估价、付款和结清</w:t>
      </w:r>
    </w:p>
    <w:p w14:paraId="13F47E4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（1）合同解除后，监理人按第3.5款商定或确定承包人实际完成工作的价值，以及承包人已提供的材料、施工设备、工程设备和临时工程等的价值。 </w:t>
      </w:r>
    </w:p>
    <w:p w14:paraId="7F1AD21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（2）合同解除后，发包人应暂停对承包人的一切付款，查清各项付款和已扣款金额，包括承包人应支付的违约金。 </w:t>
      </w:r>
    </w:p>
    <w:p w14:paraId="29DAD40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（3）合同解除后，发包人应按第23.4款的约定向承包人索赔由于解除合同给发包人造成的损失。</w:t>
      </w:r>
    </w:p>
    <w:p w14:paraId="2CCB079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（4）合同双方确认上述往来款项后，出具最终结清付款证书，结清全部合同款项。</w:t>
      </w:r>
    </w:p>
    <w:p w14:paraId="60A8036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（5）发包人和承包人未能就解除合同后的结清达成一致而形成争议的，按第24条的约定办理。</w:t>
      </w:r>
    </w:p>
    <w:p w14:paraId="716A297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22.1.5 协议利益的转让</w:t>
      </w:r>
    </w:p>
    <w:p w14:paraId="697D72A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14:paraId="469CC77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22.1.6 紧急情况下无能力或不愿进行抢救</w:t>
      </w:r>
    </w:p>
    <w:p w14:paraId="021A69C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43DB807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6" w:name="_Toc24004"/>
      <w:r>
        <w:rPr>
          <w:rFonts w:hint="eastAsia" w:ascii="宋体" w:hAnsi="宋体" w:eastAsia="宋体" w:cs="宋体"/>
          <w:color w:val="auto"/>
          <w:highlight w:val="none"/>
        </w:rPr>
        <w:t>22.2 发包人违约</w:t>
      </w:r>
      <w:bookmarkEnd w:id="296"/>
    </w:p>
    <w:p w14:paraId="2DB79D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22.2.1 发包人违约的情形</w:t>
      </w:r>
    </w:p>
    <w:p w14:paraId="0EB1FD8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在履行合同过程中发生的下列情形，属发包人违约：</w:t>
      </w:r>
    </w:p>
    <w:p w14:paraId="530B54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（1）发包人未能按合同约定支付预付款或合同价款，或拖延、拒绝批准付款申请和支付凭证，导致付款延误的；</w:t>
      </w:r>
    </w:p>
    <w:p w14:paraId="628982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（2）发包人原因造成停工的；</w:t>
      </w:r>
    </w:p>
    <w:p w14:paraId="4CAD895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（3）监理人无正当理由没有在约定期限内发出复工指示，导致承包人无法复工的；</w:t>
      </w:r>
    </w:p>
    <w:p w14:paraId="2D262C7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（4）发包人无法继续履行或明确表示不履行或实质上已停止履行合同的；</w:t>
      </w:r>
    </w:p>
    <w:p w14:paraId="42B712A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（5）发包人不履行合同约定其他义务的。</w:t>
      </w:r>
    </w:p>
    <w:p w14:paraId="60F6ED6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22.2.2 承包人有权暂停施工</w:t>
      </w:r>
    </w:p>
    <w:p w14:paraId="45A05DA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5F0F10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22.2.3 发包人违约解除合同 </w:t>
      </w:r>
    </w:p>
    <w:p w14:paraId="61AAFC6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（1）发生第22.2.1（4）目的违约情况时，承包人可书面通知发包人解除合同。   </w:t>
      </w:r>
    </w:p>
    <w:p w14:paraId="1A8EE7F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14:paraId="7E9E7D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22.2.4 解除合同后的付款</w:t>
      </w:r>
    </w:p>
    <w:p w14:paraId="660699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因发包人违约解除合同的，发包人应在解除合同后28天内向承包人支付下列金额，承包人应在此期限内及时向发包人提交要求支付下列金额的有关资料和凭证：</w:t>
      </w:r>
    </w:p>
    <w:p w14:paraId="1F7C576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（1）合同解除日以前所完成工作的价款；</w:t>
      </w:r>
    </w:p>
    <w:p w14:paraId="26EEEB5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（2）承包人为该工程施工订购并已付款的材料、工程设备和其他物品的金额。发包人付还后，该材料、工程设备和其他物品归发包人所有；</w:t>
      </w:r>
    </w:p>
    <w:p w14:paraId="7CA8C36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（3）承包人为完成工程所发生的，而发包人未支付的金额；</w:t>
      </w:r>
    </w:p>
    <w:p w14:paraId="53862A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（4）承包人撤离施工场地以及遣散承包人人员的金额；</w:t>
      </w:r>
    </w:p>
    <w:p w14:paraId="193C3D5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（5）由于解除合同应赔偿的承包人损失；</w:t>
      </w:r>
    </w:p>
    <w:p w14:paraId="1D29092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（6）按合同约定在合同解除日前应支付给承包人的其他金额。</w:t>
      </w:r>
    </w:p>
    <w:p w14:paraId="37D6F2B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发包人应按本项约定支付上述金额并退还质量保证金和履约担保，但有权要求承包人支付应偿还给发包人的各项金额。</w:t>
      </w:r>
    </w:p>
    <w:p w14:paraId="0FF8F2F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22.2.5 解除合同后的承包人撤离</w:t>
      </w:r>
    </w:p>
    <w:p w14:paraId="3BFE38E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0F42F76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7" w:name="_Toc13746"/>
      <w:r>
        <w:rPr>
          <w:rFonts w:hint="eastAsia" w:ascii="宋体" w:hAnsi="宋体" w:eastAsia="宋体" w:cs="宋体"/>
          <w:color w:val="auto"/>
          <w:highlight w:val="none"/>
        </w:rPr>
        <w:t>22.3 第三人造成的违约</w:t>
      </w:r>
      <w:bookmarkEnd w:id="297"/>
    </w:p>
    <w:p w14:paraId="418803A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在履行合同过程中，一方当事人因第三人的原因造成违约的，应当向对方当事人承担违约责任。一方当事人和第三人之间的纠纷，依照法律规定或者按照约定解决。</w:t>
      </w:r>
    </w:p>
    <w:p w14:paraId="1BCF29B5">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98" w:name="_Toc122424206"/>
      <w:bookmarkStart w:id="299" w:name="_Toc122424455"/>
      <w:bookmarkStart w:id="300" w:name="_Toc24948"/>
      <w:r>
        <w:rPr>
          <w:rFonts w:hint="eastAsia" w:ascii="宋体" w:hAnsi="宋体" w:eastAsia="宋体" w:cs="宋体"/>
          <w:color w:val="auto"/>
          <w:highlight w:val="none"/>
        </w:rPr>
        <w:t>23. 索赔</w:t>
      </w:r>
      <w:bookmarkEnd w:id="298"/>
      <w:bookmarkEnd w:id="299"/>
      <w:bookmarkEnd w:id="300"/>
    </w:p>
    <w:p w14:paraId="729F901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1" w:name="_Toc27577"/>
      <w:r>
        <w:rPr>
          <w:rFonts w:hint="eastAsia" w:ascii="宋体" w:hAnsi="宋体" w:eastAsia="宋体" w:cs="宋体"/>
          <w:color w:val="auto"/>
          <w:highlight w:val="none"/>
        </w:rPr>
        <w:t>23.1 承包人索赔的提出</w:t>
      </w:r>
      <w:bookmarkEnd w:id="301"/>
    </w:p>
    <w:p w14:paraId="5B4D9C1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根据合同约定，承包人认为有权得到追加付款和（或）延长工期的，应按以下程序向发包人提出索赔：</w:t>
      </w:r>
    </w:p>
    <w:p w14:paraId="2093CE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00611D2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（2）承包人应在发出索赔意向通知书后28天内，向监理人正式递交索赔通知书。索赔通知书应详细说明索赔理由以及要求追加的付款金额和（或）延长的工期，并附必要的记录和证明材料；</w:t>
      </w:r>
    </w:p>
    <w:p w14:paraId="045635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（3）索赔事件具有连续影响的，承包人应按合理时间间隔继续递交延续索赔通知，说明连续影响的实际情况和记录，列出累计的追加付款金额和（或）工期延长天数；</w:t>
      </w:r>
    </w:p>
    <w:p w14:paraId="243EB6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（4）在索赔事件影响结束后的28天内，承包人应向监理人递交最终索赔通知书，说明最终要求索赔的追加付款金额和延长的工期，并附必要的记录和证明材料。</w:t>
      </w:r>
    </w:p>
    <w:p w14:paraId="2D77D9A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2" w:name="_Toc27579"/>
      <w:r>
        <w:rPr>
          <w:rFonts w:hint="eastAsia" w:ascii="宋体" w:hAnsi="宋体" w:eastAsia="宋体" w:cs="宋体"/>
          <w:color w:val="auto"/>
          <w:highlight w:val="none"/>
        </w:rPr>
        <w:t>23.2 承包人索赔处理程序</w:t>
      </w:r>
      <w:bookmarkEnd w:id="302"/>
    </w:p>
    <w:p w14:paraId="4189A34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（1）监理人收到承包人提交的索赔通知书后，应及时审查索赔通知书的内容、查验承包人的记录和证明材料，必要时监理人可要求承包人提交全部原始记录副本。</w:t>
      </w:r>
    </w:p>
    <w:p w14:paraId="7CCE1FF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（2）监理人应按第3.5款商定或确定追加的付款和（或）延长的工期，并在收到上述索赔通知书或有关索赔的进一步证明材料后的42天内，将索赔处理结果答复承包人。</w:t>
      </w:r>
    </w:p>
    <w:p w14:paraId="055D42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（3）承包人接受索赔处理结果的，发包人应在作出索赔处理结果答复后28天内完成赔付。承包人不接受索赔处理结果的，按第24条的约定办理。</w:t>
      </w:r>
    </w:p>
    <w:p w14:paraId="37906B1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3" w:name="_Toc30968"/>
      <w:r>
        <w:rPr>
          <w:rFonts w:hint="eastAsia" w:ascii="宋体" w:hAnsi="宋体" w:eastAsia="宋体" w:cs="宋体"/>
          <w:color w:val="auto"/>
          <w:highlight w:val="none"/>
        </w:rPr>
        <w:t>23.3 承包人提出索赔的期限</w:t>
      </w:r>
      <w:bookmarkEnd w:id="303"/>
    </w:p>
    <w:p w14:paraId="1918EC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23.3.1 承包人按第17.5款的约定接受了竣工付款证书后，应被认为已无权再提出在合同工程接收证书颁发前所发生的任何索赔。</w:t>
      </w:r>
    </w:p>
    <w:p w14:paraId="175E61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23.3.2 承包人按第17.6款的约定提交的最终结清申请单中，只限于提出工程接收证书颁发后发生的索赔。提出索赔的期限自接受最终结清证书时终止。 </w:t>
      </w:r>
    </w:p>
    <w:p w14:paraId="1D6334D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4" w:name="_Toc11364"/>
      <w:r>
        <w:rPr>
          <w:rFonts w:hint="eastAsia" w:ascii="宋体" w:hAnsi="宋体" w:eastAsia="宋体" w:cs="宋体"/>
          <w:color w:val="auto"/>
          <w:highlight w:val="none"/>
        </w:rPr>
        <w:t>23.4 发包人的索赔</w:t>
      </w:r>
      <w:bookmarkEnd w:id="304"/>
    </w:p>
    <w:p w14:paraId="413EBF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4D763E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3F1A43D4">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305" w:name="_Toc122424456"/>
      <w:bookmarkStart w:id="306" w:name="_Toc122424207"/>
      <w:bookmarkStart w:id="307" w:name="_Toc14309"/>
      <w:r>
        <w:rPr>
          <w:rFonts w:hint="eastAsia" w:ascii="宋体" w:hAnsi="宋体" w:eastAsia="宋体" w:cs="宋体"/>
          <w:color w:val="auto"/>
          <w:highlight w:val="none"/>
        </w:rPr>
        <w:t>24. 争议的解决</w:t>
      </w:r>
      <w:bookmarkEnd w:id="305"/>
      <w:bookmarkEnd w:id="306"/>
      <w:bookmarkEnd w:id="307"/>
    </w:p>
    <w:p w14:paraId="297E667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8" w:name="_Toc16006"/>
      <w:r>
        <w:rPr>
          <w:rFonts w:hint="eastAsia" w:ascii="宋体" w:hAnsi="宋体" w:eastAsia="宋体" w:cs="宋体"/>
          <w:color w:val="auto"/>
          <w:highlight w:val="none"/>
        </w:rPr>
        <w:t>24.1 争议的解决方式</w:t>
      </w:r>
      <w:bookmarkEnd w:id="308"/>
    </w:p>
    <w:p w14:paraId="762ACCC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7FB359D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（1）向约定的仲裁委员会申请仲裁；</w:t>
      </w:r>
    </w:p>
    <w:p w14:paraId="2CA137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（2）向有管辖权的人民法院提起诉讼。</w:t>
      </w:r>
    </w:p>
    <w:p w14:paraId="29747A8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9" w:name="_Toc8167"/>
      <w:r>
        <w:rPr>
          <w:rFonts w:hint="eastAsia" w:ascii="宋体" w:hAnsi="宋体" w:eastAsia="宋体" w:cs="宋体"/>
          <w:color w:val="auto"/>
          <w:highlight w:val="none"/>
        </w:rPr>
        <w:t>24.2 友好解决</w:t>
      </w:r>
      <w:bookmarkEnd w:id="309"/>
    </w:p>
    <w:p w14:paraId="415790E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在提请争议评审、仲裁或者诉讼前，以及在争议评审、仲裁或诉讼过程中，发包人和承包人均可共同努力友好协商解决争议。</w:t>
      </w:r>
    </w:p>
    <w:p w14:paraId="5E11902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10" w:name="_Toc2540"/>
      <w:r>
        <w:rPr>
          <w:rFonts w:hint="eastAsia" w:ascii="宋体" w:hAnsi="宋体" w:eastAsia="宋体" w:cs="宋体"/>
          <w:color w:val="auto"/>
          <w:highlight w:val="none"/>
        </w:rPr>
        <w:t>24.3 争议评审</w:t>
      </w:r>
      <w:bookmarkEnd w:id="310"/>
    </w:p>
    <w:p w14:paraId="469038D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24.3.1 采用争议评审的，发包人和承包人应在开工日后的28天内或在争议发生后，协商成立争议评审组。争议评审组由有合同管理和工程实践经验的专家组成。</w:t>
      </w:r>
    </w:p>
    <w:p w14:paraId="3153644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24.3.2 合同双方的争议，应首先由申请人向争议评审组提交一份详细的评审申请报告，并附必要的文件、图纸和证明材料，申请人还应将上述报告的副本同时提交给被申请人和监理人。</w:t>
      </w:r>
    </w:p>
    <w:p w14:paraId="3BB3138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24.3.3 被申请人在收到申请人评审申请报告副本后的28天内，向争议评审组提交一份答辩报告，并附证明材料。被申请人应将答辩报告的副本同时提交给申请人和监理人。</w:t>
      </w:r>
    </w:p>
    <w:p w14:paraId="15F83F4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0D74EA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3D9163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24.3.6 发包人和承包人接受评审意见的，由监理人根据评审意见拟定执行协议，经争议双方签字后作为合同的补充文件，并遵照执行。</w:t>
      </w:r>
    </w:p>
    <w:p w14:paraId="35150D3A">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bookmarkStart w:id="311" w:name="_Toc514759026"/>
      <w:bookmarkStart w:id="312" w:name="_Toc511595187"/>
      <w:bookmarkStart w:id="313" w:name="_Toc394929412"/>
      <w:bookmarkStart w:id="314" w:name="_Toc508779703"/>
      <w:bookmarkStart w:id="315" w:name="_Toc517163146"/>
      <w:bookmarkStart w:id="316" w:name="_Toc15755"/>
    </w:p>
    <w:p w14:paraId="66E1D254">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4D577B7">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5FB72A50">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3E710C02">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6EDC2CD9">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407A2A4A">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9D0DDD5">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2BBC6D8">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5959549A">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2F733E72">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66A2C794">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1FE437CB">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3074CF19">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DF583D2">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13A3B728">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2F253853">
      <w:pPr>
        <w:pStyle w:val="4"/>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第二节  专用合同条款</w:t>
      </w:r>
      <w:bookmarkEnd w:id="311"/>
      <w:bookmarkEnd w:id="312"/>
      <w:bookmarkEnd w:id="313"/>
      <w:bookmarkEnd w:id="314"/>
      <w:bookmarkEnd w:id="315"/>
      <w:bookmarkEnd w:id="316"/>
    </w:p>
    <w:p w14:paraId="72C7ECB5">
      <w:pPr>
        <w:keepNext/>
        <w:keepLines/>
        <w:pageBreakBefore w:val="0"/>
        <w:kinsoku/>
        <w:wordWrap/>
        <w:overflowPunct/>
        <w:topLinePunct w:val="0"/>
        <w:autoSpaceDE/>
        <w:autoSpaceDN/>
        <w:bidi w:val="0"/>
        <w:spacing w:line="360" w:lineRule="auto"/>
        <w:jc w:val="center"/>
        <w:textAlignment w:val="auto"/>
        <w:outlineLvl w:val="1"/>
        <w:rPr>
          <w:rFonts w:hint="eastAsia" w:ascii="宋体" w:hAnsi="宋体" w:eastAsia="宋体" w:cs="宋体"/>
          <w:b/>
          <w:bCs/>
          <w:color w:val="auto"/>
          <w:sz w:val="32"/>
          <w:szCs w:val="32"/>
          <w:highlight w:val="none"/>
        </w:rPr>
      </w:pPr>
      <w:bookmarkStart w:id="317" w:name="_Toc26847"/>
      <w:bookmarkStart w:id="318" w:name="_Toc122424209"/>
      <w:bookmarkStart w:id="319" w:name="_Toc25648"/>
      <w:bookmarkStart w:id="320" w:name="_Toc122424458"/>
      <w:r>
        <w:rPr>
          <w:rFonts w:hint="eastAsia" w:ascii="宋体" w:hAnsi="宋体" w:eastAsia="宋体" w:cs="宋体"/>
          <w:b/>
          <w:bCs/>
          <w:color w:val="auto"/>
          <w:sz w:val="32"/>
          <w:szCs w:val="32"/>
          <w:highlight w:val="none"/>
        </w:rPr>
        <w:t>A.公路工程专用合同条款</w:t>
      </w:r>
      <w:bookmarkEnd w:id="317"/>
      <w:bookmarkEnd w:id="318"/>
      <w:bookmarkEnd w:id="319"/>
      <w:bookmarkEnd w:id="320"/>
    </w:p>
    <w:p w14:paraId="7C851885">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21" w:name="_Toc122424210"/>
      <w:bookmarkStart w:id="322" w:name="_Toc11744"/>
      <w:bookmarkStart w:id="323" w:name="_Toc122424459"/>
      <w:r>
        <w:rPr>
          <w:rFonts w:hint="eastAsia" w:ascii="宋体" w:hAnsi="宋体" w:eastAsia="宋体" w:cs="宋体"/>
          <w:b/>
          <w:bCs/>
          <w:color w:val="auto"/>
          <w:sz w:val="32"/>
          <w:szCs w:val="32"/>
          <w:highlight w:val="none"/>
        </w:rPr>
        <w:t>1.一般约定</w:t>
      </w:r>
      <w:bookmarkEnd w:id="321"/>
      <w:bookmarkEnd w:id="322"/>
      <w:bookmarkEnd w:id="323"/>
    </w:p>
    <w:p w14:paraId="2780B9F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4" w:name="_Toc32051"/>
      <w:r>
        <w:rPr>
          <w:rFonts w:hint="eastAsia" w:ascii="宋体" w:hAnsi="宋体" w:eastAsia="宋体" w:cs="宋体"/>
          <w:b/>
          <w:bCs/>
          <w:color w:val="auto"/>
          <w:sz w:val="28"/>
          <w:szCs w:val="28"/>
          <w:highlight w:val="none"/>
        </w:rPr>
        <w:t>1.1词语定义</w:t>
      </w:r>
      <w:bookmarkEnd w:id="324"/>
    </w:p>
    <w:p w14:paraId="010BA67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1.1.1 合同</w:t>
      </w:r>
    </w:p>
    <w:p w14:paraId="6E9CB7B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1.1.1.6 目细化为：</w:t>
      </w:r>
    </w:p>
    <w:p w14:paraId="38D5B62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技术规范：指本合同所约定的技术标准和要求，是合同文件的组成部分。通用合同条款中“技术标准和要求”一词具有相同含义。</w:t>
      </w:r>
    </w:p>
    <w:p w14:paraId="768BE5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1.1.1.8 目细化为：</w:t>
      </w:r>
    </w:p>
    <w:p w14:paraId="7D216CD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 5.1～表 5.5）。</w:t>
      </w:r>
    </w:p>
    <w:p w14:paraId="44BB1FF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本项补充第 1.1.1.10 目：</w:t>
      </w:r>
    </w:p>
    <w:p w14:paraId="550FCC7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1.1.1.10 补遗书：指发出招标文件之后由招标人向已取得招标文件的投标人发出的、编号的对招标文件所作的澄清、修改书。</w:t>
      </w:r>
    </w:p>
    <w:p w14:paraId="3FAC6F1D">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1.1.2合同当事人和人员</w:t>
      </w:r>
    </w:p>
    <w:p w14:paraId="52A5D27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本项补充第 1.1.2.8 目：</w:t>
      </w:r>
    </w:p>
    <w:p w14:paraId="429A47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1.1.2.8 承包人项目总工：指由承包人书面委派常驻现场负责管理本合同工程的总工程师或技术总负责人。</w:t>
      </w:r>
    </w:p>
    <w:p w14:paraId="4308C053">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1.1.3工程和设备</w:t>
      </w:r>
    </w:p>
    <w:p w14:paraId="22C935D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1.1.3.4 目细化为：</w:t>
      </w:r>
    </w:p>
    <w:p w14:paraId="7E2C4D6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单位工程：指在建设项目中，根据签订的合同，具有独立施工条件的工程。第 1.1.3.10 目细化为：</w:t>
      </w:r>
    </w:p>
    <w:p w14:paraId="4016DE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永久占地：指为实施本合同工程而需要的一切永久占用的土地，包括公路两侧路权范围内的用地。</w:t>
      </w:r>
    </w:p>
    <w:p w14:paraId="00B57B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1.1.3.11 目细化为：</w:t>
      </w:r>
    </w:p>
    <w:p w14:paraId="730C7D5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临时占地：指为实施本合同工程而需要的一切临时占用的土地，包括施工所用的临时支线、便道、便桥和现场的临时出入通道，以及生产（办公）、生活等临时设施用地等。</w:t>
      </w:r>
    </w:p>
    <w:p w14:paraId="30E8DBB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本项补充第 1.1.3.12 目、第 1.1.3.13 目：</w:t>
      </w:r>
    </w:p>
    <w:p w14:paraId="26EB85C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1.1.3.12分部工程：指在单位工程中，按结构部位、路段长度及施工特点或施工任务划分的若干个工程。</w:t>
      </w:r>
    </w:p>
    <w:p w14:paraId="7320A2F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1.1.3.13分项工程：指在分部工程中，按不同的施工方法、材料、工序及路段长度等划分的若干个工程。</w:t>
      </w:r>
    </w:p>
    <w:p w14:paraId="16270F7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1.1.6 其他</w:t>
      </w:r>
    </w:p>
    <w:p w14:paraId="3FA50FF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本项补充第 1.1.6.2 目～第 1.1.6.9 目：</w:t>
      </w:r>
    </w:p>
    <w:p w14:paraId="513AFD5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1.1.6.2竣工验收：指《公路工程竣（交）工验收办法》中的竣工验收。通用合同条款中“国家验收”一词具有相同含义。</w:t>
      </w:r>
    </w:p>
    <w:p w14:paraId="1AED295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1.1.6.3交工：指《公路工程竣（交）工验收办法》中的交工。通用合同条款中“竣工”一词具有相同含义。</w:t>
      </w:r>
    </w:p>
    <w:p w14:paraId="068C0CB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1.1.6.4交工验收：指《公路工程竣（交）工验收办法》中的交工验收。通用合同条款中“竣工验收”一词具有相同含义。</w:t>
      </w:r>
    </w:p>
    <w:p w14:paraId="7329553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1.1.6.5交工验收证书：指《公路工程竣（交）工验收办法》中的交工验收证书。通用合同条款中“工程接收证书”一词具有相同含义。</w:t>
      </w:r>
    </w:p>
    <w:p w14:paraId="3172305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1.1.6.6转包：指承包人违反法律和不履行合同规定的责任和义务，将中标工程全部委托或以专业分包的名义将中标工程肢解后全部委托给其他施工企业施工的行为。</w:t>
      </w:r>
    </w:p>
    <w:p w14:paraId="0AD815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1.1.6.7专业分包：指承包人与具有相应资格的施工企业签订专业分包合同， 由分包人承担承包人委托的分部工程、分项工程或适合专业化队伍施工的其他工程， 整体结算，并能独立控制工程质量、施工进度、材料采购、生产安全的施工行为。</w:t>
      </w:r>
    </w:p>
    <w:p w14:paraId="3024974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1.1.6.8劳务分包：指承包人与具有施工劳务资质的劳务企业签订劳务分包合同，由劳务企业提供劳务人员及机具，由承包人统一组织施工、统一控制工程质量、施工进度、材料采购、生产安全的施工行为。</w:t>
      </w:r>
    </w:p>
    <w:p w14:paraId="75196BB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1.1.6.9雇用民工：指承包人与具有相应劳动能力的自然人签订劳动合同，由承包人统一组织管理，从事分项工程施工或配套工程施工的行为。</w:t>
      </w:r>
    </w:p>
    <w:p w14:paraId="5A576B9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5" w:name="_Toc6501"/>
      <w:r>
        <w:rPr>
          <w:rFonts w:hint="eastAsia" w:ascii="宋体" w:hAnsi="宋体" w:eastAsia="宋体" w:cs="宋体"/>
          <w:b/>
          <w:bCs/>
          <w:color w:val="auto"/>
          <w:sz w:val="28"/>
          <w:szCs w:val="28"/>
          <w:highlight w:val="none"/>
        </w:rPr>
        <w:t>1.4合同文件的优先顺序</w:t>
      </w:r>
      <w:bookmarkEnd w:id="325"/>
    </w:p>
    <w:p w14:paraId="6D9597C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本款约定为：</w:t>
      </w:r>
    </w:p>
    <w:p w14:paraId="2CD665F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组成合同的各项文件应互相解释，互为说明。除项目专用合同条款另有约定外，解释合同文件的优先顺序如下：</w:t>
      </w:r>
    </w:p>
    <w:p w14:paraId="6DBF058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（1）合同协议书及各种合同附件（含评标期间和合同谈判过程中的澄清文件和补充资料）；</w:t>
      </w:r>
    </w:p>
    <w:p w14:paraId="4CEBA6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通知书；</w:t>
      </w:r>
    </w:p>
    <w:p w14:paraId="657731E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投标函</w:t>
      </w:r>
      <w:r>
        <w:rPr>
          <w:rFonts w:hint="eastAsia" w:ascii="宋体" w:hAnsi="宋体" w:eastAsia="宋体" w:cs="宋体"/>
          <w:color w:val="auto"/>
          <w:highlight w:val="none"/>
        </w:rPr>
        <w:t>及投标函附录</w:t>
      </w:r>
      <w:r>
        <w:rPr>
          <w:rFonts w:hint="eastAsia" w:ascii="宋体" w:hAnsi="宋体" w:cs="宋体"/>
          <w:color w:val="auto"/>
          <w:highlight w:val="none"/>
          <w:lang w:val="en-US" w:eastAsia="zh-CN"/>
        </w:rPr>
        <w:t>(响应函）</w:t>
      </w:r>
      <w:r>
        <w:rPr>
          <w:rFonts w:hint="eastAsia" w:ascii="宋体" w:hAnsi="宋体" w:eastAsia="宋体" w:cs="宋体"/>
          <w:color w:val="auto"/>
          <w:highlight w:val="none"/>
        </w:rPr>
        <w:t>；</w:t>
      </w:r>
    </w:p>
    <w:p w14:paraId="2DA9C62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（4）项目专用合同条款；</w:t>
      </w:r>
    </w:p>
    <w:p w14:paraId="586F1C7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（5）公路工程专用合同条款；</w:t>
      </w:r>
    </w:p>
    <w:p w14:paraId="72B154E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（6）通用合同条款；</w:t>
      </w:r>
    </w:p>
    <w:p w14:paraId="7661CCE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（7）工程量清单计量规则；</w:t>
      </w:r>
    </w:p>
    <w:p w14:paraId="2AF2F95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（8）技术规范；</w:t>
      </w:r>
    </w:p>
    <w:p w14:paraId="3101489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（9）图纸；</w:t>
      </w:r>
    </w:p>
    <w:p w14:paraId="04ACB43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（10）已标价工程量清单；</w:t>
      </w:r>
    </w:p>
    <w:p w14:paraId="1B82F24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（11）承包人有关人员、设备投入的承诺及投标（响应）文件中的施工组织设计；</w:t>
      </w:r>
    </w:p>
    <w:p w14:paraId="5CB5A96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（12）其他合同文件。</w:t>
      </w:r>
    </w:p>
    <w:p w14:paraId="5DFF3DAB">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6" w:name="_Toc14018"/>
      <w:r>
        <w:rPr>
          <w:rFonts w:hint="eastAsia" w:ascii="宋体" w:hAnsi="宋体" w:eastAsia="宋体" w:cs="宋体"/>
          <w:b/>
          <w:bCs/>
          <w:color w:val="auto"/>
          <w:sz w:val="28"/>
          <w:szCs w:val="28"/>
          <w:highlight w:val="none"/>
        </w:rPr>
        <w:t>1.5合同协议书</w:t>
      </w:r>
      <w:bookmarkEnd w:id="326"/>
    </w:p>
    <w:p w14:paraId="0766A66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5C7D38E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制备本合同文件的费用由发包人承担。在合同协议书签订并生效之前，投标函和中标通知书将对双方具有约束力。</w:t>
      </w:r>
    </w:p>
    <w:p w14:paraId="239C663F">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7" w:name="_Toc6014"/>
      <w:r>
        <w:rPr>
          <w:rFonts w:hint="eastAsia" w:ascii="宋体" w:hAnsi="宋体" w:eastAsia="宋体" w:cs="宋体"/>
          <w:b/>
          <w:bCs/>
          <w:color w:val="auto"/>
          <w:sz w:val="28"/>
          <w:szCs w:val="28"/>
          <w:highlight w:val="none"/>
        </w:rPr>
        <w:t>1.6图纸和承包人文件</w:t>
      </w:r>
      <w:bookmarkEnd w:id="327"/>
    </w:p>
    <w:p w14:paraId="54FBF74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1.6.1图纸的提供</w:t>
      </w:r>
    </w:p>
    <w:p w14:paraId="284585D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0522185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监理人应在发出中标通知书之后 42 天内，向承包人免费提供由发包人或其委托的设计单位设计的施工图纸、技术规范和其他技术资料 2 份，并向承包人进行技术交底。承包人需要更多份数时，应自费复制。由于发包人未按时提供图纸造成工期延误的，按第 11.3 款的约定办理。</w:t>
      </w:r>
    </w:p>
    <w:p w14:paraId="4A19CEF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1.6.2承包人提供的文件</w:t>
      </w:r>
    </w:p>
    <w:p w14:paraId="272153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70086D5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有下列情形之一的，承包人应免费向监理人提交相关部分工程的施工图纸 3 份， 并附必要的计算书、技术资料，或施工工艺图、设备安装图及安装设备的使用和维护手册各 2 份供监理人批准。</w:t>
      </w:r>
    </w:p>
    <w:p w14:paraId="6812956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（1）为使第 1.6.1 项所述的施工图纸适合于经施工测量后的纵、横断面；</w:t>
      </w:r>
    </w:p>
    <w:p w14:paraId="1454621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（2）为使第 1.6.1 项所述的施工图纸适合于现场具体地形；</w:t>
      </w:r>
    </w:p>
    <w:p w14:paraId="4E360FE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（3）为使第 1.6.1 项所述的施工图纸适合于因尺寸与位置变化而引起局部变更；</w:t>
      </w:r>
    </w:p>
    <w:p w14:paraId="08CB43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（4）由于合同要求与施工需要。</w:t>
      </w:r>
    </w:p>
    <w:p w14:paraId="3F972F2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此类图纸应按监理人规定的格式和图幅绘制。监理人在收到由承包人绘制的上述工程、工艺图纸、计算书和有关技术资料后 14 天内应予批准或提出修改要求，承包人应按监理人提出的要求作出修改，重新向监理人提交，监理人应在 7 天内批准或提出进一步的修改意见。</w:t>
      </w:r>
    </w:p>
    <w:p w14:paraId="47BFC859">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1.6.4 图纸的错误</w:t>
      </w:r>
    </w:p>
    <w:p w14:paraId="15A3CB3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5195E69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2F1A79F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8" w:name="_Toc24253"/>
      <w:r>
        <w:rPr>
          <w:rFonts w:hint="eastAsia" w:ascii="宋体" w:hAnsi="宋体" w:eastAsia="宋体" w:cs="宋体"/>
          <w:b/>
          <w:bCs/>
          <w:color w:val="auto"/>
          <w:sz w:val="28"/>
          <w:szCs w:val="28"/>
          <w:highlight w:val="none"/>
        </w:rPr>
        <w:t>1.9 严禁贿赂</w:t>
      </w:r>
      <w:bookmarkEnd w:id="328"/>
    </w:p>
    <w:p w14:paraId="7AB6378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6AD5A16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4DE7651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29" w:name="_Toc122424211"/>
      <w:bookmarkStart w:id="330" w:name="_Toc122424460"/>
      <w:bookmarkStart w:id="331" w:name="_Toc20696"/>
      <w:r>
        <w:rPr>
          <w:rFonts w:hint="eastAsia" w:ascii="宋体" w:hAnsi="宋体" w:eastAsia="宋体" w:cs="宋体"/>
          <w:b/>
          <w:bCs/>
          <w:color w:val="auto"/>
          <w:sz w:val="32"/>
          <w:szCs w:val="32"/>
          <w:highlight w:val="none"/>
        </w:rPr>
        <w:t>2.发包人义务</w:t>
      </w:r>
      <w:bookmarkEnd w:id="329"/>
      <w:bookmarkEnd w:id="330"/>
      <w:bookmarkEnd w:id="331"/>
    </w:p>
    <w:p w14:paraId="0F22D06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32" w:name="_Toc22133"/>
      <w:r>
        <w:rPr>
          <w:rFonts w:hint="eastAsia" w:ascii="宋体" w:hAnsi="宋体" w:eastAsia="宋体" w:cs="宋体"/>
          <w:b/>
          <w:bCs/>
          <w:color w:val="auto"/>
          <w:sz w:val="28"/>
          <w:szCs w:val="28"/>
          <w:highlight w:val="none"/>
        </w:rPr>
        <w:t>2.3 提供施工场地</w:t>
      </w:r>
      <w:bookmarkEnd w:id="332"/>
    </w:p>
    <w:p w14:paraId="0F884FE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0753D55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发包人负责办理永久占地的征用及与之有关的拆迁赔偿手续并承担相关费用。承包人在按第 10 条规定提交施工进度计划的同时，应向监理人提交一份按施工先后次</w:t>
      </w:r>
    </w:p>
    <w:p w14:paraId="57B7E49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序所需的永久占地计划。监理人应在收到此计划后的 14 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 以使承包人能够连续不间断地施工。由于承包人施工考虑不周或措施不当等原因而造成的超计划占地或拆迁等所发生的征用和赔偿费用，应由承包人承担。</w:t>
      </w:r>
    </w:p>
    <w:p w14:paraId="43105D9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599EC19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33" w:name="_Toc22405"/>
      <w:bookmarkStart w:id="334" w:name="_Toc122424461"/>
      <w:bookmarkStart w:id="335" w:name="_Toc122424212"/>
      <w:r>
        <w:rPr>
          <w:rFonts w:hint="eastAsia" w:ascii="宋体" w:hAnsi="宋体" w:eastAsia="宋体" w:cs="宋体"/>
          <w:b/>
          <w:bCs/>
          <w:color w:val="auto"/>
          <w:sz w:val="32"/>
          <w:szCs w:val="32"/>
          <w:highlight w:val="none"/>
        </w:rPr>
        <w:t>3.监理人</w:t>
      </w:r>
      <w:bookmarkEnd w:id="333"/>
      <w:bookmarkEnd w:id="334"/>
      <w:bookmarkEnd w:id="335"/>
    </w:p>
    <w:p w14:paraId="7EF3F1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36" w:name="_Toc28048"/>
      <w:r>
        <w:rPr>
          <w:rFonts w:hint="eastAsia" w:ascii="宋体" w:hAnsi="宋体" w:eastAsia="宋体" w:cs="宋体"/>
          <w:b/>
          <w:bCs/>
          <w:color w:val="auto"/>
          <w:sz w:val="28"/>
          <w:szCs w:val="28"/>
          <w:highlight w:val="none"/>
        </w:rPr>
        <w:t>3.1监理人的职责和权力</w:t>
      </w:r>
      <w:bookmarkEnd w:id="336"/>
    </w:p>
    <w:p w14:paraId="1CD8851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3.1.1 项补充：</w:t>
      </w:r>
    </w:p>
    <w:p w14:paraId="3BF82D0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监理人在行使下列权力前需要经发包人事先批准：</w:t>
      </w:r>
    </w:p>
    <w:p w14:paraId="78CEEC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（1）根据第 4.3 款，同意分包本工程的某些非关键性工作或者适合专业化队伍施工的专项工程；</w:t>
      </w:r>
    </w:p>
    <w:p w14:paraId="14CF26B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（2）确定第 4.11 款下产生的费用增加额；</w:t>
      </w:r>
    </w:p>
    <w:p w14:paraId="22F42DA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（3）根据第 11.1 款、第 12.3 款、第 12.4 款发布开工通知、暂停施工指示或复工通知；</w:t>
      </w:r>
    </w:p>
    <w:p w14:paraId="38FE91B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（4）决定第 11.3 款、第 11.4 款下的工期延长；</w:t>
      </w:r>
    </w:p>
    <w:p w14:paraId="2C2D271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（5）审查批准技术方案或设计的变更；</w:t>
      </w:r>
    </w:p>
    <w:p w14:paraId="07CFDDF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（6）根据第 15.3 款发出的变更指示，其单项工程变更或累计变更涉及的金额超过了项目专用合同条款数据表中规定的金额；</w:t>
      </w:r>
    </w:p>
    <w:p w14:paraId="00F0A1F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（7）确定第 15.4 款下变更工作的单价；</w:t>
      </w:r>
    </w:p>
    <w:p w14:paraId="76F7C2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（8）按照第 15.6 款决定有关暂列金额的使用；</w:t>
      </w:r>
    </w:p>
    <w:p w14:paraId="5666A86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（9）确定第 15.8 款下的暂估价金额；</w:t>
      </w:r>
    </w:p>
    <w:p w14:paraId="10C865B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（10）确定第 23.1 款下的索赔额。</w:t>
      </w:r>
    </w:p>
    <w:p w14:paraId="71990D8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 3.5 款商定或确定。</w:t>
      </w:r>
    </w:p>
    <w:p w14:paraId="39ABE4C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37" w:name="_Toc13038"/>
      <w:r>
        <w:rPr>
          <w:rFonts w:hint="eastAsia" w:ascii="宋体" w:hAnsi="宋体" w:eastAsia="宋体" w:cs="宋体"/>
          <w:b/>
          <w:bCs/>
          <w:color w:val="auto"/>
          <w:sz w:val="28"/>
          <w:szCs w:val="28"/>
          <w:highlight w:val="none"/>
        </w:rPr>
        <w:t>3.5 商定或确定</w:t>
      </w:r>
      <w:bookmarkEnd w:id="337"/>
    </w:p>
    <w:p w14:paraId="0B97880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3.5.1 项补充：</w:t>
      </w:r>
    </w:p>
    <w:p w14:paraId="31D9815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如果这项商定或确定导致费用增加和（或）工期延长，或者涉及确定变更工程的价格，则总监理工程师在发出通知前，应征得发包人的同意。</w:t>
      </w:r>
    </w:p>
    <w:p w14:paraId="10BE506E">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38" w:name="_Toc4806"/>
      <w:bookmarkStart w:id="339" w:name="_Toc122424213"/>
      <w:bookmarkStart w:id="340" w:name="_Toc122424462"/>
      <w:r>
        <w:rPr>
          <w:rFonts w:hint="eastAsia" w:ascii="宋体" w:hAnsi="宋体" w:eastAsia="宋体" w:cs="宋体"/>
          <w:b/>
          <w:bCs/>
          <w:color w:val="auto"/>
          <w:sz w:val="32"/>
          <w:szCs w:val="32"/>
          <w:highlight w:val="none"/>
        </w:rPr>
        <w:t>4.承包人</w:t>
      </w:r>
      <w:bookmarkEnd w:id="338"/>
      <w:bookmarkEnd w:id="339"/>
      <w:bookmarkEnd w:id="340"/>
    </w:p>
    <w:p w14:paraId="4AED7C1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1" w:name="_Toc20501"/>
      <w:r>
        <w:rPr>
          <w:rFonts w:hint="eastAsia" w:ascii="宋体" w:hAnsi="宋体" w:eastAsia="宋体" w:cs="宋体"/>
          <w:b/>
          <w:bCs/>
          <w:color w:val="auto"/>
          <w:sz w:val="28"/>
          <w:szCs w:val="28"/>
          <w:highlight w:val="none"/>
        </w:rPr>
        <w:t>4.1承包人的一般义务</w:t>
      </w:r>
      <w:bookmarkEnd w:id="341"/>
    </w:p>
    <w:p w14:paraId="1D5F6453">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4.1.9工程的维护和照管</w:t>
      </w:r>
    </w:p>
    <w:p w14:paraId="5B1F883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3CA1574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18ECCA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（2）在承包人负责照管与维护期间，如果本工程或材料、设备等发生损失或损害，除不可抗力原因之外，承包人均应自费弥补，并达到合同要求。承包人还应对按第 19 条规定而实施作业过程中由承包人造成的对工程的任何损失或损害负责。</w:t>
      </w:r>
    </w:p>
    <w:p w14:paraId="6392AC2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4.1.10其他义务</w:t>
      </w:r>
    </w:p>
    <w:p w14:paraId="5AFBA38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6139BA2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（1）临时占地由承包人向当地政府土地管理部门申请，并办理租用手续，承包人按有关规定直接支付其费用，发包人对此将予以协调。</w:t>
      </w:r>
    </w:p>
    <w:p w14:paraId="3D78576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第 100 章中由承包人按总额报价。</w:t>
      </w:r>
    </w:p>
    <w:p w14:paraId="551905A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05D7FE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13E4336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r>
        <w:rPr>
          <w:rFonts w:hint="eastAsia" w:ascii="宋体" w:hAnsi="宋体" w:eastAsia="宋体" w:cs="宋体"/>
          <w:color w:val="auto"/>
          <w:highlight w:val="none"/>
          <w:lang w:val="en-US" w:eastAsia="zh-CN"/>
        </w:rPr>
        <w:t xml:space="preserve">  </w:t>
      </w:r>
    </w:p>
    <w:p w14:paraId="1169A2D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5963FC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工资支付表应如实记录支付单位、支付时间、支付对象、支付数额、支付对象的身份证号和签字等信息。民工花名册和工资支付表应报监理人备查。</w:t>
      </w:r>
    </w:p>
    <w:p w14:paraId="5ECFA7D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1D84FEB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（5）承包人应严格执行招标文件技术规范对施工标准化提出的具体要求，结合本单位施工能力和技术优势，积极采取有利于标准化施工的组织方式和工艺流程， 加强工地建设、工艺控制、人员管理和内业资料管理，强化对施工一线操作人员的培训，改善职工生产生活条件，与此相关的费用承包人应列入工程量清单第 100 章中。</w:t>
      </w:r>
    </w:p>
    <w:p w14:paraId="1B34DCF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（6）承包人应履行项目专用合同条款约定的其他义务。</w:t>
      </w:r>
    </w:p>
    <w:p w14:paraId="2037D2B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2" w:name="_Toc31637"/>
      <w:r>
        <w:rPr>
          <w:rFonts w:hint="eastAsia" w:ascii="宋体" w:hAnsi="宋体" w:eastAsia="宋体" w:cs="宋体"/>
          <w:b/>
          <w:bCs/>
          <w:color w:val="auto"/>
          <w:sz w:val="28"/>
          <w:szCs w:val="28"/>
          <w:highlight w:val="none"/>
        </w:rPr>
        <w:t>4.2履约保证金</w:t>
      </w:r>
      <w:bookmarkEnd w:id="342"/>
    </w:p>
    <w:p w14:paraId="160532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1845929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承包人应保证其履约保证金在发包人签发交工验收证书且承包人按照合同约定缴纳质量保证金前一直有效。发包人应在收到承包人缴纳的质量保证金后 28 天内将履约保证金退还给承包人。</w:t>
      </w:r>
    </w:p>
    <w:p w14:paraId="557ADAE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承包人拒绝按照本合同约定缴纳质量保证金的，发包人有权从交工付款证书中扣留相应金额作为质量保证金，或者直接将履约保证金金额用于保证承包人在缺陷责任期内履行缺陷修复义务。</w:t>
      </w:r>
    </w:p>
    <w:p w14:paraId="56F1734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3" w:name="_Toc8441"/>
      <w:r>
        <w:rPr>
          <w:rFonts w:hint="eastAsia" w:ascii="宋体" w:hAnsi="宋体" w:eastAsia="宋体" w:cs="宋体"/>
          <w:b/>
          <w:bCs/>
          <w:color w:val="auto"/>
          <w:sz w:val="28"/>
          <w:szCs w:val="28"/>
          <w:highlight w:val="none"/>
        </w:rPr>
        <w:t>4.3分包</w:t>
      </w:r>
      <w:bookmarkEnd w:id="343"/>
    </w:p>
    <w:p w14:paraId="377551A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4.3.2 项～第 4.3.4 项细化为：</w:t>
      </w:r>
    </w:p>
    <w:p w14:paraId="6C224D4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4.3.2承包人不得将工程关键性工作分包给第三人。经发包人同意，承包人可将工程的其他部分或工作分包给第三人。分包包括专业分包和劳务分包。</w:t>
      </w:r>
    </w:p>
    <w:p w14:paraId="3BEB8E8B">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4.3.3专业分包</w:t>
      </w:r>
    </w:p>
    <w:p w14:paraId="0E17DDE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在工程施工过程中，承包人进行专业分包必须遵守以下规定：</w:t>
      </w:r>
    </w:p>
    <w:p w14:paraId="3AD24AD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允许专业分包的工程范围仅限于非关键性工程或者适合专业化队伍施工的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14105EA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（2）专业分包人的资格能力（含安全生产能力）应与其分包工程的标准和规模相适应，且应当具备如下条件：</w:t>
      </w:r>
    </w:p>
    <w:p w14:paraId="25DB190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a.具有经工商登记的法人资格；</w:t>
      </w:r>
    </w:p>
    <w:p w14:paraId="27B7992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b.具有从事类似工程经验的管理与技术人员；</w:t>
      </w:r>
    </w:p>
    <w:p w14:paraId="7E2407A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c.具有（自有或租赁）分包工程所需的施工设备。</w:t>
      </w:r>
    </w:p>
    <w:p w14:paraId="53D604E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承包人应向监理人提交专业分包人的资格能力证明材料，经监理人审查并报发包人批准后，可以将相应专业工程分包给该专业分包人。</w:t>
      </w:r>
    </w:p>
    <w:p w14:paraId="4BC2AF1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（3）专业分包工程不得再次分包。</w:t>
      </w:r>
    </w:p>
    <w:p w14:paraId="4205033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7BBC980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662EB0D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6D2CA76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440A46D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1CA43D6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违反上述规定之一者属违规分包。</w:t>
      </w:r>
    </w:p>
    <w:p w14:paraId="17B2D5E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4.3.4劳务分包</w:t>
      </w:r>
    </w:p>
    <w:p w14:paraId="2759CA2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在工程施工过程中，承包人进行劳务分包必须遵守以下规定：</w:t>
      </w:r>
    </w:p>
    <w:p w14:paraId="4A1EAC0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（1）劳务分包人应具有施工劳务资质。</w:t>
      </w:r>
    </w:p>
    <w:p w14:paraId="608C2CC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2A197DE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雇用的劳务作业应加入到承包人的施工班组统一管理。有关施工质量、施工安全、施工进度、环境保护、技术方案、试验检测、材料保管与供应、机械设备等都必须由承包人管理与调配，不得以包代管。</w:t>
      </w:r>
    </w:p>
    <w:p w14:paraId="08F254B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（4）承包人应当对劳务分包人员进行安全培训和管理，劳务分包人不得将其分包的劳务作业再次分包。</w:t>
      </w:r>
    </w:p>
    <w:p w14:paraId="1372FFD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违反上述规定之一者属违规分包。</w:t>
      </w:r>
    </w:p>
    <w:p w14:paraId="78B5CFD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 4.3.6 项、第 4.3.7 项：</w:t>
      </w:r>
    </w:p>
    <w:p w14:paraId="42D8EF1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4.3.6发包人对承包人与分包人之间的法律与经济纠纷不承担任何责任和义务。</w:t>
      </w:r>
    </w:p>
    <w:p w14:paraId="25ED04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4.3.7本项目的各项分包工作均应遵守《公路工程施工分包管理办法》的有关规定。</w:t>
      </w:r>
    </w:p>
    <w:p w14:paraId="222BF946">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4" w:name="_Toc660"/>
      <w:r>
        <w:rPr>
          <w:rFonts w:hint="eastAsia" w:ascii="宋体" w:hAnsi="宋体" w:eastAsia="宋体" w:cs="宋体"/>
          <w:b/>
          <w:bCs/>
          <w:color w:val="auto"/>
          <w:sz w:val="28"/>
          <w:szCs w:val="28"/>
          <w:highlight w:val="none"/>
        </w:rPr>
        <w:t>4.4联合体</w:t>
      </w:r>
      <w:bookmarkEnd w:id="344"/>
    </w:p>
    <w:p w14:paraId="32B0FF8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 4.4.4 项：</w:t>
      </w:r>
    </w:p>
    <w:p w14:paraId="56A7E34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4.4.4 未经发包人事先同意，联合体的组成与结构不得变动。</w:t>
      </w:r>
    </w:p>
    <w:p w14:paraId="6AEFD60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5" w:name="_Toc19492"/>
      <w:r>
        <w:rPr>
          <w:rFonts w:hint="eastAsia" w:ascii="宋体" w:hAnsi="宋体" w:eastAsia="宋体" w:cs="宋体"/>
          <w:b/>
          <w:bCs/>
          <w:color w:val="auto"/>
          <w:sz w:val="28"/>
          <w:szCs w:val="28"/>
          <w:highlight w:val="none"/>
        </w:rPr>
        <w:t>4.6承包人人员的管理</w:t>
      </w:r>
      <w:bookmarkEnd w:id="345"/>
    </w:p>
    <w:p w14:paraId="7DF1E0D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4.6.3 项细化为：</w:t>
      </w:r>
    </w:p>
    <w:p w14:paraId="575B26D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12F6521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4.6.5 项：</w:t>
      </w:r>
    </w:p>
    <w:p w14:paraId="29DBD9F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4.6.5 尽管承包人已按承诺派遣了上述各类人员，但若这些人员仍不能满足合同进度计划和（或）质量要求时，监理人有权要求承包人继续增派或雇用这类人员， 并书面通知承包人和抄送发包人。承包人在接到上述通知后应立即执行监理人的上述指示，不得无故拖延，由此增加的费用和（或）工期延误由承包人承担。</w:t>
      </w:r>
    </w:p>
    <w:p w14:paraId="7EE506E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6" w:name="_Toc14658"/>
      <w:r>
        <w:rPr>
          <w:rFonts w:hint="eastAsia" w:ascii="宋体" w:hAnsi="宋体" w:eastAsia="宋体" w:cs="宋体"/>
          <w:b/>
          <w:bCs/>
          <w:color w:val="auto"/>
          <w:sz w:val="28"/>
          <w:szCs w:val="28"/>
          <w:highlight w:val="none"/>
        </w:rPr>
        <w:t>4.7撤换承包人项目经理和其他人员</w:t>
      </w:r>
      <w:bookmarkEnd w:id="346"/>
    </w:p>
    <w:p w14:paraId="58EBAC3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r>
        <w:rPr>
          <w:rFonts w:hint="eastAsia" w:ascii="宋体" w:hAnsi="宋体" w:eastAsia="宋体" w:cs="宋体"/>
          <w:color w:val="auto"/>
          <w:highlight w:val="none"/>
          <w:u w:val="single"/>
        </w:rPr>
        <w:t>承包人应对其项目经理和其他人员进行有效管理。监理人要求撤换不能胜任本职工作、行为不端或玩忽职守的承包人项目经理和其他人员的，承包人应予以撤换， 同时委派经发包人与监理人同意的新的项目经理和其他人员。</w:t>
      </w:r>
    </w:p>
    <w:p w14:paraId="1C1B18C7">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4.7.1关于项目经理每月在施工现场的时间要求：</w:t>
      </w:r>
      <w:r>
        <w:rPr>
          <w:rFonts w:hint="eastAsia" w:ascii="宋体" w:hAnsi="宋体" w:cs="宋体"/>
          <w:color w:val="auto"/>
          <w:szCs w:val="21"/>
          <w:highlight w:val="none"/>
          <w:u w:val="single"/>
        </w:rPr>
        <w:t>每月</w:t>
      </w:r>
      <w:r>
        <w:rPr>
          <w:rFonts w:hint="eastAsia" w:ascii="宋体" w:hAnsi="宋体" w:cs="宋体"/>
          <w:color w:val="auto"/>
          <w:szCs w:val="21"/>
          <w:highlight w:val="none"/>
          <w:u w:val="single"/>
          <w:lang w:val="en-US" w:eastAsia="zh-CN"/>
        </w:rPr>
        <w:t>不少于</w:t>
      </w:r>
      <w:r>
        <w:rPr>
          <w:rFonts w:hint="eastAsia" w:ascii="宋体" w:hAnsi="宋体" w:cs="宋体"/>
          <w:color w:val="auto"/>
          <w:szCs w:val="21"/>
          <w:highlight w:val="none"/>
          <w:u w:val="single"/>
        </w:rPr>
        <w:t>22天</w:t>
      </w:r>
      <w:r>
        <w:rPr>
          <w:rFonts w:hint="eastAsia" w:ascii="宋体" w:hAnsi="宋体" w:cs="宋体"/>
          <w:color w:val="auto"/>
          <w:szCs w:val="21"/>
          <w:highlight w:val="none"/>
        </w:rPr>
        <w:t>____。</w:t>
      </w:r>
    </w:p>
    <w:p w14:paraId="1BD4AB58">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4.7.2承包人未提交劳动合同，以及没有为项目经理缴纳社会保险证明的违约责任：</w:t>
      </w:r>
      <w:r>
        <w:rPr>
          <w:rFonts w:hint="eastAsia" w:ascii="宋体" w:hAnsi="宋体" w:cs="宋体"/>
          <w:color w:val="auto"/>
          <w:szCs w:val="21"/>
          <w:highlight w:val="none"/>
          <w:u w:val="single"/>
        </w:rPr>
        <w:t>必须提交，否则不能担任本工程项目经理。</w:t>
      </w:r>
    </w:p>
    <w:p w14:paraId="54DEF175">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4.7.3项目经理未经批准，擅自离开施工现场的违约责任：未经发包人同意或正当理由，项目经理擅自离岗的，视为承包人违约，发包人有权处违约金</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00</w:t>
      </w:r>
      <w:r>
        <w:rPr>
          <w:rFonts w:hint="eastAsia" w:ascii="宋体" w:hAnsi="宋体" w:cs="宋体"/>
          <w:color w:val="auto"/>
          <w:szCs w:val="21"/>
          <w:highlight w:val="none"/>
        </w:rPr>
        <w:t>元/人•次(人民币)。</w:t>
      </w:r>
    </w:p>
    <w:p w14:paraId="73BFC683">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4.7.4承包人擅自更换项目经理的违约责任：承包人项目经理必须与承包人投标时所承诺的人员一致，并在</w:t>
      </w:r>
      <w:r>
        <w:rPr>
          <w:rFonts w:hint="eastAsia" w:ascii="宋体" w:hAnsi="宋体" w:cs="宋体"/>
          <w:color w:val="auto"/>
          <w:szCs w:val="21"/>
          <w:highlight w:val="none"/>
          <w:u w:val="single"/>
        </w:rPr>
        <w:t>（开工日期）</w:t>
      </w:r>
      <w:r>
        <w:rPr>
          <w:rFonts w:hint="eastAsia" w:ascii="宋体" w:hAnsi="宋体" w:cs="宋体"/>
          <w:color w:val="auto"/>
          <w:szCs w:val="21"/>
          <w:highlight w:val="none"/>
        </w:rPr>
        <w:t>前到任。在监理人向承包人颁发</w:t>
      </w:r>
      <w:r>
        <w:rPr>
          <w:rFonts w:hint="eastAsia" w:ascii="宋体" w:hAnsi="宋体" w:cs="宋体"/>
          <w:color w:val="auto"/>
          <w:szCs w:val="21"/>
          <w:highlight w:val="none"/>
          <w:u w:val="single"/>
        </w:rPr>
        <w:t>（竣工证明材料名称）</w:t>
      </w:r>
      <w:r>
        <w:rPr>
          <w:rFonts w:hint="eastAsia" w:ascii="宋体" w:hAnsi="宋体" w:cs="宋体"/>
          <w:color w:val="auto"/>
          <w:szCs w:val="21"/>
          <w:highlight w:val="none"/>
        </w:rPr>
        <w:t>前，项目经理不得同时兼任其他任何项目的项目经理。未经发包人书面同意，承包人擅自更换项目经理的视为违约、违约金处</w:t>
      </w:r>
      <w:r>
        <w:rPr>
          <w:rFonts w:hint="eastAsia" w:ascii="宋体" w:hAnsi="宋体" w:cs="宋体"/>
          <w:color w:val="auto"/>
          <w:szCs w:val="21"/>
          <w:highlight w:val="none"/>
          <w:u w:val="single"/>
        </w:rPr>
        <w:t>合同价款的1%</w:t>
      </w:r>
      <w:r>
        <w:rPr>
          <w:rFonts w:hint="eastAsia" w:ascii="宋体" w:hAnsi="宋体" w:cs="宋体"/>
          <w:color w:val="auto"/>
          <w:szCs w:val="21"/>
          <w:highlight w:val="none"/>
        </w:rPr>
        <w:t>。</w:t>
      </w:r>
    </w:p>
    <w:p w14:paraId="7A3912E1">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4.7.5承包人无正当理由拒绝更换项目经理的违约责任：承包人项目经理因不称职，发包人要求调换而未及时调换的，视为承包人违约，必须向发包人交纳处罚金</w:t>
      </w:r>
      <w:r>
        <w:rPr>
          <w:rFonts w:hint="eastAsia" w:ascii="宋体" w:hAnsi="宋体" w:cs="宋体"/>
          <w:color w:val="auto"/>
          <w:szCs w:val="21"/>
          <w:highlight w:val="none"/>
          <w:u w:val="single"/>
        </w:rPr>
        <w:t>10000</w:t>
      </w:r>
      <w:r>
        <w:rPr>
          <w:rFonts w:hint="eastAsia" w:ascii="宋体" w:hAnsi="宋体" w:cs="宋体"/>
          <w:color w:val="auto"/>
          <w:szCs w:val="21"/>
          <w:highlight w:val="none"/>
        </w:rPr>
        <w:t>元/人•次(人民币)。</w:t>
      </w:r>
    </w:p>
    <w:p w14:paraId="4467F916">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4.7.6承包人人员</w:t>
      </w:r>
    </w:p>
    <w:p w14:paraId="62ABADEC">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4.7.6.1 承包人提交项目管理机构及施工现场管理人员安排报告的期限：</w:t>
      </w:r>
      <w:r>
        <w:rPr>
          <w:rFonts w:hint="eastAsia" w:ascii="宋体" w:hAnsi="宋体" w:cs="宋体"/>
          <w:color w:val="auto"/>
          <w:szCs w:val="21"/>
          <w:highlight w:val="none"/>
          <w:u w:val="single"/>
        </w:rPr>
        <w:t>开工前7天</w:t>
      </w:r>
      <w:r>
        <w:rPr>
          <w:rFonts w:hint="eastAsia" w:ascii="宋体" w:hAnsi="宋体" w:cs="宋体"/>
          <w:color w:val="auto"/>
          <w:szCs w:val="21"/>
          <w:highlight w:val="none"/>
        </w:rPr>
        <w:t>。</w:t>
      </w:r>
    </w:p>
    <w:p w14:paraId="58E1EA89">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4.7.6.2 承包人无正当理由拒绝撤换主要施工管理人员的违约责任：承包人主要施工管理人员因不称职，发包人要求调换而无正当理由拒绝撤换或未及时调换的，视为承包人违约，必须向发包人交纳处罚金，处罚标准：总工</w:t>
      </w:r>
      <w:r>
        <w:rPr>
          <w:rFonts w:hint="eastAsia" w:ascii="宋体" w:hAnsi="宋体" w:cs="宋体"/>
          <w:color w:val="auto"/>
          <w:szCs w:val="21"/>
          <w:highlight w:val="none"/>
          <w:u w:val="single"/>
        </w:rPr>
        <w:t>5000</w:t>
      </w:r>
      <w:r>
        <w:rPr>
          <w:rFonts w:hint="eastAsia" w:ascii="宋体" w:hAnsi="宋体" w:cs="宋体"/>
          <w:color w:val="auto"/>
          <w:szCs w:val="21"/>
          <w:highlight w:val="none"/>
        </w:rPr>
        <w:t>元/人•次(人民币)；专业工程师</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000</w:t>
      </w:r>
      <w:r>
        <w:rPr>
          <w:rFonts w:hint="eastAsia" w:ascii="宋体" w:hAnsi="宋体" w:cs="宋体"/>
          <w:color w:val="auto"/>
          <w:szCs w:val="21"/>
          <w:highlight w:val="none"/>
        </w:rPr>
        <w:t>元/人•次(人民币)。</w:t>
      </w:r>
    </w:p>
    <w:p w14:paraId="216BA890">
      <w:pPr>
        <w:wordWrap w:val="0"/>
        <w:topLinePunct/>
        <w:adjustRightInd w:val="0"/>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4.7.6.3 承包人主要施工管理人员离开施工现场的批准要求：</w:t>
      </w:r>
      <w:r>
        <w:rPr>
          <w:rFonts w:hint="eastAsia" w:ascii="宋体" w:hAnsi="宋体" w:cs="宋体"/>
          <w:color w:val="auto"/>
          <w:szCs w:val="21"/>
          <w:highlight w:val="none"/>
          <w:u w:val="single"/>
        </w:rPr>
        <w:t>报总监办同意后再报业主代表批准</w:t>
      </w:r>
      <w:r>
        <w:rPr>
          <w:rFonts w:hint="eastAsia" w:ascii="宋体" w:hAnsi="宋体" w:cs="宋体"/>
          <w:color w:val="auto"/>
          <w:szCs w:val="21"/>
          <w:highlight w:val="none"/>
        </w:rPr>
        <w:t>。</w:t>
      </w:r>
    </w:p>
    <w:p w14:paraId="02138770">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4.7.6.4承包人擅自更换主要施工管理人员的违约责任：总工、专业工程师未经发包人书面同意不准擅自更换，擅自更换总工处</w:t>
      </w:r>
      <w:r>
        <w:rPr>
          <w:rFonts w:hint="eastAsia" w:ascii="宋体" w:hAnsi="宋体" w:cs="宋体"/>
          <w:color w:val="auto"/>
          <w:szCs w:val="21"/>
          <w:highlight w:val="none"/>
          <w:u w:val="single"/>
        </w:rPr>
        <w:t>合同价款0.5%</w:t>
      </w:r>
      <w:r>
        <w:rPr>
          <w:rFonts w:hint="eastAsia" w:ascii="宋体" w:hAnsi="宋体" w:cs="宋体"/>
          <w:color w:val="auto"/>
          <w:szCs w:val="21"/>
          <w:highlight w:val="none"/>
        </w:rPr>
        <w:t>违约金；擅自更换专业工程师处</w:t>
      </w:r>
      <w:r>
        <w:rPr>
          <w:rFonts w:hint="eastAsia" w:ascii="宋体" w:hAnsi="宋体" w:cs="宋体"/>
          <w:color w:val="auto"/>
          <w:szCs w:val="21"/>
          <w:highlight w:val="none"/>
          <w:u w:val="single"/>
        </w:rPr>
        <w:t>合同价款1‰</w:t>
      </w:r>
      <w:r>
        <w:rPr>
          <w:rFonts w:hint="eastAsia" w:ascii="宋体" w:hAnsi="宋体" w:cs="宋体"/>
          <w:color w:val="auto"/>
          <w:szCs w:val="21"/>
          <w:highlight w:val="none"/>
        </w:rPr>
        <w:t>违约金。</w:t>
      </w:r>
    </w:p>
    <w:p w14:paraId="5606F3F1">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4.7.6.5承包人主要施工管理人员擅自离开施工现场的违约责任：未经发包人同意，总工擅自离岗的，视为承包人违约，发包人有权处违约金</w:t>
      </w:r>
      <w:r>
        <w:rPr>
          <w:rFonts w:hint="eastAsia" w:ascii="宋体" w:hAnsi="宋体" w:cs="宋体"/>
          <w:color w:val="auto"/>
          <w:szCs w:val="21"/>
          <w:highlight w:val="none"/>
          <w:u w:val="single"/>
        </w:rPr>
        <w:t>1000</w:t>
      </w:r>
      <w:r>
        <w:rPr>
          <w:rFonts w:hint="eastAsia" w:ascii="宋体" w:hAnsi="宋体" w:cs="宋体"/>
          <w:color w:val="auto"/>
          <w:szCs w:val="21"/>
          <w:highlight w:val="none"/>
        </w:rPr>
        <w:t>元/人•次(人民币)；未经发包人同意，专业工程师擅自离岗的，视为承包人违约，发包人有权处违约金</w:t>
      </w:r>
      <w:r>
        <w:rPr>
          <w:rFonts w:hint="eastAsia" w:ascii="宋体" w:hAnsi="宋体" w:cs="宋体"/>
          <w:color w:val="auto"/>
          <w:szCs w:val="21"/>
          <w:highlight w:val="none"/>
          <w:u w:val="single"/>
        </w:rPr>
        <w:t>500</w:t>
      </w:r>
      <w:r>
        <w:rPr>
          <w:rFonts w:hint="eastAsia" w:ascii="宋体" w:hAnsi="宋体" w:cs="宋体"/>
          <w:color w:val="auto"/>
          <w:szCs w:val="21"/>
          <w:highlight w:val="none"/>
        </w:rPr>
        <w:t>元/人•次(人民币)。</w:t>
      </w:r>
    </w:p>
    <w:p w14:paraId="37C7D3C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p>
    <w:p w14:paraId="49DFC13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7" w:name="_Toc5548"/>
      <w:r>
        <w:rPr>
          <w:rFonts w:hint="eastAsia" w:ascii="宋体" w:hAnsi="宋体" w:eastAsia="宋体" w:cs="宋体"/>
          <w:b/>
          <w:bCs/>
          <w:color w:val="auto"/>
          <w:sz w:val="28"/>
          <w:szCs w:val="28"/>
          <w:highlight w:val="none"/>
        </w:rPr>
        <w:t>4.9工程价款应专款专用</w:t>
      </w:r>
      <w:bookmarkEnd w:id="347"/>
    </w:p>
    <w:p w14:paraId="3BE1ED5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0B3259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50099462">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8" w:name="_Toc20880"/>
      <w:r>
        <w:rPr>
          <w:rFonts w:hint="eastAsia" w:ascii="宋体" w:hAnsi="宋体" w:eastAsia="宋体" w:cs="宋体"/>
          <w:b/>
          <w:bCs/>
          <w:color w:val="auto"/>
          <w:sz w:val="28"/>
          <w:szCs w:val="28"/>
          <w:highlight w:val="none"/>
        </w:rPr>
        <w:t>4.10承包人现场查勘</w:t>
      </w:r>
      <w:bookmarkEnd w:id="348"/>
    </w:p>
    <w:p w14:paraId="7EB300B9">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4.10.1 项细化为：</w:t>
      </w:r>
      <w:r>
        <w:rPr>
          <w:rFonts w:hint="eastAsia" w:ascii="宋体" w:hAnsi="宋体" w:eastAsia="宋体" w:cs="宋体"/>
          <w:b/>
          <w:bCs/>
          <w:color w:val="auto"/>
          <w:sz w:val="28"/>
          <w:szCs w:val="28"/>
          <w:highlight w:val="none"/>
          <w:vertAlign w:val="superscript"/>
        </w:rPr>
        <w:footnoteReference w:id="0"/>
      </w:r>
    </w:p>
    <w:p w14:paraId="1D38485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3794132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9" w:name="_Toc13611"/>
      <w:r>
        <w:rPr>
          <w:rFonts w:hint="eastAsia" w:ascii="宋体" w:hAnsi="宋体" w:eastAsia="宋体" w:cs="宋体"/>
          <w:b/>
          <w:bCs/>
          <w:color w:val="auto"/>
          <w:sz w:val="28"/>
          <w:szCs w:val="28"/>
          <w:highlight w:val="none"/>
        </w:rPr>
        <w:t>4.11不利物质条件</w:t>
      </w:r>
      <w:bookmarkEnd w:id="349"/>
    </w:p>
    <w:p w14:paraId="746BBE1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4.11.2 项细化为：</w:t>
      </w:r>
    </w:p>
    <w:p w14:paraId="23F23A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4.11.2承包人遇到不可预见的不利物质条件时，应采取适应不利物质条件的合理措施继续施工，并及时通知监理人。监理人应当及时发出指示，指示构成变更的， 按第 15 条约定办理。监理人没有发出指示的，承包人因采取合理措施而增加的费用和（或）工期延误，由发包人承担。</w:t>
      </w:r>
    </w:p>
    <w:p w14:paraId="75BEA80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 4.11.3 项：</w:t>
      </w:r>
    </w:p>
    <w:p w14:paraId="0DD58A4B">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4.11.3可预见的不利物质条件</w:t>
      </w:r>
    </w:p>
    <w:p w14:paraId="41B90E7A">
      <w:pPr>
        <w:pageBreakBefore w:val="0"/>
        <w:numPr>
          <w:ilvl w:val="0"/>
          <w:numId w:val="6"/>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对于项目专用合同条款中已经明确指出的不利物质条件无论承包人是否有其经历和经验均视为承包人在接受合同时已预见其影响，并已在签约合同价中计入因其影响而可能发生的一切费用。</w:t>
      </w:r>
    </w:p>
    <w:p w14:paraId="227FF35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（2）对于项目专用合同条款未明确指出，但是在不利物质条件发生之前，监理人已经指示承包人有可能发生，但承包人未能及时采取有效措施，而导致的损失和后果均由承包人承担。</w:t>
      </w:r>
    </w:p>
    <w:p w14:paraId="0B1CB38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补充第 4.12 款、第 4.13 款：</w:t>
      </w:r>
    </w:p>
    <w:p w14:paraId="12C1FBA2">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50" w:name="_Toc25718"/>
      <w:r>
        <w:rPr>
          <w:rFonts w:hint="eastAsia" w:ascii="宋体" w:hAnsi="宋体" w:eastAsia="宋体" w:cs="宋体"/>
          <w:b/>
          <w:bCs/>
          <w:color w:val="auto"/>
          <w:sz w:val="28"/>
          <w:szCs w:val="28"/>
          <w:highlight w:val="none"/>
        </w:rPr>
        <w:t>4.12投标文件的完备性</w:t>
      </w:r>
      <w:bookmarkEnd w:id="350"/>
    </w:p>
    <w:p w14:paraId="7D5FA5B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7B763D9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51" w:name="_Toc10357"/>
      <w:r>
        <w:rPr>
          <w:rFonts w:hint="eastAsia" w:ascii="宋体" w:hAnsi="宋体" w:eastAsia="宋体" w:cs="宋体"/>
          <w:b/>
          <w:bCs/>
          <w:color w:val="auto"/>
          <w:sz w:val="28"/>
          <w:szCs w:val="28"/>
          <w:highlight w:val="none"/>
        </w:rPr>
        <w:t>4.13开展党建工作要求</w:t>
      </w:r>
      <w:bookmarkEnd w:id="351"/>
    </w:p>
    <w:p w14:paraId="6D63308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644EE2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16DB964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52" w:name="_Toc1605"/>
      <w:bookmarkStart w:id="353" w:name="_Toc122424214"/>
      <w:bookmarkStart w:id="354" w:name="_Toc122424463"/>
      <w:r>
        <w:rPr>
          <w:rFonts w:hint="eastAsia" w:ascii="宋体" w:hAnsi="宋体" w:eastAsia="宋体" w:cs="宋体"/>
          <w:b/>
          <w:bCs/>
          <w:color w:val="auto"/>
          <w:sz w:val="32"/>
          <w:szCs w:val="32"/>
          <w:highlight w:val="none"/>
        </w:rPr>
        <w:t>5.材料和工程设备</w:t>
      </w:r>
      <w:bookmarkEnd w:id="352"/>
      <w:bookmarkEnd w:id="353"/>
      <w:bookmarkEnd w:id="354"/>
    </w:p>
    <w:p w14:paraId="6261CD3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55" w:name="_Toc20766"/>
      <w:r>
        <w:rPr>
          <w:rFonts w:hint="eastAsia" w:ascii="宋体" w:hAnsi="宋体" w:eastAsia="宋体" w:cs="宋体"/>
          <w:b/>
          <w:bCs/>
          <w:color w:val="auto"/>
          <w:sz w:val="28"/>
          <w:szCs w:val="28"/>
          <w:highlight w:val="none"/>
        </w:rPr>
        <w:t>5.2 发包人提供的材料和工程设备</w:t>
      </w:r>
      <w:bookmarkEnd w:id="355"/>
    </w:p>
    <w:p w14:paraId="6BF94CEA">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5.2.3 项补充：</w:t>
      </w:r>
    </w:p>
    <w:p w14:paraId="2F919D5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4611B5F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56" w:name="_Toc122424464"/>
      <w:bookmarkStart w:id="357" w:name="_Toc24228"/>
      <w:bookmarkStart w:id="358" w:name="_Toc122424215"/>
      <w:r>
        <w:rPr>
          <w:rFonts w:hint="eastAsia" w:ascii="宋体" w:hAnsi="宋体" w:eastAsia="宋体" w:cs="宋体"/>
          <w:b/>
          <w:bCs/>
          <w:color w:val="auto"/>
          <w:sz w:val="32"/>
          <w:szCs w:val="32"/>
          <w:highlight w:val="none"/>
        </w:rPr>
        <w:t>6.施工设备和临时设施</w:t>
      </w:r>
      <w:bookmarkEnd w:id="356"/>
      <w:bookmarkEnd w:id="357"/>
      <w:bookmarkEnd w:id="358"/>
    </w:p>
    <w:p w14:paraId="11BF465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59" w:name="_Toc23309"/>
      <w:r>
        <w:rPr>
          <w:rFonts w:hint="eastAsia" w:ascii="宋体" w:hAnsi="宋体" w:eastAsia="宋体" w:cs="宋体"/>
          <w:b/>
          <w:bCs/>
          <w:color w:val="auto"/>
          <w:sz w:val="28"/>
          <w:szCs w:val="28"/>
          <w:highlight w:val="none"/>
        </w:rPr>
        <w:t>6.1承包人提供的施工设备和临时设施</w:t>
      </w:r>
      <w:bookmarkEnd w:id="359"/>
    </w:p>
    <w:p w14:paraId="46FE50E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6.1.2 项约定为：</w:t>
      </w:r>
    </w:p>
    <w:p w14:paraId="04A0F73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承包人应自行承担修建临时设施的费用，需要临时占地的，应由承包人按第4.1.10 项（1）目的规定办理。</w:t>
      </w:r>
    </w:p>
    <w:p w14:paraId="1A49AEA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60" w:name="_Toc26966"/>
      <w:r>
        <w:rPr>
          <w:rFonts w:hint="eastAsia" w:ascii="宋体" w:hAnsi="宋体" w:eastAsia="宋体" w:cs="宋体"/>
          <w:b/>
          <w:bCs/>
          <w:color w:val="auto"/>
          <w:sz w:val="28"/>
          <w:szCs w:val="28"/>
          <w:highlight w:val="none"/>
        </w:rPr>
        <w:t>6.3 要求承包人增加或更换施工设备</w:t>
      </w:r>
      <w:bookmarkEnd w:id="360"/>
    </w:p>
    <w:p w14:paraId="25FA204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1D95DD6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4FEA101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61" w:name="_Toc122424216"/>
      <w:bookmarkStart w:id="362" w:name="_Toc7330"/>
      <w:bookmarkStart w:id="363" w:name="_Toc122424465"/>
      <w:r>
        <w:rPr>
          <w:rFonts w:hint="eastAsia" w:ascii="宋体" w:hAnsi="宋体" w:eastAsia="宋体" w:cs="宋体"/>
          <w:b/>
          <w:bCs/>
          <w:color w:val="auto"/>
          <w:sz w:val="32"/>
          <w:szCs w:val="32"/>
          <w:highlight w:val="none"/>
        </w:rPr>
        <w:t>7.交通运输</w:t>
      </w:r>
      <w:bookmarkEnd w:id="361"/>
      <w:bookmarkEnd w:id="362"/>
      <w:bookmarkEnd w:id="363"/>
    </w:p>
    <w:p w14:paraId="3A477BE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64" w:name="_Toc28212"/>
      <w:r>
        <w:rPr>
          <w:rFonts w:hint="eastAsia" w:ascii="宋体" w:hAnsi="宋体" w:eastAsia="宋体" w:cs="宋体"/>
          <w:b/>
          <w:bCs/>
          <w:color w:val="auto"/>
          <w:sz w:val="28"/>
          <w:szCs w:val="28"/>
          <w:highlight w:val="none"/>
        </w:rPr>
        <w:t>7.1道路通行权和场外设施</w:t>
      </w:r>
      <w:bookmarkEnd w:id="364"/>
    </w:p>
    <w:p w14:paraId="5412499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本款约定为：</w:t>
      </w:r>
    </w:p>
    <w:p w14:paraId="16115A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785CD515">
      <w:pPr>
        <w:wordWrap w:val="0"/>
        <w:topLinePunct/>
        <w:adjustRightInd w:val="0"/>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本款补充</w:t>
      </w:r>
      <w:r>
        <w:rPr>
          <w:rFonts w:hint="eastAsia" w:ascii="宋体" w:hAnsi="宋体" w:eastAsia="宋体" w:cs="宋体"/>
          <w:color w:val="auto"/>
          <w:szCs w:val="21"/>
          <w:highlight w:val="none"/>
        </w:rPr>
        <w:t>：</w:t>
      </w:r>
    </w:p>
    <w:p w14:paraId="34923639">
      <w:pPr>
        <w:wordWrap w:val="0"/>
        <w:topLinePunct/>
        <w:adjustRightIn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旧路改建工程项目</w:t>
      </w:r>
    </w:p>
    <w:p w14:paraId="01D53964">
      <w:pPr>
        <w:wordWrap w:val="0"/>
        <w:topLinePunct/>
        <w:adjustRightInd w:val="0"/>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(I)</w:t>
      </w:r>
      <w:r>
        <w:rPr>
          <w:rFonts w:hint="eastAsia" w:ascii="宋体" w:hAnsi="宋体" w:eastAsia="宋体" w:cs="宋体"/>
          <w:color w:val="auto"/>
          <w:szCs w:val="21"/>
          <w:highlight w:val="none"/>
        </w:rPr>
        <w:t>破坏旧路必须作出交通维持与恢复路面通行条件方案并必须取得监理工程师与业主的批准，未经批准进行旧路开挖与填筑的，业主和监理工程师 有权责令停工，并由承包人恢复原良好的通车条件，并需承担一切费用。</w:t>
      </w:r>
    </w:p>
    <w:p w14:paraId="2047B5EC">
      <w:pPr>
        <w:numPr>
          <w:ilvl w:val="0"/>
          <w:numId w:val="0"/>
        </w:numPr>
        <w:wordWrap w:val="0"/>
        <w:topLinePunct/>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II</w:t>
      </w:r>
      <w:r>
        <w:rPr>
          <w:rFonts w:hint="eastAsia" w:ascii="宋体" w:hAnsi="宋体" w:eastAsia="宋体" w:cs="宋体"/>
          <w:color w:val="auto"/>
          <w:szCs w:val="21"/>
          <w:highlight w:val="none"/>
        </w:rPr>
        <w:t>)不得在道路上堆放材料或占道施工影响交通。</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路基、路面施工应避免出现晴天扬尘，雨天打滑影响安全与交通和影响群众生活、生产的现象。</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维持交通的路基施工应保证表面平整，保证通畅。</w:t>
      </w:r>
    </w:p>
    <w:p w14:paraId="1B19CB11">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65" w:name="_Toc25933"/>
      <w:bookmarkStart w:id="366" w:name="_Toc122424217"/>
      <w:bookmarkStart w:id="367" w:name="_Toc122424466"/>
      <w:r>
        <w:rPr>
          <w:rFonts w:hint="eastAsia" w:ascii="宋体" w:hAnsi="宋体" w:eastAsia="宋体" w:cs="宋体"/>
          <w:b/>
          <w:bCs/>
          <w:color w:val="auto"/>
          <w:sz w:val="32"/>
          <w:szCs w:val="32"/>
          <w:highlight w:val="none"/>
        </w:rPr>
        <w:t>8.测量放线</w:t>
      </w:r>
      <w:bookmarkEnd w:id="365"/>
      <w:bookmarkEnd w:id="366"/>
      <w:bookmarkEnd w:id="367"/>
    </w:p>
    <w:p w14:paraId="7FB6B2D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68" w:name="_Toc29191"/>
      <w:r>
        <w:rPr>
          <w:rFonts w:hint="eastAsia" w:ascii="宋体" w:hAnsi="宋体" w:eastAsia="宋体" w:cs="宋体"/>
          <w:b/>
          <w:bCs/>
          <w:color w:val="auto"/>
          <w:sz w:val="28"/>
          <w:szCs w:val="28"/>
          <w:highlight w:val="none"/>
        </w:rPr>
        <w:t>8.4 监理人使用施工控制网</w:t>
      </w:r>
      <w:bookmarkEnd w:id="368"/>
    </w:p>
    <w:p w14:paraId="54E3364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4D69CC3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经监理人批准，其他相关承包人也可免费使用施工控制网。</w:t>
      </w:r>
    </w:p>
    <w:p w14:paraId="0AC814FF">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69" w:name="_Toc5499"/>
      <w:bookmarkStart w:id="370" w:name="_Toc122424218"/>
      <w:bookmarkStart w:id="371" w:name="_Toc122424467"/>
      <w:r>
        <w:rPr>
          <w:rFonts w:hint="eastAsia" w:ascii="宋体" w:hAnsi="宋体" w:eastAsia="宋体" w:cs="宋体"/>
          <w:b/>
          <w:bCs/>
          <w:color w:val="auto"/>
          <w:sz w:val="32"/>
          <w:szCs w:val="32"/>
          <w:highlight w:val="none"/>
        </w:rPr>
        <w:t>9.施工安全、治安保卫和环境保护</w:t>
      </w:r>
      <w:bookmarkEnd w:id="369"/>
      <w:bookmarkEnd w:id="370"/>
      <w:bookmarkEnd w:id="371"/>
    </w:p>
    <w:p w14:paraId="489EBAB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2" w:name="_Toc12070"/>
      <w:r>
        <w:rPr>
          <w:rFonts w:hint="eastAsia" w:ascii="宋体" w:hAnsi="宋体" w:eastAsia="宋体" w:cs="宋体"/>
          <w:b/>
          <w:bCs/>
          <w:color w:val="auto"/>
          <w:sz w:val="28"/>
          <w:szCs w:val="28"/>
          <w:highlight w:val="none"/>
        </w:rPr>
        <w:t>9.2承包人的施工安全责任</w:t>
      </w:r>
      <w:bookmarkEnd w:id="372"/>
    </w:p>
    <w:p w14:paraId="23B947F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9.2.1 项细化为：</w:t>
      </w:r>
    </w:p>
    <w:p w14:paraId="1D9610C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3EB632A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承包人应根据本工程的实际安全施工要求，编制施工安全技术措施，并在签订合同协议书后 28 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35682BB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本项目需要编制专项施工方案的工程包括但不限于以下内容：</w:t>
      </w:r>
    </w:p>
    <w:p w14:paraId="5399BAB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（1）不良地质条件下有潜在危险性的土方、石方开挖；</w:t>
      </w:r>
    </w:p>
    <w:p w14:paraId="2E8383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（2）滑坡和高边坡处理；</w:t>
      </w:r>
    </w:p>
    <w:p w14:paraId="127F110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（3）桩基础、挡墙基础、深水基础及围堰工程；</w:t>
      </w:r>
    </w:p>
    <w:p w14:paraId="6AAE989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（4）桥梁工程中的梁、拱、柱等构件施工等；</w:t>
      </w:r>
    </w:p>
    <w:p w14:paraId="4938DAE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（5）隧道工程中的不良地质隧道、高瓦斯隧道等；</w:t>
      </w:r>
    </w:p>
    <w:p w14:paraId="4638236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（6）水上工程中的打桩船作业、施工船作业、外海孤岛作业、边通航边施工 作业等；</w:t>
      </w:r>
    </w:p>
    <w:p w14:paraId="0215C44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（7）水下工程中的水下焊接、混凝土浇筑、爆破工程等；</w:t>
      </w:r>
    </w:p>
    <w:p w14:paraId="1306FFA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（8）爆破工程；</w:t>
      </w:r>
    </w:p>
    <w:p w14:paraId="6F12119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（9）大型临时工程中的大型支架、模板、便桥的架设与拆除；桥梁、码头的加固与拆除；</w:t>
      </w:r>
    </w:p>
    <w:p w14:paraId="04ED509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（10）其他危险性较大的工程。</w:t>
      </w:r>
    </w:p>
    <w:p w14:paraId="0E89944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监理人和发包人在检查中发现有安全问题或有违反安全管理规章制度的情况时，可视为承包人违约，应按第 22.1 款的规定办理。</w:t>
      </w:r>
    </w:p>
    <w:p w14:paraId="1EECBA35">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9.2.5 项细化为：</w:t>
      </w:r>
    </w:p>
    <w:p w14:paraId="5796AE7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除项目专用合同条款另有约定外，安全生产费用应为投标价（不含安全生产费及建筑工程一切险及第三者责任险的保险费）的 1.5%（若发包人公布了最高投标限价时，按最高投标限价的 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 3.5 款商定或确定。</w:t>
      </w:r>
    </w:p>
    <w:p w14:paraId="7AB4924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9.2.8 项~第 9.2.11 项：</w:t>
      </w:r>
    </w:p>
    <w:p w14:paraId="2043BCC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9.2.8承包人应充分关注和保障所有在现场工作的人员的安全，采取以下有效措施，使现场和本合同工程的实施保持有条不紊，以免使上述人员的安全受到威胁。</w:t>
      </w:r>
    </w:p>
    <w:p w14:paraId="521AE1A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（1）按《公路水运工程安全生产监督管理办法》规定的最低数量和资质条件配备专职安全生产管理人员；</w:t>
      </w:r>
    </w:p>
    <w:p w14:paraId="6DB3295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（2）承包人的垂直运输机械作业人员、施工船舶作业人员、爆破作业人员、 安装拆卸工、起重信号工、电工、焊工等国家规定的特种作业人员，必须按照国家规定经过专门的安全作业培训，并取得特种作业操作资格证书后，方可上岗作业；</w:t>
      </w:r>
    </w:p>
    <w:p w14:paraId="39BFDEF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（3）所有施工机具设备和高空作业设备均应定期检查，并有安全员的签字记录；</w:t>
      </w:r>
    </w:p>
    <w:p w14:paraId="7E842DC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（4）根据本合同各单位工程的施工特点，严格执行《公路水运工程安全生产监督管理办法》《公路工程施工安全技术规范》等有关规定。</w:t>
      </w:r>
    </w:p>
    <w:p w14:paraId="378318E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9.2.9为了保护本合同工程免遭损坏，或为了现场附近和过往群众的安全与方便，在确有必要的时候和地方，或当监理人或有关主管部门要求时，承包人应自费提供照明、警卫、护栅、警告标志等安全防护设施。</w:t>
      </w:r>
    </w:p>
    <w:p w14:paraId="76632DD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9.2.10在通航水域施工时，承包人应与当地主管部门取得联系，设置必要的导航标志，及时发布航行通告，确保施工水域安全。</w:t>
      </w:r>
    </w:p>
    <w:p w14:paraId="4464EB3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9.2.11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1F2E1FE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3" w:name="_Toc29507"/>
      <w:r>
        <w:rPr>
          <w:rFonts w:hint="eastAsia" w:ascii="宋体" w:hAnsi="宋体" w:eastAsia="宋体" w:cs="宋体"/>
          <w:b/>
          <w:bCs/>
          <w:color w:val="auto"/>
          <w:sz w:val="28"/>
          <w:szCs w:val="28"/>
          <w:highlight w:val="none"/>
        </w:rPr>
        <w:t>9.4 环境保护</w:t>
      </w:r>
      <w:bookmarkEnd w:id="373"/>
    </w:p>
    <w:p w14:paraId="61D7131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9.4.7 项~第 9.4.11 项：</w:t>
      </w:r>
    </w:p>
    <w:p w14:paraId="4EA0941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9.4.7承包人应切实执行技术规范中有关环境保护方面的条款和规定。</w:t>
      </w:r>
    </w:p>
    <w:p w14:paraId="3FCE0DB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 150m 以内的施工现场， 施工时间应加以控制。</w:t>
      </w:r>
    </w:p>
    <w:p w14:paraId="3898B4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（2）对于公路施工中粉尘污染的主要污染源――灰土拌和、施工车辆和筑路机械运行及运输产生的扬尘，应采取有效措施减轻其对施工现场的大气污染，保护人民健康，如：</w:t>
      </w:r>
    </w:p>
    <w:p w14:paraId="7435353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a.拌和设备应有较好的密封，或有防尘设备。</w:t>
      </w:r>
    </w:p>
    <w:p w14:paraId="1A12EB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b.施工通道、沥青混凝土拌和站及灰土拌和站应经常进行洒水降尘。</w:t>
      </w:r>
    </w:p>
    <w:p w14:paraId="5C50DDF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c.路面施工应注意保持水分，以免扬尘。</w:t>
      </w:r>
    </w:p>
    <w:p w14:paraId="52CB96B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d.隧道出渣和桥梁钻孔灌注桩施工时排出的泥浆要进行妥善处理，严禁向河流或农田排放。</w:t>
      </w:r>
    </w:p>
    <w:p w14:paraId="6C1985A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（3）采取可靠措施保证原有交通的正常通行，维持沿线村镇的居民饮水、农田灌溉、生产生活用电及通信等管线的正常使用。</w:t>
      </w:r>
    </w:p>
    <w:p w14:paraId="590743C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7D1F55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9.4.9在施工期间，承包人应随时保持现场整洁，施工设备和材料、工程设备应整齐妥善存放和储存，废料与垃圾及不再需要的临时设施应及时从现场清除、拆除并运走。</w:t>
      </w:r>
    </w:p>
    <w:p w14:paraId="41CA346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9.4.10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2E0B844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9.4.11承包人应严格按照国家有关法规要求，做好施工过程中的生态保护和水土保持工作。施工中要尽可能减少对原地面的扰动，减少对地面草木的破坏，需要爆破作业的，应按规定进行控爆设计。雨季填筑路基应随挖、随运、随填、随压， 要完善施工中的临时排水系统，加强施工便道的管理。取（弃）土场必须先挡后弃， 严禁在指定的取（弃）土场以外的地方乱挖乱弃。</w:t>
      </w:r>
    </w:p>
    <w:p w14:paraId="240DA8A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74" w:name="_Toc122424219"/>
      <w:bookmarkStart w:id="375" w:name="_Toc122424468"/>
      <w:bookmarkStart w:id="376" w:name="_Toc23551"/>
      <w:r>
        <w:rPr>
          <w:rFonts w:hint="eastAsia" w:ascii="宋体" w:hAnsi="宋体" w:eastAsia="宋体" w:cs="宋体"/>
          <w:b/>
          <w:bCs/>
          <w:color w:val="auto"/>
          <w:sz w:val="32"/>
          <w:szCs w:val="32"/>
          <w:highlight w:val="none"/>
        </w:rPr>
        <w:t>10.进度计划</w:t>
      </w:r>
      <w:bookmarkEnd w:id="374"/>
      <w:bookmarkEnd w:id="375"/>
      <w:bookmarkEnd w:id="376"/>
    </w:p>
    <w:p w14:paraId="7CD2EEE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7" w:name="_Toc2371"/>
      <w:r>
        <w:rPr>
          <w:rFonts w:hint="eastAsia" w:ascii="宋体" w:hAnsi="宋体" w:eastAsia="宋体" w:cs="宋体"/>
          <w:b/>
          <w:bCs/>
          <w:color w:val="auto"/>
          <w:sz w:val="28"/>
          <w:szCs w:val="28"/>
          <w:highlight w:val="none"/>
        </w:rPr>
        <w:t>10.1合同进度计划</w:t>
      </w:r>
      <w:bookmarkEnd w:id="377"/>
    </w:p>
    <w:p w14:paraId="56EDC4E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4DE8AF6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承包人编制施工方案说明的内容见项目专用合同条款。</w:t>
      </w:r>
    </w:p>
    <w:p w14:paraId="1192883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承包人向监理人报送施工进度计划和施工方案说明的期限：签订合同协议书后28 天之内。</w:t>
      </w:r>
    </w:p>
    <w:p w14:paraId="40FCC8C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监理人应在 14 天内对承包人施工进度计划和施工方案说明予以批复或提出修改意见。</w:t>
      </w:r>
    </w:p>
    <w:p w14:paraId="1CF39DB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合同进度计划应按照关键线路网络图和主要工作横道图两种形式分别编绘，并应包括每月预计完成的工作量和形象进度。</w:t>
      </w:r>
    </w:p>
    <w:p w14:paraId="468B312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8" w:name="_Toc30457"/>
      <w:r>
        <w:rPr>
          <w:rFonts w:hint="eastAsia" w:ascii="宋体" w:hAnsi="宋体" w:eastAsia="宋体" w:cs="宋体"/>
          <w:b/>
          <w:bCs/>
          <w:color w:val="auto"/>
          <w:sz w:val="28"/>
          <w:szCs w:val="28"/>
          <w:highlight w:val="none"/>
        </w:rPr>
        <w:t>10.2合同进度计划的修订</w:t>
      </w:r>
      <w:bookmarkEnd w:id="378"/>
    </w:p>
    <w:p w14:paraId="786CA4C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1A00B74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承包人提交合同进度计划修订申请报告，并附有关措施和相关资料的期限：实际进度发生滞后的当月 25 日前。</w:t>
      </w:r>
    </w:p>
    <w:p w14:paraId="59E54BB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监理人批复修订合同进度计划的期限：收到修订合同进度计划后 14 天内。</w:t>
      </w:r>
    </w:p>
    <w:p w14:paraId="694F57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10.3 款、第 10.4 款：</w:t>
      </w:r>
    </w:p>
    <w:p w14:paraId="03A3550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9" w:name="_Toc2437"/>
      <w:r>
        <w:rPr>
          <w:rFonts w:hint="eastAsia" w:ascii="宋体" w:hAnsi="宋体" w:eastAsia="宋体" w:cs="宋体"/>
          <w:b/>
          <w:bCs/>
          <w:color w:val="auto"/>
          <w:sz w:val="28"/>
          <w:szCs w:val="28"/>
          <w:highlight w:val="none"/>
        </w:rPr>
        <w:t>10.3年度施工计划</w:t>
      </w:r>
      <w:bookmarkEnd w:id="379"/>
    </w:p>
    <w:p w14:paraId="760FE86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承包人应在每年</w:t>
      </w:r>
      <w:r>
        <w:rPr>
          <w:rFonts w:hint="eastAsia" w:ascii="宋体" w:hAnsi="宋体" w:cs="宋体"/>
          <w:color w:val="auto"/>
          <w:highlight w:val="none"/>
          <w:lang w:val="en-US" w:eastAsia="zh-CN"/>
        </w:rPr>
        <w:t>11</w:t>
      </w:r>
      <w:r>
        <w:rPr>
          <w:rFonts w:hint="eastAsia" w:ascii="宋体" w:hAnsi="宋体" w:eastAsia="宋体" w:cs="宋体"/>
          <w:color w:val="auto"/>
          <w:highlight w:val="none"/>
        </w:rPr>
        <w:t>月底前，根据已同意的合同进度计划或其修订的计划，向监理人提交</w:t>
      </w:r>
      <w:r>
        <w:rPr>
          <w:rFonts w:hint="eastAsia" w:ascii="宋体" w:hAnsi="宋体" w:cs="宋体"/>
          <w:color w:val="auto"/>
          <w:highlight w:val="none"/>
          <w:lang w:val="en-US" w:eastAsia="zh-CN"/>
        </w:rPr>
        <w:t>2</w:t>
      </w:r>
      <w:r>
        <w:rPr>
          <w:rFonts w:hint="eastAsia" w:ascii="宋体" w:hAnsi="宋体" w:eastAsia="宋体" w:cs="宋体"/>
          <w:color w:val="auto"/>
          <w:highlight w:val="none"/>
        </w:rPr>
        <w:t>份格式和内容符合监理人合理规定的下一年度的施工计划，以供审查。该计划应包括本年度估计完成的和下一年度预计完成的分项工程数量和工作量，以及为实施此计划将采取的措施。</w:t>
      </w:r>
    </w:p>
    <w:p w14:paraId="5520676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0" w:name="_Toc19021"/>
      <w:r>
        <w:rPr>
          <w:rFonts w:hint="eastAsia" w:ascii="宋体" w:hAnsi="宋体" w:eastAsia="宋体" w:cs="宋体"/>
          <w:b/>
          <w:bCs/>
          <w:color w:val="auto"/>
          <w:sz w:val="28"/>
          <w:szCs w:val="28"/>
          <w:highlight w:val="none"/>
        </w:rPr>
        <w:t>10.4合同用款计划</w:t>
      </w:r>
      <w:bookmarkEnd w:id="380"/>
    </w:p>
    <w:p w14:paraId="1C022EE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承包人应在签订本合同协议书后 28 天之内，按磋商文件中规定的格式，向监理人提交 2 份按合同规定承包人有权得到支付的详细的季度合同用款计划，以备监理人查阅。如果监理人提出要求，承包人还应按季度提交修订的合同用款计划。</w:t>
      </w:r>
    </w:p>
    <w:p w14:paraId="41B684C3">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81" w:name="_Toc122424220"/>
      <w:bookmarkStart w:id="382" w:name="_Toc15458"/>
      <w:bookmarkStart w:id="383" w:name="_Toc122424469"/>
      <w:r>
        <w:rPr>
          <w:rFonts w:hint="eastAsia" w:ascii="宋体" w:hAnsi="宋体" w:eastAsia="宋体" w:cs="宋体"/>
          <w:b/>
          <w:bCs/>
          <w:color w:val="auto"/>
          <w:sz w:val="32"/>
          <w:szCs w:val="32"/>
          <w:highlight w:val="none"/>
        </w:rPr>
        <w:t>11.开工和交工</w:t>
      </w:r>
      <w:bookmarkEnd w:id="381"/>
      <w:bookmarkEnd w:id="382"/>
      <w:bookmarkEnd w:id="383"/>
    </w:p>
    <w:p w14:paraId="178BA604">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4" w:name="_Toc12235"/>
      <w:r>
        <w:rPr>
          <w:rFonts w:hint="eastAsia" w:ascii="宋体" w:hAnsi="宋体" w:eastAsia="宋体" w:cs="宋体"/>
          <w:b/>
          <w:bCs/>
          <w:color w:val="auto"/>
          <w:sz w:val="28"/>
          <w:szCs w:val="28"/>
          <w:highlight w:val="none"/>
        </w:rPr>
        <w:t>11.1开工</w:t>
      </w:r>
      <w:bookmarkEnd w:id="384"/>
    </w:p>
    <w:p w14:paraId="52073B3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11.1.2 项补充：</w:t>
      </w:r>
    </w:p>
    <w:p w14:paraId="7B3D62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承包人应在分部工程开工前 14 天向监理人提交分部工程开工报审表，若承包人的开工准备、工作计划和质量控制方法是可接受的且已获得批准，则经监理人书面同意，分部工程才能开工。</w:t>
      </w:r>
    </w:p>
    <w:p w14:paraId="1548CD96">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5" w:name="_Toc965"/>
      <w:r>
        <w:rPr>
          <w:rFonts w:hint="eastAsia" w:ascii="宋体" w:hAnsi="宋体" w:eastAsia="宋体" w:cs="宋体"/>
          <w:b/>
          <w:bCs/>
          <w:color w:val="auto"/>
          <w:sz w:val="28"/>
          <w:szCs w:val="28"/>
          <w:highlight w:val="none"/>
        </w:rPr>
        <w:t>11.3发包人的工期延误</w:t>
      </w:r>
      <w:bookmarkEnd w:id="385"/>
    </w:p>
    <w:p w14:paraId="5717EFA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607C5D4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即使由于上述原因造成工期延误，如果受影响的工程并非处在工程施工进度网络计划的关键线路上，则承包人无权要求延长总工期。</w:t>
      </w:r>
    </w:p>
    <w:p w14:paraId="6C77A0C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6" w:name="_Toc7080"/>
      <w:r>
        <w:rPr>
          <w:rFonts w:hint="eastAsia" w:ascii="宋体" w:hAnsi="宋体" w:eastAsia="宋体" w:cs="宋体"/>
          <w:b/>
          <w:bCs/>
          <w:color w:val="auto"/>
          <w:sz w:val="28"/>
          <w:szCs w:val="28"/>
          <w:highlight w:val="none"/>
        </w:rPr>
        <w:t>11.4异常恶劣的气候条件</w:t>
      </w:r>
      <w:bookmarkEnd w:id="386"/>
    </w:p>
    <w:p w14:paraId="0A8D9A9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697481A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异常气候是指项目所在地 30 年以上一遇的罕见气候现象（包括温度、降水、降雪、风等）。异常恶劣的气候条件在项目专用合同条款中作具体约定。</w:t>
      </w:r>
    </w:p>
    <w:p w14:paraId="10BC03A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7" w:name="_Toc32058"/>
      <w:r>
        <w:rPr>
          <w:rFonts w:hint="eastAsia" w:ascii="宋体" w:hAnsi="宋体" w:eastAsia="宋体" w:cs="宋体"/>
          <w:b/>
          <w:bCs/>
          <w:color w:val="auto"/>
          <w:sz w:val="28"/>
          <w:szCs w:val="28"/>
          <w:highlight w:val="none"/>
        </w:rPr>
        <w:t>11.5承包人的工期延误</w:t>
      </w:r>
      <w:bookmarkEnd w:id="387"/>
    </w:p>
    <w:p w14:paraId="466E260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3E871DF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（1）承包人应严格执行监理人批准的合同进度计划，对工作量计划和形象进度计划分别控制。除第 11.3 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1DFD34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（2）如果承包人在接到监理人通知后的 14 天内，未能采取加快工程进度的措施，致使实际工程进度进一步滞后，或承包人虽采取了一些措施，仍无法按预计工期交工时，监理人应立即通知发包人。发包人在向承包人发出书面警告通知 14 天后，发包人可按第 22.1 款终止对承包人的雇用，也可将本合同工程中的一部分工作交由其他承包人或其他分包人完成。在不解除本合同规定的承包人责任和义务的同时， 承包人应承担因此所增加的一切费用。</w:t>
      </w:r>
    </w:p>
    <w:p w14:paraId="79DC64D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由于承包人原因造成工期延误，承包人应支付逾期交工违约金。逾期交工违约金的计算方法在项目专用合同条款数据表中约定，时间自预定的交工日期起到交工验收证书为：每逾期一天支付1000元人民币（在项目专用合同条款中约定），时间自预定的竣工日期起到工程接收证书中写明的实际竣工日期止（扣除已批准的延长工期），按天计算。逾期竣工违约金累计金额最高不超过签约合同价的</w:t>
      </w:r>
      <w:r>
        <w:rPr>
          <w:rFonts w:hint="eastAsia" w:ascii="宋体" w:hAnsi="宋体" w:cs="宋体"/>
          <w:color w:val="auto"/>
          <w:highlight w:val="none"/>
          <w:lang w:val="en-US" w:eastAsia="zh-CN"/>
        </w:rPr>
        <w:t>10</w:t>
      </w:r>
      <w:r>
        <w:rPr>
          <w:rFonts w:hint="eastAsia" w:ascii="宋体" w:hAnsi="宋体" w:eastAsia="宋体" w:cs="宋体"/>
          <w:color w:val="auto"/>
          <w:highlight w:val="none"/>
        </w:rPr>
        <w:t>%。发包人可以从应付或到期应付给承包人的任何款项中或采用其他方法扣除此违约金。</w:t>
      </w:r>
    </w:p>
    <w:p w14:paraId="5EFDD0D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（4）承包人支付逾期交工违约金，不免除承包人完成工程及修补缺陷的义务。</w:t>
      </w:r>
    </w:p>
    <w:p w14:paraId="2026789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592BD09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8" w:name="_Toc28353"/>
      <w:r>
        <w:rPr>
          <w:rFonts w:hint="eastAsia" w:ascii="宋体" w:hAnsi="宋体" w:eastAsia="宋体" w:cs="宋体"/>
          <w:b/>
          <w:bCs/>
          <w:color w:val="auto"/>
          <w:sz w:val="28"/>
          <w:szCs w:val="28"/>
          <w:highlight w:val="none"/>
        </w:rPr>
        <w:t>11.6工期提前</w:t>
      </w:r>
      <w:bookmarkEnd w:id="388"/>
    </w:p>
    <w:p w14:paraId="4B2A906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5C0E24E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发包人不得随意要求承包人提前交工，承包人也不得随意提出提前交工的建议。如遇特殊情况，确需将工期提前的，发包人和承包人必须采取有效措施，确保工程质量。</w:t>
      </w:r>
    </w:p>
    <w:p w14:paraId="17E224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510AC5E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11.7 款：</w:t>
      </w:r>
    </w:p>
    <w:p w14:paraId="5FF20754">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9" w:name="_Toc24998"/>
      <w:r>
        <w:rPr>
          <w:rFonts w:hint="eastAsia" w:ascii="宋体" w:hAnsi="宋体" w:eastAsia="宋体" w:cs="宋体"/>
          <w:b/>
          <w:bCs/>
          <w:color w:val="auto"/>
          <w:sz w:val="28"/>
          <w:szCs w:val="28"/>
          <w:highlight w:val="none"/>
        </w:rPr>
        <w:t>11.7工作时间的限制</w:t>
      </w:r>
      <w:bookmarkEnd w:id="389"/>
    </w:p>
    <w:p w14:paraId="171C454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承包人在夜间或国家规定的节假日进行永久工程的施工，应向监理人报告，以便监理人履行监理职责和义务。</w:t>
      </w:r>
    </w:p>
    <w:p w14:paraId="2FCB77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但是，为了抢救生命或保护财产，或为了工程的安全、质量而不可避免地短暂作业，则不必事先向监理人报告。但承包人应在事后立即向监理人报告。</w:t>
      </w:r>
    </w:p>
    <w:p w14:paraId="05E60D6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本款规定不适用于习惯上或施工本身要求实行连续生产的作业。</w:t>
      </w:r>
    </w:p>
    <w:p w14:paraId="2BCBFD3B">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90" w:name="_Toc21499"/>
      <w:bookmarkStart w:id="391" w:name="_Toc122424470"/>
      <w:bookmarkStart w:id="392" w:name="_Toc122424221"/>
      <w:r>
        <w:rPr>
          <w:rFonts w:hint="eastAsia" w:ascii="宋体" w:hAnsi="宋体" w:eastAsia="宋体" w:cs="宋体"/>
          <w:b/>
          <w:bCs/>
          <w:color w:val="auto"/>
          <w:sz w:val="32"/>
          <w:szCs w:val="32"/>
          <w:highlight w:val="none"/>
        </w:rPr>
        <w:t>12.暂停施工</w:t>
      </w:r>
      <w:bookmarkEnd w:id="390"/>
      <w:bookmarkEnd w:id="391"/>
      <w:bookmarkEnd w:id="392"/>
    </w:p>
    <w:p w14:paraId="29BB19B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3" w:name="_Toc30626"/>
      <w:r>
        <w:rPr>
          <w:rFonts w:hint="eastAsia" w:ascii="宋体" w:hAnsi="宋体" w:eastAsia="宋体" w:cs="宋体"/>
          <w:b/>
          <w:bCs/>
          <w:color w:val="auto"/>
          <w:sz w:val="28"/>
          <w:szCs w:val="28"/>
          <w:highlight w:val="none"/>
        </w:rPr>
        <w:t>12.1承包人暂停施工的责任</w:t>
      </w:r>
      <w:bookmarkEnd w:id="393"/>
    </w:p>
    <w:p w14:paraId="54A2F49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本款第（5）项细化为：</w:t>
      </w:r>
    </w:p>
    <w:p w14:paraId="766734D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（5）现场气候条件导致的必要停工（第 11.4 款约定的异常恶劣的气候条件除外）；</w:t>
      </w:r>
    </w:p>
    <w:p w14:paraId="297A2FF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（6）项目专用合同条款可能约定的由承包人承担的其他暂停施工。</w:t>
      </w:r>
    </w:p>
    <w:p w14:paraId="7A431EF2">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94" w:name="_Toc122424471"/>
      <w:bookmarkStart w:id="395" w:name="_Toc18857"/>
      <w:bookmarkStart w:id="396" w:name="_Toc122424222"/>
      <w:r>
        <w:rPr>
          <w:rFonts w:hint="eastAsia" w:ascii="宋体" w:hAnsi="宋体" w:eastAsia="宋体" w:cs="宋体"/>
          <w:b/>
          <w:bCs/>
          <w:color w:val="auto"/>
          <w:sz w:val="32"/>
          <w:szCs w:val="32"/>
          <w:highlight w:val="none"/>
        </w:rPr>
        <w:t>13.工程质量</w:t>
      </w:r>
      <w:bookmarkEnd w:id="394"/>
      <w:bookmarkEnd w:id="395"/>
      <w:bookmarkEnd w:id="396"/>
    </w:p>
    <w:p w14:paraId="0E65F85B">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7" w:name="_Toc16161"/>
      <w:r>
        <w:rPr>
          <w:rFonts w:hint="eastAsia" w:ascii="宋体" w:hAnsi="宋体" w:eastAsia="宋体" w:cs="宋体"/>
          <w:b/>
          <w:bCs/>
          <w:color w:val="auto"/>
          <w:sz w:val="28"/>
          <w:szCs w:val="28"/>
          <w:highlight w:val="none"/>
        </w:rPr>
        <w:t>13.1工程质量要求</w:t>
      </w:r>
      <w:bookmarkEnd w:id="397"/>
    </w:p>
    <w:p w14:paraId="486327F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 13.1.1 项约定为：</w:t>
      </w:r>
    </w:p>
    <w:p w14:paraId="25C7F8EB">
      <w:pPr>
        <w:pageBreakBefore w:val="0"/>
        <w:kinsoku/>
        <w:wordWrap/>
        <w:overflowPunct/>
        <w:topLinePunct w:val="0"/>
        <w:autoSpaceDE/>
        <w:autoSpaceDN/>
        <w:bidi w:val="0"/>
        <w:spacing w:line="360" w:lineRule="auto"/>
        <w:ind w:firstLine="48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工程质量验收按技术规范及《公路工程质量检验评定标准》执行。</w:t>
      </w:r>
    </w:p>
    <w:p w14:paraId="0557DFB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本款补充第 13.1.4 项、第 13.1.5 项：</w:t>
      </w:r>
    </w:p>
    <w:p w14:paraId="68E9D1A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13.1.4发包人和承包人应严格遵守《关于严格落实公路工程质量责任制的若干意见》的相关规定，认真执行工程质量责任登记制度并按要求填写工程质量责任登记表。</w:t>
      </w:r>
    </w:p>
    <w:p w14:paraId="2E8E5C9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13.1.5本项目严格执行质量责任追究制度。质量事故处理实行“四不放过”原则： 事故原因调查不清不放过；事故责任者没有受到教育不放过；没有防范措施不放过； 相关责任人没受到处理不放过。</w:t>
      </w:r>
    </w:p>
    <w:p w14:paraId="39F0922F">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8" w:name="_Toc23702"/>
      <w:r>
        <w:rPr>
          <w:rFonts w:hint="eastAsia" w:ascii="宋体" w:hAnsi="宋体" w:eastAsia="宋体" w:cs="宋体"/>
          <w:b/>
          <w:bCs/>
          <w:color w:val="auto"/>
          <w:sz w:val="28"/>
          <w:szCs w:val="28"/>
          <w:highlight w:val="none"/>
        </w:rPr>
        <w:t>13.2承包人的质量管理</w:t>
      </w:r>
      <w:bookmarkEnd w:id="398"/>
    </w:p>
    <w:p w14:paraId="493616E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 13.2.1 项补充：</w:t>
      </w:r>
    </w:p>
    <w:p w14:paraId="72C661D0">
      <w:pPr>
        <w:pageBreakBefore w:val="0"/>
        <w:kinsoku/>
        <w:wordWrap/>
        <w:overflowPunct/>
        <w:topLinePunct w:val="0"/>
        <w:autoSpaceDE/>
        <w:autoSpaceDN/>
        <w:bidi w:val="0"/>
        <w:spacing w:line="360" w:lineRule="auto"/>
        <w:ind w:firstLine="48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承包人提交工程质量保证措施文件的期限：签订合同协议书后 28 天之内。</w:t>
      </w:r>
    </w:p>
    <w:p w14:paraId="24F5C21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本款补充第 13.2.3 项~第 13.2.10 项：</w:t>
      </w:r>
    </w:p>
    <w:p w14:paraId="1E53738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13.2.3公路工程</w:t>
      </w:r>
      <w:r>
        <w:rPr>
          <w:rFonts w:hint="eastAsia" w:ascii="宋体" w:hAnsi="宋体" w:eastAsia="宋体" w:cs="宋体"/>
          <w:color w:val="auto"/>
          <w:highlight w:val="none"/>
          <w:lang w:val="en-US" w:eastAsia="zh-CN"/>
        </w:rPr>
        <w:t>实行</w:t>
      </w:r>
      <w:r>
        <w:rPr>
          <w:rFonts w:hint="eastAsia" w:ascii="宋体" w:hAnsi="宋体" w:eastAsia="宋体" w:cs="宋体"/>
          <w:color w:val="auto"/>
          <w:highlight w:val="none"/>
        </w:rPr>
        <w:t>质量责任终身制。承包人应当书面明确相应的项目负责人和质量负责人。承包人的相关人员按照国家法律法规和有关规定在工程合理使用年限内承担相应的质量责任。</w:t>
      </w:r>
    </w:p>
    <w:p w14:paraId="4EDD12B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13.2.4承包人应当建立健全工程质量保证体系，制定质量管理制度，强化工程质量管理措施，完善工程质量目标保障机制；严格遵守国家有关法律、法规和规章， 严格执行公路工程强制性技术标准、各类技术规范及规程，全面履行工程合同义务。</w:t>
      </w:r>
    </w:p>
    <w:p w14:paraId="4226431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13.2.5承包人对工程施工质量负责，应当按合同约定设立现场质量管理机构、配备工程技术人员和质量管理人员，落实工程施工质量责任制。</w:t>
      </w:r>
    </w:p>
    <w:p w14:paraId="755121F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13.2.6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2A98B6B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13.2.7承包人应当加强施工过程质量控制，并形成完整、可追溯的施工质量管理资料，主体工程的隐蔽部位施工还应当保留影像资料</w:t>
      </w:r>
      <w:r>
        <w:rPr>
          <w:rFonts w:hint="eastAsia" w:ascii="宋体" w:hAnsi="宋体" w:cs="宋体"/>
          <w:color w:val="auto"/>
          <w:highlight w:val="none"/>
          <w:lang w:eastAsia="zh-CN"/>
        </w:rPr>
        <w:t>，</w:t>
      </w:r>
      <w:r>
        <w:rPr>
          <w:rFonts w:hint="eastAsia"/>
          <w:color w:val="auto"/>
          <w:highlight w:val="none"/>
          <w:lang w:eastAsia="zh-CN"/>
        </w:rPr>
        <w:t>否则发包人有权采取方式对隐蔽工程进行实体检测，检测不合格返工处理，并</w:t>
      </w:r>
      <w:r>
        <w:rPr>
          <w:rFonts w:hint="eastAsia"/>
          <w:color w:val="auto"/>
          <w:highlight w:val="none"/>
          <w:lang w:val="en-US" w:eastAsia="zh-CN"/>
        </w:rPr>
        <w:t>由承包人</w:t>
      </w:r>
      <w:r>
        <w:rPr>
          <w:rFonts w:hint="eastAsia"/>
          <w:color w:val="auto"/>
          <w:highlight w:val="none"/>
          <w:lang w:eastAsia="zh-CN"/>
        </w:rPr>
        <w:t>承担由此发生的费用</w:t>
      </w:r>
      <w:r>
        <w:rPr>
          <w:rFonts w:hint="eastAsia" w:ascii="宋体" w:hAnsi="宋体" w:eastAsia="宋体" w:cs="宋体"/>
          <w:color w:val="auto"/>
          <w:highlight w:val="none"/>
        </w:rPr>
        <w:t>。对施工中出现的质量问题或者验收不合格的工程，应当负责返工处理；对在保修范围和保修期限内发生质量问题的工程，应当履行保修义务。</w:t>
      </w:r>
    </w:p>
    <w:p w14:paraId="5A4DB8A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13.2.8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74CF1D2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13.2.9承包人应当依法规范分包行为，并对承担的工程质量负总责，分包单位对分包合同范围内的工程质量负责。</w:t>
      </w:r>
    </w:p>
    <w:p w14:paraId="223298D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13.2.10承包人驻工程现场机构应在现场驻地和重要的分部、分项工程施工现场设置明显的工程质量责任登记表公示牌。</w:t>
      </w:r>
    </w:p>
    <w:p w14:paraId="66C7FAA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9" w:name="_Toc12254"/>
      <w:r>
        <w:rPr>
          <w:rFonts w:hint="eastAsia" w:ascii="宋体" w:hAnsi="宋体" w:eastAsia="宋体" w:cs="宋体"/>
          <w:b/>
          <w:bCs/>
          <w:color w:val="auto"/>
          <w:sz w:val="28"/>
          <w:szCs w:val="28"/>
          <w:highlight w:val="none"/>
        </w:rPr>
        <w:t>13.4监理人的质量检查</w:t>
      </w:r>
      <w:bookmarkEnd w:id="399"/>
    </w:p>
    <w:p w14:paraId="5B05204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0840979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监理人及其委派的检验人员，应能进入工程现场，以及材料或工程设备的制造、加工或制配的车间和场所，包括不属于承包人的车间或场所进行检查，承包人应为此提供便利和协助。</w:t>
      </w:r>
    </w:p>
    <w:p w14:paraId="4AD2E97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监理人可以将材料或工程设备的检查和检验委托给一家独立的有质量检验认证资格的检验单位。该独立检验单位的检验结果应视为监理人完成的。监理人应将这种委托的通知书不少于 7 天前交给承包人。</w:t>
      </w:r>
    </w:p>
    <w:p w14:paraId="2D591B5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00" w:name="_Toc19260"/>
      <w:r>
        <w:rPr>
          <w:rFonts w:hint="eastAsia" w:ascii="宋体" w:hAnsi="宋体" w:eastAsia="宋体" w:cs="宋体"/>
          <w:b/>
          <w:bCs/>
          <w:color w:val="auto"/>
          <w:sz w:val="28"/>
          <w:szCs w:val="28"/>
          <w:highlight w:val="none"/>
        </w:rPr>
        <w:t>13.5工程隐蔽部位覆盖前的检查</w:t>
      </w:r>
      <w:bookmarkEnd w:id="400"/>
    </w:p>
    <w:p w14:paraId="0DCD502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13.5.1 项补充：</w:t>
      </w:r>
    </w:p>
    <w:p w14:paraId="71B40DC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7E2F0A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01" w:name="_Toc12524"/>
      <w:r>
        <w:rPr>
          <w:rFonts w:hint="eastAsia" w:ascii="宋体" w:hAnsi="宋体" w:eastAsia="宋体" w:cs="宋体"/>
          <w:b/>
          <w:bCs/>
          <w:color w:val="auto"/>
          <w:sz w:val="28"/>
          <w:szCs w:val="28"/>
          <w:highlight w:val="none"/>
        </w:rPr>
        <w:t>13.6清除不合格工程</w:t>
      </w:r>
      <w:bookmarkEnd w:id="401"/>
    </w:p>
    <w:p w14:paraId="423257BA">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13.6.1 项细化为：</w:t>
      </w:r>
    </w:p>
    <w:p w14:paraId="2DC6C0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（1）承包人使用不合格材料、工程设备，或采用不适当的施工工艺，或施工 不当，造成工程不合格的，监理人可以随时发出指示，要求承包人立即采取措施进行替换、补救或拆除重建，直至达到合同要求的质量标准，由此增加的费用和（或）工期延误由承包人承担。</w:t>
      </w:r>
    </w:p>
    <w:p w14:paraId="236535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（2）如果承包人未在规定时间内执行监理人的指示，发包人有权雇用他人执行，由此增加的费用和（或）工期延误由承包人承担。</w:t>
      </w:r>
    </w:p>
    <w:p w14:paraId="7C9C9589">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02" w:name="_Toc12844"/>
      <w:bookmarkStart w:id="403" w:name="_Toc122424472"/>
      <w:bookmarkStart w:id="404" w:name="_Toc122424223"/>
      <w:r>
        <w:rPr>
          <w:rFonts w:hint="eastAsia" w:ascii="宋体" w:hAnsi="宋体" w:eastAsia="宋体" w:cs="宋体"/>
          <w:b/>
          <w:bCs/>
          <w:color w:val="auto"/>
          <w:sz w:val="32"/>
          <w:szCs w:val="32"/>
          <w:highlight w:val="none"/>
        </w:rPr>
        <w:t>14.试验和检验</w:t>
      </w:r>
      <w:bookmarkEnd w:id="402"/>
      <w:bookmarkEnd w:id="403"/>
      <w:bookmarkEnd w:id="404"/>
    </w:p>
    <w:p w14:paraId="5A5B4FF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14.4 款：</w:t>
      </w:r>
    </w:p>
    <w:p w14:paraId="7A97845B">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05" w:name="_Toc19052"/>
      <w:r>
        <w:rPr>
          <w:rFonts w:hint="eastAsia" w:ascii="宋体" w:hAnsi="宋体" w:eastAsia="宋体" w:cs="宋体"/>
          <w:b/>
          <w:bCs/>
          <w:color w:val="auto"/>
          <w:sz w:val="28"/>
          <w:szCs w:val="28"/>
          <w:highlight w:val="none"/>
        </w:rPr>
        <w:t>14.4试验和检验费用</w:t>
      </w:r>
      <w:bookmarkEnd w:id="405"/>
    </w:p>
    <w:p w14:paraId="45B7A3C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（1）承包人应负责提供合同和技术规范规定的试验和检验所需的全部样品，并承担其费用。</w:t>
      </w:r>
    </w:p>
    <w:p w14:paraId="599D9D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（2）在合同中明确规定的试验和检验，包括无须在工程量清单中单独列项和已在工程量清单中单独列项的试验和检验，其试验和检验的费用由承包人承担。</w:t>
      </w:r>
    </w:p>
    <w:p w14:paraId="78814E2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5EA033EB">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06" w:name="_Toc21724"/>
      <w:bookmarkStart w:id="407" w:name="_Toc122424473"/>
      <w:bookmarkStart w:id="408" w:name="_Toc122424224"/>
      <w:r>
        <w:rPr>
          <w:rFonts w:hint="eastAsia" w:ascii="宋体" w:hAnsi="宋体" w:eastAsia="宋体" w:cs="宋体"/>
          <w:b/>
          <w:bCs/>
          <w:color w:val="auto"/>
          <w:sz w:val="32"/>
          <w:szCs w:val="32"/>
          <w:highlight w:val="none"/>
        </w:rPr>
        <w:t>15.变更</w:t>
      </w:r>
      <w:bookmarkEnd w:id="406"/>
      <w:bookmarkEnd w:id="407"/>
      <w:bookmarkEnd w:id="408"/>
    </w:p>
    <w:p w14:paraId="430D428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09" w:name="_Toc1645"/>
      <w:r>
        <w:rPr>
          <w:rFonts w:hint="eastAsia" w:ascii="宋体" w:hAnsi="宋体" w:eastAsia="宋体" w:cs="宋体"/>
          <w:b/>
          <w:bCs/>
          <w:color w:val="auto"/>
          <w:sz w:val="28"/>
          <w:szCs w:val="28"/>
          <w:highlight w:val="none"/>
        </w:rPr>
        <w:t>15.1变更的范围和内容</w:t>
      </w:r>
      <w:bookmarkEnd w:id="409"/>
    </w:p>
    <w:p w14:paraId="4F3D544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本款第（1）项细化为：</w:t>
      </w:r>
    </w:p>
    <w:p w14:paraId="063C9FB2">
      <w:pPr>
        <w:pageBreakBefore w:val="0"/>
        <w:numPr>
          <w:ilvl w:val="0"/>
          <w:numId w:val="7"/>
        </w:numPr>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取消合同中任何一项工作，但被取消的工作不能转由发包人或其他人实施，由于承包人违约造成的情况除外；</w:t>
      </w:r>
    </w:p>
    <w:p w14:paraId="042443AD">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本款第（</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）项细化为：</w:t>
      </w:r>
    </w:p>
    <w:p w14:paraId="7E9EC54A">
      <w:pPr>
        <w:pageBreakBefore w:val="0"/>
        <w:numPr>
          <w:ilvl w:val="0"/>
          <w:numId w:val="7"/>
        </w:numPr>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设计缺失、遗漏、差错等原因，增加、改变合同中任何一项工作的质量或其他特性；</w:t>
      </w:r>
    </w:p>
    <w:p w14:paraId="0C808524">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10" w:name="_Toc24522"/>
      <w:r>
        <w:rPr>
          <w:rFonts w:hint="eastAsia" w:ascii="宋体" w:hAnsi="宋体" w:eastAsia="宋体" w:cs="宋体"/>
          <w:b/>
          <w:bCs/>
          <w:color w:val="auto"/>
          <w:sz w:val="28"/>
          <w:szCs w:val="28"/>
          <w:highlight w:val="none"/>
        </w:rPr>
        <w:t>15.3变更程序</w:t>
      </w:r>
      <w:bookmarkEnd w:id="410"/>
    </w:p>
    <w:p w14:paraId="32BE792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15.3.4 项：</w:t>
      </w:r>
    </w:p>
    <w:p w14:paraId="7C8A5F2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本款补充第15.3.4项：</w:t>
      </w:r>
    </w:p>
    <w:p w14:paraId="253D5CD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15.3.4设计变更程序应执行《公路工程设计变更管理办法》</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财政部门及发包人规定</w:t>
      </w:r>
      <w:r>
        <w:rPr>
          <w:rFonts w:hint="eastAsia" w:ascii="宋体" w:hAnsi="宋体" w:eastAsia="宋体" w:cs="宋体"/>
          <w:color w:val="auto"/>
          <w:highlight w:val="none"/>
        </w:rPr>
        <w:t>等相关文件的相关规定。</w:t>
      </w:r>
    </w:p>
    <w:p w14:paraId="06479B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11" w:name="_Toc10101"/>
      <w:r>
        <w:rPr>
          <w:rFonts w:hint="eastAsia" w:ascii="宋体" w:hAnsi="宋体" w:eastAsia="宋体" w:cs="宋体"/>
          <w:b/>
          <w:bCs/>
          <w:color w:val="auto"/>
          <w:sz w:val="28"/>
          <w:szCs w:val="28"/>
          <w:highlight w:val="none"/>
        </w:rPr>
        <w:t>15.4变更的估价原则</w:t>
      </w:r>
      <w:bookmarkEnd w:id="411"/>
    </w:p>
    <w:p w14:paraId="60586C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6AE7989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除项目专用合同条款另有约定外，因变更引起的价格调整按照本款约定处理。</w:t>
      </w:r>
    </w:p>
    <w:p w14:paraId="41C1A5BB">
      <w:pPr>
        <w:wordWrap w:val="0"/>
        <w:topLinePunct/>
        <w:adjustRightInd w:val="0"/>
        <w:spacing w:line="360" w:lineRule="auto"/>
        <w:ind w:firstLine="420"/>
        <w:rPr>
          <w:rFonts w:ascii="宋体" w:hAnsi="宋体" w:cs="宋体"/>
          <w:color w:val="auto"/>
          <w:szCs w:val="21"/>
          <w:highlight w:val="none"/>
        </w:rPr>
      </w:pPr>
      <w:bookmarkStart w:id="412" w:name="_Toc15193"/>
      <w:r>
        <w:rPr>
          <w:rFonts w:hint="eastAsia" w:ascii="宋体" w:hAnsi="宋体" w:cs="宋体"/>
          <w:color w:val="auto"/>
          <w:szCs w:val="21"/>
          <w:highlight w:val="none"/>
        </w:rPr>
        <w:t>15.4.1如果取消某项工作，则该项工作的总额价不予以支付；</w:t>
      </w:r>
    </w:p>
    <w:p w14:paraId="3A9DEEB4">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15.4.2已标价工程量清单中有适用于变更工作的子目的，采用该子目的单价。</w:t>
      </w:r>
    </w:p>
    <w:p w14:paraId="49010C49">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15.4.3已标价工程量清单中无适用于变更工作的子目，但有类似子目的，可在合理范围内参照类似子目的单价，由监理人按第3.5款商定变更工作的预算单价，最终以审计部门审定的单价为准。</w:t>
      </w:r>
    </w:p>
    <w:p w14:paraId="71A28681">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15.4.4已标价工程量清单中无适用或类似子目的单价，可在综合考虑承包人在竞标时所提供的单价分析表的基础上，由监理人按第3.5款商定变更工作的预算单价，最终以审计部门审定的单价为准。</w:t>
      </w:r>
    </w:p>
    <w:p w14:paraId="7FD0F0E6">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15.4.5如果本工程的变更指示是因承包人过错、承包人建反合同或承包人责任造成的，则这种违约引起的任何额外费用应由承包人承担。</w:t>
      </w:r>
    </w:p>
    <w:p w14:paraId="7A9507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15.5承包人的合理化建议</w:t>
      </w:r>
      <w:bookmarkEnd w:id="412"/>
    </w:p>
    <w:p w14:paraId="43C10D39">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15.5.2 项约定为：</w:t>
      </w:r>
    </w:p>
    <w:p w14:paraId="3CFB650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承包人提出的合理化建议缩短了工期，发包人按第 11.6 款的规定给予奖励。</w:t>
      </w:r>
    </w:p>
    <w:p w14:paraId="350EFAB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承包人提出的合理化建议降低了合同价格或者提高了工程经济效益的，发包人按项目专用合同条款数据表中规定的金额给予奖励。</w:t>
      </w:r>
    </w:p>
    <w:p w14:paraId="626D9EC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13" w:name="_Toc19567"/>
      <w:r>
        <w:rPr>
          <w:rFonts w:hint="eastAsia" w:ascii="宋体" w:hAnsi="宋体" w:eastAsia="宋体" w:cs="宋体"/>
          <w:b/>
          <w:bCs/>
          <w:color w:val="auto"/>
          <w:sz w:val="28"/>
          <w:szCs w:val="28"/>
          <w:highlight w:val="none"/>
        </w:rPr>
        <w:t>15.6暂列金额</w:t>
      </w:r>
      <w:bookmarkEnd w:id="413"/>
    </w:p>
    <w:p w14:paraId="447A67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64D3893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15.6.1暂列金额应由监理人报发包人批准后指令全部或部分地使用，或者根本不予动用。</w:t>
      </w:r>
    </w:p>
    <w:p w14:paraId="579D81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15.6.2对于经发包人批准的每一笔暂列金额，监理人有权向承包人发出实施工程或提供材料、工程设备或服务的指令。这些指令应由承包人完成，监理人应根据第15.4 款约定的变更估价原则和第 15.7 款的规定，对合同价格进行相应调整。</w:t>
      </w:r>
    </w:p>
    <w:p w14:paraId="6AB920C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15.6.3当监理人提出要求时，承包人应提供有关暂列金额支出的所有报价单、发票、凭证和账单或收据，除非该工作是根据已标价工程量清单列明的单价或总额价进行的估价。</w:t>
      </w:r>
    </w:p>
    <w:p w14:paraId="519F66F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14" w:name="_Toc122424474"/>
      <w:bookmarkStart w:id="415" w:name="_Toc122424225"/>
      <w:bookmarkStart w:id="416" w:name="_Toc19095"/>
      <w:bookmarkStart w:id="417" w:name="_Toc13524"/>
      <w:r>
        <w:rPr>
          <w:rFonts w:hint="eastAsia" w:ascii="宋体" w:hAnsi="宋体" w:eastAsia="宋体" w:cs="宋体"/>
          <w:b/>
          <w:bCs/>
          <w:color w:val="auto"/>
          <w:sz w:val="32"/>
          <w:szCs w:val="32"/>
          <w:highlight w:val="none"/>
        </w:rPr>
        <w:t>16.价格调整</w:t>
      </w:r>
      <w:bookmarkEnd w:id="414"/>
      <w:bookmarkEnd w:id="415"/>
      <w:bookmarkEnd w:id="416"/>
    </w:p>
    <w:p w14:paraId="402D932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16.1物价波动引起的价格调整</w:t>
      </w:r>
      <w:bookmarkEnd w:id="417"/>
    </w:p>
    <w:p w14:paraId="0CB80A10">
      <w:pPr>
        <w:wordWrap w:val="0"/>
        <w:topLinePunct/>
        <w:adjustRightInd w:val="0"/>
        <w:spacing w:line="360" w:lineRule="auto"/>
        <w:ind w:firstLine="420"/>
        <w:rPr>
          <w:rFonts w:hint="eastAsia" w:ascii="宋体" w:hAnsi="宋体" w:eastAsia="宋体" w:cs="宋体"/>
          <w:color w:val="auto"/>
          <w:highlight w:val="none"/>
        </w:rPr>
      </w:pPr>
      <w:r>
        <w:rPr>
          <w:rFonts w:hint="eastAsia" w:ascii="宋体" w:hAnsi="宋体" w:cs="宋体"/>
          <w:color w:val="auto"/>
          <w:highlight w:val="none"/>
        </w:rPr>
        <w:t>本项目合同期内不调价。</w:t>
      </w:r>
    </w:p>
    <w:p w14:paraId="71515237">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18" w:name="_Toc122424226"/>
      <w:bookmarkStart w:id="419" w:name="_Toc122424475"/>
      <w:bookmarkStart w:id="420" w:name="_Toc7475"/>
      <w:r>
        <w:rPr>
          <w:rFonts w:hint="eastAsia" w:ascii="宋体" w:hAnsi="宋体" w:eastAsia="宋体" w:cs="宋体"/>
          <w:b/>
          <w:bCs/>
          <w:color w:val="auto"/>
          <w:sz w:val="32"/>
          <w:szCs w:val="32"/>
          <w:highlight w:val="none"/>
        </w:rPr>
        <w:t>17.计量与支付</w:t>
      </w:r>
      <w:bookmarkEnd w:id="418"/>
      <w:bookmarkEnd w:id="419"/>
      <w:bookmarkEnd w:id="420"/>
    </w:p>
    <w:p w14:paraId="4CC10F7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1" w:name="_Toc12101"/>
      <w:r>
        <w:rPr>
          <w:rFonts w:hint="eastAsia" w:ascii="宋体" w:hAnsi="宋体" w:eastAsia="宋体" w:cs="宋体"/>
          <w:b/>
          <w:bCs/>
          <w:color w:val="auto"/>
          <w:sz w:val="28"/>
          <w:szCs w:val="28"/>
          <w:highlight w:val="none"/>
        </w:rPr>
        <w:t>17.1计量</w:t>
      </w:r>
      <w:bookmarkEnd w:id="421"/>
    </w:p>
    <w:p w14:paraId="4D54204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17.1.2 计量方法</w:t>
      </w:r>
    </w:p>
    <w:p w14:paraId="0F21511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本项约定为：</w:t>
      </w:r>
    </w:p>
    <w:p w14:paraId="31210B2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工程的计量应以净值为准，除非项目专用合同条款另有约定。工程量清单中各个子目的具体计量方法按本合同文件工程量清单计量规则中的规定执行。</w:t>
      </w:r>
    </w:p>
    <w:p w14:paraId="27D1A0C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17.1.4单价子目的计量</w:t>
      </w:r>
    </w:p>
    <w:p w14:paraId="51BB8A9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w:t>
      </w:r>
    </w:p>
    <w:p w14:paraId="6CD1900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（7）承包人未在已标价工程量清单中填入单价或总额价的工程子目，将被认为其已包含在本合同的其他子目的单价和总额价中，发包人将不另行支付。</w:t>
      </w:r>
    </w:p>
    <w:p w14:paraId="501DE08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17.1.5总价子目的计量</w:t>
      </w:r>
    </w:p>
    <w:p w14:paraId="26B3F3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w:t>
      </w:r>
    </w:p>
    <w:p w14:paraId="7D76112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本项目工程量清单中要求承包人以“总额”方式报价的子目，各子目的支付原则和支付进度按项目专用合同条款的规定执行。</w:t>
      </w:r>
    </w:p>
    <w:p w14:paraId="65A0117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2" w:name="_Toc5679"/>
      <w:r>
        <w:rPr>
          <w:rFonts w:hint="eastAsia" w:ascii="宋体" w:hAnsi="宋体" w:eastAsia="宋体" w:cs="宋体"/>
          <w:b/>
          <w:bCs/>
          <w:color w:val="auto"/>
          <w:sz w:val="28"/>
          <w:szCs w:val="28"/>
          <w:highlight w:val="none"/>
        </w:rPr>
        <w:t>17.2预付款</w:t>
      </w:r>
      <w:bookmarkEnd w:id="422"/>
    </w:p>
    <w:p w14:paraId="09C0B76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17.2.1预付款</w:t>
      </w:r>
    </w:p>
    <w:p w14:paraId="681D678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本项约定为：预付款包括开工预付款和材料、设备预付款。具体额度和预付办法如下：</w:t>
      </w:r>
    </w:p>
    <w:p w14:paraId="18013E3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（1）开工预付款的金额在项目专用合同条款数据表中约定。在承包人签订了合同协议书且承包人承诺的主要设备进场后，监理人应在当期进度付款证书中向承包人支付开工预付款。</w:t>
      </w:r>
    </w:p>
    <w:p w14:paraId="5464669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承包人不得将该预付款用于与本工程无关的支出，监理人有权监督承包人对该项费用的使用，如经查实承包人滥用开工预付款，发包人有权立即向银行索赔履约保证金，并解除合同。</w:t>
      </w:r>
    </w:p>
    <w:p w14:paraId="54F0BCD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（2）材料、设备预付款按项目专用合同条款数据表中所列主要材料、设备单据费用（进口的材料、设备为到岸价，国内采购的为出厂价或销售价，地方材料为堆场价）的百分比支付。其预付条件为：</w:t>
      </w:r>
    </w:p>
    <w:p w14:paraId="114440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a.材料、设备符合规范要求并经监理人认可；</w:t>
      </w:r>
    </w:p>
    <w:p w14:paraId="228962B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b.承包人已出具材料、设备费用凭证或支付单据；</w:t>
      </w:r>
    </w:p>
    <w:p w14:paraId="439DC61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c.材料、设备已在现场交货，且存储良好，监理人认为材料、设备的存储方法符合要求。</w:t>
      </w:r>
    </w:p>
    <w:p w14:paraId="35D39F7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则监理人应将此项金额作为材料、设备预付款计入下一次的进度付款证书中。在预计交工前 3 个月，将不再支付材料、设备预付款。</w:t>
      </w:r>
    </w:p>
    <w:p w14:paraId="0FCBB670">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17.2.2预付款保函</w:t>
      </w:r>
    </w:p>
    <w:p w14:paraId="11641DF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00AC1B9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w:t>
      </w:r>
      <w:r>
        <w:rPr>
          <w:rFonts w:hint="eastAsia" w:ascii="宋体" w:hAnsi="宋体" w:cs="宋体"/>
          <w:color w:val="auto"/>
          <w:highlight w:val="none"/>
          <w:u w:val="single"/>
          <w:lang w:val="en-US" w:eastAsia="zh-CN"/>
        </w:rPr>
        <w:t>在</w:t>
      </w:r>
      <w:r>
        <w:rPr>
          <w:rFonts w:hint="eastAsia" w:ascii="宋体" w:hAnsi="宋体" w:eastAsia="宋体" w:cs="宋体"/>
          <w:color w:val="auto"/>
          <w:sz w:val="21"/>
          <w:szCs w:val="21"/>
          <w:highlight w:val="none"/>
          <w:u w:val="single"/>
          <w:lang w:val="zh-CN" w:eastAsia="zh-CN" w:bidi="zh-CN"/>
        </w:rPr>
        <w:t>合同签订后5个工作日之内</w:t>
      </w:r>
      <w:r>
        <w:rPr>
          <w:rFonts w:hint="eastAsia" w:ascii="宋体" w:hAnsi="宋体" w:eastAsia="宋体" w:cs="宋体"/>
          <w:color w:val="auto"/>
          <w:highlight w:val="none"/>
        </w:rPr>
        <w:t>向发包人提交预付款保函。发包人向承包人支付的预付款，应按照本合同第 17.2.1 项规定使用，承包人提交的履约保证金对预付款的正常使用承担保证责任。</w:t>
      </w:r>
    </w:p>
    <w:p w14:paraId="4D1EA79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17.2.3预付款的扣回与还清</w:t>
      </w:r>
    </w:p>
    <w:p w14:paraId="2949B15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本项约定为：</w:t>
      </w:r>
    </w:p>
    <w:p w14:paraId="13885D2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（1）开工预付款在进度付款证书的累计金额未达到签约合同价的30%之前不予扣回，在达到签约合同价30%之后，开始按工程进度以固定比例（即每完成签约合同价的 1%，扣回开工预付款的 2%）分期从各月的进度付款证书中扣回，全部金额在进度付款证书的累计金额达到签约合同价的 80%时扣完。</w:t>
      </w:r>
    </w:p>
    <w:p w14:paraId="0CE677E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（2）当材料、设备已用于或安装在永久工程之中时，材料、设备预付款应从进度付款证书中扣回，扣回期不超过 3 个月。已经支付材料、设备预付款的材料、设备的所有权应属于发包人。</w:t>
      </w:r>
    </w:p>
    <w:p w14:paraId="47B2BE8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3" w:name="_Toc19967"/>
      <w:r>
        <w:rPr>
          <w:rFonts w:hint="eastAsia" w:ascii="宋体" w:hAnsi="宋体" w:eastAsia="宋体" w:cs="宋体"/>
          <w:b/>
          <w:bCs/>
          <w:color w:val="auto"/>
          <w:sz w:val="28"/>
          <w:szCs w:val="28"/>
          <w:highlight w:val="none"/>
        </w:rPr>
        <w:t>17.3工程进度付款</w:t>
      </w:r>
      <w:bookmarkEnd w:id="423"/>
    </w:p>
    <w:p w14:paraId="74D8E38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17.3.3 进度付款证书和支付时间</w:t>
      </w:r>
    </w:p>
    <w:p w14:paraId="09A72D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本项（1）目补充：</w:t>
      </w:r>
    </w:p>
    <w:p w14:paraId="67FB208D">
      <w:pPr>
        <w:pageBreakBefore w:val="0"/>
        <w:numPr>
          <w:ilvl w:val="0"/>
          <w:numId w:val="0"/>
        </w:numPr>
        <w:kinsoku/>
        <w:wordWrap/>
        <w:overflowPunct/>
        <w:topLinePunct w:val="0"/>
        <w:autoSpaceDE/>
        <w:autoSpaceDN/>
        <w:bidi w:val="0"/>
        <w:spacing w:line="360" w:lineRule="auto"/>
        <w:ind w:left="150" w:leftChars="0" w:firstLine="480" w:firstLineChars="0"/>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①甲方根据工程需要和工程进度情况，可支付至合同总价款的80%；②工程竣工验收达到合格质量要求后，支付至工程合同总价款的90%；③经结算审计（审核、评审）后，乙方向甲方缴纳结算审计（审核、评审）价款3%的工程款作为工程质量保证金，甲方向乙方支付至结算审计（审核、评审）价款的100%的工程款 ；若乙方未向甲方缴纳结算审计（审核、评审）价款3%的工程款作为工程质量保证金，则甲方向乙方支付至结算审计（审核、评审）价款的97%作为工程款，余下3%作为工程质量保证金；④3%工程质量保证金，待工程质量保修期满后返还。本工程质量保质期为1年。在工程质量保质期内，若存在质量缺陷的，由乙方负责保修，费用由乙方负责，工程质量保质期从甲方验收合格后开始计算。</w:t>
      </w:r>
    </w:p>
    <w:p w14:paraId="0BB08DFF">
      <w:pPr>
        <w:pageBreakBefore w:val="0"/>
        <w:numPr>
          <w:ilvl w:val="0"/>
          <w:numId w:val="0"/>
        </w:numPr>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注：每次付款前需承包人开具等额增值税发票，申请付款前需提供发票原件方可付款。</w:t>
      </w:r>
    </w:p>
    <w:p w14:paraId="4021511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05D9B5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发包人应在监理人收到进度付款申请单且承包人提交了合格的增值税发票后的 28 天内，将进度应付款支付给承包人。</w:t>
      </w:r>
    </w:p>
    <w:p w14:paraId="0BDC93D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发包人不按期支付的，按项目专用合同条款数据表中约定的利率向承包人支付逾期付款违约金。违约金计算基数为发包人的全部未付款额，时间从应付而未付该款额之日算起（不计复利）。</w:t>
      </w:r>
    </w:p>
    <w:p w14:paraId="527DF39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 17.3.5 项：</w:t>
      </w:r>
    </w:p>
    <w:p w14:paraId="4F6CB41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17.3.5 农民工工资保证金</w:t>
      </w:r>
    </w:p>
    <w:p w14:paraId="3A94F8EE">
      <w:pPr>
        <w:pStyle w:val="46"/>
        <w:spacing w:line="360" w:lineRule="exact"/>
        <w:ind w:firstLine="442"/>
        <w:jc w:val="both"/>
        <w:rPr>
          <w:rFonts w:hint="eastAsia" w:ascii="宋体" w:hAnsi="宋体" w:eastAsia="宋体" w:cs="宋体"/>
          <w:color w:val="auto"/>
          <w:highlight w:val="none"/>
        </w:rPr>
      </w:pPr>
      <w:r>
        <w:rPr>
          <w:rFonts w:hint="eastAsia" w:ascii="宋体" w:hAnsi="宋体" w:eastAsia="宋体" w:cs="宋体"/>
          <w:color w:val="auto"/>
          <w:highlight w:val="none"/>
        </w:rPr>
        <w:t>（1）为确保施工过程中农民工工资实时、足额发放到位，承包人应按照项目专用合同条款约定的时间和金额缴存农民工工资保证金。</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注：如是以工代赈的项目，每个项目按照不低于项目总造价20%的比例发放劳务报酬(其中脱贫劳动力劳务报酬不低于50%，具备条件的可提高劳务报酬资金占比）具体以政府文件为主</w:t>
      </w:r>
      <w:r>
        <w:rPr>
          <w:rFonts w:hint="eastAsia" w:cs="宋体"/>
          <w:color w:val="auto"/>
          <w:sz w:val="21"/>
          <w:szCs w:val="21"/>
          <w:highlight w:val="none"/>
          <w:lang w:val="zh-CN" w:eastAsia="zh-CN"/>
        </w:rPr>
        <w:t>。</w:t>
      </w:r>
      <w:r>
        <w:rPr>
          <w:rFonts w:hint="eastAsia" w:cs="宋体"/>
          <w:color w:val="auto"/>
          <w:sz w:val="21"/>
          <w:szCs w:val="21"/>
          <w:highlight w:val="none"/>
          <w:lang w:val="en-US" w:eastAsia="zh-CN"/>
        </w:rPr>
        <w:t>]</w:t>
      </w:r>
    </w:p>
    <w:p w14:paraId="7B1956C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承包人</w:t>
      </w:r>
      <w:r>
        <w:rPr>
          <w:rFonts w:hint="eastAsia" w:ascii="宋体" w:hAnsi="宋体" w:eastAsia="宋体" w:cs="宋体"/>
          <w:color w:val="auto"/>
          <w:highlight w:val="none"/>
        </w:rPr>
        <w:t>在领取中标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通知书之日起10天内足额将农民工工资保障金转入相关部门设立的农民工工资保障金专用帐户。一旦其出现拖欠工程款导致无法按时足额支付农民工工资时，可由交通行政主管部门从工资保障金中先予列支。</w:t>
      </w:r>
    </w:p>
    <w:p w14:paraId="6725306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（3）农民工工资保证金的扣留条件、返还时间按照项目专用合同条款的约定执行。</w:t>
      </w:r>
    </w:p>
    <w:p w14:paraId="733738C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4" w:name="_Toc21777"/>
      <w:r>
        <w:rPr>
          <w:rFonts w:hint="eastAsia" w:ascii="宋体" w:hAnsi="宋体" w:eastAsia="宋体" w:cs="宋体"/>
          <w:b/>
          <w:bCs/>
          <w:color w:val="auto"/>
          <w:sz w:val="28"/>
          <w:szCs w:val="28"/>
          <w:highlight w:val="none"/>
        </w:rPr>
        <w:t>17.4质量保证金</w:t>
      </w:r>
      <w:bookmarkEnd w:id="424"/>
    </w:p>
    <w:p w14:paraId="24D635B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17.4.1 项、第 17.4.2 项细化为：</w:t>
      </w:r>
    </w:p>
    <w:p w14:paraId="5A26F7A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17.4.1交工验收证书签发后 14 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06746F9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质量保证金采用现金、支票形式提交的，发包人应在项目专用合同条款数据表中明确是否计付利息以及利息的计算方式。 </w:t>
      </w:r>
    </w:p>
    <w:p w14:paraId="6909490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17.4.2在第 1.1.4.5 目约定的缺陷责任期满，且质量监督机构已按规定对工程质量检测鉴定合格，承包人向发包人申请到期应返还承包人剩余的质量保证金金额， 发包人应在 14 天内会同承包人按照合同约定的内容核实承包人是否完成缺陷责任。如无异议，发包人应当在核实后将剩余保证金返还承包人。</w:t>
      </w:r>
    </w:p>
    <w:p w14:paraId="7D9C83F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5" w:name="_Toc6086"/>
      <w:r>
        <w:rPr>
          <w:rFonts w:hint="eastAsia" w:ascii="宋体" w:hAnsi="宋体" w:eastAsia="宋体" w:cs="宋体"/>
          <w:b/>
          <w:bCs/>
          <w:color w:val="auto"/>
          <w:sz w:val="28"/>
          <w:szCs w:val="28"/>
          <w:highlight w:val="none"/>
        </w:rPr>
        <w:t>17.5交工结算</w:t>
      </w:r>
      <w:bookmarkEnd w:id="425"/>
    </w:p>
    <w:p w14:paraId="6ABD6B8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17.5.1交工付款申请单</w:t>
      </w:r>
    </w:p>
    <w:p w14:paraId="4A8CF2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本项（1）目约定为：</w:t>
      </w:r>
    </w:p>
    <w:p w14:paraId="52B137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承包人向监理人提交交工付款申请单（包括相关证明材料）的份数在项目专用合同条款数据表中约定；期限：交工验收证书签发后 42 天内。</w:t>
      </w:r>
    </w:p>
    <w:p w14:paraId="2F1B1A8D">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17.5.2交工付款证书及支付时间</w:t>
      </w:r>
    </w:p>
    <w:p w14:paraId="011743E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7829D6A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发包人应在监理人出具交工付款证书且承包人提交了合格的增值税发票后的 14 天内，将应支付款支付给承包人。发包人不按期支付的，按第 17.3.3（2）目的约定，将逾期付款违约金支付给承包人。</w:t>
      </w:r>
    </w:p>
    <w:p w14:paraId="6E8A6A5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6" w:name="_Toc23963"/>
      <w:r>
        <w:rPr>
          <w:rFonts w:hint="eastAsia" w:ascii="宋体" w:hAnsi="宋体" w:eastAsia="宋体" w:cs="宋体"/>
          <w:b/>
          <w:bCs/>
          <w:color w:val="auto"/>
          <w:sz w:val="28"/>
          <w:szCs w:val="28"/>
          <w:highlight w:val="none"/>
        </w:rPr>
        <w:t>17.6最终结清</w:t>
      </w:r>
      <w:bookmarkEnd w:id="426"/>
    </w:p>
    <w:p w14:paraId="4AC35FC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17.6.1最终结清申请单</w:t>
      </w:r>
    </w:p>
    <w:p w14:paraId="660227C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本项（1）目约定为：</w:t>
      </w:r>
    </w:p>
    <w:p w14:paraId="6835209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承包人向监理人提交最终结清申请单（包括相关证明材料）的份数在项目专用合同条款数据表中约定；期限：缺陷责任期终止证书签发后 28 天内。</w:t>
      </w:r>
    </w:p>
    <w:p w14:paraId="2CCA9CF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最终结清申请单中的总金额应认为是代表了根据合同规定应付给承包人的全部款项的最后结算。</w:t>
      </w:r>
    </w:p>
    <w:p w14:paraId="40C2050A">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17.6.2最终结清证书和支付时间</w:t>
      </w:r>
    </w:p>
    <w:p w14:paraId="27F268D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7A0B3F44">
      <w:pPr>
        <w:pageBreakBefore w:val="0"/>
        <w:numPr>
          <w:ilvl w:val="0"/>
          <w:numId w:val="7"/>
        </w:numPr>
        <w:kinsoku/>
        <w:wordWrap/>
        <w:overflowPunct/>
        <w:topLinePunct w:val="0"/>
        <w:autoSpaceDE/>
        <w:autoSpaceDN/>
        <w:bidi w:val="0"/>
        <w:spacing w:line="360" w:lineRule="auto"/>
        <w:ind w:left="0" w:leftChars="0" w:firstLine="48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发包人应在监理人出具最终结清证书且承包人提交了合格的增值税发票后的 14 天内，将应支付款支付给承包人。发包人不按期支付的，按第 17.3.3（2） 目的约定，将逾期付款违约金支付给承包人。</w:t>
      </w:r>
    </w:p>
    <w:p w14:paraId="5F9A7E7C">
      <w:pPr>
        <w:pageBreakBefore w:val="0"/>
        <w:numPr>
          <w:ilvl w:val="0"/>
          <w:numId w:val="0"/>
        </w:numPr>
        <w:kinsoku/>
        <w:wordWrap/>
        <w:overflowPunct/>
        <w:topLinePunct w:val="0"/>
        <w:autoSpaceDE/>
        <w:autoSpaceDN/>
        <w:bidi w:val="0"/>
        <w:spacing w:line="360" w:lineRule="auto"/>
        <w:ind w:left="480" w:leftChars="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注：</w:t>
      </w:r>
      <w:r>
        <w:rPr>
          <w:rFonts w:hint="eastAsia" w:ascii="宋体" w:hAnsi="宋体" w:eastAsia="宋体" w:cs="宋体"/>
          <w:color w:val="auto"/>
          <w:highlight w:val="none"/>
        </w:rPr>
        <w:t>最终结算费用以</w:t>
      </w:r>
      <w:r>
        <w:rPr>
          <w:rFonts w:hint="eastAsia" w:ascii="宋体" w:hAnsi="宋体" w:cs="宋体"/>
          <w:color w:val="auto"/>
          <w:highlight w:val="none"/>
          <w:lang w:val="en-US" w:eastAsia="zh-CN"/>
        </w:rPr>
        <w:t>上思县</w:t>
      </w:r>
      <w:r>
        <w:rPr>
          <w:rFonts w:hint="eastAsia" w:ascii="宋体" w:hAnsi="宋体" w:eastAsia="宋体" w:cs="宋体"/>
          <w:color w:val="auto"/>
          <w:highlight w:val="none"/>
        </w:rPr>
        <w:t>财政投资评审为准。</w:t>
      </w:r>
    </w:p>
    <w:p w14:paraId="212C0F1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27" w:name="_Toc122424476"/>
      <w:bookmarkStart w:id="428" w:name="_Toc122424227"/>
      <w:bookmarkStart w:id="429" w:name="_Toc24882"/>
      <w:r>
        <w:rPr>
          <w:rFonts w:hint="eastAsia" w:ascii="宋体" w:hAnsi="宋体" w:eastAsia="宋体" w:cs="宋体"/>
          <w:b/>
          <w:bCs/>
          <w:color w:val="auto"/>
          <w:sz w:val="32"/>
          <w:szCs w:val="32"/>
          <w:highlight w:val="none"/>
        </w:rPr>
        <w:t>18.交工验收</w:t>
      </w:r>
      <w:bookmarkEnd w:id="427"/>
      <w:bookmarkEnd w:id="428"/>
      <w:bookmarkEnd w:id="429"/>
    </w:p>
    <w:p w14:paraId="72AC1FE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0" w:name="_Toc6744"/>
      <w:r>
        <w:rPr>
          <w:rFonts w:hint="eastAsia" w:ascii="宋体" w:hAnsi="宋体" w:eastAsia="宋体" w:cs="宋体"/>
          <w:b/>
          <w:bCs/>
          <w:color w:val="auto"/>
          <w:sz w:val="28"/>
          <w:szCs w:val="28"/>
          <w:highlight w:val="none"/>
        </w:rPr>
        <w:t>18.2交工验收申请报告</w:t>
      </w:r>
      <w:bookmarkEnd w:id="430"/>
    </w:p>
    <w:p w14:paraId="6072657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本款第（2）项约定为：</w:t>
      </w:r>
    </w:p>
    <w:p w14:paraId="629D9BB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竣工资料的内容：承包人应按照《公路工程竣（交）工验收办法》和相关规定编制竣工资料。</w:t>
      </w:r>
    </w:p>
    <w:p w14:paraId="6DD4B13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竣工资料的份数在项目专用合同条款数据表中约定。</w:t>
      </w:r>
    </w:p>
    <w:p w14:paraId="223EC23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1" w:name="_Toc6549"/>
      <w:r>
        <w:rPr>
          <w:rFonts w:hint="eastAsia" w:ascii="宋体" w:hAnsi="宋体" w:eastAsia="宋体" w:cs="宋体"/>
          <w:b/>
          <w:bCs/>
          <w:color w:val="auto"/>
          <w:sz w:val="28"/>
          <w:szCs w:val="28"/>
          <w:highlight w:val="none"/>
        </w:rPr>
        <w:t>18.3验收</w:t>
      </w:r>
      <w:bookmarkEnd w:id="431"/>
    </w:p>
    <w:p w14:paraId="344A710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18.3.2 项补充：</w:t>
      </w:r>
    </w:p>
    <w:p w14:paraId="0677048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5BBD80B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18.3.5 项约定为：</w:t>
      </w:r>
    </w:p>
    <w:p w14:paraId="113322B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经验收合格工程的实际交工日期，以最终提交交工验收申请报告的日期为准， 并在交工验收证书中写明。</w:t>
      </w:r>
    </w:p>
    <w:p w14:paraId="617F6A0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18.3.7 项：</w:t>
      </w:r>
    </w:p>
    <w:p w14:paraId="0358D28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组织办理交工验收和签发交工验收证书的费用由发包人承担。但按照第 18.3.4项规定达不到合格标准的交工验收费用由承包人承担。</w:t>
      </w:r>
    </w:p>
    <w:p w14:paraId="315768C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18.9 款：</w:t>
      </w:r>
    </w:p>
    <w:p w14:paraId="560DE91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2" w:name="_Toc30848"/>
      <w:r>
        <w:rPr>
          <w:rFonts w:hint="eastAsia" w:ascii="宋体" w:hAnsi="宋体" w:eastAsia="宋体" w:cs="宋体"/>
          <w:b/>
          <w:bCs/>
          <w:color w:val="auto"/>
          <w:sz w:val="28"/>
          <w:szCs w:val="28"/>
          <w:highlight w:val="none"/>
        </w:rPr>
        <w:t>18.9 竣工文件</w:t>
      </w:r>
      <w:bookmarkEnd w:id="432"/>
    </w:p>
    <w:p w14:paraId="4132D1E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承包人应按照《公路工程竣（交）工验收办法》的相关规定，在缺陷责任期内为竣工验收补充竣工资料，并在签发缺陷责任期终止证书之前提交。</w:t>
      </w:r>
    </w:p>
    <w:p w14:paraId="1ED0E775">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33" w:name="_Toc122424477"/>
      <w:bookmarkStart w:id="434" w:name="_Toc28618"/>
      <w:bookmarkStart w:id="435" w:name="_Toc122424228"/>
      <w:r>
        <w:rPr>
          <w:rFonts w:hint="eastAsia" w:ascii="宋体" w:hAnsi="宋体" w:eastAsia="宋体" w:cs="宋体"/>
          <w:b/>
          <w:bCs/>
          <w:color w:val="auto"/>
          <w:sz w:val="32"/>
          <w:szCs w:val="32"/>
          <w:highlight w:val="none"/>
        </w:rPr>
        <w:t>19.缺陷责任与保修责任</w:t>
      </w:r>
      <w:bookmarkEnd w:id="433"/>
      <w:bookmarkEnd w:id="434"/>
      <w:bookmarkEnd w:id="435"/>
    </w:p>
    <w:p w14:paraId="281510E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19.2.2 项补充：</w:t>
      </w:r>
    </w:p>
    <w:p w14:paraId="53B808E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在缺陷责任期内，承包人应尽快完成在交工验收证书中写明的未完成工作，并完成对本工程缺陷的修复或监理人指令的修补工作。</w:t>
      </w:r>
    </w:p>
    <w:p w14:paraId="28426DF2">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6" w:name="_Toc4092"/>
      <w:r>
        <w:rPr>
          <w:rFonts w:hint="eastAsia" w:ascii="宋体" w:hAnsi="宋体" w:eastAsia="宋体" w:cs="宋体"/>
          <w:b/>
          <w:bCs/>
          <w:color w:val="auto"/>
          <w:sz w:val="28"/>
          <w:szCs w:val="28"/>
          <w:highlight w:val="none"/>
        </w:rPr>
        <w:t>19.5 承包人的进入权</w:t>
      </w:r>
      <w:bookmarkEnd w:id="436"/>
    </w:p>
    <w:p w14:paraId="7371BF2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18177CC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承包人在缺陷修复施工过程中，应服从管养单位的有关安全管理规定，由于承包人自身原因造成的人员伤亡、设备和材料的损毁及罚款等责任由承包人自负。</w:t>
      </w:r>
    </w:p>
    <w:p w14:paraId="31CED2C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7" w:name="_Toc5798"/>
      <w:r>
        <w:rPr>
          <w:rFonts w:hint="eastAsia" w:ascii="宋体" w:hAnsi="宋体" w:eastAsia="宋体" w:cs="宋体"/>
          <w:b/>
          <w:bCs/>
          <w:color w:val="auto"/>
          <w:sz w:val="28"/>
          <w:szCs w:val="28"/>
          <w:highlight w:val="none"/>
        </w:rPr>
        <w:t>19.7保修责任</w:t>
      </w:r>
      <w:bookmarkEnd w:id="437"/>
    </w:p>
    <w:p w14:paraId="21527EE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50A7320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109C455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（2）在全部工程交工验收前，已经发包人提前验收的单位工程，其保修期的起算日期相应提前。</w:t>
      </w:r>
    </w:p>
    <w:p w14:paraId="0ED1B1E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（3）工程保修期终止后 28 天内，监理人签发保修期终止证书。</w:t>
      </w:r>
    </w:p>
    <w:p w14:paraId="00CA1E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（4）若承包人不履行保修义务和责任，则承包人应承担由于违约造成的法律后果，并由发包人将其违约行为上报省级交通运输主管部门，作为不良记录纳入公路建设市场信用信息管理系统。</w:t>
      </w:r>
    </w:p>
    <w:p w14:paraId="3EBC2D53">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38" w:name="_Toc122424478"/>
      <w:bookmarkStart w:id="439" w:name="_Toc8342"/>
      <w:bookmarkStart w:id="440" w:name="_Toc122424229"/>
      <w:r>
        <w:rPr>
          <w:rFonts w:hint="eastAsia" w:ascii="宋体" w:hAnsi="宋体" w:eastAsia="宋体" w:cs="宋体"/>
          <w:b/>
          <w:bCs/>
          <w:color w:val="auto"/>
          <w:sz w:val="32"/>
          <w:szCs w:val="32"/>
          <w:highlight w:val="none"/>
        </w:rPr>
        <w:t>20.保险</w:t>
      </w:r>
      <w:bookmarkEnd w:id="438"/>
      <w:bookmarkEnd w:id="439"/>
      <w:bookmarkEnd w:id="440"/>
    </w:p>
    <w:p w14:paraId="04079D5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1" w:name="_Toc28143"/>
      <w:r>
        <w:rPr>
          <w:rFonts w:hint="eastAsia" w:ascii="宋体" w:hAnsi="宋体" w:eastAsia="宋体" w:cs="宋体"/>
          <w:b/>
          <w:bCs/>
          <w:color w:val="auto"/>
          <w:sz w:val="28"/>
          <w:szCs w:val="28"/>
          <w:highlight w:val="none"/>
        </w:rPr>
        <w:t>20.1工程保险</w:t>
      </w:r>
      <w:bookmarkEnd w:id="441"/>
    </w:p>
    <w:p w14:paraId="683C508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本款约定为：</w:t>
      </w:r>
    </w:p>
    <w:p w14:paraId="07D5AF1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建筑工程一切险的投保内容：为本合同工程的永久工程、临时工程和设备及已运至施工工地用于永久工程的材料和设备所投的保险。</w:t>
      </w:r>
    </w:p>
    <w:p w14:paraId="55F0867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保险金额：工程量清单第 100 章（不含建筑工程一切险及第三者责任险的保险费）至第 700 章的合计金额。</w:t>
      </w:r>
    </w:p>
    <w:p w14:paraId="30C99D0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保险费率：在项目专用合同条款数据表中约定。</w:t>
      </w:r>
    </w:p>
    <w:p w14:paraId="243400A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保险期限：开工日起直至本合同工程签发缺陷责任期终止证书止（即合同工期＋缺陷责任期）。</w:t>
      </w:r>
    </w:p>
    <w:p w14:paraId="1CA36F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建筑工程一切险费用已包含在各细目单价中，发包人不单独支付。</w:t>
      </w:r>
    </w:p>
    <w:p w14:paraId="639E333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2" w:name="_Toc13719"/>
      <w:r>
        <w:rPr>
          <w:rFonts w:hint="eastAsia" w:ascii="宋体" w:hAnsi="宋体" w:eastAsia="宋体" w:cs="宋体"/>
          <w:b/>
          <w:bCs/>
          <w:color w:val="auto"/>
          <w:sz w:val="28"/>
          <w:szCs w:val="28"/>
          <w:highlight w:val="none"/>
        </w:rPr>
        <w:t>20.4第三者责任险</w:t>
      </w:r>
      <w:bookmarkEnd w:id="442"/>
    </w:p>
    <w:p w14:paraId="7586977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20.4.2 项补充：</w:t>
      </w:r>
    </w:p>
    <w:p w14:paraId="57B7E50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第三者责任险的保险费由承包人报价时列入工程量清单第 100 章内。发包人在接到保险单后，将按照保险单的费用直接向承包人支付。</w:t>
      </w:r>
    </w:p>
    <w:p w14:paraId="7326F34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3" w:name="_Toc15357"/>
      <w:r>
        <w:rPr>
          <w:rFonts w:hint="eastAsia" w:ascii="宋体" w:hAnsi="宋体" w:eastAsia="宋体" w:cs="宋体"/>
          <w:b/>
          <w:bCs/>
          <w:color w:val="auto"/>
          <w:sz w:val="28"/>
          <w:szCs w:val="28"/>
          <w:highlight w:val="none"/>
        </w:rPr>
        <w:t>20.5其他保险</w:t>
      </w:r>
      <w:bookmarkEnd w:id="443"/>
    </w:p>
    <w:p w14:paraId="7C2EC2E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本款约定为：</w:t>
      </w:r>
    </w:p>
    <w:p w14:paraId="764B89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承包人应为其施工设备等办理保险，其投保金额应足以现场重置。办理本款保险的一切费用均由承包人承担，并包括在工程量清单的单价及总额价中，发包人不单独支付。</w:t>
      </w:r>
    </w:p>
    <w:p w14:paraId="51769A9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4" w:name="_Toc2908"/>
      <w:r>
        <w:rPr>
          <w:rFonts w:hint="eastAsia" w:ascii="宋体" w:hAnsi="宋体" w:eastAsia="宋体" w:cs="宋体"/>
          <w:b/>
          <w:bCs/>
          <w:color w:val="auto"/>
          <w:sz w:val="28"/>
          <w:szCs w:val="28"/>
          <w:highlight w:val="none"/>
        </w:rPr>
        <w:t>20.6对各项保险的一般要求</w:t>
      </w:r>
      <w:bookmarkEnd w:id="444"/>
    </w:p>
    <w:p w14:paraId="794A21C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20.6.1保险凭证</w:t>
      </w:r>
    </w:p>
    <w:p w14:paraId="325D948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本项约定为：</w:t>
      </w:r>
    </w:p>
    <w:p w14:paraId="09EC99C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承包人向发包人提交各项保险生效的证据和保险单副本的期限：开工后 56 天内。</w:t>
      </w:r>
    </w:p>
    <w:p w14:paraId="037DF6E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20.6.3持续保险</w:t>
      </w:r>
    </w:p>
    <w:p w14:paraId="3E0DC3F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w:t>
      </w:r>
    </w:p>
    <w:p w14:paraId="1C834EA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在整个合同期内，承包人应按合同条款规定保证足够的保险额。</w:t>
      </w:r>
    </w:p>
    <w:p w14:paraId="0501273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20.6.4保险金不足的补偿</w:t>
      </w:r>
    </w:p>
    <w:p w14:paraId="3127599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10CF423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保险金不足以补偿损失的（包括免赔额和超过赔偿限额的部分），应由承包人和（或）发包人按合同约定负责补偿。</w:t>
      </w:r>
    </w:p>
    <w:p w14:paraId="0C61122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20.6.5未按约定投保的补救</w:t>
      </w:r>
    </w:p>
    <w:p w14:paraId="5CCFB15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7A13D2C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（2）由于负有投保义务的一方当事人未按合同约定办理某项保险，或未按保险单规定的条件和期限及时向保险人报告事故情况，或未按要求的保险期限进行投保， 或未按要求投保足够的保险金额，导致受益人未能或未能全部得到保险人的赔偿， 原应从该项保险得到的保险金应由负有投保义务的一方当事人支付。</w:t>
      </w:r>
    </w:p>
    <w:p w14:paraId="0AB87ADF">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45" w:name="_Toc122424479"/>
      <w:bookmarkStart w:id="446" w:name="_Toc122424230"/>
      <w:bookmarkStart w:id="447" w:name="_Toc17781"/>
      <w:r>
        <w:rPr>
          <w:rFonts w:hint="eastAsia" w:ascii="宋体" w:hAnsi="宋体" w:eastAsia="宋体" w:cs="宋体"/>
          <w:b/>
          <w:bCs/>
          <w:color w:val="auto"/>
          <w:sz w:val="32"/>
          <w:szCs w:val="32"/>
          <w:highlight w:val="none"/>
        </w:rPr>
        <w:t>21.不可抗力</w:t>
      </w:r>
      <w:bookmarkEnd w:id="445"/>
      <w:bookmarkEnd w:id="446"/>
      <w:bookmarkEnd w:id="447"/>
    </w:p>
    <w:p w14:paraId="26A4518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8" w:name="_Toc28344"/>
      <w:r>
        <w:rPr>
          <w:rFonts w:hint="eastAsia" w:ascii="宋体" w:hAnsi="宋体" w:eastAsia="宋体" w:cs="宋体"/>
          <w:b/>
          <w:bCs/>
          <w:color w:val="auto"/>
          <w:sz w:val="28"/>
          <w:szCs w:val="28"/>
          <w:highlight w:val="none"/>
        </w:rPr>
        <w:t>21.1不可抗力的确认</w:t>
      </w:r>
      <w:bookmarkEnd w:id="448"/>
    </w:p>
    <w:p w14:paraId="0645ADE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21.1.1 项细化为：</w:t>
      </w:r>
    </w:p>
    <w:p w14:paraId="4B2A08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不可抗力是指承包人和发包人在订立合同时不可预见，在工程施工过程中不可避免发生并不能克服的自然灾害和社会性突发事件。包括但不限于：</w:t>
      </w:r>
    </w:p>
    <w:p w14:paraId="40FA1E5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（1）地震、海啸、火山爆发、泥石流、暴雨（雪）、台风、龙卷风、水灾等自然灾害；</w:t>
      </w:r>
    </w:p>
    <w:p w14:paraId="700506C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（2）战争、骚乱、暴动，但纯属承包人或其分包人派遣与雇用的人员由于本 合同工程施工原因引起者除外；</w:t>
      </w:r>
    </w:p>
    <w:p w14:paraId="62796E3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（3）核反应、辐射或放射性污染；</w:t>
      </w:r>
    </w:p>
    <w:p w14:paraId="788DA2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（4）空中飞行物体坠落或非发包人或承包人责任造成的爆炸、火灾；</w:t>
      </w:r>
    </w:p>
    <w:p w14:paraId="07C1F73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（5）瘟疫；</w:t>
      </w:r>
    </w:p>
    <w:p w14:paraId="6E95432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（6）项目专用合同条款约定的其他情形。</w:t>
      </w:r>
    </w:p>
    <w:p w14:paraId="08284A3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9" w:name="_Toc15289"/>
      <w:r>
        <w:rPr>
          <w:rFonts w:hint="eastAsia" w:ascii="宋体" w:hAnsi="宋体" w:eastAsia="宋体" w:cs="宋体"/>
          <w:b/>
          <w:bCs/>
          <w:color w:val="auto"/>
          <w:sz w:val="28"/>
          <w:szCs w:val="28"/>
          <w:highlight w:val="none"/>
        </w:rPr>
        <w:t>21.3 不可抗力后果及其处理</w:t>
      </w:r>
      <w:bookmarkEnd w:id="449"/>
    </w:p>
    <w:p w14:paraId="52058C1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21.3.4 因不可抗力解除合同</w:t>
      </w:r>
    </w:p>
    <w:p w14:paraId="757C645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5ECEB8F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合同一方当事人因不可抗力不能履行合同的，应当及时通知对方解除合同。合同解除后，承包人应按照第 22.2.5 项约定撤离施工场地。已经订货的材料、设备由订货方负责退货或解除订货合同，不能退还的货款和因退货、解除订货合同发生的费用，由发包人承担，因未及时退货造成的损失由责任方承担。合同解除后的付款， 参照第 22.2.4 项约定，由监理人按第 3.5 款商定或确定，但由于解除合同应赔偿的承包人损失不予考虑。</w:t>
      </w:r>
    </w:p>
    <w:p w14:paraId="50A7C2EB">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50" w:name="_Toc122424480"/>
      <w:bookmarkStart w:id="451" w:name="_Toc19467"/>
      <w:bookmarkStart w:id="452" w:name="_Toc122424231"/>
      <w:r>
        <w:rPr>
          <w:rFonts w:hint="eastAsia" w:ascii="宋体" w:hAnsi="宋体" w:eastAsia="宋体" w:cs="宋体"/>
          <w:b/>
          <w:bCs/>
          <w:color w:val="auto"/>
          <w:sz w:val="32"/>
          <w:szCs w:val="32"/>
          <w:highlight w:val="none"/>
        </w:rPr>
        <w:t>22.违约</w:t>
      </w:r>
      <w:bookmarkEnd w:id="450"/>
      <w:bookmarkEnd w:id="451"/>
      <w:bookmarkEnd w:id="452"/>
    </w:p>
    <w:p w14:paraId="35B2AF5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53" w:name="_Toc4"/>
      <w:r>
        <w:rPr>
          <w:rFonts w:hint="eastAsia" w:ascii="宋体" w:hAnsi="宋体" w:eastAsia="宋体" w:cs="宋体"/>
          <w:b/>
          <w:bCs/>
          <w:color w:val="auto"/>
          <w:sz w:val="28"/>
          <w:szCs w:val="28"/>
          <w:highlight w:val="none"/>
        </w:rPr>
        <w:t>22.1承包人违约</w:t>
      </w:r>
      <w:bookmarkEnd w:id="453"/>
    </w:p>
    <w:p w14:paraId="5F8E926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22.1.1承包人违约的情形</w:t>
      </w:r>
    </w:p>
    <w:p w14:paraId="390EF2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716F5A6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（2）承包人违反第 5.3 款或第 6.4 款的约定，未经监理人批准，私自将已按合同约定进入施工场地的施工设备、临时设施、材料或工程设备撤离施工场地；</w:t>
      </w:r>
    </w:p>
    <w:p w14:paraId="6EBAE8B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本项（7）目细化为：</w:t>
      </w:r>
    </w:p>
    <w:p w14:paraId="323E75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（7）承包人未能按期开工；</w:t>
      </w:r>
    </w:p>
    <w:p w14:paraId="5214541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（8）承包人违反第 4.6 款或第 6.3 款的规定，未按承诺或未按监理人的要求及时配备称职的主要管理人员、技术骨干或关键施工设备；</w:t>
      </w:r>
    </w:p>
    <w:p w14:paraId="19FA8B2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（9）经监理人和发包人检查，发现承包人有安全问题或有违反安全管理规章制度的情况；</w:t>
      </w:r>
    </w:p>
    <w:p w14:paraId="6111CEC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（10）承包人不按合同约定履行义务的其他情况。</w:t>
      </w:r>
    </w:p>
    <w:p w14:paraId="77EA30A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22.1.2对承包人违约的处理</w:t>
      </w:r>
    </w:p>
    <w:p w14:paraId="03F3102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w:t>
      </w:r>
    </w:p>
    <w:p w14:paraId="52EE96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（4）承包人发生第 22.1.1 项约定的违约情况时，无论发包人是否解除合同， 发包人均有权向承包人课以项目专用合同条款中规定的违约金，并由发包人将其违约行为上报省级交通运输主管部门，作为不良记录纳入公路建设市场信用信息管理系统。</w:t>
      </w:r>
    </w:p>
    <w:p w14:paraId="6916A41F">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54" w:name="_Toc5245"/>
      <w:r>
        <w:rPr>
          <w:rFonts w:hint="eastAsia" w:ascii="宋体" w:hAnsi="宋体" w:eastAsia="宋体" w:cs="宋体"/>
          <w:b/>
          <w:bCs/>
          <w:color w:val="auto"/>
          <w:sz w:val="28"/>
          <w:szCs w:val="28"/>
          <w:highlight w:val="none"/>
        </w:rPr>
        <w:t>22.2发包人违约</w:t>
      </w:r>
      <w:bookmarkEnd w:id="454"/>
    </w:p>
    <w:p w14:paraId="3E5E2AA3">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22.2.1发包人违约的情形</w:t>
      </w:r>
    </w:p>
    <w:p w14:paraId="53C6947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本项（5）目细化为：</w:t>
      </w:r>
    </w:p>
    <w:p w14:paraId="2D5BAE6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（5）发包人无正当理由不按时返还履约保证金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如有）</w:t>
      </w:r>
      <w:r>
        <w:rPr>
          <w:rFonts w:hint="eastAsia" w:ascii="宋体" w:hAnsi="宋体" w:eastAsia="宋体" w:cs="宋体"/>
          <w:color w:val="auto"/>
          <w:highlight w:val="none"/>
        </w:rPr>
        <w:t>、质量保证金或农民工工资保证金的；</w:t>
      </w:r>
    </w:p>
    <w:p w14:paraId="5A6E03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（6）发包人不履行合同约定其他义务的。</w:t>
      </w:r>
    </w:p>
    <w:p w14:paraId="5CDFF2E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22.2.4 解除合同后的付款</w:t>
      </w:r>
    </w:p>
    <w:p w14:paraId="5AD635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2445FF0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（2）承包人为该工程施工订购并已付款的材料、工程设备和其他物品的金额。发包人付款后，该材料、工程设备和其他物品归发包人所有；</w:t>
      </w:r>
    </w:p>
    <w:p w14:paraId="6AD56FB5">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55" w:name="_Toc26706"/>
      <w:bookmarkStart w:id="456" w:name="_Toc122424232"/>
      <w:bookmarkStart w:id="457" w:name="_Toc122424481"/>
      <w:r>
        <w:rPr>
          <w:rFonts w:hint="eastAsia" w:ascii="宋体" w:hAnsi="宋体" w:eastAsia="宋体" w:cs="宋体"/>
          <w:b/>
          <w:bCs/>
          <w:color w:val="auto"/>
          <w:sz w:val="32"/>
          <w:szCs w:val="32"/>
          <w:highlight w:val="none"/>
        </w:rPr>
        <w:t>23.索赔</w:t>
      </w:r>
      <w:bookmarkEnd w:id="455"/>
      <w:bookmarkEnd w:id="456"/>
      <w:bookmarkEnd w:id="457"/>
    </w:p>
    <w:p w14:paraId="3740670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58" w:name="_Toc4552"/>
      <w:r>
        <w:rPr>
          <w:rFonts w:hint="eastAsia" w:ascii="宋体" w:hAnsi="宋体" w:eastAsia="宋体" w:cs="宋体"/>
          <w:b/>
          <w:bCs/>
          <w:color w:val="auto"/>
          <w:sz w:val="28"/>
          <w:szCs w:val="28"/>
          <w:highlight w:val="none"/>
        </w:rPr>
        <w:t>23.1承包人索赔的提出</w:t>
      </w:r>
      <w:bookmarkEnd w:id="458"/>
    </w:p>
    <w:p w14:paraId="3BCA179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本款第（4）项细化为：</w:t>
      </w:r>
    </w:p>
    <w:p w14:paraId="0B2D185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（4）在索赔事件影响结束后的 28 天内，承包人应向监理人递交最终索赔通知书，说明最终要求索赔的追加付款金额和（或）延长的工期，并附必要的记录和证明材料。</w:t>
      </w:r>
    </w:p>
    <w:p w14:paraId="5AB9EB4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59" w:name="_Toc23671"/>
      <w:r>
        <w:rPr>
          <w:rFonts w:hint="eastAsia" w:ascii="宋体" w:hAnsi="宋体" w:eastAsia="宋体" w:cs="宋体"/>
          <w:b/>
          <w:bCs/>
          <w:color w:val="auto"/>
          <w:sz w:val="28"/>
          <w:szCs w:val="28"/>
          <w:highlight w:val="none"/>
        </w:rPr>
        <w:t>23.2承包人索赔处理程序</w:t>
      </w:r>
      <w:bookmarkEnd w:id="459"/>
    </w:p>
    <w:p w14:paraId="4B4C400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本款第（2）项细化为：</w:t>
      </w:r>
    </w:p>
    <w:p w14:paraId="6AE7997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（2）监理人应按第 3.5 款商定或确定追加的付款和（或）延长的工期，并在收到上述索赔通知书或有关索赔的进一步证明材料后的 42 天内，将索赔处理结果报发包人批准后答复承包人。如果承包人提出的索赔要求未能遵守第 23.1（2）~（4）项的规定，则承包人只限于索赔由监理人按当时记录予以核实的那部分款额和（或） 工期延长天数。</w:t>
      </w:r>
    </w:p>
    <w:p w14:paraId="36AB204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60" w:name="_Toc122424233"/>
      <w:bookmarkStart w:id="461" w:name="_Toc122424482"/>
      <w:bookmarkStart w:id="462" w:name="_Toc17764"/>
      <w:r>
        <w:rPr>
          <w:rFonts w:hint="eastAsia" w:ascii="宋体" w:hAnsi="宋体" w:eastAsia="宋体" w:cs="宋体"/>
          <w:b/>
          <w:bCs/>
          <w:color w:val="auto"/>
          <w:sz w:val="32"/>
          <w:szCs w:val="32"/>
          <w:highlight w:val="none"/>
        </w:rPr>
        <w:t>24.争议的解决</w:t>
      </w:r>
      <w:bookmarkEnd w:id="460"/>
      <w:bookmarkEnd w:id="461"/>
      <w:bookmarkEnd w:id="462"/>
    </w:p>
    <w:p w14:paraId="19B5843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63" w:name="_Toc5407"/>
      <w:r>
        <w:rPr>
          <w:rFonts w:hint="eastAsia" w:ascii="宋体" w:hAnsi="宋体" w:eastAsia="宋体" w:cs="宋体"/>
          <w:b/>
          <w:bCs/>
          <w:color w:val="auto"/>
          <w:sz w:val="28"/>
          <w:szCs w:val="28"/>
          <w:highlight w:val="none"/>
        </w:rPr>
        <w:t>24.3争议评审</w:t>
      </w:r>
      <w:bookmarkEnd w:id="463"/>
    </w:p>
    <w:p w14:paraId="4F02F72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24.3.1 项补充：</w:t>
      </w:r>
    </w:p>
    <w:p w14:paraId="7FE3921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争议评审组由 3 人或 5 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12C593F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24.4 款、第 24.5 款（适用于采用仲裁方式最终解决争议的项目）：</w:t>
      </w:r>
    </w:p>
    <w:p w14:paraId="406E6BD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64" w:name="_Toc5661"/>
      <w:r>
        <w:rPr>
          <w:rFonts w:hint="eastAsia" w:ascii="宋体" w:hAnsi="宋体" w:eastAsia="宋体" w:cs="宋体"/>
          <w:b/>
          <w:bCs/>
          <w:color w:val="auto"/>
          <w:sz w:val="28"/>
          <w:szCs w:val="28"/>
          <w:highlight w:val="none"/>
        </w:rPr>
        <w:t>24.4仲裁</w:t>
      </w:r>
      <w:bookmarkEnd w:id="464"/>
    </w:p>
    <w:p w14:paraId="2DE59935">
      <w:pPr>
        <w:pageBreakBefore w:val="0"/>
        <w:numPr>
          <w:ilvl w:val="0"/>
          <w:numId w:val="8"/>
        </w:numPr>
        <w:kinsoku/>
        <w:wordWrap/>
        <w:overflowPunct/>
        <w:topLinePunct w:val="0"/>
        <w:autoSpaceDE/>
        <w:autoSpaceDN/>
        <w:bidi w:val="0"/>
        <w:spacing w:line="360" w:lineRule="auto"/>
        <w:ind w:left="210" w:leftChars="100" w:firstLine="268" w:firstLineChars="128"/>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对于未能友好解决或未能通过争议评审解决的争议，发包人或承包人任一方均有权提交给第 </w:t>
      </w:r>
    </w:p>
    <w:p w14:paraId="4ADEA6EB">
      <w:pPr>
        <w:pageBreakBefore w:val="0"/>
        <w:numPr>
          <w:ilvl w:val="0"/>
          <w:numId w:val="0"/>
        </w:numPr>
        <w:kinsoku/>
        <w:wordWrap/>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24.1 款约定的仲裁委员会仲裁。</w:t>
      </w:r>
    </w:p>
    <w:p w14:paraId="2D84D45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776E7D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（3）仲裁裁决是终局性的并对发包人和承包人双方具有约束力。</w:t>
      </w:r>
    </w:p>
    <w:p w14:paraId="08C60D4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（4）全部仲裁费用应由败诉方承担；或按仲裁委员会裁决的比例分担。</w:t>
      </w:r>
    </w:p>
    <w:p w14:paraId="76048DC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65" w:name="_Toc21379"/>
      <w:r>
        <w:rPr>
          <w:rFonts w:hint="eastAsia" w:ascii="宋体" w:hAnsi="宋体" w:eastAsia="宋体" w:cs="宋体"/>
          <w:b/>
          <w:bCs/>
          <w:color w:val="auto"/>
          <w:sz w:val="28"/>
          <w:szCs w:val="28"/>
          <w:highlight w:val="none"/>
        </w:rPr>
        <w:t>24.5仲裁的执行</w:t>
      </w:r>
      <w:bookmarkEnd w:id="465"/>
    </w:p>
    <w:p w14:paraId="37119060">
      <w:pPr>
        <w:pageBreakBefore w:val="0"/>
        <w:numPr>
          <w:ilvl w:val="0"/>
          <w:numId w:val="9"/>
        </w:numPr>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任何一方不履行仲裁机构的裁决的，对方可以向有管辖权的人民法院申请执行。</w:t>
      </w:r>
    </w:p>
    <w:p w14:paraId="50C1D67F">
      <w:pPr>
        <w:pageBreakBefore w:val="0"/>
        <w:numPr>
          <w:ilvl w:val="0"/>
          <w:numId w:val="9"/>
        </w:numPr>
        <w:kinsoku/>
        <w:wordWrap/>
        <w:overflowPunct/>
        <w:topLinePunct w:val="0"/>
        <w:autoSpaceDE/>
        <w:autoSpaceDN/>
        <w:bidi w:val="0"/>
        <w:spacing w:line="360" w:lineRule="auto"/>
        <w:ind w:firstLine="480"/>
        <w:textAlignment w:val="auto"/>
        <w:rPr>
          <w:rFonts w:hint="eastAsia" w:ascii="宋体" w:hAnsi="宋体" w:eastAsia="宋体" w:cs="宋体"/>
          <w:color w:val="auto"/>
          <w:kern w:val="0"/>
          <w:highlight w:val="none"/>
        </w:rPr>
      </w:pPr>
      <w:r>
        <w:rPr>
          <w:rFonts w:hint="eastAsia" w:ascii="宋体" w:hAnsi="宋体" w:eastAsia="宋体" w:cs="宋体"/>
          <w:color w:val="auto"/>
          <w:highlight w:val="none"/>
        </w:rPr>
        <w:t>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r>
        <w:rPr>
          <w:rFonts w:hint="eastAsia" w:ascii="宋体" w:hAnsi="宋体" w:eastAsia="宋体" w:cs="宋体"/>
          <w:color w:val="auto"/>
          <w:kern w:val="0"/>
          <w:highlight w:val="none"/>
        </w:rPr>
        <w:t xml:space="preserve"> </w:t>
      </w:r>
    </w:p>
    <w:p w14:paraId="22F5729B">
      <w:pPr>
        <w:pStyle w:val="18"/>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39CA0D7">
      <w:pPr>
        <w:pStyle w:val="3"/>
        <w:adjustRightInd w:val="0"/>
        <w:snapToGrid w:val="0"/>
        <w:spacing w:before="0" w:after="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项目专用合同条款</w:t>
      </w:r>
    </w:p>
    <w:p w14:paraId="7EFA513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说</w:t>
      </w:r>
      <w:r>
        <w:rPr>
          <w:rFonts w:hint="eastAsia" w:ascii="宋体" w:hAnsi="宋体" w:eastAsia="宋体" w:cs="宋体"/>
          <w:color w:val="auto"/>
          <w:highlight w:val="none"/>
        </w:rPr>
        <w:tab/>
      </w:r>
      <w:r>
        <w:rPr>
          <w:rFonts w:hint="eastAsia" w:ascii="宋体" w:hAnsi="宋体" w:eastAsia="宋体" w:cs="宋体"/>
          <w:color w:val="auto"/>
          <w:highlight w:val="none"/>
        </w:rPr>
        <w:t>明：</w:t>
      </w:r>
    </w:p>
    <w:p w14:paraId="353388D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1.采购人在编制项目</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的“项目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内容，不得违反法律、行政法规的强制性规定和平等、自愿、公平和诚实信用原则。</w:t>
      </w:r>
    </w:p>
    <w:p w14:paraId="47109E4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2.项目专用合同条款的编号应与通用合同条款和公路工程专用合同条款一致。</w:t>
      </w:r>
    </w:p>
    <w:p w14:paraId="32CEBAA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3.项目专用合同条款可对下列内容进行补充和细化：</w:t>
      </w:r>
    </w:p>
    <w:p w14:paraId="6AA7E90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（1）“通用合同条款”中明确指出“专用合同条款”可对“通用合同条款”进行修改</w:t>
      </w:r>
    </w:p>
    <w:p w14:paraId="2463C704">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的内容（在“通用合同条款”中用“应按合同约定”“应按专用合同条款约定”“除合同另有约定外”“除专用合同条款另有约定外”“在专用合同条款中约定”等多种文字形式表达）；</w:t>
      </w:r>
    </w:p>
    <w:p w14:paraId="44A1845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 等多种文字形式表达）。</w:t>
      </w:r>
    </w:p>
    <w:p w14:paraId="43765DFD">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其他需要补充、细化的内容。</w:t>
      </w:r>
    </w:p>
    <w:p w14:paraId="52D1A509">
      <w:pPr>
        <w:pStyle w:val="4"/>
        <w:spacing w:before="0" w:after="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66" w:name="_Toc24603"/>
      <w:bookmarkStart w:id="467" w:name="_Toc122424235"/>
      <w:bookmarkStart w:id="468" w:name="_Toc122424484"/>
      <w:r>
        <w:rPr>
          <w:rFonts w:hint="eastAsia" w:ascii="宋体" w:hAnsi="宋体" w:eastAsia="宋体" w:cs="宋体"/>
          <w:color w:val="auto"/>
          <w:highlight w:val="none"/>
        </w:rPr>
        <w:t>项目专用合同条款数据表</w:t>
      </w:r>
      <w:bookmarkEnd w:id="466"/>
      <w:bookmarkEnd w:id="467"/>
      <w:bookmarkEnd w:id="468"/>
    </w:p>
    <w:p w14:paraId="5822AE05">
      <w:pPr>
        <w:spacing w:line="360" w:lineRule="auto"/>
        <w:ind w:firstLine="480"/>
        <w:rPr>
          <w:rFonts w:hint="eastAsia" w:ascii="宋体" w:hAnsi="宋体" w:eastAsia="宋体" w:cs="宋体"/>
          <w:color w:val="auto"/>
          <w:highlight w:val="none"/>
        </w:rPr>
      </w:pPr>
    </w:p>
    <w:p w14:paraId="3D835A55">
      <w:pPr>
        <w:spacing w:line="360" w:lineRule="auto"/>
        <w:ind w:firstLine="480"/>
        <w:rPr>
          <w:rFonts w:hint="eastAsia" w:ascii="宋体" w:hAnsi="宋体" w:eastAsia="宋体" w:cs="宋体"/>
          <w:color w:val="auto"/>
          <w:highlight w:val="none"/>
        </w:rPr>
      </w:pPr>
      <w:bookmarkStart w:id="469" w:name="_Toc19149"/>
      <w:bookmarkStart w:id="470" w:name="_Toc122424485"/>
      <w:bookmarkStart w:id="471" w:name="_Toc20394"/>
      <w:bookmarkStart w:id="472" w:name="_Toc122424236"/>
      <w:r>
        <w:rPr>
          <w:rFonts w:hint="eastAsia" w:ascii="宋体" w:hAnsi="宋体" w:eastAsia="宋体" w:cs="宋体"/>
          <w:color w:val="auto"/>
          <w:highlight w:val="none"/>
        </w:rPr>
        <w:t>说明：本数据表是项目专用合同条款中适用于本项目的信息和数据的归纳与提示， 是项目专用合同条款的组成部分。编写磋商文件的单位应仔细校核，不使数据出现差错或不一致。</w:t>
      </w:r>
    </w:p>
    <w:p w14:paraId="10E8BB4F">
      <w:pPr>
        <w:pStyle w:val="18"/>
        <w:rPr>
          <w:rFonts w:hint="eastAsia" w:ascii="宋体" w:hAnsi="宋体" w:eastAsia="宋体" w:cs="宋体"/>
          <w:color w:val="auto"/>
          <w:highlight w:val="none"/>
        </w:rPr>
      </w:pP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11"/>
        <w:gridCol w:w="7305"/>
      </w:tblGrid>
      <w:tr w14:paraId="0F1C1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629" w:type="dxa"/>
            <w:noWrap w:val="0"/>
            <w:vAlign w:val="center"/>
          </w:tcPr>
          <w:p w14:paraId="67AB1D3A">
            <w:pPr>
              <w:pStyle w:val="39"/>
              <w:spacing w:before="90" w:line="250" w:lineRule="exact"/>
              <w:ind w:left="83" w:right="74"/>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序号</w:t>
            </w:r>
          </w:p>
        </w:tc>
        <w:tc>
          <w:tcPr>
            <w:tcW w:w="1111" w:type="dxa"/>
            <w:noWrap w:val="0"/>
            <w:vAlign w:val="center"/>
          </w:tcPr>
          <w:p w14:paraId="63E74C70">
            <w:pPr>
              <w:pStyle w:val="39"/>
              <w:spacing w:before="90" w:line="250" w:lineRule="exact"/>
              <w:ind w:left="84" w:right="78"/>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条目号</w:t>
            </w:r>
          </w:p>
        </w:tc>
        <w:tc>
          <w:tcPr>
            <w:tcW w:w="7305" w:type="dxa"/>
            <w:noWrap w:val="0"/>
            <w:vAlign w:val="center"/>
          </w:tcPr>
          <w:p w14:paraId="48AB210B">
            <w:pPr>
              <w:pStyle w:val="39"/>
              <w:spacing w:before="90" w:line="250" w:lineRule="exact"/>
              <w:ind w:left="3106" w:right="3094"/>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信息或数据</w:t>
            </w:r>
          </w:p>
        </w:tc>
      </w:tr>
      <w:tr w14:paraId="18BBC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jc w:val="center"/>
        </w:trPr>
        <w:tc>
          <w:tcPr>
            <w:tcW w:w="629" w:type="dxa"/>
            <w:noWrap w:val="0"/>
            <w:vAlign w:val="center"/>
          </w:tcPr>
          <w:p w14:paraId="78C18521">
            <w:pPr>
              <w:pStyle w:val="39"/>
              <w:spacing w:before="11"/>
              <w:rPr>
                <w:rFonts w:hint="eastAsia" w:ascii="宋体" w:hAnsi="宋体" w:eastAsia="宋体" w:cs="宋体"/>
                <w:color w:val="auto"/>
                <w:highlight w:val="none"/>
              </w:rPr>
            </w:pPr>
          </w:p>
          <w:p w14:paraId="7E597371">
            <w:pPr>
              <w:pStyle w:val="39"/>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p>
        </w:tc>
        <w:tc>
          <w:tcPr>
            <w:tcW w:w="1111" w:type="dxa"/>
            <w:noWrap w:val="0"/>
            <w:vAlign w:val="center"/>
          </w:tcPr>
          <w:p w14:paraId="299426A9">
            <w:pPr>
              <w:pStyle w:val="39"/>
              <w:spacing w:before="11"/>
              <w:rPr>
                <w:rFonts w:hint="eastAsia" w:ascii="宋体" w:hAnsi="宋体" w:eastAsia="宋体" w:cs="宋体"/>
                <w:color w:val="auto"/>
                <w:highlight w:val="none"/>
              </w:rPr>
            </w:pPr>
          </w:p>
          <w:p w14:paraId="60DA8077">
            <w:pPr>
              <w:pStyle w:val="39"/>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1.1.2.2</w:t>
            </w:r>
          </w:p>
        </w:tc>
        <w:tc>
          <w:tcPr>
            <w:tcW w:w="7305" w:type="dxa"/>
            <w:noWrap w:val="0"/>
            <w:vAlign w:val="center"/>
          </w:tcPr>
          <w:p w14:paraId="4D4E7F8A">
            <w:pPr>
              <w:pStyle w:val="39"/>
              <w:spacing w:before="89"/>
              <w:ind w:left="347"/>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发 包 人：</w:t>
            </w:r>
            <w:r>
              <w:rPr>
                <w:rFonts w:hint="eastAsia" w:ascii="宋体" w:hAnsi="宋体" w:eastAsia="宋体" w:cs="宋体"/>
                <w:color w:val="auto"/>
                <w:sz w:val="21"/>
                <w:highlight w:val="none"/>
                <w:u w:val="single"/>
                <w:lang w:eastAsia="zh-CN"/>
              </w:rPr>
              <w:t xml:space="preserve"> </w:t>
            </w:r>
            <w:r>
              <w:rPr>
                <w:rFonts w:hint="eastAsia" w:ascii="宋体" w:hAnsi="宋体" w:eastAsia="宋体" w:cs="宋体"/>
                <w:color w:val="auto"/>
                <w:sz w:val="21"/>
                <w:highlight w:val="none"/>
                <w:u w:val="single"/>
                <w:lang w:val="en-US" w:eastAsia="zh-CN"/>
              </w:rPr>
              <w:t xml:space="preserve">          </w:t>
            </w:r>
            <w:r>
              <w:rPr>
                <w:rFonts w:hint="eastAsia" w:ascii="宋体" w:hAnsi="宋体" w:eastAsia="宋体" w:cs="宋体"/>
                <w:color w:val="auto"/>
                <w:sz w:val="21"/>
                <w:highlight w:val="none"/>
                <w:u w:val="single"/>
                <w:lang w:eastAsia="zh-CN"/>
              </w:rPr>
              <w:t xml:space="preserve">  </w:t>
            </w:r>
          </w:p>
          <w:p w14:paraId="66E4FD36">
            <w:pPr>
              <w:pStyle w:val="39"/>
              <w:tabs>
                <w:tab w:val="left" w:pos="979"/>
                <w:tab w:val="left" w:pos="3394"/>
              </w:tabs>
              <w:spacing w:before="91" w:line="250" w:lineRule="exact"/>
              <w:ind w:left="347"/>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地</w:t>
            </w:r>
            <w:r>
              <w:rPr>
                <w:rFonts w:hint="eastAsia" w:ascii="宋体" w:hAnsi="宋体" w:eastAsia="宋体" w:cs="宋体"/>
                <w:color w:val="auto"/>
                <w:sz w:val="21"/>
                <w:highlight w:val="none"/>
                <w:lang w:eastAsia="zh-CN"/>
              </w:rPr>
              <w:tab/>
            </w:r>
            <w:r>
              <w:rPr>
                <w:rFonts w:hint="eastAsia" w:ascii="宋体" w:hAnsi="宋体" w:eastAsia="宋体" w:cs="宋体"/>
                <w:color w:val="auto"/>
                <w:sz w:val="21"/>
                <w:highlight w:val="none"/>
                <w:lang w:eastAsia="zh-CN"/>
              </w:rPr>
              <w:t>址：</w:t>
            </w:r>
            <w:r>
              <w:rPr>
                <w:rFonts w:hint="eastAsia" w:ascii="宋体" w:hAnsi="宋体" w:eastAsia="宋体" w:cs="宋体"/>
                <w:color w:val="auto"/>
                <w:kern w:val="2"/>
                <w:sz w:val="21"/>
                <w:szCs w:val="21"/>
                <w:highlight w:val="none"/>
                <w:u w:val="single"/>
                <w:lang w:eastAsia="zh-CN"/>
              </w:rPr>
              <w:t xml:space="preserve">  </w:t>
            </w:r>
            <w:r>
              <w:rPr>
                <w:rFonts w:hint="eastAsia" w:ascii="宋体" w:hAnsi="宋体" w:eastAsia="宋体" w:cs="宋体"/>
                <w:color w:val="auto"/>
                <w:sz w:val="21"/>
                <w:highlight w:val="none"/>
                <w:u w:val="single"/>
                <w:lang w:eastAsia="zh-CN"/>
              </w:rPr>
              <w:tab/>
            </w:r>
          </w:p>
          <w:p w14:paraId="76796447">
            <w:pPr>
              <w:pStyle w:val="39"/>
              <w:tabs>
                <w:tab w:val="left" w:pos="979"/>
                <w:tab w:val="left" w:pos="3394"/>
              </w:tabs>
              <w:spacing w:before="91" w:line="250" w:lineRule="exact"/>
              <w:ind w:left="347"/>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邮</w:t>
            </w:r>
            <w:r>
              <w:rPr>
                <w:rFonts w:hint="eastAsia" w:ascii="宋体" w:hAnsi="宋体" w:eastAsia="宋体" w:cs="宋体"/>
                <w:color w:val="auto"/>
                <w:spacing w:val="-3"/>
                <w:sz w:val="21"/>
                <w:highlight w:val="none"/>
              </w:rPr>
              <w:t>政</w:t>
            </w:r>
            <w:r>
              <w:rPr>
                <w:rFonts w:hint="eastAsia" w:ascii="宋体" w:hAnsi="宋体" w:eastAsia="宋体" w:cs="宋体"/>
                <w:color w:val="auto"/>
                <w:sz w:val="21"/>
                <w:highlight w:val="none"/>
              </w:rPr>
              <w:t>编</w:t>
            </w:r>
            <w:r>
              <w:rPr>
                <w:rFonts w:hint="eastAsia" w:ascii="宋体" w:hAnsi="宋体" w:eastAsia="宋体" w:cs="宋体"/>
                <w:color w:val="auto"/>
                <w:spacing w:val="-3"/>
                <w:sz w:val="21"/>
                <w:highlight w:val="none"/>
              </w:rPr>
              <w:t>码</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lang w:eastAsia="zh-CN"/>
              </w:rPr>
              <w:t xml:space="preserve">           </w:t>
            </w:r>
            <w:r>
              <w:rPr>
                <w:rFonts w:hint="eastAsia" w:ascii="宋体" w:hAnsi="宋体" w:eastAsia="宋体" w:cs="宋体"/>
                <w:color w:val="auto"/>
                <w:kern w:val="2"/>
                <w:sz w:val="21"/>
                <w:szCs w:val="21"/>
                <w:highlight w:val="none"/>
                <w:u w:val="single"/>
              </w:rPr>
              <w:t xml:space="preserve">         </w:t>
            </w:r>
          </w:p>
        </w:tc>
      </w:tr>
      <w:tr w14:paraId="52857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jc w:val="center"/>
        </w:trPr>
        <w:tc>
          <w:tcPr>
            <w:tcW w:w="629" w:type="dxa"/>
            <w:noWrap w:val="0"/>
            <w:vAlign w:val="center"/>
          </w:tcPr>
          <w:p w14:paraId="381AE73D">
            <w:pPr>
              <w:pStyle w:val="39"/>
              <w:spacing w:before="1"/>
              <w:rPr>
                <w:rFonts w:hint="eastAsia" w:ascii="宋体" w:hAnsi="宋体" w:eastAsia="宋体" w:cs="宋体"/>
                <w:color w:val="auto"/>
                <w:sz w:val="23"/>
                <w:highlight w:val="none"/>
              </w:rPr>
            </w:pPr>
          </w:p>
          <w:p w14:paraId="1D0DF89A">
            <w:pPr>
              <w:pStyle w:val="39"/>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p>
        </w:tc>
        <w:tc>
          <w:tcPr>
            <w:tcW w:w="1111" w:type="dxa"/>
            <w:noWrap w:val="0"/>
            <w:vAlign w:val="center"/>
          </w:tcPr>
          <w:p w14:paraId="5A28AA6C">
            <w:pPr>
              <w:pStyle w:val="39"/>
              <w:spacing w:before="1"/>
              <w:rPr>
                <w:rFonts w:hint="eastAsia" w:ascii="宋体" w:hAnsi="宋体" w:eastAsia="宋体" w:cs="宋体"/>
                <w:color w:val="auto"/>
                <w:sz w:val="23"/>
                <w:highlight w:val="none"/>
              </w:rPr>
            </w:pPr>
          </w:p>
          <w:p w14:paraId="12E10323">
            <w:pPr>
              <w:pStyle w:val="39"/>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1.1.2.6</w:t>
            </w:r>
          </w:p>
        </w:tc>
        <w:tc>
          <w:tcPr>
            <w:tcW w:w="7305" w:type="dxa"/>
            <w:noWrap w:val="0"/>
            <w:vAlign w:val="center"/>
          </w:tcPr>
          <w:p w14:paraId="61AF8B26">
            <w:pPr>
              <w:pStyle w:val="39"/>
              <w:spacing w:before="92"/>
              <w:ind w:left="347"/>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监 理 人：</w:t>
            </w:r>
            <w:r>
              <w:rPr>
                <w:rFonts w:hint="eastAsia" w:ascii="宋体" w:hAnsi="宋体" w:eastAsia="宋体" w:cs="宋体"/>
                <w:color w:val="auto"/>
                <w:sz w:val="21"/>
                <w:szCs w:val="21"/>
                <w:highlight w:val="none"/>
                <w:lang w:eastAsia="zh-CN"/>
              </w:rPr>
              <w:t>待定</w:t>
            </w:r>
          </w:p>
          <w:p w14:paraId="60A8040F">
            <w:pPr>
              <w:pStyle w:val="39"/>
              <w:tabs>
                <w:tab w:val="left" w:pos="979"/>
                <w:tab w:val="left" w:pos="3394"/>
              </w:tabs>
              <w:spacing w:before="91"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地</w:t>
            </w:r>
            <w:r>
              <w:rPr>
                <w:rFonts w:hint="eastAsia" w:ascii="宋体" w:hAnsi="宋体" w:eastAsia="宋体" w:cs="宋体"/>
                <w:color w:val="auto"/>
                <w:sz w:val="21"/>
                <w:highlight w:val="none"/>
                <w:lang w:eastAsia="zh-CN"/>
              </w:rPr>
              <w:tab/>
            </w:r>
            <w:r>
              <w:rPr>
                <w:rFonts w:hint="eastAsia" w:ascii="宋体" w:hAnsi="宋体" w:eastAsia="宋体" w:cs="宋体"/>
                <w:color w:val="auto"/>
                <w:sz w:val="21"/>
                <w:highlight w:val="none"/>
                <w:lang w:eastAsia="zh-CN"/>
              </w:rPr>
              <w:t>址：</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z w:val="21"/>
                <w:highlight w:val="none"/>
                <w:lang w:eastAsia="zh-CN"/>
              </w:rPr>
              <w:tab/>
            </w:r>
          </w:p>
          <w:p w14:paraId="6B55D477">
            <w:pPr>
              <w:pStyle w:val="39"/>
              <w:tabs>
                <w:tab w:val="left" w:pos="979"/>
                <w:tab w:val="left" w:pos="3394"/>
              </w:tabs>
              <w:spacing w:before="91" w:line="250" w:lineRule="exact"/>
              <w:ind w:left="347"/>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邮</w:t>
            </w:r>
            <w:r>
              <w:rPr>
                <w:rFonts w:hint="eastAsia" w:ascii="宋体" w:hAnsi="宋体" w:eastAsia="宋体" w:cs="宋体"/>
                <w:color w:val="auto"/>
                <w:spacing w:val="-3"/>
                <w:sz w:val="21"/>
                <w:highlight w:val="none"/>
                <w:lang w:eastAsia="zh-CN"/>
              </w:rPr>
              <w:t>政</w:t>
            </w:r>
            <w:r>
              <w:rPr>
                <w:rFonts w:hint="eastAsia" w:ascii="宋体" w:hAnsi="宋体" w:eastAsia="宋体" w:cs="宋体"/>
                <w:color w:val="auto"/>
                <w:sz w:val="21"/>
                <w:highlight w:val="none"/>
                <w:lang w:eastAsia="zh-CN"/>
              </w:rPr>
              <w:t>编</w:t>
            </w:r>
            <w:r>
              <w:rPr>
                <w:rFonts w:hint="eastAsia" w:ascii="宋体" w:hAnsi="宋体" w:eastAsia="宋体" w:cs="宋体"/>
                <w:color w:val="auto"/>
                <w:spacing w:val="-3"/>
                <w:sz w:val="21"/>
                <w:highlight w:val="none"/>
                <w:lang w:eastAsia="zh-CN"/>
              </w:rPr>
              <w:t>码</w:t>
            </w:r>
            <w:r>
              <w:rPr>
                <w:rFonts w:hint="eastAsia" w:ascii="宋体" w:hAnsi="宋体" w:eastAsia="宋体" w:cs="宋体"/>
                <w:color w:val="auto"/>
                <w:sz w:val="21"/>
                <w:highlight w:val="none"/>
                <w:lang w:eastAsia="zh-CN"/>
              </w:rPr>
              <w:t>：</w:t>
            </w:r>
            <w:r>
              <w:rPr>
                <w:rFonts w:hint="eastAsia" w:ascii="宋体" w:hAnsi="宋体" w:eastAsia="宋体" w:cs="宋体"/>
                <w:color w:val="auto"/>
                <w:highlight w:val="none"/>
                <w:u w:val="single"/>
                <w:lang w:eastAsia="zh-CN"/>
              </w:rPr>
              <w:t xml:space="preserve">                   </w:t>
            </w:r>
          </w:p>
        </w:tc>
      </w:tr>
      <w:tr w14:paraId="10679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629" w:type="dxa"/>
            <w:noWrap w:val="0"/>
            <w:vAlign w:val="center"/>
          </w:tcPr>
          <w:p w14:paraId="0AEBCF5A">
            <w:pPr>
              <w:pStyle w:val="39"/>
              <w:spacing w:before="113" w:line="226" w:lineRule="exact"/>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p>
        </w:tc>
        <w:tc>
          <w:tcPr>
            <w:tcW w:w="1111" w:type="dxa"/>
            <w:noWrap w:val="0"/>
            <w:vAlign w:val="center"/>
          </w:tcPr>
          <w:p w14:paraId="16C38AB1">
            <w:pPr>
              <w:pStyle w:val="39"/>
              <w:spacing w:before="113" w:line="226" w:lineRule="exact"/>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1.1.4.5</w:t>
            </w:r>
          </w:p>
        </w:tc>
        <w:tc>
          <w:tcPr>
            <w:tcW w:w="7305" w:type="dxa"/>
            <w:noWrap w:val="0"/>
            <w:vAlign w:val="center"/>
          </w:tcPr>
          <w:p w14:paraId="34BFA046">
            <w:pPr>
              <w:pStyle w:val="39"/>
              <w:tabs>
                <w:tab w:val="left" w:pos="4025"/>
              </w:tabs>
              <w:spacing w:before="89" w:line="250" w:lineRule="exact"/>
              <w:ind w:left="347"/>
              <w:rPr>
                <w:rFonts w:hint="eastAsia" w:ascii="宋体" w:hAnsi="宋体" w:eastAsia="宋体" w:cs="宋体"/>
                <w:color w:val="auto"/>
                <w:sz w:val="11"/>
                <w:highlight w:val="none"/>
                <w:lang w:eastAsia="zh-CN"/>
              </w:rPr>
            </w:pPr>
            <w:r>
              <w:rPr>
                <w:rFonts w:hint="eastAsia" w:ascii="宋体" w:hAnsi="宋体" w:eastAsia="宋体" w:cs="宋体"/>
                <w:color w:val="auto"/>
                <w:sz w:val="21"/>
                <w:highlight w:val="none"/>
                <w:lang w:eastAsia="zh-CN"/>
              </w:rPr>
              <w:t>缺陷</w:t>
            </w:r>
            <w:r>
              <w:rPr>
                <w:rFonts w:hint="eastAsia" w:ascii="宋体" w:hAnsi="宋体" w:eastAsia="宋体" w:cs="宋体"/>
                <w:color w:val="auto"/>
                <w:spacing w:val="-3"/>
                <w:sz w:val="21"/>
                <w:highlight w:val="none"/>
                <w:lang w:eastAsia="zh-CN"/>
              </w:rPr>
              <w:t>责</w:t>
            </w:r>
            <w:r>
              <w:rPr>
                <w:rFonts w:hint="eastAsia" w:ascii="宋体" w:hAnsi="宋体" w:eastAsia="宋体" w:cs="宋体"/>
                <w:color w:val="auto"/>
                <w:sz w:val="21"/>
                <w:highlight w:val="none"/>
                <w:lang w:eastAsia="zh-CN"/>
              </w:rPr>
              <w:t>任</w:t>
            </w:r>
            <w:r>
              <w:rPr>
                <w:rFonts w:hint="eastAsia" w:ascii="宋体" w:hAnsi="宋体" w:eastAsia="宋体" w:cs="宋体"/>
                <w:color w:val="auto"/>
                <w:spacing w:val="-3"/>
                <w:sz w:val="21"/>
                <w:highlight w:val="none"/>
                <w:lang w:eastAsia="zh-CN"/>
              </w:rPr>
              <w:t>期</w:t>
            </w:r>
            <w:r>
              <w:rPr>
                <w:rFonts w:hint="eastAsia" w:ascii="宋体" w:hAnsi="宋体" w:eastAsia="宋体" w:cs="宋体"/>
                <w:color w:val="auto"/>
                <w:sz w:val="21"/>
                <w:highlight w:val="none"/>
                <w:lang w:eastAsia="zh-CN"/>
              </w:rPr>
              <w:t>：</w:t>
            </w:r>
            <w:r>
              <w:rPr>
                <w:rFonts w:hint="eastAsia" w:ascii="宋体" w:hAnsi="宋体" w:eastAsia="宋体" w:cs="宋体"/>
                <w:color w:val="auto"/>
                <w:spacing w:val="-3"/>
                <w:sz w:val="21"/>
                <w:highlight w:val="none"/>
                <w:lang w:eastAsia="zh-CN"/>
              </w:rPr>
              <w:t>自</w:t>
            </w:r>
            <w:r>
              <w:rPr>
                <w:rFonts w:hint="eastAsia" w:ascii="宋体" w:hAnsi="宋体" w:eastAsia="宋体" w:cs="宋体"/>
                <w:color w:val="auto"/>
                <w:sz w:val="21"/>
                <w:highlight w:val="none"/>
                <w:lang w:eastAsia="zh-CN"/>
              </w:rPr>
              <w:t>实</w:t>
            </w:r>
            <w:r>
              <w:rPr>
                <w:rFonts w:hint="eastAsia" w:ascii="宋体" w:hAnsi="宋体" w:eastAsia="宋体" w:cs="宋体"/>
                <w:color w:val="auto"/>
                <w:spacing w:val="-3"/>
                <w:sz w:val="21"/>
                <w:highlight w:val="none"/>
                <w:lang w:eastAsia="zh-CN"/>
              </w:rPr>
              <w:t>际</w:t>
            </w:r>
            <w:r>
              <w:rPr>
                <w:rFonts w:hint="eastAsia" w:ascii="宋体" w:hAnsi="宋体" w:eastAsia="宋体" w:cs="宋体"/>
                <w:color w:val="auto"/>
                <w:sz w:val="21"/>
                <w:highlight w:val="none"/>
                <w:lang w:eastAsia="zh-CN"/>
              </w:rPr>
              <w:t>交</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日期</w:t>
            </w:r>
            <w:r>
              <w:rPr>
                <w:rFonts w:hint="eastAsia" w:ascii="宋体" w:hAnsi="宋体" w:eastAsia="宋体" w:cs="宋体"/>
                <w:color w:val="auto"/>
                <w:spacing w:val="-3"/>
                <w:sz w:val="21"/>
                <w:highlight w:val="none"/>
                <w:lang w:eastAsia="zh-CN"/>
              </w:rPr>
              <w:t>起</w:t>
            </w:r>
            <w:r>
              <w:rPr>
                <w:rFonts w:hint="eastAsia" w:ascii="宋体" w:hAnsi="宋体" w:eastAsia="宋体" w:cs="宋体"/>
                <w:color w:val="auto"/>
                <w:sz w:val="21"/>
                <w:highlight w:val="none"/>
                <w:lang w:eastAsia="zh-CN"/>
              </w:rPr>
              <w:t>计</w:t>
            </w:r>
            <w:r>
              <w:rPr>
                <w:rFonts w:hint="eastAsia" w:ascii="宋体" w:hAnsi="宋体" w:eastAsia="宋体" w:cs="宋体"/>
                <w:color w:val="auto"/>
                <w:spacing w:val="-3"/>
                <w:sz w:val="21"/>
                <w:highlight w:val="none"/>
                <w:lang w:eastAsia="zh-CN"/>
              </w:rPr>
              <w:t>算</w:t>
            </w:r>
            <w:r>
              <w:rPr>
                <w:rFonts w:hint="eastAsia" w:ascii="宋体" w:hAnsi="宋体" w:eastAsia="宋体" w:cs="宋体"/>
                <w:color w:val="auto"/>
                <w:spacing w:val="-3"/>
                <w:sz w:val="21"/>
                <w:highlight w:val="none"/>
                <w:u w:val="single"/>
                <w:lang w:eastAsia="zh-CN"/>
              </w:rPr>
              <w:t>1</w:t>
            </w:r>
            <w:r>
              <w:rPr>
                <w:rFonts w:hint="eastAsia" w:ascii="宋体" w:hAnsi="宋体" w:eastAsia="宋体" w:cs="宋体"/>
                <w:color w:val="auto"/>
                <w:spacing w:val="-3"/>
                <w:sz w:val="21"/>
                <w:highlight w:val="none"/>
                <w:lang w:eastAsia="zh-CN"/>
              </w:rPr>
              <w:t>年</w:t>
            </w:r>
          </w:p>
        </w:tc>
      </w:tr>
      <w:tr w14:paraId="545D6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629" w:type="dxa"/>
            <w:noWrap w:val="0"/>
            <w:vAlign w:val="center"/>
          </w:tcPr>
          <w:p w14:paraId="3BD223BB">
            <w:pPr>
              <w:pStyle w:val="39"/>
              <w:spacing w:before="11"/>
              <w:rPr>
                <w:rFonts w:hint="eastAsia" w:ascii="宋体" w:hAnsi="宋体" w:eastAsia="宋体" w:cs="宋体"/>
                <w:color w:val="auto"/>
                <w:highlight w:val="none"/>
                <w:lang w:eastAsia="zh-CN"/>
              </w:rPr>
            </w:pPr>
          </w:p>
          <w:p w14:paraId="659FDFC1">
            <w:pPr>
              <w:pStyle w:val="39"/>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4</w:t>
            </w:r>
          </w:p>
        </w:tc>
        <w:tc>
          <w:tcPr>
            <w:tcW w:w="1111" w:type="dxa"/>
            <w:noWrap w:val="0"/>
            <w:vAlign w:val="center"/>
          </w:tcPr>
          <w:p w14:paraId="6106DA8A">
            <w:pPr>
              <w:pStyle w:val="39"/>
              <w:spacing w:before="11"/>
              <w:rPr>
                <w:rFonts w:hint="eastAsia" w:ascii="宋体" w:hAnsi="宋体" w:eastAsia="宋体" w:cs="宋体"/>
                <w:color w:val="auto"/>
                <w:highlight w:val="none"/>
              </w:rPr>
            </w:pPr>
          </w:p>
          <w:p w14:paraId="28F3F658">
            <w:pPr>
              <w:pStyle w:val="39"/>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1.6.3</w:t>
            </w:r>
          </w:p>
        </w:tc>
        <w:tc>
          <w:tcPr>
            <w:tcW w:w="7305" w:type="dxa"/>
            <w:noWrap w:val="0"/>
            <w:vAlign w:val="center"/>
          </w:tcPr>
          <w:p w14:paraId="0DC9243B">
            <w:pPr>
              <w:pStyle w:val="39"/>
              <w:tabs>
                <w:tab w:val="left" w:pos="1893"/>
              </w:tabs>
              <w:spacing w:before="12" w:line="360" w:lineRule="exact"/>
              <w:ind w:left="107" w:right="91" w:firstLine="24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图纸</w:t>
            </w:r>
            <w:r>
              <w:rPr>
                <w:rFonts w:hint="eastAsia" w:ascii="宋体" w:hAnsi="宋体" w:eastAsia="宋体" w:cs="宋体"/>
                <w:color w:val="auto"/>
                <w:spacing w:val="-3"/>
                <w:sz w:val="21"/>
                <w:highlight w:val="none"/>
                <w:lang w:eastAsia="zh-CN"/>
              </w:rPr>
              <w:t>需</w:t>
            </w:r>
            <w:r>
              <w:rPr>
                <w:rFonts w:hint="eastAsia" w:ascii="宋体" w:hAnsi="宋体" w:eastAsia="宋体" w:cs="宋体"/>
                <w:color w:val="auto"/>
                <w:sz w:val="21"/>
                <w:highlight w:val="none"/>
                <w:lang w:eastAsia="zh-CN"/>
              </w:rPr>
              <w:t>要</w:t>
            </w:r>
            <w:r>
              <w:rPr>
                <w:rFonts w:hint="eastAsia" w:ascii="宋体" w:hAnsi="宋体" w:eastAsia="宋体" w:cs="宋体"/>
                <w:color w:val="auto"/>
                <w:spacing w:val="-3"/>
                <w:sz w:val="21"/>
                <w:highlight w:val="none"/>
                <w:lang w:eastAsia="zh-CN"/>
              </w:rPr>
              <w:t>修</w:t>
            </w:r>
            <w:r>
              <w:rPr>
                <w:rFonts w:hint="eastAsia" w:ascii="宋体" w:hAnsi="宋体" w:eastAsia="宋体" w:cs="宋体"/>
                <w:color w:val="auto"/>
                <w:sz w:val="21"/>
                <w:highlight w:val="none"/>
                <w:lang w:eastAsia="zh-CN"/>
              </w:rPr>
              <w:t>改</w:t>
            </w:r>
            <w:r>
              <w:rPr>
                <w:rFonts w:hint="eastAsia" w:ascii="宋体" w:hAnsi="宋体" w:eastAsia="宋体" w:cs="宋体"/>
                <w:color w:val="auto"/>
                <w:spacing w:val="-3"/>
                <w:sz w:val="21"/>
                <w:highlight w:val="none"/>
                <w:lang w:eastAsia="zh-CN"/>
              </w:rPr>
              <w:t>和</w:t>
            </w:r>
            <w:r>
              <w:rPr>
                <w:rFonts w:hint="eastAsia" w:ascii="宋体" w:hAnsi="宋体" w:eastAsia="宋体" w:cs="宋体"/>
                <w:color w:val="auto"/>
                <w:sz w:val="21"/>
                <w:highlight w:val="none"/>
                <w:lang w:eastAsia="zh-CN"/>
              </w:rPr>
              <w:t>补</w:t>
            </w:r>
            <w:r>
              <w:rPr>
                <w:rFonts w:hint="eastAsia" w:ascii="宋体" w:hAnsi="宋体" w:eastAsia="宋体" w:cs="宋体"/>
                <w:color w:val="auto"/>
                <w:spacing w:val="-3"/>
                <w:sz w:val="21"/>
                <w:highlight w:val="none"/>
                <w:lang w:eastAsia="zh-CN"/>
              </w:rPr>
              <w:t>充</w:t>
            </w:r>
            <w:r>
              <w:rPr>
                <w:rFonts w:hint="eastAsia" w:ascii="宋体" w:hAnsi="宋体" w:eastAsia="宋体" w:cs="宋体"/>
                <w:color w:val="auto"/>
                <w:sz w:val="21"/>
                <w:highlight w:val="none"/>
                <w:lang w:eastAsia="zh-CN"/>
              </w:rPr>
              <w:t>的</w:t>
            </w:r>
            <w:r>
              <w:rPr>
                <w:rFonts w:hint="eastAsia" w:ascii="宋体" w:hAnsi="宋体" w:eastAsia="宋体" w:cs="宋体"/>
                <w:color w:val="auto"/>
                <w:spacing w:val="-44"/>
                <w:sz w:val="21"/>
                <w:highlight w:val="none"/>
                <w:lang w:eastAsia="zh-CN"/>
              </w:rPr>
              <w:t>，</w:t>
            </w:r>
            <w:r>
              <w:rPr>
                <w:rFonts w:hint="eastAsia" w:ascii="宋体" w:hAnsi="宋体" w:eastAsia="宋体" w:cs="宋体"/>
                <w:color w:val="auto"/>
                <w:sz w:val="21"/>
                <w:highlight w:val="none"/>
                <w:lang w:eastAsia="zh-CN"/>
              </w:rPr>
              <w:t>应由</w:t>
            </w:r>
            <w:r>
              <w:rPr>
                <w:rFonts w:hint="eastAsia" w:ascii="宋体" w:hAnsi="宋体" w:eastAsia="宋体" w:cs="宋体"/>
                <w:color w:val="auto"/>
                <w:spacing w:val="-3"/>
                <w:sz w:val="21"/>
                <w:highlight w:val="none"/>
                <w:lang w:eastAsia="zh-CN"/>
              </w:rPr>
              <w:t>监</w:t>
            </w:r>
            <w:r>
              <w:rPr>
                <w:rFonts w:hint="eastAsia" w:ascii="宋体" w:hAnsi="宋体" w:eastAsia="宋体" w:cs="宋体"/>
                <w:color w:val="auto"/>
                <w:sz w:val="21"/>
                <w:highlight w:val="none"/>
                <w:lang w:eastAsia="zh-CN"/>
              </w:rPr>
              <w:t>理</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取</w:t>
            </w:r>
            <w:r>
              <w:rPr>
                <w:rFonts w:hint="eastAsia" w:ascii="宋体" w:hAnsi="宋体" w:eastAsia="宋体" w:cs="宋体"/>
                <w:color w:val="auto"/>
                <w:spacing w:val="-3"/>
                <w:sz w:val="21"/>
                <w:highlight w:val="none"/>
                <w:lang w:eastAsia="zh-CN"/>
              </w:rPr>
              <w:t>得</w:t>
            </w:r>
            <w:r>
              <w:rPr>
                <w:rFonts w:hint="eastAsia" w:ascii="宋体" w:hAnsi="宋体" w:eastAsia="宋体" w:cs="宋体"/>
                <w:color w:val="auto"/>
                <w:sz w:val="21"/>
                <w:highlight w:val="none"/>
                <w:lang w:eastAsia="zh-CN"/>
              </w:rPr>
              <w:t>发</w:t>
            </w:r>
            <w:r>
              <w:rPr>
                <w:rFonts w:hint="eastAsia" w:ascii="宋体" w:hAnsi="宋体" w:eastAsia="宋体" w:cs="宋体"/>
                <w:color w:val="auto"/>
                <w:spacing w:val="-3"/>
                <w:sz w:val="21"/>
                <w:highlight w:val="none"/>
                <w:lang w:eastAsia="zh-CN"/>
              </w:rPr>
              <w:t>包</w:t>
            </w:r>
            <w:r>
              <w:rPr>
                <w:rFonts w:hint="eastAsia" w:ascii="宋体" w:hAnsi="宋体" w:eastAsia="宋体" w:cs="宋体"/>
                <w:color w:val="auto"/>
                <w:sz w:val="21"/>
                <w:highlight w:val="none"/>
                <w:lang w:eastAsia="zh-CN"/>
              </w:rPr>
              <w:t>人</w:t>
            </w:r>
            <w:r>
              <w:rPr>
                <w:rFonts w:hint="eastAsia" w:ascii="宋体" w:hAnsi="宋体" w:eastAsia="宋体" w:cs="宋体"/>
                <w:color w:val="auto"/>
                <w:spacing w:val="-3"/>
                <w:sz w:val="21"/>
                <w:highlight w:val="none"/>
                <w:lang w:eastAsia="zh-CN"/>
              </w:rPr>
              <w:t>同</w:t>
            </w:r>
            <w:r>
              <w:rPr>
                <w:rFonts w:hint="eastAsia" w:ascii="宋体" w:hAnsi="宋体" w:eastAsia="宋体" w:cs="宋体"/>
                <w:color w:val="auto"/>
                <w:sz w:val="21"/>
                <w:highlight w:val="none"/>
                <w:lang w:eastAsia="zh-CN"/>
              </w:rPr>
              <w:t>意后</w:t>
            </w:r>
            <w:r>
              <w:rPr>
                <w:rFonts w:hint="eastAsia" w:ascii="宋体" w:hAnsi="宋体" w:eastAsia="宋体" w:cs="宋体"/>
                <w:color w:val="auto"/>
                <w:spacing w:val="-44"/>
                <w:sz w:val="21"/>
                <w:highlight w:val="none"/>
                <w:lang w:eastAsia="zh-CN"/>
              </w:rPr>
              <w:t>，</w:t>
            </w:r>
            <w:r>
              <w:rPr>
                <w:rFonts w:hint="eastAsia" w:ascii="宋体" w:hAnsi="宋体" w:eastAsia="宋体" w:cs="宋体"/>
                <w:color w:val="auto"/>
                <w:sz w:val="21"/>
                <w:highlight w:val="none"/>
                <w:lang w:eastAsia="zh-CN"/>
              </w:rPr>
              <w:t>在</w:t>
            </w:r>
            <w:r>
              <w:rPr>
                <w:rFonts w:hint="eastAsia" w:ascii="宋体" w:hAnsi="宋体" w:eastAsia="宋体" w:cs="宋体"/>
                <w:color w:val="auto"/>
                <w:spacing w:val="-3"/>
                <w:sz w:val="21"/>
                <w:highlight w:val="none"/>
                <w:lang w:eastAsia="zh-CN"/>
              </w:rPr>
              <w:t>该</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程</w:t>
            </w:r>
            <w:r>
              <w:rPr>
                <w:rFonts w:hint="eastAsia" w:ascii="宋体" w:hAnsi="宋体" w:eastAsia="宋体" w:cs="宋体"/>
                <w:color w:val="auto"/>
                <w:sz w:val="21"/>
                <w:highlight w:val="none"/>
                <w:lang w:eastAsia="zh-CN"/>
              </w:rPr>
              <w:t>或</w:t>
            </w:r>
            <w:r>
              <w:rPr>
                <w:rFonts w:hint="eastAsia" w:ascii="宋体" w:hAnsi="宋体" w:eastAsia="宋体" w:cs="宋体"/>
                <w:color w:val="auto"/>
                <w:spacing w:val="-3"/>
                <w:sz w:val="21"/>
                <w:highlight w:val="none"/>
                <w:lang w:eastAsia="zh-CN"/>
              </w:rPr>
              <w:t>工程</w:t>
            </w:r>
            <w:r>
              <w:rPr>
                <w:rFonts w:hint="eastAsia" w:ascii="宋体" w:hAnsi="宋体" w:eastAsia="宋体" w:cs="宋体"/>
                <w:color w:val="auto"/>
                <w:sz w:val="21"/>
                <w:highlight w:val="none"/>
                <w:lang w:eastAsia="zh-CN"/>
              </w:rPr>
              <w:t>相应部</w:t>
            </w:r>
            <w:r>
              <w:rPr>
                <w:rFonts w:hint="eastAsia" w:ascii="宋体" w:hAnsi="宋体" w:eastAsia="宋体" w:cs="宋体"/>
                <w:color w:val="auto"/>
                <w:spacing w:val="-3"/>
                <w:sz w:val="21"/>
                <w:highlight w:val="none"/>
                <w:lang w:eastAsia="zh-CN"/>
              </w:rPr>
              <w:t>位</w:t>
            </w:r>
            <w:r>
              <w:rPr>
                <w:rFonts w:hint="eastAsia" w:ascii="宋体" w:hAnsi="宋体" w:eastAsia="宋体" w:cs="宋体"/>
                <w:color w:val="auto"/>
                <w:sz w:val="21"/>
                <w:highlight w:val="none"/>
                <w:lang w:eastAsia="zh-CN"/>
              </w:rPr>
              <w:t>施</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前</w:t>
            </w:r>
            <w:r>
              <w:rPr>
                <w:rFonts w:hint="eastAsia" w:ascii="宋体" w:hAnsi="宋体" w:eastAsia="宋体" w:cs="宋体"/>
                <w:color w:val="auto"/>
                <w:sz w:val="21"/>
                <w:highlight w:val="none"/>
                <w:u w:val="single"/>
                <w:lang w:val="en-US" w:eastAsia="zh-CN"/>
              </w:rPr>
              <w:t xml:space="preserve">  14  </w:t>
            </w:r>
            <w:r>
              <w:rPr>
                <w:rFonts w:hint="eastAsia" w:ascii="宋体" w:hAnsi="宋体" w:eastAsia="宋体" w:cs="宋体"/>
                <w:color w:val="auto"/>
                <w:sz w:val="21"/>
                <w:highlight w:val="none"/>
                <w:lang w:eastAsia="zh-CN"/>
              </w:rPr>
              <w:t>天</w:t>
            </w:r>
            <w:r>
              <w:rPr>
                <w:rFonts w:hint="eastAsia" w:ascii="宋体" w:hAnsi="宋体" w:eastAsia="宋体" w:cs="宋体"/>
                <w:color w:val="auto"/>
                <w:spacing w:val="-3"/>
                <w:sz w:val="21"/>
                <w:highlight w:val="none"/>
                <w:lang w:eastAsia="zh-CN"/>
              </w:rPr>
              <w:t>签发</w:t>
            </w:r>
            <w:r>
              <w:rPr>
                <w:rFonts w:hint="eastAsia" w:ascii="宋体" w:hAnsi="宋体" w:eastAsia="宋体" w:cs="宋体"/>
                <w:color w:val="auto"/>
                <w:sz w:val="21"/>
                <w:highlight w:val="none"/>
                <w:lang w:eastAsia="zh-CN"/>
              </w:rPr>
              <w:t>图纸修改图给承包人</w:t>
            </w:r>
          </w:p>
        </w:tc>
      </w:tr>
      <w:tr w14:paraId="6EF7A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jc w:val="center"/>
        </w:trPr>
        <w:tc>
          <w:tcPr>
            <w:tcW w:w="629" w:type="dxa"/>
            <w:noWrap w:val="0"/>
            <w:vAlign w:val="center"/>
          </w:tcPr>
          <w:p w14:paraId="150A93F5">
            <w:pPr>
              <w:pStyle w:val="39"/>
              <w:rPr>
                <w:rFonts w:hint="eastAsia" w:ascii="宋体" w:hAnsi="宋体" w:eastAsia="宋体" w:cs="宋体"/>
                <w:color w:val="auto"/>
                <w:highlight w:val="none"/>
                <w:lang w:eastAsia="zh-CN"/>
              </w:rPr>
            </w:pPr>
          </w:p>
          <w:p w14:paraId="3476170C">
            <w:pPr>
              <w:pStyle w:val="39"/>
              <w:spacing w:before="179"/>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5</w:t>
            </w:r>
          </w:p>
        </w:tc>
        <w:tc>
          <w:tcPr>
            <w:tcW w:w="1111" w:type="dxa"/>
            <w:noWrap w:val="0"/>
            <w:vAlign w:val="center"/>
          </w:tcPr>
          <w:p w14:paraId="11D68D07">
            <w:pPr>
              <w:pStyle w:val="39"/>
              <w:rPr>
                <w:rFonts w:hint="eastAsia" w:ascii="宋体" w:hAnsi="宋体" w:eastAsia="宋体" w:cs="宋体"/>
                <w:color w:val="auto"/>
                <w:highlight w:val="none"/>
              </w:rPr>
            </w:pPr>
          </w:p>
          <w:p w14:paraId="3D1D027B">
            <w:pPr>
              <w:pStyle w:val="39"/>
              <w:spacing w:before="179"/>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3.1.1</w:t>
            </w:r>
          </w:p>
        </w:tc>
        <w:tc>
          <w:tcPr>
            <w:tcW w:w="7305" w:type="dxa"/>
            <w:noWrap w:val="0"/>
            <w:vAlign w:val="center"/>
          </w:tcPr>
          <w:p w14:paraId="725900F4">
            <w:pPr>
              <w:spacing w:line="3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监理人在行使下列权力前需要经发包人事先批准：　　　</w:t>
            </w:r>
          </w:p>
          <w:p w14:paraId="291BFEE1">
            <w:pPr>
              <w:pStyle w:val="39"/>
              <w:spacing w:before="1" w:line="360" w:lineRule="atLeast"/>
              <w:ind w:left="107" w:right="83" w:firstLine="225"/>
              <w:rPr>
                <w:rFonts w:hint="eastAsia" w:ascii="宋体" w:hAnsi="宋体" w:eastAsia="宋体" w:cs="宋体"/>
                <w:color w:val="auto"/>
                <w:sz w:val="21"/>
                <w:highlight w:val="none"/>
                <w:lang w:eastAsia="zh-CN"/>
              </w:rPr>
            </w:pPr>
            <w:r>
              <w:rPr>
                <w:rFonts w:hint="eastAsia" w:ascii="宋体" w:hAnsi="宋体" w:cs="宋体"/>
                <w:color w:val="auto"/>
                <w:szCs w:val="21"/>
                <w:highlight w:val="none"/>
              </w:rPr>
              <w:t>（6）根据第 15.3 款发出的变更指示，无论其单项工程变更涉及的金额或累计涉及的金额为多少。</w:t>
            </w:r>
          </w:p>
        </w:tc>
      </w:tr>
      <w:tr w14:paraId="1BAEA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629" w:type="dxa"/>
            <w:noWrap w:val="0"/>
            <w:vAlign w:val="center"/>
          </w:tcPr>
          <w:p w14:paraId="6BF6ADA9">
            <w:pPr>
              <w:pStyle w:val="39"/>
              <w:spacing w:before="11"/>
              <w:rPr>
                <w:rFonts w:hint="eastAsia" w:ascii="宋体" w:hAnsi="宋体" w:eastAsia="宋体" w:cs="宋体"/>
                <w:color w:val="auto"/>
                <w:highlight w:val="none"/>
                <w:lang w:eastAsia="zh-CN"/>
              </w:rPr>
            </w:pPr>
          </w:p>
          <w:p w14:paraId="554A42DB">
            <w:pPr>
              <w:pStyle w:val="39"/>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6</w:t>
            </w:r>
          </w:p>
        </w:tc>
        <w:tc>
          <w:tcPr>
            <w:tcW w:w="1111" w:type="dxa"/>
            <w:noWrap w:val="0"/>
            <w:vAlign w:val="center"/>
          </w:tcPr>
          <w:p w14:paraId="1E709B74">
            <w:pPr>
              <w:pStyle w:val="39"/>
              <w:spacing w:before="11"/>
              <w:rPr>
                <w:rFonts w:hint="eastAsia" w:ascii="宋体" w:hAnsi="宋体" w:eastAsia="宋体" w:cs="宋体"/>
                <w:color w:val="auto"/>
                <w:highlight w:val="none"/>
              </w:rPr>
            </w:pPr>
          </w:p>
          <w:p w14:paraId="004260E1">
            <w:pPr>
              <w:pStyle w:val="39"/>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5.2.1</w:t>
            </w:r>
          </w:p>
        </w:tc>
        <w:tc>
          <w:tcPr>
            <w:tcW w:w="7305" w:type="dxa"/>
            <w:noWrap w:val="0"/>
            <w:vAlign w:val="center"/>
          </w:tcPr>
          <w:p w14:paraId="2D5326EC">
            <w:pPr>
              <w:pStyle w:val="39"/>
              <w:tabs>
                <w:tab w:val="left" w:pos="4445"/>
              </w:tabs>
              <w:spacing w:before="89"/>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发包</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是</w:t>
            </w:r>
            <w:r>
              <w:rPr>
                <w:rFonts w:hint="eastAsia" w:ascii="宋体" w:hAnsi="宋体" w:eastAsia="宋体" w:cs="宋体"/>
                <w:color w:val="auto"/>
                <w:spacing w:val="-3"/>
                <w:sz w:val="21"/>
                <w:highlight w:val="none"/>
                <w:lang w:eastAsia="zh-CN"/>
              </w:rPr>
              <w:t>否</w:t>
            </w:r>
            <w:r>
              <w:rPr>
                <w:rFonts w:hint="eastAsia" w:ascii="宋体" w:hAnsi="宋体" w:eastAsia="宋体" w:cs="宋体"/>
                <w:color w:val="auto"/>
                <w:sz w:val="21"/>
                <w:highlight w:val="none"/>
                <w:lang w:eastAsia="zh-CN"/>
              </w:rPr>
              <w:t>提</w:t>
            </w:r>
            <w:r>
              <w:rPr>
                <w:rFonts w:hint="eastAsia" w:ascii="宋体" w:hAnsi="宋体" w:eastAsia="宋体" w:cs="宋体"/>
                <w:color w:val="auto"/>
                <w:spacing w:val="-3"/>
                <w:sz w:val="21"/>
                <w:highlight w:val="none"/>
                <w:lang w:eastAsia="zh-CN"/>
              </w:rPr>
              <w:t>供</w:t>
            </w:r>
            <w:r>
              <w:rPr>
                <w:rFonts w:hint="eastAsia" w:ascii="宋体" w:hAnsi="宋体" w:eastAsia="宋体" w:cs="宋体"/>
                <w:color w:val="auto"/>
                <w:sz w:val="21"/>
                <w:highlight w:val="none"/>
                <w:lang w:eastAsia="zh-CN"/>
              </w:rPr>
              <w:t>材</w:t>
            </w:r>
            <w:r>
              <w:rPr>
                <w:rFonts w:hint="eastAsia" w:ascii="宋体" w:hAnsi="宋体" w:eastAsia="宋体" w:cs="宋体"/>
                <w:color w:val="auto"/>
                <w:spacing w:val="-3"/>
                <w:sz w:val="21"/>
                <w:highlight w:val="none"/>
                <w:lang w:eastAsia="zh-CN"/>
              </w:rPr>
              <w:t>料</w:t>
            </w:r>
            <w:r>
              <w:rPr>
                <w:rFonts w:hint="eastAsia" w:ascii="宋体" w:hAnsi="宋体" w:eastAsia="宋体" w:cs="宋体"/>
                <w:color w:val="auto"/>
                <w:sz w:val="21"/>
                <w:highlight w:val="none"/>
                <w:lang w:eastAsia="zh-CN"/>
              </w:rPr>
              <w:t>或</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程设</w:t>
            </w:r>
            <w:r>
              <w:rPr>
                <w:rFonts w:hint="eastAsia" w:ascii="宋体" w:hAnsi="宋体" w:eastAsia="宋体" w:cs="宋体"/>
                <w:color w:val="auto"/>
                <w:spacing w:val="-3"/>
                <w:sz w:val="21"/>
                <w:highlight w:val="none"/>
                <w:lang w:eastAsia="zh-CN"/>
              </w:rPr>
              <w:t>备</w:t>
            </w:r>
            <w:r>
              <w:rPr>
                <w:rFonts w:hint="eastAsia" w:ascii="宋体" w:hAnsi="宋体" w:eastAsia="宋体" w:cs="宋体"/>
                <w:color w:val="auto"/>
                <w:sz w:val="21"/>
                <w:highlight w:val="none"/>
                <w:u w:val="none"/>
                <w:lang w:eastAsia="zh-CN"/>
              </w:rPr>
              <w:t>：</w:t>
            </w:r>
            <w:r>
              <w:rPr>
                <w:rFonts w:hint="eastAsia" w:ascii="宋体" w:hAnsi="宋体" w:eastAsia="宋体" w:cs="宋体"/>
                <w:color w:val="auto"/>
                <w:kern w:val="2"/>
                <w:sz w:val="21"/>
                <w:szCs w:val="21"/>
                <w:highlight w:val="none"/>
                <w:u w:val="single"/>
                <w:lang w:eastAsia="zh-CN"/>
              </w:rPr>
              <w:t>否</w:t>
            </w:r>
            <w:r>
              <w:rPr>
                <w:rFonts w:hint="eastAsia" w:ascii="宋体" w:hAnsi="宋体" w:eastAsia="宋体" w:cs="宋体"/>
                <w:color w:val="auto"/>
                <w:spacing w:val="17"/>
                <w:sz w:val="21"/>
                <w:highlight w:val="none"/>
                <w:lang w:eastAsia="zh-CN"/>
              </w:rPr>
              <w:t>（</w:t>
            </w:r>
            <w:r>
              <w:rPr>
                <w:rFonts w:hint="eastAsia" w:ascii="宋体" w:hAnsi="宋体" w:eastAsia="宋体" w:cs="宋体"/>
                <w:color w:val="auto"/>
                <w:sz w:val="21"/>
                <w:highlight w:val="none"/>
                <w:lang w:eastAsia="zh-CN"/>
              </w:rPr>
              <w:t>是</w:t>
            </w:r>
            <w:r>
              <w:rPr>
                <w:rFonts w:hint="eastAsia" w:ascii="宋体" w:hAnsi="宋体" w:eastAsia="宋体" w:cs="宋体"/>
                <w:color w:val="auto"/>
                <w:spacing w:val="-3"/>
                <w:sz w:val="21"/>
                <w:highlight w:val="none"/>
                <w:lang w:eastAsia="zh-CN"/>
              </w:rPr>
              <w:t>或</w:t>
            </w:r>
            <w:r>
              <w:rPr>
                <w:rFonts w:hint="eastAsia" w:ascii="宋体" w:hAnsi="宋体" w:eastAsia="宋体" w:cs="宋体"/>
                <w:color w:val="auto"/>
                <w:sz w:val="21"/>
                <w:highlight w:val="none"/>
                <w:lang w:eastAsia="zh-CN"/>
              </w:rPr>
              <w:t>否</w:t>
            </w:r>
            <w:r>
              <w:rPr>
                <w:rFonts w:hint="eastAsia" w:ascii="宋体" w:hAnsi="宋体" w:eastAsia="宋体" w:cs="宋体"/>
                <w:color w:val="auto"/>
                <w:spacing w:val="17"/>
                <w:sz w:val="21"/>
                <w:highlight w:val="none"/>
                <w:lang w:eastAsia="zh-CN"/>
              </w:rPr>
              <w:t>）</w:t>
            </w:r>
          </w:p>
          <w:p w14:paraId="3E7B7CF1">
            <w:pPr>
              <w:pStyle w:val="39"/>
              <w:tabs>
                <w:tab w:val="left" w:pos="7244"/>
              </w:tabs>
              <w:spacing w:before="91"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pacing w:val="-1"/>
                <w:sz w:val="21"/>
                <w:highlight w:val="none"/>
                <w:lang w:eastAsia="zh-CN"/>
              </w:rPr>
              <w:t>如发</w:t>
            </w:r>
            <w:r>
              <w:rPr>
                <w:rFonts w:hint="eastAsia" w:ascii="宋体" w:hAnsi="宋体" w:eastAsia="宋体" w:cs="宋体"/>
                <w:color w:val="auto"/>
                <w:spacing w:val="-3"/>
                <w:sz w:val="21"/>
                <w:highlight w:val="none"/>
                <w:lang w:eastAsia="zh-CN"/>
              </w:rPr>
              <w:t>包</w:t>
            </w:r>
            <w:r>
              <w:rPr>
                <w:rFonts w:hint="eastAsia" w:ascii="宋体" w:hAnsi="宋体" w:eastAsia="宋体" w:cs="宋体"/>
                <w:color w:val="auto"/>
                <w:sz w:val="21"/>
                <w:highlight w:val="none"/>
                <w:lang w:eastAsia="zh-CN"/>
              </w:rPr>
              <w:t>人</w:t>
            </w:r>
            <w:r>
              <w:rPr>
                <w:rFonts w:hint="eastAsia" w:ascii="宋体" w:hAnsi="宋体" w:eastAsia="宋体" w:cs="宋体"/>
                <w:color w:val="auto"/>
                <w:spacing w:val="-3"/>
                <w:sz w:val="21"/>
                <w:highlight w:val="none"/>
                <w:lang w:eastAsia="zh-CN"/>
              </w:rPr>
              <w:t>负</w:t>
            </w:r>
            <w:r>
              <w:rPr>
                <w:rFonts w:hint="eastAsia" w:ascii="宋体" w:hAnsi="宋体" w:eastAsia="宋体" w:cs="宋体"/>
                <w:color w:val="auto"/>
                <w:sz w:val="21"/>
                <w:highlight w:val="none"/>
                <w:lang w:eastAsia="zh-CN"/>
              </w:rPr>
              <w:t>责</w:t>
            </w:r>
            <w:r>
              <w:rPr>
                <w:rFonts w:hint="eastAsia" w:ascii="宋体" w:hAnsi="宋体" w:eastAsia="宋体" w:cs="宋体"/>
                <w:color w:val="auto"/>
                <w:spacing w:val="-3"/>
                <w:sz w:val="21"/>
                <w:highlight w:val="none"/>
                <w:lang w:eastAsia="zh-CN"/>
              </w:rPr>
              <w:t>提</w:t>
            </w:r>
            <w:r>
              <w:rPr>
                <w:rFonts w:hint="eastAsia" w:ascii="宋体" w:hAnsi="宋体" w:eastAsia="宋体" w:cs="宋体"/>
                <w:color w:val="auto"/>
                <w:sz w:val="21"/>
                <w:highlight w:val="none"/>
                <w:lang w:eastAsia="zh-CN"/>
              </w:rPr>
              <w:t>供</w:t>
            </w:r>
            <w:r>
              <w:rPr>
                <w:rFonts w:hint="eastAsia" w:ascii="宋体" w:hAnsi="宋体" w:eastAsia="宋体" w:cs="宋体"/>
                <w:color w:val="auto"/>
                <w:spacing w:val="-3"/>
                <w:sz w:val="21"/>
                <w:highlight w:val="none"/>
                <w:lang w:eastAsia="zh-CN"/>
              </w:rPr>
              <w:t>部</w:t>
            </w:r>
            <w:r>
              <w:rPr>
                <w:rFonts w:hint="eastAsia" w:ascii="宋体" w:hAnsi="宋体" w:eastAsia="宋体" w:cs="宋体"/>
                <w:color w:val="auto"/>
                <w:sz w:val="21"/>
                <w:highlight w:val="none"/>
                <w:lang w:eastAsia="zh-CN"/>
              </w:rPr>
              <w:t>分</w:t>
            </w:r>
            <w:r>
              <w:rPr>
                <w:rFonts w:hint="eastAsia" w:ascii="宋体" w:hAnsi="宋体" w:eastAsia="宋体" w:cs="宋体"/>
                <w:color w:val="auto"/>
                <w:spacing w:val="-3"/>
                <w:sz w:val="21"/>
                <w:highlight w:val="none"/>
                <w:lang w:eastAsia="zh-CN"/>
              </w:rPr>
              <w:t>材</w:t>
            </w:r>
            <w:r>
              <w:rPr>
                <w:rFonts w:hint="eastAsia" w:ascii="宋体" w:hAnsi="宋体" w:eastAsia="宋体" w:cs="宋体"/>
                <w:color w:val="auto"/>
                <w:sz w:val="21"/>
                <w:highlight w:val="none"/>
                <w:lang w:eastAsia="zh-CN"/>
              </w:rPr>
              <w:t>料或</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程</w:t>
            </w:r>
            <w:r>
              <w:rPr>
                <w:rFonts w:hint="eastAsia" w:ascii="宋体" w:hAnsi="宋体" w:eastAsia="宋体" w:cs="宋体"/>
                <w:color w:val="auto"/>
                <w:spacing w:val="-3"/>
                <w:sz w:val="21"/>
                <w:highlight w:val="none"/>
                <w:lang w:eastAsia="zh-CN"/>
              </w:rPr>
              <w:t>设</w:t>
            </w:r>
            <w:r>
              <w:rPr>
                <w:rFonts w:hint="eastAsia" w:ascii="宋体" w:hAnsi="宋体" w:eastAsia="宋体" w:cs="宋体"/>
                <w:color w:val="auto"/>
                <w:sz w:val="21"/>
                <w:highlight w:val="none"/>
                <w:lang w:eastAsia="zh-CN"/>
              </w:rPr>
              <w:t>备</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sz w:val="21"/>
                <w:highlight w:val="none"/>
                <w:lang w:eastAsia="zh-CN"/>
              </w:rPr>
              <w:t>相</w:t>
            </w:r>
            <w:r>
              <w:rPr>
                <w:rFonts w:hint="eastAsia" w:ascii="宋体" w:hAnsi="宋体" w:eastAsia="宋体" w:cs="宋体"/>
                <w:color w:val="auto"/>
                <w:spacing w:val="-3"/>
                <w:sz w:val="21"/>
                <w:highlight w:val="none"/>
                <w:lang w:eastAsia="zh-CN"/>
              </w:rPr>
              <w:t>关</w:t>
            </w:r>
            <w:r>
              <w:rPr>
                <w:rFonts w:hint="eastAsia" w:ascii="宋体" w:hAnsi="宋体" w:eastAsia="宋体" w:cs="宋体"/>
                <w:color w:val="auto"/>
                <w:sz w:val="21"/>
                <w:highlight w:val="none"/>
                <w:lang w:eastAsia="zh-CN"/>
              </w:rPr>
              <w:t>规</w:t>
            </w:r>
            <w:r>
              <w:rPr>
                <w:rFonts w:hint="eastAsia" w:ascii="宋体" w:hAnsi="宋体" w:eastAsia="宋体" w:cs="宋体"/>
                <w:color w:val="auto"/>
                <w:spacing w:val="-3"/>
                <w:sz w:val="21"/>
                <w:highlight w:val="none"/>
                <w:lang w:eastAsia="zh-CN"/>
              </w:rPr>
              <w:t>定</w:t>
            </w:r>
            <w:r>
              <w:rPr>
                <w:rFonts w:hint="eastAsia" w:ascii="宋体" w:hAnsi="宋体" w:eastAsia="宋体" w:cs="宋体"/>
                <w:color w:val="auto"/>
                <w:sz w:val="21"/>
                <w:highlight w:val="none"/>
                <w:lang w:eastAsia="zh-CN"/>
              </w:rPr>
              <w:t>如下：</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u w:val="single"/>
                <w:lang w:eastAsia="zh-CN"/>
              </w:rPr>
              <w:tab/>
            </w:r>
          </w:p>
        </w:tc>
      </w:tr>
      <w:tr w14:paraId="77317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629" w:type="dxa"/>
            <w:noWrap w:val="0"/>
            <w:vAlign w:val="center"/>
          </w:tcPr>
          <w:p w14:paraId="67969255">
            <w:pPr>
              <w:pStyle w:val="39"/>
              <w:spacing w:before="11"/>
              <w:rPr>
                <w:rFonts w:hint="eastAsia" w:ascii="宋体" w:hAnsi="宋体" w:eastAsia="宋体" w:cs="宋体"/>
                <w:color w:val="auto"/>
                <w:highlight w:val="none"/>
                <w:lang w:eastAsia="zh-CN"/>
              </w:rPr>
            </w:pPr>
          </w:p>
          <w:p w14:paraId="05DCEB03">
            <w:pPr>
              <w:pStyle w:val="39"/>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7</w:t>
            </w:r>
          </w:p>
        </w:tc>
        <w:tc>
          <w:tcPr>
            <w:tcW w:w="1111" w:type="dxa"/>
            <w:noWrap w:val="0"/>
            <w:vAlign w:val="center"/>
          </w:tcPr>
          <w:p w14:paraId="604C90BC">
            <w:pPr>
              <w:pStyle w:val="39"/>
              <w:spacing w:before="11"/>
              <w:rPr>
                <w:rFonts w:hint="eastAsia" w:ascii="宋体" w:hAnsi="宋体" w:eastAsia="宋体" w:cs="宋体"/>
                <w:color w:val="auto"/>
                <w:highlight w:val="none"/>
              </w:rPr>
            </w:pPr>
          </w:p>
          <w:p w14:paraId="465602C8">
            <w:pPr>
              <w:pStyle w:val="39"/>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6.2</w:t>
            </w:r>
          </w:p>
        </w:tc>
        <w:tc>
          <w:tcPr>
            <w:tcW w:w="7305" w:type="dxa"/>
            <w:noWrap w:val="0"/>
            <w:vAlign w:val="center"/>
          </w:tcPr>
          <w:p w14:paraId="7D86D7AC">
            <w:pPr>
              <w:pStyle w:val="39"/>
              <w:tabs>
                <w:tab w:val="left" w:pos="4865"/>
              </w:tabs>
              <w:spacing w:before="89"/>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发包</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是</w:t>
            </w:r>
            <w:r>
              <w:rPr>
                <w:rFonts w:hint="eastAsia" w:ascii="宋体" w:hAnsi="宋体" w:eastAsia="宋体" w:cs="宋体"/>
                <w:color w:val="auto"/>
                <w:spacing w:val="-3"/>
                <w:sz w:val="21"/>
                <w:highlight w:val="none"/>
                <w:lang w:eastAsia="zh-CN"/>
              </w:rPr>
              <w:t>否</w:t>
            </w:r>
            <w:r>
              <w:rPr>
                <w:rFonts w:hint="eastAsia" w:ascii="宋体" w:hAnsi="宋体" w:eastAsia="宋体" w:cs="宋体"/>
                <w:color w:val="auto"/>
                <w:sz w:val="21"/>
                <w:highlight w:val="none"/>
                <w:lang w:eastAsia="zh-CN"/>
              </w:rPr>
              <w:t>提</w:t>
            </w:r>
            <w:r>
              <w:rPr>
                <w:rFonts w:hint="eastAsia" w:ascii="宋体" w:hAnsi="宋体" w:eastAsia="宋体" w:cs="宋体"/>
                <w:color w:val="auto"/>
                <w:spacing w:val="-3"/>
                <w:sz w:val="21"/>
                <w:highlight w:val="none"/>
                <w:lang w:eastAsia="zh-CN"/>
              </w:rPr>
              <w:t>供</w:t>
            </w:r>
            <w:r>
              <w:rPr>
                <w:rFonts w:hint="eastAsia" w:ascii="宋体" w:hAnsi="宋体" w:eastAsia="宋体" w:cs="宋体"/>
                <w:color w:val="auto"/>
                <w:sz w:val="21"/>
                <w:highlight w:val="none"/>
                <w:lang w:eastAsia="zh-CN"/>
              </w:rPr>
              <w:t>施</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设</w:t>
            </w:r>
            <w:r>
              <w:rPr>
                <w:rFonts w:hint="eastAsia" w:ascii="宋体" w:hAnsi="宋体" w:eastAsia="宋体" w:cs="宋体"/>
                <w:color w:val="auto"/>
                <w:spacing w:val="-3"/>
                <w:sz w:val="21"/>
                <w:highlight w:val="none"/>
                <w:lang w:eastAsia="zh-CN"/>
              </w:rPr>
              <w:t>备</w:t>
            </w:r>
            <w:r>
              <w:rPr>
                <w:rFonts w:hint="eastAsia" w:ascii="宋体" w:hAnsi="宋体" w:eastAsia="宋体" w:cs="宋体"/>
                <w:color w:val="auto"/>
                <w:sz w:val="21"/>
                <w:highlight w:val="none"/>
                <w:lang w:eastAsia="zh-CN"/>
              </w:rPr>
              <w:t>和临</w:t>
            </w:r>
            <w:r>
              <w:rPr>
                <w:rFonts w:hint="eastAsia" w:ascii="宋体" w:hAnsi="宋体" w:eastAsia="宋体" w:cs="宋体"/>
                <w:color w:val="auto"/>
                <w:spacing w:val="-3"/>
                <w:sz w:val="21"/>
                <w:highlight w:val="none"/>
                <w:lang w:eastAsia="zh-CN"/>
              </w:rPr>
              <w:t>时</w:t>
            </w:r>
            <w:r>
              <w:rPr>
                <w:rFonts w:hint="eastAsia" w:ascii="宋体" w:hAnsi="宋体" w:eastAsia="宋体" w:cs="宋体"/>
                <w:color w:val="auto"/>
                <w:sz w:val="21"/>
                <w:highlight w:val="none"/>
                <w:lang w:eastAsia="zh-CN"/>
              </w:rPr>
              <w:t>设</w:t>
            </w:r>
            <w:r>
              <w:rPr>
                <w:rFonts w:hint="eastAsia" w:ascii="宋体" w:hAnsi="宋体" w:eastAsia="宋体" w:cs="宋体"/>
                <w:color w:val="auto"/>
                <w:spacing w:val="-3"/>
                <w:sz w:val="21"/>
                <w:highlight w:val="none"/>
                <w:lang w:eastAsia="zh-CN"/>
              </w:rPr>
              <w:t>施</w:t>
            </w:r>
            <w:r>
              <w:rPr>
                <w:rFonts w:hint="eastAsia" w:ascii="宋体" w:hAnsi="宋体" w:eastAsia="宋体" w:cs="宋体"/>
                <w:color w:val="auto"/>
                <w:sz w:val="21"/>
                <w:highlight w:val="none"/>
                <w:u w:val="single"/>
                <w:lang w:eastAsia="zh-CN"/>
              </w:rPr>
              <w:t>：</w:t>
            </w:r>
            <w:r>
              <w:rPr>
                <w:rFonts w:hint="eastAsia" w:ascii="宋体" w:hAnsi="宋体" w:eastAsia="宋体" w:cs="宋体"/>
                <w:color w:val="auto"/>
                <w:kern w:val="2"/>
                <w:sz w:val="21"/>
                <w:szCs w:val="21"/>
                <w:highlight w:val="none"/>
                <w:u w:val="single"/>
                <w:lang w:eastAsia="zh-CN"/>
              </w:rPr>
              <w:t>否</w:t>
            </w:r>
            <w:r>
              <w:rPr>
                <w:rFonts w:hint="eastAsia" w:ascii="宋体" w:hAnsi="宋体" w:eastAsia="宋体" w:cs="宋体"/>
                <w:color w:val="auto"/>
                <w:spacing w:val="17"/>
                <w:sz w:val="21"/>
                <w:highlight w:val="none"/>
                <w:lang w:eastAsia="zh-CN"/>
              </w:rPr>
              <w:t>（</w:t>
            </w:r>
            <w:r>
              <w:rPr>
                <w:rFonts w:hint="eastAsia" w:ascii="宋体" w:hAnsi="宋体" w:eastAsia="宋体" w:cs="宋体"/>
                <w:color w:val="auto"/>
                <w:sz w:val="21"/>
                <w:highlight w:val="none"/>
                <w:lang w:eastAsia="zh-CN"/>
              </w:rPr>
              <w:t>是</w:t>
            </w:r>
            <w:r>
              <w:rPr>
                <w:rFonts w:hint="eastAsia" w:ascii="宋体" w:hAnsi="宋体" w:eastAsia="宋体" w:cs="宋体"/>
                <w:color w:val="auto"/>
                <w:spacing w:val="-3"/>
                <w:sz w:val="21"/>
                <w:highlight w:val="none"/>
                <w:lang w:eastAsia="zh-CN"/>
              </w:rPr>
              <w:t>或</w:t>
            </w:r>
            <w:r>
              <w:rPr>
                <w:rFonts w:hint="eastAsia" w:ascii="宋体" w:hAnsi="宋体" w:eastAsia="宋体" w:cs="宋体"/>
                <w:color w:val="auto"/>
                <w:sz w:val="21"/>
                <w:highlight w:val="none"/>
                <w:lang w:eastAsia="zh-CN"/>
              </w:rPr>
              <w:t>否</w:t>
            </w:r>
            <w:r>
              <w:rPr>
                <w:rFonts w:hint="eastAsia" w:ascii="宋体" w:hAnsi="宋体" w:eastAsia="宋体" w:cs="宋体"/>
                <w:color w:val="auto"/>
                <w:spacing w:val="17"/>
                <w:sz w:val="21"/>
                <w:highlight w:val="none"/>
                <w:lang w:eastAsia="zh-CN"/>
              </w:rPr>
              <w:t>）</w:t>
            </w:r>
          </w:p>
          <w:p w14:paraId="05383D9D">
            <w:pPr>
              <w:pStyle w:val="39"/>
              <w:tabs>
                <w:tab w:val="left" w:pos="7244"/>
              </w:tabs>
              <w:spacing w:before="91"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pacing w:val="-1"/>
                <w:sz w:val="21"/>
                <w:highlight w:val="none"/>
                <w:lang w:eastAsia="zh-CN"/>
              </w:rPr>
              <w:t>如发</w:t>
            </w:r>
            <w:r>
              <w:rPr>
                <w:rFonts w:hint="eastAsia" w:ascii="宋体" w:hAnsi="宋体" w:eastAsia="宋体" w:cs="宋体"/>
                <w:color w:val="auto"/>
                <w:spacing w:val="-3"/>
                <w:sz w:val="21"/>
                <w:highlight w:val="none"/>
                <w:lang w:eastAsia="zh-CN"/>
              </w:rPr>
              <w:t>包</w:t>
            </w:r>
            <w:r>
              <w:rPr>
                <w:rFonts w:hint="eastAsia" w:ascii="宋体" w:hAnsi="宋体" w:eastAsia="宋体" w:cs="宋体"/>
                <w:color w:val="auto"/>
                <w:sz w:val="21"/>
                <w:highlight w:val="none"/>
                <w:lang w:eastAsia="zh-CN"/>
              </w:rPr>
              <w:t>人</w:t>
            </w:r>
            <w:r>
              <w:rPr>
                <w:rFonts w:hint="eastAsia" w:ascii="宋体" w:hAnsi="宋体" w:eastAsia="宋体" w:cs="宋体"/>
                <w:color w:val="auto"/>
                <w:spacing w:val="-3"/>
                <w:sz w:val="21"/>
                <w:highlight w:val="none"/>
                <w:lang w:eastAsia="zh-CN"/>
              </w:rPr>
              <w:t>负</w:t>
            </w:r>
            <w:r>
              <w:rPr>
                <w:rFonts w:hint="eastAsia" w:ascii="宋体" w:hAnsi="宋体" w:eastAsia="宋体" w:cs="宋体"/>
                <w:color w:val="auto"/>
                <w:sz w:val="21"/>
                <w:highlight w:val="none"/>
                <w:lang w:eastAsia="zh-CN"/>
              </w:rPr>
              <w:t>责</w:t>
            </w:r>
            <w:r>
              <w:rPr>
                <w:rFonts w:hint="eastAsia" w:ascii="宋体" w:hAnsi="宋体" w:eastAsia="宋体" w:cs="宋体"/>
                <w:color w:val="auto"/>
                <w:spacing w:val="-3"/>
                <w:sz w:val="21"/>
                <w:highlight w:val="none"/>
                <w:lang w:eastAsia="zh-CN"/>
              </w:rPr>
              <w:t>提</w:t>
            </w:r>
            <w:r>
              <w:rPr>
                <w:rFonts w:hint="eastAsia" w:ascii="宋体" w:hAnsi="宋体" w:eastAsia="宋体" w:cs="宋体"/>
                <w:color w:val="auto"/>
                <w:sz w:val="21"/>
                <w:highlight w:val="none"/>
                <w:lang w:eastAsia="zh-CN"/>
              </w:rPr>
              <w:t>供</w:t>
            </w:r>
            <w:r>
              <w:rPr>
                <w:rFonts w:hint="eastAsia" w:ascii="宋体" w:hAnsi="宋体" w:eastAsia="宋体" w:cs="宋体"/>
                <w:color w:val="auto"/>
                <w:spacing w:val="-3"/>
                <w:sz w:val="21"/>
                <w:highlight w:val="none"/>
                <w:lang w:eastAsia="zh-CN"/>
              </w:rPr>
              <w:t>部</w:t>
            </w:r>
            <w:r>
              <w:rPr>
                <w:rFonts w:hint="eastAsia" w:ascii="宋体" w:hAnsi="宋体" w:eastAsia="宋体" w:cs="宋体"/>
                <w:color w:val="auto"/>
                <w:sz w:val="21"/>
                <w:highlight w:val="none"/>
                <w:lang w:eastAsia="zh-CN"/>
              </w:rPr>
              <w:t>分</w:t>
            </w:r>
            <w:r>
              <w:rPr>
                <w:rFonts w:hint="eastAsia" w:ascii="宋体" w:hAnsi="宋体" w:eastAsia="宋体" w:cs="宋体"/>
                <w:color w:val="auto"/>
                <w:spacing w:val="-3"/>
                <w:sz w:val="21"/>
                <w:highlight w:val="none"/>
                <w:lang w:eastAsia="zh-CN"/>
              </w:rPr>
              <w:t>施</w:t>
            </w:r>
            <w:r>
              <w:rPr>
                <w:rFonts w:hint="eastAsia" w:ascii="宋体" w:hAnsi="宋体" w:eastAsia="宋体" w:cs="宋体"/>
                <w:color w:val="auto"/>
                <w:sz w:val="21"/>
                <w:highlight w:val="none"/>
                <w:lang w:eastAsia="zh-CN"/>
              </w:rPr>
              <w:t>工设</w:t>
            </w:r>
            <w:r>
              <w:rPr>
                <w:rFonts w:hint="eastAsia" w:ascii="宋体" w:hAnsi="宋体" w:eastAsia="宋体" w:cs="宋体"/>
                <w:color w:val="auto"/>
                <w:spacing w:val="-3"/>
                <w:sz w:val="21"/>
                <w:highlight w:val="none"/>
                <w:lang w:eastAsia="zh-CN"/>
              </w:rPr>
              <w:t>备</w:t>
            </w:r>
            <w:r>
              <w:rPr>
                <w:rFonts w:hint="eastAsia" w:ascii="宋体" w:hAnsi="宋体" w:eastAsia="宋体" w:cs="宋体"/>
                <w:color w:val="auto"/>
                <w:sz w:val="21"/>
                <w:highlight w:val="none"/>
                <w:lang w:eastAsia="zh-CN"/>
              </w:rPr>
              <w:t>和</w:t>
            </w:r>
            <w:r>
              <w:rPr>
                <w:rFonts w:hint="eastAsia" w:ascii="宋体" w:hAnsi="宋体" w:eastAsia="宋体" w:cs="宋体"/>
                <w:color w:val="auto"/>
                <w:spacing w:val="-3"/>
                <w:sz w:val="21"/>
                <w:highlight w:val="none"/>
                <w:lang w:eastAsia="zh-CN"/>
              </w:rPr>
              <w:t>临</w:t>
            </w:r>
            <w:r>
              <w:rPr>
                <w:rFonts w:hint="eastAsia" w:ascii="宋体" w:hAnsi="宋体" w:eastAsia="宋体" w:cs="宋体"/>
                <w:color w:val="auto"/>
                <w:sz w:val="21"/>
                <w:highlight w:val="none"/>
                <w:lang w:eastAsia="zh-CN"/>
              </w:rPr>
              <w:t>时</w:t>
            </w:r>
            <w:r>
              <w:rPr>
                <w:rFonts w:hint="eastAsia" w:ascii="宋体" w:hAnsi="宋体" w:eastAsia="宋体" w:cs="宋体"/>
                <w:color w:val="auto"/>
                <w:spacing w:val="-3"/>
                <w:sz w:val="21"/>
                <w:highlight w:val="none"/>
                <w:lang w:eastAsia="zh-CN"/>
              </w:rPr>
              <w:t>设</w:t>
            </w:r>
            <w:r>
              <w:rPr>
                <w:rFonts w:hint="eastAsia" w:ascii="宋体" w:hAnsi="宋体" w:eastAsia="宋体" w:cs="宋体"/>
                <w:color w:val="auto"/>
                <w:sz w:val="21"/>
                <w:highlight w:val="none"/>
                <w:lang w:eastAsia="zh-CN"/>
              </w:rPr>
              <w:t>施</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sz w:val="21"/>
                <w:highlight w:val="none"/>
                <w:lang w:eastAsia="zh-CN"/>
              </w:rPr>
              <w:t>相</w:t>
            </w:r>
            <w:r>
              <w:rPr>
                <w:rFonts w:hint="eastAsia" w:ascii="宋体" w:hAnsi="宋体" w:eastAsia="宋体" w:cs="宋体"/>
                <w:color w:val="auto"/>
                <w:spacing w:val="-3"/>
                <w:sz w:val="21"/>
                <w:highlight w:val="none"/>
                <w:lang w:eastAsia="zh-CN"/>
              </w:rPr>
              <w:t>关</w:t>
            </w:r>
            <w:r>
              <w:rPr>
                <w:rFonts w:hint="eastAsia" w:ascii="宋体" w:hAnsi="宋体" w:eastAsia="宋体" w:cs="宋体"/>
                <w:color w:val="auto"/>
                <w:sz w:val="21"/>
                <w:highlight w:val="none"/>
                <w:lang w:eastAsia="zh-CN"/>
              </w:rPr>
              <w:t>规定</w:t>
            </w:r>
            <w:r>
              <w:rPr>
                <w:rFonts w:hint="eastAsia" w:ascii="宋体" w:hAnsi="宋体" w:eastAsia="宋体" w:cs="宋体"/>
                <w:color w:val="auto"/>
                <w:spacing w:val="-3"/>
                <w:sz w:val="21"/>
                <w:highlight w:val="none"/>
                <w:lang w:eastAsia="zh-CN"/>
              </w:rPr>
              <w:t>如</w:t>
            </w:r>
            <w:r>
              <w:rPr>
                <w:rFonts w:hint="eastAsia" w:ascii="宋体" w:hAnsi="宋体" w:eastAsia="宋体" w:cs="宋体"/>
                <w:color w:val="auto"/>
                <w:sz w:val="21"/>
                <w:highlight w:val="none"/>
                <w:lang w:eastAsia="zh-CN"/>
              </w:rPr>
              <w:t>下：</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u w:val="single"/>
                <w:lang w:eastAsia="zh-CN"/>
              </w:rPr>
              <w:tab/>
            </w:r>
          </w:p>
        </w:tc>
      </w:tr>
      <w:tr w14:paraId="5AC20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629" w:type="dxa"/>
            <w:noWrap w:val="0"/>
            <w:vAlign w:val="center"/>
          </w:tcPr>
          <w:p w14:paraId="6FF064D0">
            <w:pPr>
              <w:pStyle w:val="39"/>
              <w:spacing w:before="1"/>
              <w:rPr>
                <w:rFonts w:hint="eastAsia" w:ascii="宋体" w:hAnsi="宋体" w:eastAsia="宋体" w:cs="宋体"/>
                <w:color w:val="auto"/>
                <w:sz w:val="23"/>
                <w:highlight w:val="none"/>
                <w:lang w:eastAsia="zh-CN"/>
              </w:rPr>
            </w:pPr>
          </w:p>
          <w:p w14:paraId="75696628">
            <w:pPr>
              <w:pStyle w:val="39"/>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8</w:t>
            </w:r>
          </w:p>
        </w:tc>
        <w:tc>
          <w:tcPr>
            <w:tcW w:w="1111" w:type="dxa"/>
            <w:noWrap w:val="0"/>
            <w:vAlign w:val="center"/>
          </w:tcPr>
          <w:p w14:paraId="7F623433">
            <w:pPr>
              <w:pStyle w:val="39"/>
              <w:spacing w:before="1"/>
              <w:rPr>
                <w:rFonts w:hint="eastAsia" w:ascii="宋体" w:hAnsi="宋体" w:eastAsia="宋体" w:cs="宋体"/>
                <w:color w:val="auto"/>
                <w:sz w:val="23"/>
                <w:highlight w:val="none"/>
              </w:rPr>
            </w:pPr>
          </w:p>
          <w:p w14:paraId="3241AC70">
            <w:pPr>
              <w:pStyle w:val="39"/>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8.1.1</w:t>
            </w:r>
          </w:p>
        </w:tc>
        <w:tc>
          <w:tcPr>
            <w:tcW w:w="7305" w:type="dxa"/>
            <w:noWrap w:val="0"/>
            <w:vAlign w:val="center"/>
          </w:tcPr>
          <w:p w14:paraId="60FCA7F7">
            <w:pPr>
              <w:pStyle w:val="39"/>
              <w:tabs>
                <w:tab w:val="left" w:pos="6908"/>
                <w:tab w:val="left" w:pos="7244"/>
              </w:tabs>
              <w:spacing w:before="1" w:line="360" w:lineRule="atLeast"/>
              <w:ind w:left="347" w:right="48"/>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发包</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提</w:t>
            </w:r>
            <w:r>
              <w:rPr>
                <w:rFonts w:hint="eastAsia" w:ascii="宋体" w:hAnsi="宋体" w:eastAsia="宋体" w:cs="宋体"/>
                <w:color w:val="auto"/>
                <w:spacing w:val="-3"/>
                <w:sz w:val="21"/>
                <w:highlight w:val="none"/>
                <w:lang w:eastAsia="zh-CN"/>
              </w:rPr>
              <w:t>供</w:t>
            </w:r>
            <w:r>
              <w:rPr>
                <w:rFonts w:hint="eastAsia" w:ascii="宋体" w:hAnsi="宋体" w:eastAsia="宋体" w:cs="宋体"/>
                <w:color w:val="auto"/>
                <w:sz w:val="21"/>
                <w:highlight w:val="none"/>
                <w:lang w:eastAsia="zh-CN"/>
              </w:rPr>
              <w:t>测</w:t>
            </w:r>
            <w:r>
              <w:rPr>
                <w:rFonts w:hint="eastAsia" w:ascii="宋体" w:hAnsi="宋体" w:eastAsia="宋体" w:cs="宋体"/>
                <w:color w:val="auto"/>
                <w:spacing w:val="-3"/>
                <w:sz w:val="21"/>
                <w:highlight w:val="none"/>
                <w:lang w:eastAsia="zh-CN"/>
              </w:rPr>
              <w:t>量</w:t>
            </w:r>
            <w:r>
              <w:rPr>
                <w:rFonts w:hint="eastAsia" w:ascii="宋体" w:hAnsi="宋体" w:eastAsia="宋体" w:cs="宋体"/>
                <w:color w:val="auto"/>
                <w:sz w:val="21"/>
                <w:highlight w:val="none"/>
                <w:lang w:eastAsia="zh-CN"/>
              </w:rPr>
              <w:t>基</w:t>
            </w:r>
            <w:r>
              <w:rPr>
                <w:rFonts w:hint="eastAsia" w:ascii="宋体" w:hAnsi="宋体" w:eastAsia="宋体" w:cs="宋体"/>
                <w:color w:val="auto"/>
                <w:spacing w:val="-3"/>
                <w:sz w:val="21"/>
                <w:highlight w:val="none"/>
                <w:lang w:eastAsia="zh-CN"/>
              </w:rPr>
              <w:t>准</w:t>
            </w:r>
            <w:r>
              <w:rPr>
                <w:rFonts w:hint="eastAsia" w:ascii="宋体" w:hAnsi="宋体" w:eastAsia="宋体" w:cs="宋体"/>
                <w:color w:val="auto"/>
                <w:sz w:val="21"/>
                <w:highlight w:val="none"/>
                <w:lang w:eastAsia="zh-CN"/>
              </w:rPr>
              <w:t>点</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sz w:val="21"/>
                <w:highlight w:val="none"/>
                <w:lang w:eastAsia="zh-CN"/>
              </w:rPr>
              <w:t>基准</w:t>
            </w:r>
            <w:r>
              <w:rPr>
                <w:rFonts w:hint="eastAsia" w:ascii="宋体" w:hAnsi="宋体" w:eastAsia="宋体" w:cs="宋体"/>
                <w:color w:val="auto"/>
                <w:spacing w:val="-3"/>
                <w:sz w:val="21"/>
                <w:highlight w:val="none"/>
                <w:lang w:eastAsia="zh-CN"/>
              </w:rPr>
              <w:t>线</w:t>
            </w:r>
            <w:r>
              <w:rPr>
                <w:rFonts w:hint="eastAsia" w:ascii="宋体" w:hAnsi="宋体" w:eastAsia="宋体" w:cs="宋体"/>
                <w:color w:val="auto"/>
                <w:sz w:val="21"/>
                <w:highlight w:val="none"/>
                <w:lang w:eastAsia="zh-CN"/>
              </w:rPr>
              <w:t>和</w:t>
            </w:r>
            <w:r>
              <w:rPr>
                <w:rFonts w:hint="eastAsia" w:ascii="宋体" w:hAnsi="宋体" w:eastAsia="宋体" w:cs="宋体"/>
                <w:color w:val="auto"/>
                <w:spacing w:val="-3"/>
                <w:sz w:val="21"/>
                <w:highlight w:val="none"/>
                <w:lang w:eastAsia="zh-CN"/>
              </w:rPr>
              <w:t>水</w:t>
            </w:r>
            <w:r>
              <w:rPr>
                <w:rFonts w:hint="eastAsia" w:ascii="宋体" w:hAnsi="宋体" w:eastAsia="宋体" w:cs="宋体"/>
                <w:color w:val="auto"/>
                <w:sz w:val="21"/>
                <w:highlight w:val="none"/>
                <w:lang w:eastAsia="zh-CN"/>
              </w:rPr>
              <w:t>准</w:t>
            </w:r>
            <w:r>
              <w:rPr>
                <w:rFonts w:hint="eastAsia" w:ascii="宋体" w:hAnsi="宋体" w:eastAsia="宋体" w:cs="宋体"/>
                <w:color w:val="auto"/>
                <w:spacing w:val="-3"/>
                <w:sz w:val="21"/>
                <w:highlight w:val="none"/>
                <w:lang w:eastAsia="zh-CN"/>
              </w:rPr>
              <w:t>点</w:t>
            </w:r>
            <w:r>
              <w:rPr>
                <w:rFonts w:hint="eastAsia" w:ascii="宋体" w:hAnsi="宋体" w:eastAsia="宋体" w:cs="宋体"/>
                <w:color w:val="auto"/>
                <w:sz w:val="21"/>
                <w:highlight w:val="none"/>
                <w:lang w:eastAsia="zh-CN"/>
              </w:rPr>
              <w:t>及</w:t>
            </w:r>
            <w:r>
              <w:rPr>
                <w:rFonts w:hint="eastAsia" w:ascii="宋体" w:hAnsi="宋体" w:eastAsia="宋体" w:cs="宋体"/>
                <w:color w:val="auto"/>
                <w:spacing w:val="-3"/>
                <w:sz w:val="21"/>
                <w:highlight w:val="none"/>
                <w:lang w:eastAsia="zh-CN"/>
              </w:rPr>
              <w:t>其</w:t>
            </w:r>
            <w:r>
              <w:rPr>
                <w:rFonts w:hint="eastAsia" w:ascii="宋体" w:hAnsi="宋体" w:eastAsia="宋体" w:cs="宋体"/>
                <w:color w:val="auto"/>
                <w:sz w:val="21"/>
                <w:highlight w:val="none"/>
                <w:lang w:eastAsia="zh-CN"/>
              </w:rPr>
              <w:t>书</w:t>
            </w:r>
            <w:r>
              <w:rPr>
                <w:rFonts w:hint="eastAsia" w:ascii="宋体" w:hAnsi="宋体" w:eastAsia="宋体" w:cs="宋体"/>
                <w:color w:val="auto"/>
                <w:spacing w:val="-3"/>
                <w:sz w:val="21"/>
                <w:highlight w:val="none"/>
                <w:lang w:eastAsia="zh-CN"/>
              </w:rPr>
              <w:t>面</w:t>
            </w:r>
            <w:r>
              <w:rPr>
                <w:rFonts w:hint="eastAsia" w:ascii="宋体" w:hAnsi="宋体" w:eastAsia="宋体" w:cs="宋体"/>
                <w:color w:val="auto"/>
                <w:sz w:val="21"/>
                <w:highlight w:val="none"/>
                <w:lang w:eastAsia="zh-CN"/>
              </w:rPr>
              <w:t>资料</w:t>
            </w:r>
            <w:r>
              <w:rPr>
                <w:rFonts w:hint="eastAsia" w:ascii="宋体" w:hAnsi="宋体" w:eastAsia="宋体" w:cs="宋体"/>
                <w:color w:val="auto"/>
                <w:spacing w:val="-3"/>
                <w:sz w:val="21"/>
                <w:highlight w:val="none"/>
                <w:lang w:eastAsia="zh-CN"/>
              </w:rPr>
              <w:t>的</w:t>
            </w:r>
            <w:r>
              <w:rPr>
                <w:rFonts w:hint="eastAsia" w:ascii="宋体" w:hAnsi="宋体" w:eastAsia="宋体" w:cs="宋体"/>
                <w:color w:val="auto"/>
                <w:sz w:val="21"/>
                <w:highlight w:val="none"/>
                <w:lang w:eastAsia="zh-CN"/>
              </w:rPr>
              <w:t>期</w:t>
            </w:r>
            <w:r>
              <w:rPr>
                <w:rFonts w:hint="eastAsia" w:ascii="宋体" w:hAnsi="宋体" w:eastAsia="宋体" w:cs="宋体"/>
                <w:color w:val="auto"/>
                <w:spacing w:val="-3"/>
                <w:sz w:val="21"/>
                <w:highlight w:val="none"/>
                <w:lang w:eastAsia="zh-CN"/>
              </w:rPr>
              <w:t>限</w:t>
            </w:r>
            <w:r>
              <w:rPr>
                <w:rFonts w:hint="eastAsia" w:ascii="宋体" w:hAnsi="宋体" w:eastAsia="宋体" w:cs="宋体"/>
                <w:color w:val="auto"/>
                <w:sz w:val="21"/>
                <w:highlight w:val="none"/>
                <w:lang w:eastAsia="zh-CN"/>
              </w:rPr>
              <w:t>：</w:t>
            </w:r>
            <w:r>
              <w:rPr>
                <w:rFonts w:hint="eastAsia" w:ascii="宋体" w:hAnsi="宋体" w:eastAsia="宋体" w:cs="宋体"/>
                <w:snapToGrid w:val="0"/>
                <w:color w:val="auto"/>
                <w:spacing w:val="-1"/>
                <w:sz w:val="21"/>
                <w:szCs w:val="21"/>
                <w:highlight w:val="none"/>
                <w:u w:val="single"/>
                <w:lang w:eastAsia="zh-CN"/>
              </w:rPr>
              <w:t>进场7天</w:t>
            </w:r>
            <w:r>
              <w:rPr>
                <w:rFonts w:hint="eastAsia" w:ascii="宋体" w:hAnsi="宋体" w:eastAsia="宋体" w:cs="宋体"/>
                <w:snapToGrid w:val="0"/>
                <w:color w:val="auto"/>
                <w:sz w:val="21"/>
                <w:szCs w:val="21"/>
                <w:highlight w:val="none"/>
                <w:u w:val="single"/>
                <w:lang w:eastAsia="zh-CN"/>
              </w:rPr>
              <w:t>内</w:t>
            </w:r>
            <w:r>
              <w:rPr>
                <w:rFonts w:hint="eastAsia" w:ascii="宋体" w:hAnsi="宋体" w:eastAsia="宋体" w:cs="宋体"/>
                <w:color w:val="auto"/>
                <w:sz w:val="21"/>
                <w:highlight w:val="none"/>
                <w:u w:val="single"/>
                <w:lang w:eastAsia="zh-CN"/>
              </w:rPr>
              <w:tab/>
            </w:r>
          </w:p>
          <w:p w14:paraId="4E2F6DF6">
            <w:pPr>
              <w:pStyle w:val="39"/>
              <w:tabs>
                <w:tab w:val="left" w:pos="6908"/>
                <w:tab w:val="left" w:pos="7244"/>
              </w:tabs>
              <w:spacing w:before="1" w:line="360" w:lineRule="atLeast"/>
              <w:ind w:left="347" w:right="48"/>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承包</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将</w:t>
            </w:r>
            <w:r>
              <w:rPr>
                <w:rFonts w:hint="eastAsia" w:ascii="宋体" w:hAnsi="宋体" w:eastAsia="宋体" w:cs="宋体"/>
                <w:color w:val="auto"/>
                <w:spacing w:val="-3"/>
                <w:sz w:val="21"/>
                <w:highlight w:val="none"/>
                <w:lang w:eastAsia="zh-CN"/>
              </w:rPr>
              <w:t>施</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控</w:t>
            </w:r>
            <w:r>
              <w:rPr>
                <w:rFonts w:hint="eastAsia" w:ascii="宋体" w:hAnsi="宋体" w:eastAsia="宋体" w:cs="宋体"/>
                <w:color w:val="auto"/>
                <w:sz w:val="21"/>
                <w:highlight w:val="none"/>
                <w:lang w:eastAsia="zh-CN"/>
              </w:rPr>
              <w:t>制</w:t>
            </w:r>
            <w:r>
              <w:rPr>
                <w:rFonts w:hint="eastAsia" w:ascii="宋体" w:hAnsi="宋体" w:eastAsia="宋体" w:cs="宋体"/>
                <w:color w:val="auto"/>
                <w:spacing w:val="-3"/>
                <w:sz w:val="21"/>
                <w:highlight w:val="none"/>
                <w:lang w:eastAsia="zh-CN"/>
              </w:rPr>
              <w:t>网</w:t>
            </w:r>
            <w:r>
              <w:rPr>
                <w:rFonts w:hint="eastAsia" w:ascii="宋体" w:hAnsi="宋体" w:eastAsia="宋体" w:cs="宋体"/>
                <w:color w:val="auto"/>
                <w:sz w:val="21"/>
                <w:highlight w:val="none"/>
                <w:lang w:eastAsia="zh-CN"/>
              </w:rPr>
              <w:t>资</w:t>
            </w:r>
            <w:r>
              <w:rPr>
                <w:rFonts w:hint="eastAsia" w:ascii="宋体" w:hAnsi="宋体" w:eastAsia="宋体" w:cs="宋体"/>
                <w:color w:val="auto"/>
                <w:spacing w:val="-3"/>
                <w:sz w:val="21"/>
                <w:highlight w:val="none"/>
                <w:lang w:eastAsia="zh-CN"/>
              </w:rPr>
              <w:t>料</w:t>
            </w:r>
            <w:r>
              <w:rPr>
                <w:rFonts w:hint="eastAsia" w:ascii="宋体" w:hAnsi="宋体" w:eastAsia="宋体" w:cs="宋体"/>
                <w:color w:val="auto"/>
                <w:sz w:val="21"/>
                <w:highlight w:val="none"/>
                <w:lang w:eastAsia="zh-CN"/>
              </w:rPr>
              <w:t>报送</w:t>
            </w:r>
            <w:r>
              <w:rPr>
                <w:rFonts w:hint="eastAsia" w:ascii="宋体" w:hAnsi="宋体" w:eastAsia="宋体" w:cs="宋体"/>
                <w:color w:val="auto"/>
                <w:spacing w:val="-3"/>
                <w:sz w:val="21"/>
                <w:highlight w:val="none"/>
                <w:lang w:eastAsia="zh-CN"/>
              </w:rPr>
              <w:t>监</w:t>
            </w:r>
            <w:r>
              <w:rPr>
                <w:rFonts w:hint="eastAsia" w:ascii="宋体" w:hAnsi="宋体" w:eastAsia="宋体" w:cs="宋体"/>
                <w:color w:val="auto"/>
                <w:sz w:val="21"/>
                <w:highlight w:val="none"/>
                <w:lang w:eastAsia="zh-CN"/>
              </w:rPr>
              <w:t>理</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审</w:t>
            </w:r>
            <w:r>
              <w:rPr>
                <w:rFonts w:hint="eastAsia" w:ascii="宋体" w:hAnsi="宋体" w:eastAsia="宋体" w:cs="宋体"/>
                <w:color w:val="auto"/>
                <w:spacing w:val="-3"/>
                <w:sz w:val="21"/>
                <w:highlight w:val="none"/>
                <w:lang w:eastAsia="zh-CN"/>
              </w:rPr>
              <w:t>批</w:t>
            </w:r>
            <w:r>
              <w:rPr>
                <w:rFonts w:hint="eastAsia" w:ascii="宋体" w:hAnsi="宋体" w:eastAsia="宋体" w:cs="宋体"/>
                <w:color w:val="auto"/>
                <w:sz w:val="21"/>
                <w:highlight w:val="none"/>
                <w:lang w:eastAsia="zh-CN"/>
              </w:rPr>
              <w:t>的</w:t>
            </w:r>
            <w:r>
              <w:rPr>
                <w:rFonts w:hint="eastAsia" w:ascii="宋体" w:hAnsi="宋体" w:eastAsia="宋体" w:cs="宋体"/>
                <w:color w:val="auto"/>
                <w:spacing w:val="-3"/>
                <w:sz w:val="21"/>
                <w:highlight w:val="none"/>
                <w:lang w:eastAsia="zh-CN"/>
              </w:rPr>
              <w:t>期</w:t>
            </w:r>
            <w:r>
              <w:rPr>
                <w:rFonts w:hint="eastAsia" w:ascii="宋体" w:hAnsi="宋体" w:eastAsia="宋体" w:cs="宋体"/>
                <w:color w:val="auto"/>
                <w:sz w:val="21"/>
                <w:highlight w:val="none"/>
                <w:lang w:eastAsia="zh-CN"/>
              </w:rPr>
              <w:t>限</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kern w:val="2"/>
                <w:sz w:val="21"/>
                <w:szCs w:val="21"/>
                <w:highlight w:val="none"/>
                <w:u w:val="single"/>
                <w:lang w:eastAsia="zh-CN"/>
              </w:rPr>
              <w:t>发出开工通知后7天</w:t>
            </w:r>
            <w:r>
              <w:rPr>
                <w:rFonts w:hint="eastAsia" w:ascii="宋体" w:hAnsi="宋体" w:eastAsia="宋体" w:cs="宋体"/>
                <w:color w:val="auto"/>
                <w:sz w:val="21"/>
                <w:highlight w:val="none"/>
                <w:u w:val="single"/>
                <w:lang w:eastAsia="zh-CN"/>
              </w:rPr>
              <w:tab/>
            </w:r>
          </w:p>
        </w:tc>
      </w:tr>
      <w:tr w14:paraId="06114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0" w:hRule="atLeast"/>
          <w:jc w:val="center"/>
        </w:trPr>
        <w:tc>
          <w:tcPr>
            <w:tcW w:w="629" w:type="dxa"/>
            <w:noWrap w:val="0"/>
            <w:vAlign w:val="center"/>
          </w:tcPr>
          <w:p w14:paraId="76B810A9">
            <w:pPr>
              <w:pStyle w:val="39"/>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9</w:t>
            </w:r>
          </w:p>
        </w:tc>
        <w:tc>
          <w:tcPr>
            <w:tcW w:w="1111" w:type="dxa"/>
            <w:noWrap w:val="0"/>
            <w:vAlign w:val="center"/>
          </w:tcPr>
          <w:p w14:paraId="66A99DE4">
            <w:pPr>
              <w:pStyle w:val="39"/>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11.1</w:t>
            </w:r>
          </w:p>
        </w:tc>
        <w:tc>
          <w:tcPr>
            <w:tcW w:w="7305" w:type="dxa"/>
            <w:noWrap w:val="0"/>
            <w:vAlign w:val="center"/>
          </w:tcPr>
          <w:p w14:paraId="409FBE7B">
            <w:pPr>
              <w:pStyle w:val="39"/>
              <w:tabs>
                <w:tab w:val="left" w:pos="0"/>
                <w:tab w:val="left" w:pos="6908"/>
                <w:tab w:val="left" w:pos="7244"/>
              </w:tabs>
              <w:spacing w:before="1" w:line="360" w:lineRule="atLeast"/>
              <w:ind w:left="227" w:right="48" w:firstLine="119" w:firstLineChars="5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承包人应在签订施工承包合同协议书后的5个工作日内完成进场准备，包括主要管理人员、投标文件承诺进场的机械设备、试验检测设备、项目部的办公设备、项目部的选址及上墙图表等，并具备基本的工作条件；承包人完成进场准备后的7天内开展实质性的施工工作。</w:t>
            </w:r>
          </w:p>
          <w:p w14:paraId="7912C813">
            <w:pPr>
              <w:pStyle w:val="39"/>
              <w:tabs>
                <w:tab w:val="left" w:pos="6908"/>
                <w:tab w:val="left" w:pos="7244"/>
              </w:tabs>
              <w:spacing w:before="1" w:line="360" w:lineRule="atLeast"/>
              <w:ind w:left="347" w:right="48"/>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逾期开工违约金：</w:t>
            </w:r>
            <w:r>
              <w:rPr>
                <w:rFonts w:hint="eastAsia" w:ascii="宋体" w:hAnsi="宋体" w:eastAsia="宋体" w:cs="宋体"/>
                <w:color w:val="auto"/>
                <w:sz w:val="21"/>
                <w:highlight w:val="none"/>
                <w:u w:val="single"/>
                <w:lang w:eastAsia="zh-CN"/>
              </w:rPr>
              <w:t>5000元/天</w:t>
            </w:r>
            <w:r>
              <w:rPr>
                <w:rFonts w:hint="eastAsia" w:ascii="宋体" w:hAnsi="宋体" w:eastAsia="宋体" w:cs="宋体"/>
                <w:color w:val="auto"/>
                <w:sz w:val="21"/>
                <w:highlight w:val="none"/>
                <w:lang w:eastAsia="zh-CN"/>
              </w:rPr>
              <w:t>。</w:t>
            </w:r>
          </w:p>
        </w:tc>
      </w:tr>
      <w:tr w14:paraId="1CBF2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629" w:type="dxa"/>
            <w:noWrap w:val="0"/>
            <w:vAlign w:val="center"/>
          </w:tcPr>
          <w:p w14:paraId="5316BD5B">
            <w:pPr>
              <w:pStyle w:val="39"/>
              <w:spacing w:before="114" w:line="226" w:lineRule="exact"/>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10</w:t>
            </w:r>
          </w:p>
        </w:tc>
        <w:tc>
          <w:tcPr>
            <w:tcW w:w="1111" w:type="dxa"/>
            <w:noWrap w:val="0"/>
            <w:vAlign w:val="center"/>
          </w:tcPr>
          <w:p w14:paraId="0D4C8C93">
            <w:pPr>
              <w:pStyle w:val="39"/>
              <w:spacing w:before="90" w:line="250" w:lineRule="exact"/>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11.5（3）</w:t>
            </w:r>
          </w:p>
        </w:tc>
        <w:tc>
          <w:tcPr>
            <w:tcW w:w="7305" w:type="dxa"/>
            <w:noWrap w:val="0"/>
            <w:vAlign w:val="center"/>
          </w:tcPr>
          <w:p w14:paraId="2B928B32">
            <w:pPr>
              <w:pStyle w:val="39"/>
              <w:tabs>
                <w:tab w:val="left" w:pos="2450"/>
              </w:tabs>
              <w:spacing w:before="90"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逾期</w:t>
            </w:r>
            <w:r>
              <w:rPr>
                <w:rFonts w:hint="eastAsia" w:ascii="宋体" w:hAnsi="宋体" w:eastAsia="宋体" w:cs="宋体"/>
                <w:color w:val="auto"/>
                <w:spacing w:val="-3"/>
                <w:sz w:val="21"/>
                <w:highlight w:val="none"/>
                <w:lang w:eastAsia="zh-CN"/>
              </w:rPr>
              <w:t>交</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违</w:t>
            </w:r>
            <w:r>
              <w:rPr>
                <w:rFonts w:hint="eastAsia" w:ascii="宋体" w:hAnsi="宋体" w:eastAsia="宋体" w:cs="宋体"/>
                <w:color w:val="auto"/>
                <w:sz w:val="21"/>
                <w:highlight w:val="none"/>
                <w:lang w:eastAsia="zh-CN"/>
              </w:rPr>
              <w:t>约</w:t>
            </w:r>
            <w:r>
              <w:rPr>
                <w:rFonts w:hint="eastAsia" w:ascii="宋体" w:hAnsi="宋体" w:eastAsia="宋体" w:cs="宋体"/>
                <w:color w:val="auto"/>
                <w:spacing w:val="-3"/>
                <w:sz w:val="21"/>
                <w:highlight w:val="none"/>
                <w:lang w:eastAsia="zh-CN"/>
              </w:rPr>
              <w:t>金</w:t>
            </w:r>
            <w:r>
              <w:rPr>
                <w:rFonts w:hint="eastAsia" w:ascii="宋体" w:hAnsi="宋体" w:eastAsia="宋体" w:cs="宋体"/>
                <w:color w:val="auto"/>
                <w:kern w:val="2"/>
                <w:sz w:val="21"/>
                <w:szCs w:val="21"/>
                <w:highlight w:val="none"/>
                <w:lang w:eastAsia="zh-CN"/>
              </w:rPr>
              <w:t>：</w:t>
            </w:r>
            <w:r>
              <w:rPr>
                <w:rFonts w:hint="eastAsia" w:ascii="宋体" w:hAnsi="宋体" w:cs="宋体"/>
                <w:color w:val="auto"/>
                <w:kern w:val="2"/>
                <w:sz w:val="21"/>
                <w:szCs w:val="21"/>
                <w:highlight w:val="none"/>
                <w:u w:val="single"/>
                <w:lang w:val="en-US" w:eastAsia="zh-CN"/>
              </w:rPr>
              <w:t>1</w:t>
            </w:r>
            <w:r>
              <w:rPr>
                <w:rFonts w:hint="eastAsia" w:ascii="宋体" w:hAnsi="宋体" w:eastAsia="宋体" w:cs="宋体"/>
                <w:color w:val="auto"/>
                <w:kern w:val="2"/>
                <w:sz w:val="21"/>
                <w:szCs w:val="21"/>
                <w:highlight w:val="none"/>
                <w:u w:val="single"/>
                <w:lang w:eastAsia="zh-CN"/>
              </w:rPr>
              <w:t>000元/天</w:t>
            </w:r>
          </w:p>
        </w:tc>
      </w:tr>
      <w:tr w14:paraId="44DC3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629" w:type="dxa"/>
            <w:noWrap w:val="0"/>
            <w:vAlign w:val="center"/>
          </w:tcPr>
          <w:p w14:paraId="7184411F">
            <w:pPr>
              <w:pStyle w:val="39"/>
              <w:spacing w:before="113" w:line="226" w:lineRule="exact"/>
              <w:ind w:left="83"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w:t>
            </w:r>
          </w:p>
        </w:tc>
        <w:tc>
          <w:tcPr>
            <w:tcW w:w="1111" w:type="dxa"/>
            <w:noWrap w:val="0"/>
            <w:vAlign w:val="center"/>
          </w:tcPr>
          <w:p w14:paraId="23EBF534">
            <w:pPr>
              <w:pStyle w:val="39"/>
              <w:spacing w:before="89" w:line="250" w:lineRule="exact"/>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11.5（3）</w:t>
            </w:r>
          </w:p>
        </w:tc>
        <w:tc>
          <w:tcPr>
            <w:tcW w:w="7305" w:type="dxa"/>
            <w:noWrap w:val="0"/>
            <w:vAlign w:val="center"/>
          </w:tcPr>
          <w:p w14:paraId="7F291093">
            <w:pPr>
              <w:pStyle w:val="39"/>
              <w:tabs>
                <w:tab w:val="left" w:pos="2868"/>
              </w:tabs>
              <w:spacing w:before="89" w:line="250" w:lineRule="exact"/>
              <w:ind w:left="347"/>
              <w:rPr>
                <w:rFonts w:hint="eastAsia" w:ascii="宋体" w:hAnsi="宋体" w:eastAsia="宋体" w:cs="宋体"/>
                <w:color w:val="auto"/>
                <w:sz w:val="11"/>
                <w:highlight w:val="none"/>
                <w:lang w:eastAsia="zh-CN"/>
              </w:rPr>
            </w:pPr>
            <w:r>
              <w:rPr>
                <w:rFonts w:hint="eastAsia" w:ascii="宋体" w:hAnsi="宋体" w:eastAsia="宋体" w:cs="宋体"/>
                <w:color w:val="auto"/>
                <w:sz w:val="21"/>
                <w:highlight w:val="none"/>
                <w:lang w:eastAsia="zh-CN"/>
              </w:rPr>
              <w:t>逾期</w:t>
            </w:r>
            <w:r>
              <w:rPr>
                <w:rFonts w:hint="eastAsia" w:ascii="宋体" w:hAnsi="宋体" w:eastAsia="宋体" w:cs="宋体"/>
                <w:color w:val="auto"/>
                <w:spacing w:val="-3"/>
                <w:sz w:val="21"/>
                <w:highlight w:val="none"/>
                <w:lang w:eastAsia="zh-CN"/>
              </w:rPr>
              <w:t>交</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违</w:t>
            </w:r>
            <w:r>
              <w:rPr>
                <w:rFonts w:hint="eastAsia" w:ascii="宋体" w:hAnsi="宋体" w:eastAsia="宋体" w:cs="宋体"/>
                <w:color w:val="auto"/>
                <w:sz w:val="21"/>
                <w:highlight w:val="none"/>
                <w:lang w:eastAsia="zh-CN"/>
              </w:rPr>
              <w:t>约</w:t>
            </w:r>
            <w:r>
              <w:rPr>
                <w:rFonts w:hint="eastAsia" w:ascii="宋体" w:hAnsi="宋体" w:eastAsia="宋体" w:cs="宋体"/>
                <w:color w:val="auto"/>
                <w:spacing w:val="-3"/>
                <w:sz w:val="21"/>
                <w:highlight w:val="none"/>
                <w:lang w:eastAsia="zh-CN"/>
              </w:rPr>
              <w:t>金</w:t>
            </w:r>
            <w:r>
              <w:rPr>
                <w:rFonts w:hint="eastAsia" w:ascii="宋体" w:hAnsi="宋体" w:eastAsia="宋体" w:cs="宋体"/>
                <w:color w:val="auto"/>
                <w:sz w:val="21"/>
                <w:highlight w:val="none"/>
                <w:lang w:eastAsia="zh-CN"/>
              </w:rPr>
              <w:t>限</w:t>
            </w:r>
            <w:r>
              <w:rPr>
                <w:rFonts w:hint="eastAsia" w:ascii="宋体" w:hAnsi="宋体" w:eastAsia="宋体" w:cs="宋体"/>
                <w:color w:val="auto"/>
                <w:spacing w:val="-3"/>
                <w:sz w:val="21"/>
                <w:highlight w:val="none"/>
                <w:lang w:eastAsia="zh-CN"/>
              </w:rPr>
              <w:t>额</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u w:val="single"/>
                <w:lang w:eastAsia="zh-CN"/>
              </w:rPr>
              <w:t xml:space="preserve">10 </w:t>
            </w:r>
            <w:r>
              <w:rPr>
                <w:rFonts w:hint="eastAsia" w:ascii="宋体" w:hAnsi="宋体" w:eastAsia="宋体" w:cs="宋体"/>
                <w:color w:val="auto"/>
                <w:sz w:val="21"/>
                <w:highlight w:val="none"/>
                <w:lang w:eastAsia="zh-CN"/>
              </w:rPr>
              <w:t>%签</w:t>
            </w:r>
            <w:r>
              <w:rPr>
                <w:rFonts w:hint="eastAsia" w:ascii="宋体" w:hAnsi="宋体" w:eastAsia="宋体" w:cs="宋体"/>
                <w:color w:val="auto"/>
                <w:spacing w:val="-3"/>
                <w:sz w:val="21"/>
                <w:highlight w:val="none"/>
                <w:lang w:eastAsia="zh-CN"/>
              </w:rPr>
              <w:t>约</w:t>
            </w:r>
            <w:r>
              <w:rPr>
                <w:rFonts w:hint="eastAsia" w:ascii="宋体" w:hAnsi="宋体" w:eastAsia="宋体" w:cs="宋体"/>
                <w:color w:val="auto"/>
                <w:sz w:val="21"/>
                <w:highlight w:val="none"/>
                <w:lang w:eastAsia="zh-CN"/>
              </w:rPr>
              <w:t>合</w:t>
            </w:r>
            <w:r>
              <w:rPr>
                <w:rFonts w:hint="eastAsia" w:ascii="宋体" w:hAnsi="宋体" w:eastAsia="宋体" w:cs="宋体"/>
                <w:color w:val="auto"/>
                <w:spacing w:val="-3"/>
                <w:sz w:val="21"/>
                <w:highlight w:val="none"/>
                <w:lang w:eastAsia="zh-CN"/>
              </w:rPr>
              <w:t>同价</w:t>
            </w:r>
          </w:p>
        </w:tc>
      </w:tr>
      <w:tr w14:paraId="4C6E4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629" w:type="dxa"/>
            <w:noWrap w:val="0"/>
            <w:vAlign w:val="center"/>
          </w:tcPr>
          <w:p w14:paraId="62EF3F8E">
            <w:pPr>
              <w:pStyle w:val="39"/>
              <w:spacing w:before="113" w:line="226" w:lineRule="exact"/>
              <w:ind w:left="78"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12</w:t>
            </w:r>
          </w:p>
        </w:tc>
        <w:tc>
          <w:tcPr>
            <w:tcW w:w="1111" w:type="dxa"/>
            <w:noWrap w:val="0"/>
            <w:vAlign w:val="center"/>
          </w:tcPr>
          <w:p w14:paraId="19F1F259">
            <w:pPr>
              <w:pStyle w:val="39"/>
              <w:spacing w:before="113" w:line="226" w:lineRule="exact"/>
              <w:ind w:left="87"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11.6</w:t>
            </w:r>
          </w:p>
        </w:tc>
        <w:tc>
          <w:tcPr>
            <w:tcW w:w="7305" w:type="dxa"/>
            <w:noWrap w:val="0"/>
            <w:vAlign w:val="center"/>
          </w:tcPr>
          <w:p w14:paraId="3D13874E">
            <w:pPr>
              <w:pStyle w:val="39"/>
              <w:tabs>
                <w:tab w:val="left" w:pos="2450"/>
              </w:tabs>
              <w:spacing w:before="90" w:line="250" w:lineRule="exact"/>
              <w:ind w:left="347"/>
              <w:rPr>
                <w:rFonts w:hint="eastAsia" w:ascii="宋体" w:hAnsi="宋体" w:eastAsia="宋体" w:cs="宋体"/>
                <w:color w:val="auto"/>
                <w:sz w:val="21"/>
                <w:highlight w:val="none"/>
              </w:rPr>
            </w:pPr>
            <w:r>
              <w:rPr>
                <w:rFonts w:hint="eastAsia" w:ascii="宋体" w:hAnsi="宋体" w:eastAsia="宋体" w:cs="宋体"/>
                <w:color w:val="auto"/>
                <w:sz w:val="21"/>
                <w:highlight w:val="none"/>
              </w:rPr>
              <w:t>提前</w:t>
            </w:r>
            <w:r>
              <w:rPr>
                <w:rFonts w:hint="eastAsia" w:ascii="宋体" w:hAnsi="宋体" w:eastAsia="宋体" w:cs="宋体"/>
                <w:color w:val="auto"/>
                <w:spacing w:val="-3"/>
                <w:sz w:val="21"/>
                <w:highlight w:val="none"/>
              </w:rPr>
              <w:t>交</w:t>
            </w:r>
            <w:r>
              <w:rPr>
                <w:rFonts w:hint="eastAsia" w:ascii="宋体" w:hAnsi="宋体" w:eastAsia="宋体" w:cs="宋体"/>
                <w:color w:val="auto"/>
                <w:sz w:val="21"/>
                <w:highlight w:val="none"/>
              </w:rPr>
              <w:t>工</w:t>
            </w:r>
            <w:r>
              <w:rPr>
                <w:rFonts w:hint="eastAsia" w:ascii="宋体" w:hAnsi="宋体" w:eastAsia="宋体" w:cs="宋体"/>
                <w:color w:val="auto"/>
                <w:spacing w:val="-3"/>
                <w:sz w:val="21"/>
                <w:highlight w:val="none"/>
              </w:rPr>
              <w:t>的</w:t>
            </w:r>
            <w:r>
              <w:rPr>
                <w:rFonts w:hint="eastAsia" w:ascii="宋体" w:hAnsi="宋体" w:eastAsia="宋体" w:cs="宋体"/>
                <w:color w:val="auto"/>
                <w:sz w:val="21"/>
                <w:highlight w:val="none"/>
              </w:rPr>
              <w:t>奖</w:t>
            </w:r>
            <w:r>
              <w:rPr>
                <w:rFonts w:hint="eastAsia" w:ascii="宋体" w:hAnsi="宋体" w:eastAsia="宋体" w:cs="宋体"/>
                <w:color w:val="auto"/>
                <w:spacing w:val="-3"/>
                <w:sz w:val="21"/>
                <w:highlight w:val="none"/>
              </w:rPr>
              <w:t>金</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无</w:t>
            </w:r>
          </w:p>
        </w:tc>
      </w:tr>
      <w:tr w14:paraId="3114B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629" w:type="dxa"/>
            <w:noWrap w:val="0"/>
            <w:vAlign w:val="center"/>
          </w:tcPr>
          <w:p w14:paraId="33A6AF49">
            <w:pPr>
              <w:pStyle w:val="39"/>
              <w:spacing w:before="113" w:line="226" w:lineRule="exact"/>
              <w:ind w:left="83"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13</w:t>
            </w:r>
          </w:p>
        </w:tc>
        <w:tc>
          <w:tcPr>
            <w:tcW w:w="1111" w:type="dxa"/>
            <w:noWrap w:val="0"/>
            <w:vAlign w:val="center"/>
          </w:tcPr>
          <w:p w14:paraId="4D8122B2">
            <w:pPr>
              <w:pStyle w:val="39"/>
              <w:spacing w:before="113" w:line="226" w:lineRule="exact"/>
              <w:ind w:left="87"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11.6</w:t>
            </w:r>
          </w:p>
        </w:tc>
        <w:tc>
          <w:tcPr>
            <w:tcW w:w="7305" w:type="dxa"/>
            <w:noWrap w:val="0"/>
            <w:vAlign w:val="center"/>
          </w:tcPr>
          <w:p w14:paraId="755DE7EF">
            <w:pPr>
              <w:pStyle w:val="39"/>
              <w:tabs>
                <w:tab w:val="left" w:pos="2868"/>
              </w:tabs>
              <w:spacing w:before="89"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提前</w:t>
            </w:r>
            <w:r>
              <w:rPr>
                <w:rFonts w:hint="eastAsia" w:ascii="宋体" w:hAnsi="宋体" w:eastAsia="宋体" w:cs="宋体"/>
                <w:color w:val="auto"/>
                <w:spacing w:val="-3"/>
                <w:sz w:val="21"/>
                <w:highlight w:val="none"/>
                <w:lang w:eastAsia="zh-CN"/>
              </w:rPr>
              <w:t>交</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的</w:t>
            </w:r>
            <w:r>
              <w:rPr>
                <w:rFonts w:hint="eastAsia" w:ascii="宋体" w:hAnsi="宋体" w:eastAsia="宋体" w:cs="宋体"/>
                <w:color w:val="auto"/>
                <w:sz w:val="21"/>
                <w:highlight w:val="none"/>
                <w:lang w:eastAsia="zh-CN"/>
              </w:rPr>
              <w:t>奖</w:t>
            </w:r>
            <w:r>
              <w:rPr>
                <w:rFonts w:hint="eastAsia" w:ascii="宋体" w:hAnsi="宋体" w:eastAsia="宋体" w:cs="宋体"/>
                <w:color w:val="auto"/>
                <w:spacing w:val="-3"/>
                <w:sz w:val="21"/>
                <w:highlight w:val="none"/>
                <w:lang w:eastAsia="zh-CN"/>
              </w:rPr>
              <w:t>金</w:t>
            </w:r>
            <w:r>
              <w:rPr>
                <w:rFonts w:hint="eastAsia" w:ascii="宋体" w:hAnsi="宋体" w:eastAsia="宋体" w:cs="宋体"/>
                <w:color w:val="auto"/>
                <w:sz w:val="21"/>
                <w:highlight w:val="none"/>
                <w:lang w:eastAsia="zh-CN"/>
              </w:rPr>
              <w:t>限</w:t>
            </w:r>
            <w:r>
              <w:rPr>
                <w:rFonts w:hint="eastAsia" w:ascii="宋体" w:hAnsi="宋体" w:eastAsia="宋体" w:cs="宋体"/>
                <w:color w:val="auto"/>
                <w:spacing w:val="-3"/>
                <w:sz w:val="21"/>
                <w:highlight w:val="none"/>
                <w:lang w:eastAsia="zh-CN"/>
              </w:rPr>
              <w:t>额</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u w:val="single"/>
                <w:lang w:eastAsia="zh-CN"/>
              </w:rPr>
              <w:t>无</w:t>
            </w:r>
          </w:p>
        </w:tc>
      </w:tr>
      <w:tr w14:paraId="113D1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629" w:type="dxa"/>
            <w:noWrap w:val="0"/>
            <w:vAlign w:val="center"/>
          </w:tcPr>
          <w:p w14:paraId="6A7550E1">
            <w:pPr>
              <w:pStyle w:val="39"/>
              <w:spacing w:before="113" w:line="226" w:lineRule="exact"/>
              <w:ind w:left="83" w:right="74"/>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14</w:t>
            </w:r>
          </w:p>
        </w:tc>
        <w:tc>
          <w:tcPr>
            <w:tcW w:w="1111" w:type="dxa"/>
            <w:noWrap w:val="0"/>
            <w:vAlign w:val="center"/>
          </w:tcPr>
          <w:p w14:paraId="0E7EC637">
            <w:pPr>
              <w:tabs>
                <w:tab w:val="left" w:pos="1080"/>
              </w:tabs>
              <w:spacing w:line="3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15.5.2</w:t>
            </w:r>
          </w:p>
        </w:tc>
        <w:tc>
          <w:tcPr>
            <w:tcW w:w="7305" w:type="dxa"/>
            <w:noWrap w:val="0"/>
            <w:vAlign w:val="center"/>
          </w:tcPr>
          <w:p w14:paraId="7F98BF40">
            <w:pPr>
              <w:tabs>
                <w:tab w:val="left" w:pos="1080"/>
              </w:tabs>
              <w:spacing w:line="300" w:lineRule="exact"/>
              <w:ind w:firstLine="4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承包人提出的合理化建议降低了合同价格或者提高了工程经济效益的，发包人按所节约成本的0%给予奖励。</w:t>
            </w:r>
          </w:p>
        </w:tc>
      </w:tr>
      <w:tr w14:paraId="23A07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629" w:type="dxa"/>
            <w:noWrap w:val="0"/>
            <w:vAlign w:val="center"/>
          </w:tcPr>
          <w:p w14:paraId="58ECD833">
            <w:pPr>
              <w:pStyle w:val="39"/>
              <w:spacing w:before="113" w:line="226" w:lineRule="exact"/>
              <w:ind w:left="83" w:right="74"/>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14</w:t>
            </w:r>
          </w:p>
        </w:tc>
        <w:tc>
          <w:tcPr>
            <w:tcW w:w="1111" w:type="dxa"/>
            <w:noWrap w:val="0"/>
            <w:vAlign w:val="center"/>
          </w:tcPr>
          <w:p w14:paraId="7EFC8763">
            <w:pPr>
              <w:pStyle w:val="39"/>
              <w:spacing w:before="113" w:line="226" w:lineRule="exact"/>
              <w:ind w:left="87" w:right="78"/>
              <w:jc w:val="center"/>
              <w:rPr>
                <w:rFonts w:hint="eastAsia" w:ascii="宋体" w:hAnsi="宋体" w:eastAsia="宋体" w:cs="宋体"/>
                <w:color w:val="auto"/>
                <w:sz w:val="21"/>
                <w:highlight w:val="none"/>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4"/>
                <w:sz w:val="21"/>
                <w:szCs w:val="21"/>
                <w:highlight w:val="none"/>
              </w:rPr>
              <w:t>5.4</w:t>
            </w:r>
          </w:p>
        </w:tc>
        <w:tc>
          <w:tcPr>
            <w:tcW w:w="7305" w:type="dxa"/>
            <w:noWrap w:val="0"/>
            <w:vAlign w:val="center"/>
          </w:tcPr>
          <w:p w14:paraId="7F8533ED">
            <w:pPr>
              <w:spacing w:before="253" w:line="219" w:lineRule="auto"/>
              <w:ind w:firstLine="416" w:firstLineChars="200"/>
              <w:rPr>
                <w:rFonts w:hint="eastAsia" w:ascii="宋体" w:hAnsi="宋体" w:eastAsia="宋体" w:cs="宋体"/>
                <w:color w:val="auto"/>
                <w:szCs w:val="21"/>
                <w:highlight w:val="none"/>
              </w:rPr>
            </w:pPr>
            <w:r>
              <w:rPr>
                <w:rFonts w:hint="eastAsia" w:ascii="宋体" w:hAnsi="宋体" w:eastAsia="宋体" w:cs="宋体"/>
                <w:color w:val="auto"/>
                <w:spacing w:val="-1"/>
                <w:szCs w:val="21"/>
                <w:highlight w:val="none"/>
              </w:rPr>
              <w:t>变更的估价原</w:t>
            </w:r>
            <w:r>
              <w:rPr>
                <w:rFonts w:hint="eastAsia" w:ascii="宋体" w:hAnsi="宋体" w:eastAsia="宋体" w:cs="宋体"/>
                <w:color w:val="auto"/>
                <w:szCs w:val="21"/>
                <w:highlight w:val="none"/>
              </w:rPr>
              <w:t>则：</w:t>
            </w:r>
          </w:p>
          <w:p w14:paraId="059E4CB7">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15.4.1如果取消某项工作，则该项工作的总额价不予以支付；</w:t>
            </w:r>
          </w:p>
          <w:p w14:paraId="6185BFD7">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15.4.2已标价工程量清单中有适用于变更工作的子目的，采用该子目的单价。</w:t>
            </w:r>
          </w:p>
          <w:p w14:paraId="359F6EFF">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15.4.3已标价工程量清单中无适用于变更工作的子目，但有类似子目的，可在合理范围内参照类似子目的单价，由监理人按第3.5款商定变更工作的预算单价，最终以审计部门审定的单价为准。</w:t>
            </w:r>
          </w:p>
          <w:p w14:paraId="3B7BAB21">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15.4.4已标价工程量清单中无适用或类似子目的单价，可在综合考虑承包人在竞标时所提供的单价分析表的基础上，由监理人按第3.5款商定变更工作的预算单价，最终以审计部门审定的单价为准。</w:t>
            </w:r>
          </w:p>
          <w:p w14:paraId="6A52B4CE">
            <w:pPr>
              <w:wordWrap w:val="0"/>
              <w:topLinePunct/>
              <w:adjustRightInd w:val="0"/>
              <w:spacing w:line="360" w:lineRule="auto"/>
              <w:ind w:firstLine="420"/>
              <w:rPr>
                <w:rFonts w:hint="eastAsia" w:ascii="宋体" w:hAnsi="宋体" w:eastAsia="宋体" w:cs="宋体"/>
                <w:color w:val="auto"/>
                <w:spacing w:val="-2"/>
                <w:sz w:val="21"/>
                <w:szCs w:val="21"/>
                <w:highlight w:val="none"/>
                <w:lang w:eastAsia="zh-CN"/>
              </w:rPr>
            </w:pPr>
            <w:r>
              <w:rPr>
                <w:rFonts w:hint="eastAsia" w:ascii="宋体" w:hAnsi="宋体" w:cs="宋体"/>
                <w:color w:val="auto"/>
                <w:szCs w:val="21"/>
                <w:highlight w:val="none"/>
              </w:rPr>
              <w:t>15.4.5如果本工程的变更指示是因承包人过错、承包人建反合同或承包人责任造成的，则这种违约引起的任何额外费用应由承包人承担。</w:t>
            </w:r>
          </w:p>
        </w:tc>
      </w:tr>
      <w:tr w14:paraId="42A7B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629" w:type="dxa"/>
            <w:noWrap w:val="0"/>
            <w:vAlign w:val="center"/>
          </w:tcPr>
          <w:p w14:paraId="3BFEDAAF">
            <w:pPr>
              <w:pStyle w:val="39"/>
              <w:jc w:val="center"/>
              <w:rPr>
                <w:rFonts w:hint="eastAsia" w:ascii="宋体" w:hAnsi="宋体" w:eastAsia="宋体" w:cs="宋体"/>
                <w:color w:val="auto"/>
                <w:highlight w:val="none"/>
                <w:lang w:eastAsia="zh-CN"/>
              </w:rPr>
            </w:pPr>
          </w:p>
          <w:p w14:paraId="558F1B4C">
            <w:pPr>
              <w:pStyle w:val="3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15</w:t>
            </w:r>
          </w:p>
        </w:tc>
        <w:tc>
          <w:tcPr>
            <w:tcW w:w="1111" w:type="dxa"/>
            <w:noWrap w:val="0"/>
            <w:vAlign w:val="center"/>
          </w:tcPr>
          <w:p w14:paraId="711BF46E">
            <w:pPr>
              <w:pStyle w:val="39"/>
              <w:jc w:val="center"/>
              <w:rPr>
                <w:rFonts w:hint="eastAsia" w:ascii="宋体" w:hAnsi="宋体" w:eastAsia="宋体" w:cs="宋体"/>
                <w:color w:val="auto"/>
                <w:highlight w:val="none"/>
              </w:rPr>
            </w:pPr>
          </w:p>
          <w:p w14:paraId="220F096B">
            <w:pPr>
              <w:pStyle w:val="3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16.1</w:t>
            </w:r>
          </w:p>
        </w:tc>
        <w:tc>
          <w:tcPr>
            <w:tcW w:w="7305" w:type="dxa"/>
            <w:noWrap w:val="0"/>
            <w:vAlign w:val="center"/>
          </w:tcPr>
          <w:p w14:paraId="57F629ED">
            <w:pPr>
              <w:pStyle w:val="39"/>
              <w:tabs>
                <w:tab w:val="left" w:pos="0"/>
                <w:tab w:val="left" w:pos="6908"/>
                <w:tab w:val="left" w:pos="7244"/>
              </w:tabs>
              <w:spacing w:before="1" w:line="360" w:lineRule="atLeast"/>
              <w:ind w:right="48" w:firstLine="210" w:firstLineChars="1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合同期内不调价</w:t>
            </w:r>
            <w:r>
              <w:rPr>
                <w:rFonts w:hint="eastAsia" w:ascii="宋体" w:hAnsi="宋体" w:eastAsia="宋体" w:cs="宋体"/>
                <w:color w:val="auto"/>
                <w:sz w:val="21"/>
                <w:highlight w:val="none"/>
                <w:lang w:eastAsia="zh-CN"/>
              </w:rPr>
              <w:t>。</w:t>
            </w:r>
          </w:p>
        </w:tc>
      </w:tr>
    </w:tbl>
    <w:p w14:paraId="2A23DB2F">
      <w:pPr>
        <w:rPr>
          <w:rFonts w:hint="eastAsia" w:ascii="宋体" w:hAnsi="宋体" w:eastAsia="宋体" w:cs="宋体"/>
          <w:color w:val="auto"/>
          <w:sz w:val="18"/>
          <w:highlight w:val="none"/>
        </w:rPr>
        <w:sectPr>
          <w:footerReference r:id="rId7" w:type="default"/>
          <w:footerReference r:id="rId8" w:type="even"/>
          <w:pgSz w:w="11910" w:h="16850"/>
          <w:pgMar w:top="1480" w:right="1200" w:bottom="1040" w:left="1220" w:header="876" w:footer="853" w:gutter="0"/>
          <w:cols w:space="720" w:num="1"/>
        </w:sectPr>
      </w:pPr>
    </w:p>
    <w:p w14:paraId="30D9D5AE">
      <w:pPr>
        <w:pStyle w:val="11"/>
        <w:spacing w:before="5"/>
        <w:rPr>
          <w:rFonts w:hint="eastAsia" w:ascii="宋体" w:hAnsi="宋体" w:eastAsia="宋体" w:cs="宋体"/>
          <w:color w:val="auto"/>
          <w:sz w:val="8"/>
          <w:highlight w:val="none"/>
        </w:rPr>
      </w:pPr>
    </w:p>
    <w:tbl>
      <w:tblPr>
        <w:tblStyle w:val="26"/>
        <w:tblW w:w="0" w:type="auto"/>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11"/>
        <w:gridCol w:w="7305"/>
      </w:tblGrid>
      <w:tr w14:paraId="571CA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50768195">
            <w:pPr>
              <w:pStyle w:val="39"/>
              <w:spacing w:before="90" w:line="250" w:lineRule="exact"/>
              <w:ind w:left="83" w:right="7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11" w:type="dxa"/>
            <w:noWrap w:val="0"/>
            <w:vAlign w:val="top"/>
          </w:tcPr>
          <w:p w14:paraId="642B1E46">
            <w:pPr>
              <w:pStyle w:val="39"/>
              <w:spacing w:before="90" w:line="250" w:lineRule="exact"/>
              <w:ind w:left="23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条目号</w:t>
            </w:r>
          </w:p>
        </w:tc>
        <w:tc>
          <w:tcPr>
            <w:tcW w:w="7305" w:type="dxa"/>
            <w:noWrap w:val="0"/>
            <w:vAlign w:val="top"/>
          </w:tcPr>
          <w:p w14:paraId="0854EEAE">
            <w:pPr>
              <w:pStyle w:val="39"/>
              <w:spacing w:before="90" w:line="250" w:lineRule="exact"/>
              <w:ind w:left="3106" w:right="309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信息或数据</w:t>
            </w:r>
          </w:p>
        </w:tc>
      </w:tr>
      <w:tr w14:paraId="40A67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2E5EC21B">
            <w:pPr>
              <w:pStyle w:val="39"/>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111" w:type="dxa"/>
            <w:noWrap w:val="0"/>
            <w:vAlign w:val="top"/>
          </w:tcPr>
          <w:p w14:paraId="154BE67A">
            <w:pPr>
              <w:pStyle w:val="39"/>
              <w:spacing w:before="89" w:line="250" w:lineRule="exact"/>
              <w:ind w:left="107" w:right="-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17.2.1（1）</w:t>
            </w:r>
          </w:p>
        </w:tc>
        <w:tc>
          <w:tcPr>
            <w:tcW w:w="7305" w:type="dxa"/>
            <w:noWrap w:val="0"/>
            <w:vAlign w:val="top"/>
          </w:tcPr>
          <w:p w14:paraId="12F42965">
            <w:pPr>
              <w:pStyle w:val="39"/>
              <w:spacing w:before="89"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开工预付款金额：签订合同后，材料进场且开始施工后支付合同总价款的30%为工程预付款</w:t>
            </w:r>
            <w:r>
              <w:rPr>
                <w:rFonts w:hint="eastAsia" w:ascii="宋体" w:hAnsi="宋体" w:eastAsia="宋体" w:cs="宋体"/>
                <w:color w:val="auto"/>
                <w:sz w:val="21"/>
                <w:szCs w:val="21"/>
                <w:highlight w:val="none"/>
                <w:lang w:eastAsia="zh-CN"/>
              </w:rPr>
              <w:t>。</w:t>
            </w:r>
          </w:p>
        </w:tc>
      </w:tr>
      <w:tr w14:paraId="10A13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629" w:type="dxa"/>
            <w:noWrap w:val="0"/>
            <w:vAlign w:val="top"/>
          </w:tcPr>
          <w:p w14:paraId="7848740C">
            <w:pPr>
              <w:pStyle w:val="39"/>
              <w:spacing w:before="115"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11" w:type="dxa"/>
            <w:noWrap w:val="0"/>
            <w:vAlign w:val="top"/>
          </w:tcPr>
          <w:p w14:paraId="131E4B61">
            <w:pPr>
              <w:pStyle w:val="39"/>
              <w:spacing w:before="92" w:line="250" w:lineRule="exact"/>
              <w:ind w:left="107" w:right="-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17.2.1（2）</w:t>
            </w:r>
          </w:p>
        </w:tc>
        <w:tc>
          <w:tcPr>
            <w:tcW w:w="7305" w:type="dxa"/>
            <w:noWrap w:val="0"/>
            <w:vAlign w:val="top"/>
          </w:tcPr>
          <w:p w14:paraId="2A4DF3A3">
            <w:pPr>
              <w:pStyle w:val="39"/>
              <w:tabs>
                <w:tab w:val="left" w:pos="2973"/>
              </w:tabs>
              <w:spacing w:before="92"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材料</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z w:val="21"/>
                <w:szCs w:val="21"/>
                <w:highlight w:val="none"/>
                <w:lang w:eastAsia="zh-CN"/>
              </w:rPr>
              <w:t>设</w:t>
            </w:r>
            <w:r>
              <w:rPr>
                <w:rFonts w:hint="eastAsia" w:ascii="宋体" w:hAnsi="宋体" w:eastAsia="宋体" w:cs="宋体"/>
                <w:color w:val="auto"/>
                <w:spacing w:val="-3"/>
                <w:sz w:val="21"/>
                <w:szCs w:val="21"/>
                <w:highlight w:val="none"/>
                <w:lang w:eastAsia="zh-CN"/>
              </w:rPr>
              <w:t>备</w:t>
            </w:r>
            <w:r>
              <w:rPr>
                <w:rFonts w:hint="eastAsia" w:ascii="宋体" w:hAnsi="宋体" w:eastAsia="宋体" w:cs="宋体"/>
                <w:color w:val="auto"/>
                <w:sz w:val="21"/>
                <w:szCs w:val="21"/>
                <w:highlight w:val="none"/>
                <w:lang w:eastAsia="zh-CN"/>
              </w:rPr>
              <w:t>预</w:t>
            </w:r>
            <w:r>
              <w:rPr>
                <w:rFonts w:hint="eastAsia" w:ascii="宋体" w:hAnsi="宋体" w:eastAsia="宋体" w:cs="宋体"/>
                <w:color w:val="auto"/>
                <w:spacing w:val="-3"/>
                <w:sz w:val="21"/>
                <w:szCs w:val="21"/>
                <w:highlight w:val="none"/>
                <w:lang w:eastAsia="zh-CN"/>
              </w:rPr>
              <w:t>付</w:t>
            </w:r>
            <w:r>
              <w:rPr>
                <w:rFonts w:hint="eastAsia" w:ascii="宋体" w:hAnsi="宋体" w:eastAsia="宋体" w:cs="宋体"/>
                <w:color w:val="auto"/>
                <w:sz w:val="21"/>
                <w:szCs w:val="21"/>
                <w:highlight w:val="none"/>
                <w:lang w:eastAsia="zh-CN"/>
              </w:rPr>
              <w:t>款</w:t>
            </w:r>
            <w:r>
              <w:rPr>
                <w:rFonts w:hint="eastAsia" w:ascii="宋体" w:hAnsi="宋体" w:eastAsia="宋体" w:cs="宋体"/>
                <w:color w:val="auto"/>
                <w:spacing w:val="-3"/>
                <w:sz w:val="21"/>
                <w:szCs w:val="21"/>
                <w:highlight w:val="none"/>
                <w:lang w:eastAsia="zh-CN"/>
              </w:rPr>
              <w:t>比</w:t>
            </w:r>
            <w:r>
              <w:rPr>
                <w:rFonts w:hint="eastAsia" w:ascii="宋体" w:hAnsi="宋体" w:eastAsia="宋体" w:cs="宋体"/>
                <w:color w:val="auto"/>
                <w:sz w:val="21"/>
                <w:szCs w:val="21"/>
                <w:highlight w:val="none"/>
                <w:lang w:eastAsia="zh-CN"/>
              </w:rPr>
              <w:t>例</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pacing w:val="-3"/>
                <w:sz w:val="21"/>
                <w:szCs w:val="21"/>
                <w:highlight w:val="none"/>
                <w:lang w:eastAsia="zh-CN"/>
              </w:rPr>
              <w:t>主</w:t>
            </w:r>
            <w:r>
              <w:rPr>
                <w:rFonts w:hint="eastAsia" w:ascii="宋体" w:hAnsi="宋体" w:eastAsia="宋体" w:cs="宋体"/>
                <w:color w:val="auto"/>
                <w:sz w:val="21"/>
                <w:szCs w:val="21"/>
                <w:highlight w:val="none"/>
                <w:lang w:eastAsia="zh-CN"/>
              </w:rPr>
              <w:t>要</w:t>
            </w:r>
            <w:r>
              <w:rPr>
                <w:rFonts w:hint="eastAsia" w:ascii="宋体" w:hAnsi="宋体" w:eastAsia="宋体" w:cs="宋体"/>
                <w:color w:val="auto"/>
                <w:spacing w:val="-3"/>
                <w:sz w:val="21"/>
                <w:szCs w:val="21"/>
                <w:highlight w:val="none"/>
                <w:lang w:eastAsia="zh-CN"/>
              </w:rPr>
              <w:t>材</w:t>
            </w:r>
            <w:r>
              <w:rPr>
                <w:rFonts w:hint="eastAsia" w:ascii="宋体" w:hAnsi="宋体" w:eastAsia="宋体" w:cs="宋体"/>
                <w:color w:val="auto"/>
                <w:sz w:val="21"/>
                <w:szCs w:val="21"/>
                <w:highlight w:val="none"/>
                <w:lang w:eastAsia="zh-CN"/>
              </w:rPr>
              <w:t>料</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z w:val="21"/>
                <w:szCs w:val="21"/>
                <w:highlight w:val="none"/>
                <w:lang w:eastAsia="zh-CN"/>
              </w:rPr>
              <w:t>设</w:t>
            </w:r>
            <w:r>
              <w:rPr>
                <w:rFonts w:hint="eastAsia" w:ascii="宋体" w:hAnsi="宋体" w:eastAsia="宋体" w:cs="宋体"/>
                <w:color w:val="auto"/>
                <w:spacing w:val="-3"/>
                <w:sz w:val="21"/>
                <w:szCs w:val="21"/>
                <w:highlight w:val="none"/>
                <w:lang w:eastAsia="zh-CN"/>
              </w:rPr>
              <w:t>备</w:t>
            </w:r>
            <w:r>
              <w:rPr>
                <w:rFonts w:hint="eastAsia" w:ascii="宋体" w:hAnsi="宋体" w:eastAsia="宋体" w:cs="宋体"/>
                <w:color w:val="auto"/>
                <w:sz w:val="21"/>
                <w:szCs w:val="21"/>
                <w:highlight w:val="none"/>
                <w:lang w:eastAsia="zh-CN"/>
              </w:rPr>
              <w:t>单</w:t>
            </w:r>
            <w:r>
              <w:rPr>
                <w:rFonts w:hint="eastAsia" w:ascii="宋体" w:hAnsi="宋体" w:eastAsia="宋体" w:cs="宋体"/>
                <w:color w:val="auto"/>
                <w:spacing w:val="-3"/>
                <w:sz w:val="21"/>
                <w:szCs w:val="21"/>
                <w:highlight w:val="none"/>
                <w:lang w:eastAsia="zh-CN"/>
              </w:rPr>
              <w:t>据</w:t>
            </w:r>
            <w:r>
              <w:rPr>
                <w:rFonts w:hint="eastAsia" w:ascii="宋体" w:hAnsi="宋体" w:eastAsia="宋体" w:cs="宋体"/>
                <w:color w:val="auto"/>
                <w:sz w:val="21"/>
                <w:szCs w:val="21"/>
                <w:highlight w:val="none"/>
                <w:lang w:eastAsia="zh-CN"/>
              </w:rPr>
              <w:t>所列</w:t>
            </w:r>
            <w:r>
              <w:rPr>
                <w:rFonts w:hint="eastAsia" w:ascii="宋体" w:hAnsi="宋体" w:eastAsia="宋体" w:cs="宋体"/>
                <w:color w:val="auto"/>
                <w:spacing w:val="-3"/>
                <w:sz w:val="21"/>
                <w:szCs w:val="21"/>
                <w:highlight w:val="none"/>
                <w:lang w:eastAsia="zh-CN"/>
              </w:rPr>
              <w:t>费</w:t>
            </w:r>
            <w:r>
              <w:rPr>
                <w:rFonts w:hint="eastAsia" w:ascii="宋体" w:hAnsi="宋体" w:eastAsia="宋体" w:cs="宋体"/>
                <w:color w:val="auto"/>
                <w:sz w:val="21"/>
                <w:szCs w:val="21"/>
                <w:highlight w:val="none"/>
                <w:lang w:eastAsia="zh-CN"/>
              </w:rPr>
              <w:t>用的</w:t>
            </w:r>
            <w:r>
              <w:rPr>
                <w:rFonts w:hint="eastAsia" w:ascii="宋体" w:hAnsi="宋体" w:eastAsia="宋体" w:cs="宋体"/>
                <w:color w:val="auto"/>
                <w:sz w:val="21"/>
                <w:szCs w:val="21"/>
                <w:highlight w:val="none"/>
                <w:u w:val="single"/>
                <w:lang w:eastAsia="zh-CN"/>
              </w:rPr>
              <w:t xml:space="preserve"> 0 </w:t>
            </w:r>
            <w:r>
              <w:rPr>
                <w:rFonts w:hint="eastAsia" w:ascii="宋体" w:hAnsi="宋体" w:eastAsia="宋体" w:cs="宋体"/>
                <w:color w:val="auto"/>
                <w:sz w:val="21"/>
                <w:szCs w:val="21"/>
                <w:highlight w:val="none"/>
                <w:lang w:eastAsia="zh-CN"/>
              </w:rPr>
              <w:t>%</w:t>
            </w:r>
          </w:p>
        </w:tc>
      </w:tr>
      <w:tr w14:paraId="1B335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25EABAD9">
            <w:pPr>
              <w:pStyle w:val="39"/>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11" w:type="dxa"/>
            <w:noWrap w:val="0"/>
            <w:vAlign w:val="top"/>
          </w:tcPr>
          <w:p w14:paraId="26E6D495">
            <w:pPr>
              <w:pStyle w:val="39"/>
              <w:spacing w:before="113" w:line="226" w:lineRule="exact"/>
              <w:ind w:left="2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17.3.2</w:t>
            </w:r>
          </w:p>
        </w:tc>
        <w:tc>
          <w:tcPr>
            <w:tcW w:w="7305" w:type="dxa"/>
            <w:noWrap w:val="0"/>
            <w:vAlign w:val="top"/>
          </w:tcPr>
          <w:p w14:paraId="2749343B">
            <w:pPr>
              <w:pStyle w:val="39"/>
              <w:spacing w:before="89" w:line="250" w:lineRule="exact"/>
              <w:ind w:left="34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承包人在每个付款周期末向监理人提交进度付款申请单的份数：</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lang w:eastAsia="zh-CN"/>
              </w:rPr>
              <w:t>份</w:t>
            </w:r>
          </w:p>
        </w:tc>
      </w:tr>
      <w:tr w14:paraId="45C96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0E4E1348">
            <w:pPr>
              <w:pStyle w:val="39"/>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11" w:type="dxa"/>
            <w:noWrap w:val="0"/>
            <w:vAlign w:val="top"/>
          </w:tcPr>
          <w:p w14:paraId="0D46C2AA">
            <w:pPr>
              <w:pStyle w:val="39"/>
              <w:spacing w:before="90" w:line="250" w:lineRule="exact"/>
              <w:ind w:left="107" w:right="-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17.3.3（1）</w:t>
            </w:r>
          </w:p>
        </w:tc>
        <w:tc>
          <w:tcPr>
            <w:tcW w:w="7305" w:type="dxa"/>
            <w:noWrap w:val="0"/>
            <w:vAlign w:val="top"/>
          </w:tcPr>
          <w:p w14:paraId="40D1BBE4">
            <w:pPr>
              <w:pStyle w:val="39"/>
              <w:tabs>
                <w:tab w:val="left" w:pos="3079"/>
                <w:tab w:val="left" w:pos="4935"/>
              </w:tabs>
              <w:spacing w:before="90"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进度</w:t>
            </w:r>
            <w:r>
              <w:rPr>
                <w:rFonts w:hint="eastAsia" w:ascii="宋体" w:hAnsi="宋体" w:eastAsia="宋体" w:cs="宋体"/>
                <w:color w:val="auto"/>
                <w:spacing w:val="-3"/>
                <w:sz w:val="21"/>
                <w:szCs w:val="21"/>
                <w:highlight w:val="none"/>
                <w:lang w:eastAsia="zh-CN"/>
              </w:rPr>
              <w:t>付</w:t>
            </w:r>
            <w:r>
              <w:rPr>
                <w:rFonts w:hint="eastAsia" w:ascii="宋体" w:hAnsi="宋体" w:eastAsia="宋体" w:cs="宋体"/>
                <w:color w:val="auto"/>
                <w:sz w:val="21"/>
                <w:szCs w:val="21"/>
                <w:highlight w:val="none"/>
                <w:lang w:eastAsia="zh-CN"/>
              </w:rPr>
              <w:t>款</w:t>
            </w:r>
            <w:r>
              <w:rPr>
                <w:rFonts w:hint="eastAsia" w:ascii="宋体" w:hAnsi="宋体" w:eastAsia="宋体" w:cs="宋体"/>
                <w:color w:val="auto"/>
                <w:spacing w:val="-3"/>
                <w:sz w:val="21"/>
                <w:szCs w:val="21"/>
                <w:highlight w:val="none"/>
                <w:lang w:eastAsia="zh-CN"/>
              </w:rPr>
              <w:t>证</w:t>
            </w:r>
            <w:r>
              <w:rPr>
                <w:rFonts w:hint="eastAsia" w:ascii="宋体" w:hAnsi="宋体" w:eastAsia="宋体" w:cs="宋体"/>
                <w:color w:val="auto"/>
                <w:sz w:val="21"/>
                <w:szCs w:val="21"/>
                <w:highlight w:val="none"/>
                <w:lang w:eastAsia="zh-CN"/>
              </w:rPr>
              <w:t>书</w:t>
            </w:r>
            <w:r>
              <w:rPr>
                <w:rFonts w:hint="eastAsia" w:ascii="宋体" w:hAnsi="宋体" w:eastAsia="宋体" w:cs="宋体"/>
                <w:color w:val="auto"/>
                <w:spacing w:val="-3"/>
                <w:sz w:val="21"/>
                <w:szCs w:val="21"/>
                <w:highlight w:val="none"/>
                <w:lang w:eastAsia="zh-CN"/>
              </w:rPr>
              <w:t>最</w:t>
            </w:r>
            <w:r>
              <w:rPr>
                <w:rFonts w:hint="eastAsia" w:ascii="宋体" w:hAnsi="宋体" w:eastAsia="宋体" w:cs="宋体"/>
                <w:color w:val="auto"/>
                <w:sz w:val="21"/>
                <w:szCs w:val="21"/>
                <w:highlight w:val="none"/>
                <w:lang w:eastAsia="zh-CN"/>
              </w:rPr>
              <w:t>低</w:t>
            </w:r>
            <w:r>
              <w:rPr>
                <w:rFonts w:hint="eastAsia" w:ascii="宋体" w:hAnsi="宋体" w:eastAsia="宋体" w:cs="宋体"/>
                <w:color w:val="auto"/>
                <w:spacing w:val="-3"/>
                <w:sz w:val="21"/>
                <w:szCs w:val="21"/>
                <w:highlight w:val="none"/>
                <w:lang w:eastAsia="zh-CN"/>
              </w:rPr>
              <w:t>限</w:t>
            </w:r>
            <w:r>
              <w:rPr>
                <w:rFonts w:hint="eastAsia" w:ascii="宋体" w:hAnsi="宋体" w:eastAsia="宋体" w:cs="宋体"/>
                <w:color w:val="auto"/>
                <w:sz w:val="21"/>
                <w:szCs w:val="21"/>
                <w:highlight w:val="none"/>
                <w:lang w:eastAsia="zh-CN"/>
              </w:rPr>
              <w:t>额</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u w:val="single"/>
                <w:lang w:val="en-US" w:eastAsia="zh-CN"/>
              </w:rPr>
              <w:t>2</w:t>
            </w:r>
            <w:r>
              <w:rPr>
                <w:rFonts w:hint="eastAsia" w:ascii="宋体" w:hAnsi="宋体" w:eastAsia="宋体" w:cs="宋体"/>
                <w:color w:val="auto"/>
                <w:spacing w:val="-3"/>
                <w:sz w:val="21"/>
                <w:szCs w:val="21"/>
                <w:highlight w:val="none"/>
                <w:u w:val="single"/>
                <w:lang w:eastAsia="zh-CN"/>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签</w:t>
            </w:r>
            <w:r>
              <w:rPr>
                <w:rFonts w:hint="eastAsia" w:ascii="宋体" w:hAnsi="宋体" w:eastAsia="宋体" w:cs="宋体"/>
                <w:color w:val="auto"/>
                <w:sz w:val="21"/>
                <w:szCs w:val="21"/>
                <w:highlight w:val="none"/>
                <w:lang w:eastAsia="zh-CN"/>
              </w:rPr>
              <w:t>约</w:t>
            </w:r>
            <w:r>
              <w:rPr>
                <w:rFonts w:hint="eastAsia" w:ascii="宋体" w:hAnsi="宋体" w:eastAsia="宋体" w:cs="宋体"/>
                <w:color w:val="auto"/>
                <w:spacing w:val="-3"/>
                <w:sz w:val="21"/>
                <w:szCs w:val="21"/>
                <w:highlight w:val="none"/>
                <w:lang w:eastAsia="zh-CN"/>
              </w:rPr>
              <w:t>合</w:t>
            </w:r>
            <w:r>
              <w:rPr>
                <w:rFonts w:hint="eastAsia" w:ascii="宋体" w:hAnsi="宋体" w:eastAsia="宋体" w:cs="宋体"/>
                <w:color w:val="auto"/>
                <w:sz w:val="21"/>
                <w:szCs w:val="21"/>
                <w:highlight w:val="none"/>
                <w:lang w:eastAsia="zh-CN"/>
              </w:rPr>
              <w:t>同</w:t>
            </w:r>
            <w:r>
              <w:rPr>
                <w:rFonts w:hint="eastAsia" w:ascii="宋体" w:hAnsi="宋体" w:eastAsia="宋体" w:cs="宋体"/>
                <w:color w:val="auto"/>
                <w:spacing w:val="-3"/>
                <w:sz w:val="21"/>
                <w:szCs w:val="21"/>
                <w:highlight w:val="none"/>
                <w:lang w:eastAsia="zh-CN"/>
              </w:rPr>
              <w:t>价</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pacing w:val="-3"/>
                <w:sz w:val="21"/>
                <w:szCs w:val="21"/>
                <w:highlight w:val="none"/>
                <w:lang w:eastAsia="zh-CN"/>
              </w:rPr>
              <w:t>万</w:t>
            </w:r>
            <w:r>
              <w:rPr>
                <w:rFonts w:hint="eastAsia" w:ascii="宋体" w:hAnsi="宋体" w:eastAsia="宋体" w:cs="宋体"/>
                <w:color w:val="auto"/>
                <w:sz w:val="21"/>
                <w:szCs w:val="21"/>
                <w:highlight w:val="none"/>
                <w:lang w:eastAsia="zh-CN"/>
              </w:rPr>
              <w:t>元</w:t>
            </w:r>
          </w:p>
        </w:tc>
      </w:tr>
      <w:tr w14:paraId="48116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7F0F30D1">
            <w:pPr>
              <w:pStyle w:val="39"/>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11" w:type="dxa"/>
            <w:noWrap w:val="0"/>
            <w:vAlign w:val="top"/>
          </w:tcPr>
          <w:p w14:paraId="71BE1FC7">
            <w:pPr>
              <w:pStyle w:val="39"/>
              <w:spacing w:before="90" w:line="250" w:lineRule="exact"/>
              <w:ind w:left="107" w:right="-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17.3.3（2）</w:t>
            </w:r>
          </w:p>
        </w:tc>
        <w:tc>
          <w:tcPr>
            <w:tcW w:w="7305" w:type="dxa"/>
            <w:noWrap w:val="0"/>
            <w:vAlign w:val="top"/>
          </w:tcPr>
          <w:p w14:paraId="5E5BB3DA">
            <w:pPr>
              <w:pStyle w:val="39"/>
              <w:tabs>
                <w:tab w:val="left" w:pos="3185"/>
              </w:tabs>
              <w:spacing w:before="90"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逾期</w:t>
            </w:r>
            <w:r>
              <w:rPr>
                <w:rFonts w:hint="eastAsia" w:ascii="宋体" w:hAnsi="宋体" w:eastAsia="宋体" w:cs="宋体"/>
                <w:color w:val="auto"/>
                <w:spacing w:val="-3"/>
                <w:sz w:val="21"/>
                <w:szCs w:val="21"/>
                <w:highlight w:val="none"/>
                <w:lang w:eastAsia="zh-CN"/>
              </w:rPr>
              <w:t>付</w:t>
            </w:r>
            <w:r>
              <w:rPr>
                <w:rFonts w:hint="eastAsia" w:ascii="宋体" w:hAnsi="宋体" w:eastAsia="宋体" w:cs="宋体"/>
                <w:color w:val="auto"/>
                <w:sz w:val="21"/>
                <w:szCs w:val="21"/>
                <w:highlight w:val="none"/>
                <w:lang w:eastAsia="zh-CN"/>
              </w:rPr>
              <w:t>款</w:t>
            </w:r>
            <w:r>
              <w:rPr>
                <w:rFonts w:hint="eastAsia" w:ascii="宋体" w:hAnsi="宋体" w:eastAsia="宋体" w:cs="宋体"/>
                <w:color w:val="auto"/>
                <w:spacing w:val="-3"/>
                <w:sz w:val="21"/>
                <w:szCs w:val="21"/>
                <w:highlight w:val="none"/>
                <w:lang w:eastAsia="zh-CN"/>
              </w:rPr>
              <w:t>违</w:t>
            </w:r>
            <w:r>
              <w:rPr>
                <w:rFonts w:hint="eastAsia" w:ascii="宋体" w:hAnsi="宋体" w:eastAsia="宋体" w:cs="宋体"/>
                <w:color w:val="auto"/>
                <w:sz w:val="21"/>
                <w:szCs w:val="21"/>
                <w:highlight w:val="none"/>
                <w:lang w:eastAsia="zh-CN"/>
              </w:rPr>
              <w:t>约</w:t>
            </w:r>
            <w:r>
              <w:rPr>
                <w:rFonts w:hint="eastAsia" w:ascii="宋体" w:hAnsi="宋体" w:eastAsia="宋体" w:cs="宋体"/>
                <w:color w:val="auto"/>
                <w:spacing w:val="-3"/>
                <w:sz w:val="21"/>
                <w:szCs w:val="21"/>
                <w:highlight w:val="none"/>
                <w:lang w:eastAsia="zh-CN"/>
              </w:rPr>
              <w:t>金</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pacing w:val="-3"/>
                <w:sz w:val="21"/>
                <w:szCs w:val="21"/>
                <w:highlight w:val="none"/>
                <w:lang w:eastAsia="zh-CN"/>
              </w:rPr>
              <w:t>利</w:t>
            </w:r>
            <w:r>
              <w:rPr>
                <w:rFonts w:hint="eastAsia" w:ascii="宋体" w:hAnsi="宋体" w:eastAsia="宋体" w:cs="宋体"/>
                <w:color w:val="auto"/>
                <w:sz w:val="21"/>
                <w:szCs w:val="21"/>
                <w:highlight w:val="none"/>
                <w:lang w:eastAsia="zh-CN"/>
              </w:rPr>
              <w:t>率</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u w:val="single"/>
                <w:lang w:eastAsia="zh-CN"/>
              </w:rPr>
              <w:t xml:space="preserve">0.15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天</w:t>
            </w:r>
          </w:p>
        </w:tc>
      </w:tr>
      <w:tr w14:paraId="1A9BB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522CB7DD">
            <w:pPr>
              <w:pStyle w:val="39"/>
              <w:spacing w:before="113" w:line="226" w:lineRule="exact"/>
              <w:ind w:left="83" w:right="74"/>
              <w:jc w:val="center"/>
              <w:rPr>
                <w:rFonts w:hint="eastAsia" w:ascii="宋体" w:hAnsi="宋体" w:eastAsia="宋体" w:cs="宋体"/>
                <w:color w:val="auto"/>
                <w:sz w:val="21"/>
                <w:szCs w:val="21"/>
                <w:highlight w:val="none"/>
                <w:lang w:eastAsia="zh-CN"/>
              </w:rPr>
            </w:pPr>
          </w:p>
          <w:p w14:paraId="6B99D624">
            <w:pPr>
              <w:pStyle w:val="39"/>
              <w:spacing w:before="113" w:line="226" w:lineRule="exact"/>
              <w:ind w:left="83" w:right="74"/>
              <w:jc w:val="center"/>
              <w:rPr>
                <w:rFonts w:hint="eastAsia" w:ascii="宋体" w:hAnsi="宋体" w:eastAsia="宋体" w:cs="宋体"/>
                <w:color w:val="auto"/>
                <w:sz w:val="21"/>
                <w:szCs w:val="21"/>
                <w:highlight w:val="none"/>
                <w:lang w:eastAsia="zh-CN"/>
              </w:rPr>
            </w:pPr>
          </w:p>
          <w:p w14:paraId="496658A9">
            <w:pPr>
              <w:pStyle w:val="39"/>
              <w:spacing w:before="113" w:line="226" w:lineRule="exact"/>
              <w:ind w:left="83" w:right="74"/>
              <w:jc w:val="center"/>
              <w:rPr>
                <w:rFonts w:hint="eastAsia" w:ascii="宋体" w:hAnsi="宋体" w:eastAsia="宋体" w:cs="宋体"/>
                <w:color w:val="auto"/>
                <w:sz w:val="21"/>
                <w:szCs w:val="21"/>
                <w:highlight w:val="none"/>
                <w:lang w:eastAsia="zh-CN"/>
              </w:rPr>
            </w:pPr>
          </w:p>
          <w:p w14:paraId="2CDC1BD8">
            <w:pPr>
              <w:pStyle w:val="39"/>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11" w:type="dxa"/>
            <w:noWrap w:val="0"/>
            <w:vAlign w:val="center"/>
          </w:tcPr>
          <w:p w14:paraId="4069C92C">
            <w:pPr>
              <w:spacing w:line="360" w:lineRule="auto"/>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17.3.3(4)</w:t>
            </w:r>
          </w:p>
        </w:tc>
        <w:tc>
          <w:tcPr>
            <w:tcW w:w="7305" w:type="dxa"/>
            <w:noWrap w:val="0"/>
            <w:vAlign w:val="top"/>
          </w:tcPr>
          <w:p w14:paraId="2BE10390">
            <w:pPr>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工程款</w:t>
            </w:r>
            <w:r>
              <w:rPr>
                <w:rFonts w:hint="eastAsia" w:ascii="宋体" w:hAnsi="宋体" w:eastAsia="宋体" w:cs="宋体"/>
                <w:color w:val="auto"/>
                <w:sz w:val="21"/>
                <w:szCs w:val="21"/>
                <w:highlight w:val="none"/>
                <w:lang w:eastAsia="zh-CN"/>
              </w:rPr>
              <w:t>支付：</w:t>
            </w:r>
            <w:r>
              <w:rPr>
                <w:rFonts w:hint="eastAsia" w:ascii="宋体" w:hAnsi="宋体" w:eastAsia="宋体" w:cs="宋体"/>
                <w:color w:val="auto"/>
                <w:sz w:val="21"/>
                <w:szCs w:val="21"/>
                <w:highlight w:val="none"/>
              </w:rPr>
              <w:t xml:space="preserve"> </w:t>
            </w:r>
          </w:p>
          <w:p w14:paraId="1958CFF0">
            <w:pPr>
              <w:tabs>
                <w:tab w:val="left" w:pos="3193"/>
              </w:tabs>
              <w:wordWrap w:val="0"/>
              <w:topLinePunct/>
              <w:adjustRightInd w:val="0"/>
              <w:spacing w:line="360" w:lineRule="auto"/>
              <w:ind w:firstLine="42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①甲方根据工程需要和工程进度情况，可支付至合同总价款的80%；②工程竣工验收达到合格质量要求后，支付至工程合同总价款的90%；③经结算审计（审核、评审）后，乙方向甲方缴纳结算审计（审核、评审）价款3%的工程款作为工程质量保证金，甲方向乙方支付至结算审计（审核、评审）价款的100%的工程款 ；若乙方未向甲方缴纳结算审计（审核、评审）价款3%的工程款作为工程质量保证金，则甲方向乙方支付至结算审计（审核、评审）价款的97%作为工程款，余下3%作为工程质量保证金；④3%工程质量保证金，待工程质量保修期满后返还。本工程质量保质期为1年。在工程质量保质期内，若存在质量缺陷的，由乙方负责保修，费用由乙方负责，工程质量保质期从甲方验收合格后开始计算。注：每次付款前需承包人开具等额增值税发票，申请付款前需提供发票原件方可付款。</w:t>
            </w:r>
            <w:r>
              <w:rPr>
                <w:rFonts w:hint="eastAsia" w:ascii="宋体" w:hAnsi="宋体" w:eastAsia="宋体" w:cs="宋体"/>
                <w:b/>
                <w:color w:val="auto"/>
                <w:sz w:val="21"/>
                <w:szCs w:val="21"/>
                <w:highlight w:val="none"/>
              </w:rPr>
              <w:tab/>
            </w:r>
          </w:p>
        </w:tc>
      </w:tr>
      <w:tr w14:paraId="0694A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629" w:type="dxa"/>
            <w:noWrap w:val="0"/>
            <w:vAlign w:val="center"/>
          </w:tcPr>
          <w:p w14:paraId="1CACDFFB">
            <w:pPr>
              <w:pStyle w:val="39"/>
              <w:spacing w:before="178"/>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11" w:type="dxa"/>
            <w:noWrap w:val="0"/>
            <w:vAlign w:val="center"/>
          </w:tcPr>
          <w:p w14:paraId="4802A795">
            <w:pPr>
              <w:pStyle w:val="39"/>
              <w:spacing w:before="178"/>
              <w:ind w:left="29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17.4.1</w:t>
            </w:r>
          </w:p>
        </w:tc>
        <w:tc>
          <w:tcPr>
            <w:tcW w:w="7305" w:type="dxa"/>
            <w:noWrap w:val="0"/>
            <w:vAlign w:val="top"/>
          </w:tcPr>
          <w:p w14:paraId="7C009771">
            <w:pPr>
              <w:pStyle w:val="39"/>
              <w:spacing w:before="2" w:line="355" w:lineRule="exact"/>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质量保证金限额：3%</w:t>
            </w:r>
            <w:r>
              <w:rPr>
                <w:rFonts w:hint="eastAsia" w:ascii="宋体" w:hAnsi="宋体" w:eastAsia="宋体" w:cs="宋体"/>
                <w:color w:val="auto"/>
                <w:sz w:val="21"/>
                <w:szCs w:val="21"/>
                <w:highlight w:val="none"/>
                <w:lang w:val="en-US" w:eastAsia="zh-CN"/>
              </w:rPr>
              <w:t>结算价</w:t>
            </w:r>
            <w:r>
              <w:rPr>
                <w:rFonts w:hint="eastAsia" w:ascii="宋体" w:hAnsi="宋体" w:eastAsia="宋体" w:cs="宋体"/>
                <w:color w:val="auto"/>
                <w:sz w:val="21"/>
                <w:szCs w:val="21"/>
                <w:highlight w:val="none"/>
                <w:lang w:eastAsia="zh-CN"/>
              </w:rPr>
              <w:t>。</w:t>
            </w:r>
          </w:p>
          <w:p w14:paraId="6F6C4B14">
            <w:pPr>
              <w:pStyle w:val="39"/>
              <w:spacing w:before="2" w:line="355" w:lineRule="exact"/>
              <w:ind w:firstLine="208" w:firstLineChars="10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质量保证金是否计</w:t>
            </w:r>
            <w:r>
              <w:rPr>
                <w:rFonts w:hint="eastAsia" w:ascii="宋体" w:hAnsi="宋体" w:eastAsia="宋体" w:cs="宋体"/>
                <w:color w:val="auto"/>
                <w:sz w:val="21"/>
                <w:szCs w:val="21"/>
                <w:highlight w:val="none"/>
              </w:rPr>
              <w:t>付利息：</w:t>
            </w:r>
          </w:p>
          <w:p w14:paraId="407951F4">
            <w:pPr>
              <w:pStyle w:val="39"/>
              <w:spacing w:before="2" w:line="355" w:lineRule="exact"/>
              <w:ind w:firstLine="206"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
                <w:sz w:val="21"/>
                <w:szCs w:val="21"/>
                <w:highlight w:val="none"/>
              </w:rPr>
              <w:t>是，利息的计算方式：</w:t>
            </w:r>
            <w:r>
              <w:rPr>
                <w:rFonts w:hint="eastAsia" w:ascii="宋体" w:hAnsi="宋体" w:eastAsia="宋体" w:cs="宋体"/>
                <w:color w:val="auto"/>
                <w:sz w:val="21"/>
                <w:szCs w:val="21"/>
                <w:highlight w:val="none"/>
                <w:u w:val="single"/>
              </w:rPr>
              <w:t xml:space="preserve">               </w:t>
            </w:r>
          </w:p>
          <w:p w14:paraId="09DA6A9A">
            <w:pPr>
              <w:pStyle w:val="39"/>
              <w:spacing w:before="2" w:line="355" w:lineRule="exact"/>
              <w:ind w:firstLine="206"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5"/>
                <w:sz w:val="21"/>
                <w:szCs w:val="21"/>
                <w:highlight w:val="none"/>
              </w:rPr>
              <w:t>否</w:t>
            </w:r>
          </w:p>
        </w:tc>
      </w:tr>
      <w:tr w14:paraId="21E36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29" w:type="dxa"/>
            <w:noWrap w:val="0"/>
            <w:vAlign w:val="top"/>
          </w:tcPr>
          <w:p w14:paraId="0C8DD6FB">
            <w:pPr>
              <w:pStyle w:val="39"/>
              <w:spacing w:before="178"/>
              <w:ind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11" w:type="dxa"/>
            <w:noWrap w:val="0"/>
            <w:vAlign w:val="top"/>
          </w:tcPr>
          <w:p w14:paraId="3FE01C2B">
            <w:pPr>
              <w:pStyle w:val="39"/>
              <w:spacing w:before="178"/>
              <w:ind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17.5.1（1）</w:t>
            </w:r>
          </w:p>
        </w:tc>
        <w:tc>
          <w:tcPr>
            <w:tcW w:w="7305" w:type="dxa"/>
            <w:noWrap w:val="0"/>
            <w:vAlign w:val="top"/>
          </w:tcPr>
          <w:p w14:paraId="4A7AFFD6">
            <w:pPr>
              <w:pStyle w:val="39"/>
              <w:spacing w:before="178"/>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承包人向监理人提交交工付款申请单（包括相关证明材料）的份数：</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份</w:t>
            </w:r>
          </w:p>
        </w:tc>
      </w:tr>
      <w:tr w14:paraId="76A13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29" w:type="dxa"/>
            <w:noWrap w:val="0"/>
            <w:vAlign w:val="top"/>
          </w:tcPr>
          <w:p w14:paraId="41AB827B">
            <w:pPr>
              <w:pStyle w:val="39"/>
              <w:spacing w:before="178"/>
              <w:ind w:left="83" w:right="7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24</w:t>
            </w:r>
          </w:p>
        </w:tc>
        <w:tc>
          <w:tcPr>
            <w:tcW w:w="1111" w:type="dxa"/>
            <w:noWrap w:val="0"/>
            <w:vAlign w:val="top"/>
          </w:tcPr>
          <w:p w14:paraId="645BCF27">
            <w:pPr>
              <w:pStyle w:val="39"/>
              <w:spacing w:before="178"/>
              <w:ind w:left="83" w:right="7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17.6.1（1）</w:t>
            </w:r>
          </w:p>
        </w:tc>
        <w:tc>
          <w:tcPr>
            <w:tcW w:w="7305" w:type="dxa"/>
            <w:noWrap w:val="0"/>
            <w:vAlign w:val="top"/>
          </w:tcPr>
          <w:p w14:paraId="3A2890D2">
            <w:pPr>
              <w:pStyle w:val="39"/>
              <w:spacing w:before="178"/>
              <w:ind w:left="83" w:right="7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承包人向监理人提交最终结清申请单（包括相关证明材料）的份数：</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份</w:t>
            </w:r>
          </w:p>
        </w:tc>
      </w:tr>
      <w:tr w14:paraId="33007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629" w:type="dxa"/>
            <w:noWrap w:val="0"/>
            <w:vAlign w:val="top"/>
          </w:tcPr>
          <w:p w14:paraId="529AA1AE">
            <w:pPr>
              <w:pStyle w:val="39"/>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11" w:type="dxa"/>
            <w:noWrap w:val="0"/>
            <w:vAlign w:val="top"/>
          </w:tcPr>
          <w:p w14:paraId="678AE6BA">
            <w:pPr>
              <w:pStyle w:val="39"/>
              <w:spacing w:before="90" w:line="250" w:lineRule="exact"/>
              <w:ind w:left="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18.2（2）</w:t>
            </w:r>
          </w:p>
        </w:tc>
        <w:tc>
          <w:tcPr>
            <w:tcW w:w="7305" w:type="dxa"/>
            <w:noWrap w:val="0"/>
            <w:vAlign w:val="top"/>
          </w:tcPr>
          <w:p w14:paraId="5E34E2B8">
            <w:pPr>
              <w:pStyle w:val="39"/>
              <w:tabs>
                <w:tab w:val="left" w:pos="2659"/>
              </w:tabs>
              <w:spacing w:before="90" w:line="250" w:lineRule="exact"/>
              <w:ind w:left="3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w:t>
            </w:r>
            <w:r>
              <w:rPr>
                <w:rFonts w:hint="eastAsia" w:ascii="宋体" w:hAnsi="宋体" w:eastAsia="宋体" w:cs="宋体"/>
                <w:color w:val="auto"/>
                <w:spacing w:val="-3"/>
                <w:sz w:val="21"/>
                <w:szCs w:val="21"/>
                <w:highlight w:val="none"/>
              </w:rPr>
              <w:t>资</w:t>
            </w:r>
            <w:r>
              <w:rPr>
                <w:rFonts w:hint="eastAsia" w:ascii="宋体" w:hAnsi="宋体" w:eastAsia="宋体" w:cs="宋体"/>
                <w:color w:val="auto"/>
                <w:sz w:val="21"/>
                <w:szCs w:val="21"/>
                <w:highlight w:val="none"/>
              </w:rPr>
              <w:t>料</w:t>
            </w:r>
            <w:r>
              <w:rPr>
                <w:rFonts w:hint="eastAsia" w:ascii="宋体" w:hAnsi="宋体" w:eastAsia="宋体" w:cs="宋体"/>
                <w:color w:val="auto"/>
                <w:spacing w:val="-3"/>
                <w:sz w:val="21"/>
                <w:szCs w:val="21"/>
                <w:highlight w:val="none"/>
              </w:rPr>
              <w:t>的</w:t>
            </w:r>
            <w:r>
              <w:rPr>
                <w:rFonts w:hint="eastAsia" w:ascii="宋体" w:hAnsi="宋体" w:eastAsia="宋体" w:cs="宋体"/>
                <w:color w:val="auto"/>
                <w:sz w:val="21"/>
                <w:szCs w:val="21"/>
                <w:highlight w:val="none"/>
              </w:rPr>
              <w:t>份</w:t>
            </w:r>
            <w:r>
              <w:rPr>
                <w:rFonts w:hint="eastAsia" w:ascii="宋体" w:hAnsi="宋体" w:eastAsia="宋体" w:cs="宋体"/>
                <w:color w:val="auto"/>
                <w:spacing w:val="-3"/>
                <w:sz w:val="21"/>
                <w:szCs w:val="21"/>
                <w:highlight w:val="none"/>
              </w:rPr>
              <w:t>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份</w:t>
            </w:r>
          </w:p>
        </w:tc>
      </w:tr>
      <w:tr w14:paraId="2F487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29" w:type="dxa"/>
            <w:noWrap w:val="0"/>
            <w:vAlign w:val="top"/>
          </w:tcPr>
          <w:p w14:paraId="15E578FA">
            <w:pPr>
              <w:pStyle w:val="39"/>
              <w:spacing w:before="194"/>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11" w:type="dxa"/>
            <w:noWrap w:val="0"/>
            <w:vAlign w:val="top"/>
          </w:tcPr>
          <w:p w14:paraId="46F4B151">
            <w:pPr>
              <w:pStyle w:val="39"/>
              <w:spacing w:before="194"/>
              <w:ind w:left="2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w:t>
            </w:r>
          </w:p>
        </w:tc>
        <w:tc>
          <w:tcPr>
            <w:tcW w:w="7305" w:type="dxa"/>
            <w:noWrap w:val="0"/>
            <w:vAlign w:val="top"/>
          </w:tcPr>
          <w:p w14:paraId="53E8E513">
            <w:pPr>
              <w:pStyle w:val="39"/>
              <w:spacing w:before="92"/>
              <w:ind w:left="347"/>
              <w:rPr>
                <w:rFonts w:hint="eastAsia" w:ascii="宋体" w:hAnsi="宋体" w:eastAsia="宋体" w:cs="宋体"/>
                <w:color w:val="auto"/>
                <w:spacing w:val="17"/>
                <w:sz w:val="21"/>
                <w:szCs w:val="21"/>
                <w:highlight w:val="none"/>
                <w:lang w:eastAsia="zh-CN"/>
              </w:rPr>
            </w:pPr>
            <w:r>
              <w:rPr>
                <w:rFonts w:hint="eastAsia" w:ascii="宋体" w:hAnsi="宋体" w:eastAsia="宋体" w:cs="宋体"/>
                <w:color w:val="auto"/>
                <w:sz w:val="21"/>
                <w:szCs w:val="21"/>
                <w:highlight w:val="none"/>
                <w:lang w:eastAsia="zh-CN"/>
              </w:rPr>
              <w:t>单位工程或工程设备是否需投入施工期运行：</w:t>
            </w:r>
            <w:r>
              <w:rPr>
                <w:rFonts w:hint="eastAsia" w:ascii="宋体" w:hAnsi="宋体" w:eastAsia="宋体" w:cs="宋体"/>
                <w:color w:val="auto"/>
                <w:sz w:val="21"/>
                <w:szCs w:val="21"/>
                <w:highlight w:val="none"/>
                <w:u w:val="single"/>
                <w:lang w:eastAsia="zh-CN"/>
              </w:rPr>
              <w:t>是</w:t>
            </w:r>
            <w:r>
              <w:rPr>
                <w:rFonts w:hint="eastAsia" w:ascii="宋体" w:hAnsi="宋体" w:eastAsia="宋体" w:cs="宋体"/>
                <w:color w:val="auto"/>
                <w:spacing w:val="17"/>
                <w:sz w:val="21"/>
                <w:szCs w:val="21"/>
                <w:highlight w:val="none"/>
                <w:lang w:eastAsia="zh-CN"/>
              </w:rPr>
              <w:t>（</w:t>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pacing w:val="-3"/>
                <w:sz w:val="21"/>
                <w:szCs w:val="21"/>
                <w:highlight w:val="none"/>
                <w:lang w:eastAsia="zh-CN"/>
              </w:rPr>
              <w:t>或</w:t>
            </w:r>
            <w:r>
              <w:rPr>
                <w:rFonts w:hint="eastAsia" w:ascii="宋体" w:hAnsi="宋体" w:eastAsia="宋体" w:cs="宋体"/>
                <w:color w:val="auto"/>
                <w:sz w:val="21"/>
                <w:szCs w:val="21"/>
                <w:highlight w:val="none"/>
                <w:lang w:eastAsia="zh-CN"/>
              </w:rPr>
              <w:t>否</w:t>
            </w:r>
            <w:r>
              <w:rPr>
                <w:rFonts w:hint="eastAsia" w:ascii="宋体" w:hAnsi="宋体" w:eastAsia="宋体" w:cs="宋体"/>
                <w:color w:val="auto"/>
                <w:spacing w:val="17"/>
                <w:sz w:val="21"/>
                <w:szCs w:val="21"/>
                <w:highlight w:val="none"/>
                <w:lang w:eastAsia="zh-CN"/>
              </w:rPr>
              <w:t>）</w:t>
            </w:r>
          </w:p>
          <w:p w14:paraId="53535033">
            <w:pPr>
              <w:pStyle w:val="39"/>
              <w:spacing w:before="92"/>
              <w:ind w:left="347"/>
              <w:rPr>
                <w:rFonts w:hint="eastAsia" w:ascii="宋体" w:hAnsi="宋体" w:eastAsia="宋体" w:cs="宋体"/>
                <w:color w:val="auto"/>
                <w:spacing w:val="17"/>
                <w:sz w:val="21"/>
                <w:szCs w:val="21"/>
                <w:highlight w:val="none"/>
                <w:lang w:eastAsia="zh-CN"/>
              </w:rPr>
            </w:pPr>
            <w:r>
              <w:rPr>
                <w:rFonts w:hint="eastAsia" w:ascii="宋体" w:hAnsi="宋体" w:eastAsia="宋体" w:cs="宋体"/>
                <w:color w:val="auto"/>
                <w:spacing w:val="17"/>
                <w:sz w:val="21"/>
                <w:szCs w:val="21"/>
                <w:highlight w:val="none"/>
                <w:lang w:eastAsia="zh-CN"/>
              </w:rPr>
              <w:t>本项目属于旧路改建，需要在施工期间维持交通畅通。</w:t>
            </w:r>
          </w:p>
        </w:tc>
      </w:tr>
      <w:tr w14:paraId="63065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629" w:type="dxa"/>
            <w:noWrap w:val="0"/>
            <w:vAlign w:val="top"/>
          </w:tcPr>
          <w:p w14:paraId="4A2C0A69">
            <w:pPr>
              <w:pStyle w:val="39"/>
              <w:spacing w:before="11"/>
              <w:rPr>
                <w:rFonts w:hint="eastAsia" w:ascii="宋体" w:hAnsi="宋体" w:eastAsia="宋体" w:cs="宋体"/>
                <w:color w:val="auto"/>
                <w:sz w:val="21"/>
                <w:szCs w:val="21"/>
                <w:highlight w:val="none"/>
                <w:lang w:eastAsia="zh-CN"/>
              </w:rPr>
            </w:pPr>
          </w:p>
          <w:p w14:paraId="4CDDC789">
            <w:pPr>
              <w:pStyle w:val="39"/>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111" w:type="dxa"/>
            <w:noWrap w:val="0"/>
            <w:vAlign w:val="top"/>
          </w:tcPr>
          <w:p w14:paraId="67305C93">
            <w:pPr>
              <w:pStyle w:val="39"/>
              <w:spacing w:before="11"/>
              <w:rPr>
                <w:rFonts w:hint="eastAsia" w:ascii="宋体" w:hAnsi="宋体" w:eastAsia="宋体" w:cs="宋体"/>
                <w:color w:val="auto"/>
                <w:sz w:val="21"/>
                <w:szCs w:val="21"/>
                <w:highlight w:val="none"/>
              </w:rPr>
            </w:pPr>
          </w:p>
          <w:p w14:paraId="725B4DD2">
            <w:pPr>
              <w:pStyle w:val="39"/>
              <w:ind w:left="2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18.6.1</w:t>
            </w:r>
          </w:p>
        </w:tc>
        <w:tc>
          <w:tcPr>
            <w:tcW w:w="7305" w:type="dxa"/>
            <w:noWrap w:val="0"/>
            <w:vAlign w:val="top"/>
          </w:tcPr>
          <w:p w14:paraId="6F7BCB01">
            <w:pPr>
              <w:pStyle w:val="39"/>
              <w:spacing w:before="89"/>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本工程及工程设备是否进行试运行：</w:t>
            </w:r>
            <w:r>
              <w:rPr>
                <w:rFonts w:hint="eastAsia" w:ascii="宋体" w:hAnsi="宋体" w:eastAsia="宋体" w:cs="宋体"/>
                <w:color w:val="auto"/>
                <w:sz w:val="21"/>
                <w:szCs w:val="21"/>
                <w:highlight w:val="none"/>
                <w:u w:val="single"/>
                <w:lang w:eastAsia="zh-CN"/>
              </w:rPr>
              <w:t>否</w:t>
            </w:r>
            <w:r>
              <w:rPr>
                <w:rFonts w:hint="eastAsia" w:ascii="宋体" w:hAnsi="宋体" w:eastAsia="宋体" w:cs="宋体"/>
                <w:color w:val="auto"/>
                <w:spacing w:val="17"/>
                <w:sz w:val="21"/>
                <w:szCs w:val="21"/>
                <w:highlight w:val="none"/>
                <w:lang w:eastAsia="zh-CN"/>
              </w:rPr>
              <w:t>（</w:t>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pacing w:val="-3"/>
                <w:sz w:val="21"/>
                <w:szCs w:val="21"/>
                <w:highlight w:val="none"/>
                <w:lang w:eastAsia="zh-CN"/>
              </w:rPr>
              <w:t>或</w:t>
            </w:r>
            <w:r>
              <w:rPr>
                <w:rFonts w:hint="eastAsia" w:ascii="宋体" w:hAnsi="宋体" w:eastAsia="宋体" w:cs="宋体"/>
                <w:color w:val="auto"/>
                <w:sz w:val="21"/>
                <w:szCs w:val="21"/>
                <w:highlight w:val="none"/>
                <w:lang w:eastAsia="zh-CN"/>
              </w:rPr>
              <w:t>否</w:t>
            </w:r>
            <w:r>
              <w:rPr>
                <w:rFonts w:hint="eastAsia" w:ascii="宋体" w:hAnsi="宋体" w:eastAsia="宋体" w:cs="宋体"/>
                <w:color w:val="auto"/>
                <w:spacing w:val="17"/>
                <w:sz w:val="21"/>
                <w:szCs w:val="21"/>
                <w:highlight w:val="none"/>
                <w:lang w:eastAsia="zh-CN"/>
              </w:rPr>
              <w:t>）</w:t>
            </w:r>
          </w:p>
          <w:p w14:paraId="15869EE4">
            <w:pPr>
              <w:pStyle w:val="39"/>
              <w:tabs>
                <w:tab w:val="left" w:pos="7244"/>
              </w:tabs>
              <w:spacing w:before="91"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如本</w:t>
            </w:r>
            <w:r>
              <w:rPr>
                <w:rFonts w:hint="eastAsia" w:ascii="宋体" w:hAnsi="宋体" w:eastAsia="宋体" w:cs="宋体"/>
                <w:color w:val="auto"/>
                <w:spacing w:val="-3"/>
                <w:sz w:val="21"/>
                <w:szCs w:val="21"/>
                <w:highlight w:val="none"/>
                <w:lang w:eastAsia="zh-CN"/>
              </w:rPr>
              <w:t>工</w:t>
            </w:r>
            <w:r>
              <w:rPr>
                <w:rFonts w:hint="eastAsia" w:ascii="宋体" w:hAnsi="宋体" w:eastAsia="宋体" w:cs="宋体"/>
                <w:color w:val="auto"/>
                <w:sz w:val="21"/>
                <w:szCs w:val="21"/>
                <w:highlight w:val="none"/>
                <w:lang w:eastAsia="zh-CN"/>
              </w:rPr>
              <w:t>程</w:t>
            </w:r>
            <w:r>
              <w:rPr>
                <w:rFonts w:hint="eastAsia" w:ascii="宋体" w:hAnsi="宋体" w:eastAsia="宋体" w:cs="宋体"/>
                <w:color w:val="auto"/>
                <w:spacing w:val="-3"/>
                <w:sz w:val="21"/>
                <w:szCs w:val="21"/>
                <w:highlight w:val="none"/>
                <w:lang w:eastAsia="zh-CN"/>
              </w:rPr>
              <w:t>及</w:t>
            </w:r>
            <w:r>
              <w:rPr>
                <w:rFonts w:hint="eastAsia" w:ascii="宋体" w:hAnsi="宋体" w:eastAsia="宋体" w:cs="宋体"/>
                <w:color w:val="auto"/>
                <w:sz w:val="21"/>
                <w:szCs w:val="21"/>
                <w:highlight w:val="none"/>
                <w:lang w:eastAsia="zh-CN"/>
              </w:rPr>
              <w:t>工</w:t>
            </w:r>
            <w:r>
              <w:rPr>
                <w:rFonts w:hint="eastAsia" w:ascii="宋体" w:hAnsi="宋体" w:eastAsia="宋体" w:cs="宋体"/>
                <w:color w:val="auto"/>
                <w:spacing w:val="-3"/>
                <w:sz w:val="21"/>
                <w:szCs w:val="21"/>
                <w:highlight w:val="none"/>
                <w:lang w:eastAsia="zh-CN"/>
              </w:rPr>
              <w:t>程</w:t>
            </w:r>
            <w:r>
              <w:rPr>
                <w:rFonts w:hint="eastAsia" w:ascii="宋体" w:hAnsi="宋体" w:eastAsia="宋体" w:cs="宋体"/>
                <w:color w:val="auto"/>
                <w:sz w:val="21"/>
                <w:szCs w:val="21"/>
                <w:highlight w:val="none"/>
                <w:lang w:eastAsia="zh-CN"/>
              </w:rPr>
              <w:t>设</w:t>
            </w:r>
            <w:r>
              <w:rPr>
                <w:rFonts w:hint="eastAsia" w:ascii="宋体" w:hAnsi="宋体" w:eastAsia="宋体" w:cs="宋体"/>
                <w:color w:val="auto"/>
                <w:spacing w:val="-3"/>
                <w:sz w:val="21"/>
                <w:szCs w:val="21"/>
                <w:highlight w:val="none"/>
                <w:lang w:eastAsia="zh-CN"/>
              </w:rPr>
              <w:t>备</w:t>
            </w:r>
            <w:r>
              <w:rPr>
                <w:rFonts w:hint="eastAsia" w:ascii="宋体" w:hAnsi="宋体" w:eastAsia="宋体" w:cs="宋体"/>
                <w:color w:val="auto"/>
                <w:sz w:val="21"/>
                <w:szCs w:val="21"/>
                <w:highlight w:val="none"/>
                <w:lang w:eastAsia="zh-CN"/>
              </w:rPr>
              <w:t>需</w:t>
            </w:r>
            <w:r>
              <w:rPr>
                <w:rFonts w:hint="eastAsia" w:ascii="宋体" w:hAnsi="宋体" w:eastAsia="宋体" w:cs="宋体"/>
                <w:color w:val="auto"/>
                <w:spacing w:val="-3"/>
                <w:sz w:val="21"/>
                <w:szCs w:val="21"/>
                <w:highlight w:val="none"/>
                <w:lang w:eastAsia="zh-CN"/>
              </w:rPr>
              <w:t>要</w:t>
            </w:r>
            <w:r>
              <w:rPr>
                <w:rFonts w:hint="eastAsia" w:ascii="宋体" w:hAnsi="宋体" w:eastAsia="宋体" w:cs="宋体"/>
                <w:color w:val="auto"/>
                <w:sz w:val="21"/>
                <w:szCs w:val="21"/>
                <w:highlight w:val="none"/>
                <w:lang w:eastAsia="zh-CN"/>
              </w:rPr>
              <w:t>进行</w:t>
            </w:r>
            <w:r>
              <w:rPr>
                <w:rFonts w:hint="eastAsia" w:ascii="宋体" w:hAnsi="宋体" w:eastAsia="宋体" w:cs="宋体"/>
                <w:color w:val="auto"/>
                <w:spacing w:val="-3"/>
                <w:sz w:val="21"/>
                <w:szCs w:val="21"/>
                <w:highlight w:val="none"/>
                <w:lang w:eastAsia="zh-CN"/>
              </w:rPr>
              <w:t>试</w:t>
            </w:r>
            <w:r>
              <w:rPr>
                <w:rFonts w:hint="eastAsia" w:ascii="宋体" w:hAnsi="宋体" w:eastAsia="宋体" w:cs="宋体"/>
                <w:color w:val="auto"/>
                <w:sz w:val="21"/>
                <w:szCs w:val="21"/>
                <w:highlight w:val="none"/>
                <w:lang w:eastAsia="zh-CN"/>
              </w:rPr>
              <w:t>运</w:t>
            </w:r>
            <w:r>
              <w:rPr>
                <w:rFonts w:hint="eastAsia" w:ascii="宋体" w:hAnsi="宋体" w:eastAsia="宋体" w:cs="宋体"/>
                <w:color w:val="auto"/>
                <w:spacing w:val="-3"/>
                <w:sz w:val="21"/>
                <w:szCs w:val="21"/>
                <w:highlight w:val="none"/>
                <w:lang w:eastAsia="zh-CN"/>
              </w:rPr>
              <w:t>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试</w:t>
            </w:r>
            <w:r>
              <w:rPr>
                <w:rFonts w:hint="eastAsia" w:ascii="宋体" w:hAnsi="宋体" w:eastAsia="宋体" w:cs="宋体"/>
                <w:color w:val="auto"/>
                <w:sz w:val="21"/>
                <w:szCs w:val="21"/>
                <w:highlight w:val="none"/>
                <w:lang w:eastAsia="zh-CN"/>
              </w:rPr>
              <w:t>运</w:t>
            </w:r>
            <w:r>
              <w:rPr>
                <w:rFonts w:hint="eastAsia" w:ascii="宋体" w:hAnsi="宋体" w:eastAsia="宋体" w:cs="宋体"/>
                <w:color w:val="auto"/>
                <w:spacing w:val="-3"/>
                <w:sz w:val="21"/>
                <w:szCs w:val="21"/>
                <w:highlight w:val="none"/>
                <w:lang w:eastAsia="zh-CN"/>
              </w:rPr>
              <w:t>行</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pacing w:val="-3"/>
                <w:sz w:val="21"/>
                <w:szCs w:val="21"/>
                <w:highlight w:val="none"/>
                <w:lang w:eastAsia="zh-CN"/>
              </w:rPr>
              <w:t>具</w:t>
            </w:r>
            <w:r>
              <w:rPr>
                <w:rFonts w:hint="eastAsia" w:ascii="宋体" w:hAnsi="宋体" w:eastAsia="宋体" w:cs="宋体"/>
                <w:color w:val="auto"/>
                <w:sz w:val="21"/>
                <w:szCs w:val="21"/>
                <w:highlight w:val="none"/>
                <w:lang w:eastAsia="zh-CN"/>
              </w:rPr>
              <w:t>体规</w:t>
            </w:r>
            <w:r>
              <w:rPr>
                <w:rFonts w:hint="eastAsia" w:ascii="宋体" w:hAnsi="宋体" w:eastAsia="宋体" w:cs="宋体"/>
                <w:color w:val="auto"/>
                <w:spacing w:val="-3"/>
                <w:sz w:val="21"/>
                <w:szCs w:val="21"/>
                <w:highlight w:val="none"/>
                <w:lang w:eastAsia="zh-CN"/>
              </w:rPr>
              <w:t>定</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pacing w:val="-3"/>
                <w:sz w:val="21"/>
                <w:szCs w:val="21"/>
                <w:highlight w:val="none"/>
                <w:lang w:eastAsia="zh-CN"/>
              </w:rPr>
              <w:t>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eastAsia="zh-CN"/>
              </w:rPr>
              <w:tab/>
            </w:r>
          </w:p>
        </w:tc>
      </w:tr>
      <w:tr w14:paraId="344CB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2F40D006">
            <w:pPr>
              <w:pStyle w:val="39"/>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11" w:type="dxa"/>
            <w:noWrap w:val="0"/>
            <w:vAlign w:val="top"/>
          </w:tcPr>
          <w:p w14:paraId="1D6D7CEC">
            <w:pPr>
              <w:pStyle w:val="39"/>
              <w:spacing w:before="89" w:line="250" w:lineRule="exact"/>
              <w:ind w:left="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19.7（1）</w:t>
            </w:r>
          </w:p>
        </w:tc>
        <w:tc>
          <w:tcPr>
            <w:tcW w:w="7305" w:type="dxa"/>
            <w:noWrap w:val="0"/>
            <w:vAlign w:val="top"/>
          </w:tcPr>
          <w:p w14:paraId="5E10123F">
            <w:pPr>
              <w:pStyle w:val="39"/>
              <w:tabs>
                <w:tab w:val="left" w:pos="3816"/>
              </w:tabs>
              <w:spacing w:before="89"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保修</w:t>
            </w:r>
            <w:r>
              <w:rPr>
                <w:rFonts w:hint="eastAsia" w:ascii="宋体" w:hAnsi="宋体" w:eastAsia="宋体" w:cs="宋体"/>
                <w:color w:val="auto"/>
                <w:spacing w:val="-3"/>
                <w:sz w:val="21"/>
                <w:szCs w:val="21"/>
                <w:highlight w:val="none"/>
                <w:lang w:eastAsia="zh-CN"/>
              </w:rPr>
              <w:t>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自</w:t>
            </w:r>
            <w:r>
              <w:rPr>
                <w:rFonts w:hint="eastAsia" w:ascii="宋体" w:hAnsi="宋体" w:eastAsia="宋体" w:cs="宋体"/>
                <w:color w:val="auto"/>
                <w:sz w:val="21"/>
                <w:szCs w:val="21"/>
                <w:highlight w:val="none"/>
                <w:lang w:eastAsia="zh-CN"/>
              </w:rPr>
              <w:t>实</w:t>
            </w:r>
            <w:r>
              <w:rPr>
                <w:rFonts w:hint="eastAsia" w:ascii="宋体" w:hAnsi="宋体" w:eastAsia="宋体" w:cs="宋体"/>
                <w:color w:val="auto"/>
                <w:spacing w:val="-3"/>
                <w:sz w:val="21"/>
                <w:szCs w:val="21"/>
                <w:highlight w:val="none"/>
                <w:lang w:eastAsia="zh-CN"/>
              </w:rPr>
              <w:t>际</w:t>
            </w:r>
            <w:r>
              <w:rPr>
                <w:rFonts w:hint="eastAsia" w:ascii="宋体" w:hAnsi="宋体" w:eastAsia="宋体" w:cs="宋体"/>
                <w:color w:val="auto"/>
                <w:sz w:val="21"/>
                <w:szCs w:val="21"/>
                <w:highlight w:val="none"/>
                <w:lang w:eastAsia="zh-CN"/>
              </w:rPr>
              <w:t>交</w:t>
            </w:r>
            <w:r>
              <w:rPr>
                <w:rFonts w:hint="eastAsia" w:ascii="宋体" w:hAnsi="宋体" w:eastAsia="宋体" w:cs="宋体"/>
                <w:color w:val="auto"/>
                <w:spacing w:val="-3"/>
                <w:sz w:val="21"/>
                <w:szCs w:val="21"/>
                <w:highlight w:val="none"/>
                <w:lang w:eastAsia="zh-CN"/>
              </w:rPr>
              <w:t>工</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pacing w:val="-3"/>
                <w:sz w:val="21"/>
                <w:szCs w:val="21"/>
                <w:highlight w:val="none"/>
                <w:lang w:eastAsia="zh-CN"/>
              </w:rPr>
              <w:t>期</w:t>
            </w:r>
            <w:r>
              <w:rPr>
                <w:rFonts w:hint="eastAsia" w:ascii="宋体" w:hAnsi="宋体" w:eastAsia="宋体" w:cs="宋体"/>
                <w:color w:val="auto"/>
                <w:sz w:val="21"/>
                <w:szCs w:val="21"/>
                <w:highlight w:val="none"/>
                <w:lang w:eastAsia="zh-CN"/>
              </w:rPr>
              <w:t>起计算</w:t>
            </w:r>
            <w:r>
              <w:rPr>
                <w:rFonts w:hint="eastAsia" w:ascii="宋体" w:hAnsi="宋体" w:eastAsia="宋体" w:cs="宋体"/>
                <w:color w:val="auto"/>
                <w:sz w:val="21"/>
                <w:szCs w:val="21"/>
                <w:highlight w:val="none"/>
                <w:u w:val="single"/>
                <w:lang w:val="en-US" w:eastAsia="zh-CN"/>
              </w:rPr>
              <w:t xml:space="preserve"> 1 </w:t>
            </w:r>
            <w:r>
              <w:rPr>
                <w:rFonts w:hint="eastAsia" w:ascii="宋体" w:hAnsi="宋体" w:eastAsia="宋体" w:cs="宋体"/>
                <w:color w:val="auto"/>
                <w:spacing w:val="-3"/>
                <w:sz w:val="21"/>
                <w:szCs w:val="21"/>
                <w:highlight w:val="none"/>
                <w:lang w:eastAsia="zh-CN"/>
              </w:rPr>
              <w:t>年</w:t>
            </w:r>
          </w:p>
        </w:tc>
      </w:tr>
      <w:tr w14:paraId="5A566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19764335">
            <w:pPr>
              <w:pStyle w:val="39"/>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111" w:type="dxa"/>
            <w:noWrap w:val="0"/>
            <w:vAlign w:val="top"/>
          </w:tcPr>
          <w:p w14:paraId="020CEA60">
            <w:pPr>
              <w:pStyle w:val="39"/>
              <w:spacing w:before="113" w:line="226" w:lineRule="exact"/>
              <w:ind w:left="3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7305" w:type="dxa"/>
            <w:noWrap w:val="0"/>
            <w:vAlign w:val="top"/>
          </w:tcPr>
          <w:p w14:paraId="447676BF">
            <w:pPr>
              <w:pStyle w:val="39"/>
              <w:tabs>
                <w:tab w:val="left" w:pos="3502"/>
              </w:tabs>
              <w:spacing w:before="89"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建筑工程一切险的保险费率：建筑工程一切险的保险费由承包人报价时列入工程量清单100章内。</w:t>
            </w:r>
          </w:p>
        </w:tc>
      </w:tr>
      <w:tr w14:paraId="0F376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29" w:type="dxa"/>
            <w:noWrap w:val="0"/>
            <w:vAlign w:val="top"/>
          </w:tcPr>
          <w:p w14:paraId="533D7D04">
            <w:pPr>
              <w:pStyle w:val="39"/>
              <w:spacing w:before="12"/>
              <w:rPr>
                <w:rFonts w:hint="eastAsia" w:ascii="宋体" w:hAnsi="宋体" w:eastAsia="宋体" w:cs="宋体"/>
                <w:color w:val="auto"/>
                <w:sz w:val="21"/>
                <w:szCs w:val="21"/>
                <w:highlight w:val="none"/>
                <w:lang w:eastAsia="zh-CN"/>
              </w:rPr>
            </w:pPr>
          </w:p>
          <w:p w14:paraId="6C136BEF">
            <w:pPr>
              <w:pStyle w:val="39"/>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111" w:type="dxa"/>
            <w:noWrap w:val="0"/>
            <w:vAlign w:val="top"/>
          </w:tcPr>
          <w:p w14:paraId="042C4A37">
            <w:pPr>
              <w:pStyle w:val="39"/>
              <w:spacing w:before="12"/>
              <w:rPr>
                <w:rFonts w:hint="eastAsia" w:ascii="宋体" w:hAnsi="宋体" w:eastAsia="宋体" w:cs="宋体"/>
                <w:color w:val="auto"/>
                <w:sz w:val="21"/>
                <w:szCs w:val="21"/>
                <w:highlight w:val="none"/>
              </w:rPr>
            </w:pPr>
          </w:p>
          <w:p w14:paraId="56698D57">
            <w:pPr>
              <w:pStyle w:val="39"/>
              <w:ind w:left="2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20.4.2</w:t>
            </w:r>
          </w:p>
        </w:tc>
        <w:tc>
          <w:tcPr>
            <w:tcW w:w="7305" w:type="dxa"/>
            <w:noWrap w:val="0"/>
            <w:vAlign w:val="top"/>
          </w:tcPr>
          <w:p w14:paraId="0AFEAAAB">
            <w:pPr>
              <w:pStyle w:val="39"/>
              <w:tabs>
                <w:tab w:val="left" w:pos="1817"/>
                <w:tab w:val="left" w:pos="3814"/>
              </w:tabs>
              <w:spacing w:before="12" w:line="360" w:lineRule="exact"/>
              <w:ind w:left="5" w:right="118" w:firstLine="338" w:firstLineChars="16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安全生产责任险及第三者责任险由承包人以承包人与项目法人的名义联名投保，保险费由承包人承担并支付，投标人应在所报的单价或总额价中对该保险费予以考虑，项目法人不单独进行计量与支付。</w:t>
            </w:r>
          </w:p>
          <w:p w14:paraId="27E4E841">
            <w:pPr>
              <w:pStyle w:val="39"/>
              <w:tabs>
                <w:tab w:val="left" w:pos="1817"/>
                <w:tab w:val="left" w:pos="3814"/>
              </w:tabs>
              <w:spacing w:before="12" w:line="360" w:lineRule="exact"/>
              <w:ind w:left="5" w:right="118" w:firstLine="338" w:firstLineChars="16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安全生产责任险及第三者责任险的最低投保金额：按工程建设地相关规定执行</w:t>
            </w:r>
          </w:p>
        </w:tc>
      </w:tr>
      <w:tr w14:paraId="03D33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29" w:type="dxa"/>
            <w:noWrap w:val="0"/>
            <w:vAlign w:val="top"/>
          </w:tcPr>
          <w:p w14:paraId="73CAA999">
            <w:pPr>
              <w:pStyle w:val="39"/>
              <w:spacing w:before="12"/>
              <w:rPr>
                <w:rFonts w:hint="eastAsia" w:ascii="宋体" w:hAnsi="宋体" w:eastAsia="宋体" w:cs="宋体"/>
                <w:color w:val="auto"/>
                <w:sz w:val="21"/>
                <w:szCs w:val="21"/>
                <w:highlight w:val="none"/>
                <w:lang w:eastAsia="zh-CN"/>
              </w:rPr>
            </w:pPr>
          </w:p>
          <w:p w14:paraId="601A7544">
            <w:pPr>
              <w:pStyle w:val="39"/>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111" w:type="dxa"/>
            <w:noWrap w:val="0"/>
            <w:vAlign w:val="top"/>
          </w:tcPr>
          <w:p w14:paraId="30ED888B">
            <w:pPr>
              <w:pStyle w:val="39"/>
              <w:spacing w:before="12"/>
              <w:rPr>
                <w:rFonts w:hint="eastAsia" w:ascii="宋体" w:hAnsi="宋体" w:eastAsia="宋体" w:cs="宋体"/>
                <w:color w:val="auto"/>
                <w:sz w:val="21"/>
                <w:szCs w:val="21"/>
                <w:highlight w:val="none"/>
              </w:rPr>
            </w:pPr>
          </w:p>
          <w:p w14:paraId="0FFF1C34">
            <w:pPr>
              <w:pStyle w:val="39"/>
              <w:ind w:left="3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p>
        </w:tc>
        <w:tc>
          <w:tcPr>
            <w:tcW w:w="7305" w:type="dxa"/>
            <w:noWrap w:val="0"/>
            <w:vAlign w:val="top"/>
          </w:tcPr>
          <w:p w14:paraId="1D4CE737">
            <w:pPr>
              <w:pStyle w:val="39"/>
              <w:tabs>
                <w:tab w:val="left" w:pos="3900"/>
              </w:tabs>
              <w:spacing w:before="78"/>
              <w:ind w:left="328"/>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争议</w:t>
            </w:r>
            <w:r>
              <w:rPr>
                <w:rFonts w:hint="eastAsia" w:ascii="宋体" w:hAnsi="宋体" w:eastAsia="宋体" w:cs="宋体"/>
                <w:color w:val="auto"/>
                <w:spacing w:val="-3"/>
                <w:sz w:val="21"/>
                <w:szCs w:val="21"/>
                <w:highlight w:val="none"/>
                <w:lang w:eastAsia="zh-CN"/>
              </w:rPr>
              <w:t>的</w:t>
            </w:r>
            <w:r>
              <w:rPr>
                <w:rFonts w:hint="eastAsia" w:ascii="宋体" w:hAnsi="宋体" w:eastAsia="宋体" w:cs="宋体"/>
                <w:color w:val="auto"/>
                <w:sz w:val="21"/>
                <w:szCs w:val="21"/>
                <w:highlight w:val="none"/>
                <w:lang w:eastAsia="zh-CN"/>
              </w:rPr>
              <w:t>最</w:t>
            </w:r>
            <w:r>
              <w:rPr>
                <w:rFonts w:hint="eastAsia" w:ascii="宋体" w:hAnsi="宋体" w:eastAsia="宋体" w:cs="宋体"/>
                <w:color w:val="auto"/>
                <w:spacing w:val="-3"/>
                <w:sz w:val="21"/>
                <w:szCs w:val="21"/>
                <w:highlight w:val="none"/>
                <w:lang w:eastAsia="zh-CN"/>
              </w:rPr>
              <w:t>终</w:t>
            </w:r>
            <w:r>
              <w:rPr>
                <w:rFonts w:hint="eastAsia" w:ascii="宋体" w:hAnsi="宋体" w:eastAsia="宋体" w:cs="宋体"/>
                <w:color w:val="auto"/>
                <w:sz w:val="21"/>
                <w:szCs w:val="21"/>
                <w:highlight w:val="none"/>
                <w:lang w:eastAsia="zh-CN"/>
              </w:rPr>
              <w:t>解</w:t>
            </w:r>
            <w:r>
              <w:rPr>
                <w:rFonts w:hint="eastAsia" w:ascii="宋体" w:hAnsi="宋体" w:eastAsia="宋体" w:cs="宋体"/>
                <w:color w:val="auto"/>
                <w:spacing w:val="-3"/>
                <w:sz w:val="21"/>
                <w:szCs w:val="21"/>
                <w:highlight w:val="none"/>
                <w:lang w:eastAsia="zh-CN"/>
              </w:rPr>
              <w:t>决</w:t>
            </w:r>
            <w:r>
              <w:rPr>
                <w:rFonts w:hint="eastAsia" w:ascii="宋体" w:hAnsi="宋体" w:eastAsia="宋体" w:cs="宋体"/>
                <w:color w:val="auto"/>
                <w:sz w:val="21"/>
                <w:szCs w:val="21"/>
                <w:highlight w:val="none"/>
                <w:lang w:eastAsia="zh-CN"/>
              </w:rPr>
              <w:t>方</w:t>
            </w:r>
            <w:r>
              <w:rPr>
                <w:rFonts w:hint="eastAsia" w:ascii="宋体" w:hAnsi="宋体" w:eastAsia="宋体" w:cs="宋体"/>
                <w:color w:val="auto"/>
                <w:spacing w:val="-3"/>
                <w:sz w:val="21"/>
                <w:szCs w:val="21"/>
                <w:highlight w:val="none"/>
                <w:lang w:eastAsia="zh-CN"/>
              </w:rPr>
              <w:t>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向项目所在地人民法院诉讼    </w:t>
            </w:r>
          </w:p>
          <w:p w14:paraId="7CF05E40">
            <w:pPr>
              <w:pStyle w:val="39"/>
              <w:tabs>
                <w:tab w:val="left" w:pos="3900"/>
              </w:tabs>
              <w:spacing w:before="78"/>
              <w:ind w:left="32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如采</w:t>
            </w:r>
            <w:r>
              <w:rPr>
                <w:rFonts w:hint="eastAsia" w:ascii="宋体" w:hAnsi="宋体" w:eastAsia="宋体" w:cs="宋体"/>
                <w:color w:val="auto"/>
                <w:spacing w:val="-3"/>
                <w:sz w:val="21"/>
                <w:szCs w:val="21"/>
                <w:highlight w:val="none"/>
                <w:lang w:eastAsia="zh-CN"/>
              </w:rPr>
              <w:t>用</w:t>
            </w:r>
            <w:r>
              <w:rPr>
                <w:rFonts w:hint="eastAsia" w:ascii="宋体" w:hAnsi="宋体" w:eastAsia="宋体" w:cs="宋体"/>
                <w:color w:val="auto"/>
                <w:sz w:val="21"/>
                <w:szCs w:val="21"/>
                <w:highlight w:val="none"/>
                <w:lang w:eastAsia="zh-CN"/>
              </w:rPr>
              <w:t>仲</w:t>
            </w:r>
            <w:r>
              <w:rPr>
                <w:rFonts w:hint="eastAsia" w:ascii="宋体" w:hAnsi="宋体" w:eastAsia="宋体" w:cs="宋体"/>
                <w:color w:val="auto"/>
                <w:spacing w:val="-3"/>
                <w:sz w:val="21"/>
                <w:szCs w:val="21"/>
                <w:highlight w:val="none"/>
                <w:lang w:eastAsia="zh-CN"/>
              </w:rPr>
              <w:t>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仲</w:t>
            </w:r>
            <w:r>
              <w:rPr>
                <w:rFonts w:hint="eastAsia" w:ascii="宋体" w:hAnsi="宋体" w:eastAsia="宋体" w:cs="宋体"/>
                <w:color w:val="auto"/>
                <w:sz w:val="21"/>
                <w:szCs w:val="21"/>
                <w:highlight w:val="none"/>
                <w:lang w:eastAsia="zh-CN"/>
              </w:rPr>
              <w:t>裁</w:t>
            </w:r>
            <w:r>
              <w:rPr>
                <w:rFonts w:hint="eastAsia" w:ascii="宋体" w:hAnsi="宋体" w:eastAsia="宋体" w:cs="宋体"/>
                <w:color w:val="auto"/>
                <w:spacing w:val="-3"/>
                <w:sz w:val="21"/>
                <w:szCs w:val="21"/>
                <w:highlight w:val="none"/>
                <w:lang w:eastAsia="zh-CN"/>
              </w:rPr>
              <w:t>委</w:t>
            </w:r>
            <w:r>
              <w:rPr>
                <w:rFonts w:hint="eastAsia" w:ascii="宋体" w:hAnsi="宋体" w:eastAsia="宋体" w:cs="宋体"/>
                <w:color w:val="auto"/>
                <w:sz w:val="21"/>
                <w:szCs w:val="21"/>
                <w:highlight w:val="none"/>
                <w:lang w:eastAsia="zh-CN"/>
              </w:rPr>
              <w:t>员</w:t>
            </w:r>
            <w:r>
              <w:rPr>
                <w:rFonts w:hint="eastAsia" w:ascii="宋体" w:hAnsi="宋体" w:eastAsia="宋体" w:cs="宋体"/>
                <w:color w:val="auto"/>
                <w:spacing w:val="-3"/>
                <w:sz w:val="21"/>
                <w:szCs w:val="21"/>
                <w:highlight w:val="none"/>
                <w:lang w:eastAsia="zh-CN"/>
              </w:rPr>
              <w:t>会</w:t>
            </w:r>
            <w:r>
              <w:rPr>
                <w:rFonts w:hint="eastAsia" w:ascii="宋体" w:hAnsi="宋体" w:eastAsia="宋体" w:cs="宋体"/>
                <w:color w:val="auto"/>
                <w:sz w:val="21"/>
                <w:szCs w:val="21"/>
                <w:highlight w:val="none"/>
                <w:lang w:eastAsia="zh-CN"/>
              </w:rPr>
              <w:t>名称：</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防城港</w:t>
            </w:r>
            <w:r>
              <w:rPr>
                <w:rFonts w:hint="eastAsia" w:ascii="宋体" w:hAnsi="宋体" w:eastAsia="宋体" w:cs="宋体"/>
                <w:color w:val="auto"/>
                <w:sz w:val="21"/>
                <w:szCs w:val="21"/>
                <w:highlight w:val="none"/>
                <w:u w:val="single"/>
                <w:lang w:eastAsia="zh-CN"/>
              </w:rPr>
              <w:t xml:space="preserve">市仲裁委员会 </w:t>
            </w:r>
          </w:p>
        </w:tc>
      </w:tr>
    </w:tbl>
    <w:p w14:paraId="123822F1">
      <w:pPr>
        <w:tabs>
          <w:tab w:val="left" w:pos="1080"/>
        </w:tabs>
        <w:spacing w:line="280" w:lineRule="exact"/>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6367601A">
      <w:pPr>
        <w:pStyle w:val="3"/>
        <w:pageBreakBefore w:val="0"/>
        <w:widowControl w:val="0"/>
        <w:kinsoku/>
        <w:wordWrap/>
        <w:overflowPunct/>
        <w:topLinePunct w:val="0"/>
        <w:autoSpaceDE/>
        <w:autoSpaceDN/>
        <w:bidi w:val="0"/>
        <w:adjustRightInd/>
        <w:spacing w:before="0" w:after="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项目专用合同条款</w:t>
      </w:r>
      <w:bookmarkEnd w:id="469"/>
      <w:bookmarkEnd w:id="470"/>
      <w:bookmarkEnd w:id="471"/>
      <w:bookmarkEnd w:id="472"/>
    </w:p>
    <w:p w14:paraId="7C5328BD">
      <w:pPr>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说明：本部分所列的项目专用合同条款是对“公路工程专用合同条款”中规定必须在  项目专用合同条款中明确的内容的集中，采购人编制的“项目专用合同条款” 不限于本部分所列内容。</w:t>
      </w:r>
    </w:p>
    <w:p w14:paraId="46068140">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4.1承包人的一般义务</w:t>
      </w:r>
    </w:p>
    <w:p w14:paraId="6D71ACD3">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4.1.10 其他义务</w:t>
      </w:r>
    </w:p>
    <w:p w14:paraId="28F97DE1">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（4）承包人应履行的其他义务：</w:t>
      </w:r>
      <w:r>
        <w:rPr>
          <w:rFonts w:hint="eastAsia" w:ascii="宋体" w:hAnsi="宋体" w:eastAsia="宋体" w:cs="宋体"/>
          <w:color w:val="auto"/>
          <w:szCs w:val="21"/>
          <w:highlight w:val="none"/>
          <w:u w:val="single"/>
        </w:rPr>
        <w:t>除项目专用合同条款另有约定外，临时占地的租地费用实行总额包干，列入工程量清单第 100 章中由承包人按总额报价。编制招标清单时，应把该项列入招标清单。</w:t>
      </w:r>
    </w:p>
    <w:p w14:paraId="22E7D571">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4.6承包人人员的管理</w:t>
      </w:r>
    </w:p>
    <w:p w14:paraId="72529466">
      <w:pPr>
        <w:pageBreakBefore w:val="0"/>
        <w:widowControl w:val="0"/>
        <w:tabs>
          <w:tab w:val="left" w:pos="1080"/>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（增加）4.6.6 项目经理、总工每月驻现场的时间应不少于22天，因故需离开工地应得到业主、监理工程师的许可，否则将按第22.1款视为承包人违约。</w:t>
      </w:r>
    </w:p>
    <w:p w14:paraId="683E8488">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承包人安排在施工场地的主要管理人员和技术骨干人员每月驻现场的时间应不少于22天，除非经业主、监理工程师同意，否则将按第22.1款视为承包人违约。</w:t>
      </w:r>
    </w:p>
    <w:p w14:paraId="72A81C52">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4.11不利物质条件</w:t>
      </w:r>
    </w:p>
    <w:p w14:paraId="38E41312">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4.11.1不利物质条件的范围：</w:t>
      </w:r>
      <w:r>
        <w:rPr>
          <w:rFonts w:hint="eastAsia" w:ascii="宋体" w:hAnsi="宋体" w:eastAsia="宋体" w:cs="宋体"/>
          <w:color w:val="auto"/>
          <w:szCs w:val="21"/>
          <w:highlight w:val="none"/>
          <w:u w:val="single"/>
        </w:rPr>
        <w:t xml:space="preserve">  按通用条款内容    </w:t>
      </w:r>
    </w:p>
    <w:p w14:paraId="27C220F5">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10.1 合同进度计划</w:t>
      </w:r>
    </w:p>
    <w:p w14:paraId="437B531D">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承包人编制施工方案的内容：</w:t>
      </w:r>
      <w:r>
        <w:rPr>
          <w:rFonts w:hint="eastAsia" w:ascii="宋体" w:hAnsi="宋体" w:eastAsia="宋体" w:cs="宋体"/>
          <w:color w:val="auto"/>
          <w:szCs w:val="21"/>
          <w:highlight w:val="none"/>
          <w:u w:val="single"/>
        </w:rPr>
        <w:t xml:space="preserve"> 承包人应在签订合同协议书后 7 天内，向监理人提交 2 份其格式和内容符合监理人规定的工程进度计划，以及为完成该计划而建议采用的实施性的施工安排和施工方案的说明。监理人应在收到该计划后 7 天内审查同意或提出修改意见，否则该进度计划视为已得到批准。经监理人批准的施工进度计划称为合同进度计划，是控制合同工程进度的依据。工程进度计划应按照关键线路网络图和主要工作横道图两种形式分别绘制，并应包括每月预计完成的工作量和形象进度。</w:t>
      </w:r>
    </w:p>
    <w:p w14:paraId="39394D36">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11.4异常恶劣的气候条件</w:t>
      </w:r>
    </w:p>
    <w:p w14:paraId="060DF366">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异常恶劣的气候条件的范围：</w:t>
      </w:r>
      <w:r>
        <w:rPr>
          <w:rFonts w:hint="eastAsia" w:ascii="宋体" w:hAnsi="宋体" w:eastAsia="宋体" w:cs="宋体"/>
          <w:color w:val="auto"/>
          <w:szCs w:val="21"/>
          <w:highlight w:val="none"/>
          <w:u w:val="single"/>
        </w:rPr>
        <w:t>异常恶劣的气候条件，对本项目而言，指发生烈度7度（含7度）以上地震、龙卷风、施工场地受淹超过业主提供的设计图纸指明的设计洪水水位引起的延误的情况。</w:t>
      </w:r>
    </w:p>
    <w:p w14:paraId="485663FA">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12.1承包人暂停施工的责任</w:t>
      </w:r>
    </w:p>
    <w:p w14:paraId="46DDB4A0">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12.1（6）由承包人承担的其他暂停施工：</w:t>
      </w:r>
      <w:r>
        <w:rPr>
          <w:rFonts w:hint="eastAsia" w:ascii="宋体" w:hAnsi="宋体" w:eastAsia="宋体" w:cs="宋体"/>
          <w:color w:val="auto"/>
          <w:szCs w:val="21"/>
          <w:highlight w:val="none"/>
          <w:u w:val="single"/>
        </w:rPr>
        <w:t xml:space="preserve">      /          </w:t>
      </w:r>
    </w:p>
    <w:p w14:paraId="3B917340">
      <w:pPr>
        <w:pageBreakBefore w:val="0"/>
        <w:widowControl w:val="0"/>
        <w:tabs>
          <w:tab w:val="left" w:pos="1080"/>
        </w:tabs>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13.3承包人的质量检查</w:t>
      </w:r>
    </w:p>
    <w:p w14:paraId="768AEAC9">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增加内容：落实质量责任制和健全质量保证体系</w:t>
      </w:r>
    </w:p>
    <w:p w14:paraId="57CF80B9">
      <w:pPr>
        <w:pageBreakBefore w:val="0"/>
        <w:widowControl w:val="0"/>
        <w:kinsoku/>
        <w:wordWrap/>
        <w:overflowPunct/>
        <w:topLinePunct w:val="0"/>
        <w:autoSpaceDE/>
        <w:autoSpaceDN/>
        <w:bidi w:val="0"/>
        <w:adjustRightInd/>
        <w:spacing w:line="360" w:lineRule="auto"/>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(1)分项施工现场应实行标示牌管理，写明作业内容、项目质量管理责任人(施工作业管理专业工程师、试验、测量、质检工程师、总工、项目经理及监理工程师及现场监理)和质量管理举报电话； </w:t>
      </w:r>
    </w:p>
    <w:p w14:paraId="68F59252">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（2）认真执行三检制度：</w:t>
      </w:r>
    </w:p>
    <w:p w14:paraId="1BF29462">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施工作业管理的专业工程师在测量、试验工程师配合下完成施工自检并作施工记录（工艺及原材料使用等）；</w:t>
      </w:r>
    </w:p>
    <w:p w14:paraId="7A45389E">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质检工程师在测量、试验工程师配合下加强中间质量检测，严格控制工序质量，及时完成工序、分项完工检验并提交质量检验记录，收集工序、分项资料与检验申请经项目总工签认后报送监理工程师。</w:t>
      </w:r>
    </w:p>
    <w:p w14:paraId="3777B81B">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试验、测量工程师根据施工质检需要完成试验与测量作业并及时交检验结果报告专业工程师、质检工程师。</w:t>
      </w:r>
    </w:p>
    <w:p w14:paraId="2A20E628">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保证质量责任制的落实，必须做到“三个到位”、“三个同时”，即：质量管理人员到位，检测工具到位，记录表格到位；施工作业与专业工程师质量检查、检验同时，承包人质量检验工程师、监理的检验与施工作业同时，检查、检验与记录同时。</w:t>
      </w:r>
    </w:p>
    <w:p w14:paraId="2D196871">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(3)质量管理记录的原始记录包括作业记录、测量记录、试验记录、检验记录及验收记录，地基、基础、填挖交界碾压，墙台背回填等隐蔽工程应摄象或照相作为现场记录保存。</w:t>
      </w:r>
    </w:p>
    <w:p w14:paraId="157B6933">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(4)加强对质量通病的预防与治理，减少工程质量隐患。</w:t>
      </w:r>
    </w:p>
    <w:p w14:paraId="040F2E15">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(5)承包人应加强工程进度计划管理，努力实现均衡组织施工的目标。</w:t>
      </w:r>
    </w:p>
    <w:p w14:paraId="0F894AAF">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旧路改建工程或施工影响原有道路交通的，应根据施工必须保证交通通畅的特点，科学合理安排施工时间，采取妥当的施工方法，避免在雨季破坏旧路利用新路基维持交通，对破坏旧路的路段应及时安排路面施工，确保不影响道路交通畅通。关键工程及分项应有独立详细的施工组织设计，并采取措施确保落实。</w:t>
      </w:r>
    </w:p>
    <w:p w14:paraId="132DAE5A">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b.路面碎石材料的采备至少应与路基施工进度同步。</w:t>
      </w:r>
    </w:p>
    <w:p w14:paraId="3CB2156A">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(7)承包人应加强文明施工，保障道路通畅的管理</w:t>
      </w:r>
    </w:p>
    <w:p w14:paraId="1318ECFE">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a.承包人在施工期内应按国家、交通主管部门与公路管理机构文明施工，保障畅通的有关规定组织施工，对出现的交通堵塞无条件地采取措施进行疏通。</w:t>
      </w:r>
    </w:p>
    <w:p w14:paraId="527C09A1">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b 旧路改建工程项目</w:t>
      </w:r>
    </w:p>
    <w:p w14:paraId="41775298">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(i)破坏旧路必须作出交通维持与恢复路面通行条件方案并必须取得监理工程师与业主的批准，未经批准进行旧路开挖与填筑的，业主和监理工程师 有权责令停工，并由承包人恢复原良好的通车条件，并需承担一切费用。</w:t>
      </w:r>
    </w:p>
    <w:p w14:paraId="29632F9B">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(ii)不得在道路上堆放材料或占道施工影响交通。</w:t>
      </w:r>
    </w:p>
    <w:p w14:paraId="6ECFD142">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路基、路面施工应避免出现晴天扬尘，雨天打滑影响安全与交通和影响群众生活、生产的现象。维持交通的路基施工应保证表面平整，保证通畅。</w:t>
      </w:r>
    </w:p>
    <w:p w14:paraId="4CA241D1">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(8)承包人应自觉接受交通主管部门、质量监督单位、公路管理机构的监督，对指出的问题进行认真的整改，及时报告处理结果。</w:t>
      </w:r>
    </w:p>
    <w:p w14:paraId="6B6EEFCE">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在整个施工过程中，监理工程师、业主对承包人履行责任有权进行监督，并向承包人提出整改要求。承包人应认真履行责任，执行业主、监理工程师的指令，否则将按第22.1款视为承包人违约。</w:t>
      </w:r>
    </w:p>
    <w:p w14:paraId="6899ECB9">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17.3 工程进度付款</w:t>
      </w:r>
    </w:p>
    <w:p w14:paraId="661EF50A">
      <w:pPr>
        <w:wordWrap w:val="0"/>
        <w:topLinePunct/>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17.3.5 农民工工资保障金的缴存时间：</w:t>
      </w:r>
      <w:r>
        <w:rPr>
          <w:rFonts w:hint="eastAsia" w:ascii="宋体" w:hAnsi="宋体" w:cs="宋体"/>
          <w:color w:val="auto"/>
          <w:szCs w:val="21"/>
          <w:highlight w:val="none"/>
          <w:u w:val="single"/>
        </w:rPr>
        <w:t>领取中标通知书之日起</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天内</w:t>
      </w:r>
    </w:p>
    <w:p w14:paraId="6E807E7F">
      <w:pPr>
        <w:wordWrap w:val="0"/>
        <w:topLinePunct/>
        <w:spacing w:line="360" w:lineRule="auto"/>
        <w:ind w:firstLine="371" w:firstLineChars="177"/>
        <w:rPr>
          <w:rFonts w:ascii="宋体" w:hAnsi="宋体" w:cs="宋体"/>
          <w:color w:val="auto"/>
          <w:szCs w:val="21"/>
          <w:highlight w:val="none"/>
        </w:rPr>
      </w:pPr>
      <w:r>
        <w:rPr>
          <w:rFonts w:hint="eastAsia" w:ascii="宋体" w:hAnsi="宋体" w:cs="宋体"/>
          <w:color w:val="auto"/>
          <w:szCs w:val="21"/>
          <w:highlight w:val="none"/>
        </w:rPr>
        <w:t>农民工工资保障金的缴存金额：</w:t>
      </w:r>
      <w:r>
        <w:rPr>
          <w:rFonts w:hint="eastAsia" w:ascii="宋体" w:hAnsi="宋体" w:cs="宋体"/>
          <w:color w:val="auto"/>
          <w:szCs w:val="21"/>
          <w:highlight w:val="none"/>
          <w:u w:val="single"/>
        </w:rPr>
        <w:t>2%签约合同价</w:t>
      </w:r>
    </w:p>
    <w:p w14:paraId="175420D1">
      <w:pPr>
        <w:wordWrap w:val="0"/>
        <w:topLinePunct/>
        <w:spacing w:line="360" w:lineRule="auto"/>
        <w:ind w:firstLine="371" w:firstLineChars="177"/>
        <w:rPr>
          <w:rFonts w:ascii="宋体" w:hAnsi="宋体" w:cs="宋体"/>
          <w:color w:val="auto"/>
          <w:szCs w:val="21"/>
          <w:highlight w:val="none"/>
        </w:rPr>
      </w:pPr>
      <w:r>
        <w:rPr>
          <w:rFonts w:hint="eastAsia" w:ascii="宋体" w:hAnsi="宋体" w:cs="宋体"/>
          <w:color w:val="auto"/>
          <w:szCs w:val="21"/>
          <w:highlight w:val="none"/>
        </w:rPr>
        <w:t>农民工工资保障金的扣留条件：</w:t>
      </w:r>
      <w:r>
        <w:rPr>
          <w:rFonts w:hint="eastAsia" w:ascii="宋体" w:hAnsi="宋体" w:cs="宋体"/>
          <w:color w:val="auto"/>
          <w:szCs w:val="21"/>
          <w:highlight w:val="none"/>
          <w:u w:val="single"/>
        </w:rPr>
        <w:t>一旦承包人出现拖欠工程款导致无法按时足额支付农民工工资时。</w:t>
      </w:r>
    </w:p>
    <w:p w14:paraId="6C9AC137">
      <w:pPr>
        <w:wordWrap w:val="0"/>
        <w:topLinePunct/>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农民工工资保障金的返还时间：</w:t>
      </w:r>
      <w:r>
        <w:rPr>
          <w:rFonts w:hint="eastAsia" w:ascii="宋体" w:hAnsi="宋体" w:cs="宋体"/>
          <w:color w:val="auto"/>
          <w:szCs w:val="21"/>
          <w:highlight w:val="none"/>
          <w:u w:val="single"/>
        </w:rPr>
        <w:t>工程交工验收后。</w:t>
      </w:r>
      <w:bookmarkStart w:id="473" w:name="page159"/>
      <w:bookmarkEnd w:id="473"/>
      <w:r>
        <w:rPr>
          <w:rFonts w:hint="eastAsia" w:ascii="宋体" w:hAnsi="宋体" w:cs="宋体"/>
          <w:color w:val="auto"/>
          <w:szCs w:val="21"/>
          <w:highlight w:val="none"/>
        </w:rPr>
        <w:t>　　</w:t>
      </w:r>
    </w:p>
    <w:p w14:paraId="59378488">
      <w:pPr>
        <w:wordWrap w:val="0"/>
        <w:topLinePunct/>
        <w:spacing w:line="360" w:lineRule="auto"/>
        <w:ind w:left="191" w:leftChars="91" w:firstLine="210" w:firstLineChars="100"/>
        <w:rPr>
          <w:rFonts w:ascii="宋体" w:hAnsi="宋体" w:cs="宋体"/>
          <w:color w:val="auto"/>
          <w:szCs w:val="21"/>
          <w:highlight w:val="none"/>
        </w:rPr>
      </w:pPr>
      <w:r>
        <w:rPr>
          <w:rFonts w:hint="eastAsia" w:ascii="宋体" w:hAnsi="宋体" w:cs="宋体"/>
          <w:color w:val="auto"/>
          <w:szCs w:val="21"/>
          <w:highlight w:val="none"/>
        </w:rPr>
        <w:t>17.4.1补充：</w:t>
      </w:r>
    </w:p>
    <w:p w14:paraId="6E9DECEF">
      <w:pPr>
        <w:wordWrap w:val="0"/>
        <w:topLinePunct/>
        <w:spacing w:line="360" w:lineRule="auto"/>
        <w:ind w:firstLine="371" w:firstLineChars="177"/>
        <w:rPr>
          <w:rFonts w:hint="eastAsia" w:ascii="宋体" w:hAnsi="宋体" w:eastAsia="宋体" w:cs="宋体"/>
          <w:b/>
          <w:color w:val="auto"/>
          <w:szCs w:val="21"/>
          <w:highlight w:val="none"/>
        </w:rPr>
      </w:pPr>
      <w:r>
        <w:rPr>
          <w:rFonts w:hint="eastAsia" w:ascii="宋体" w:hAnsi="宋体" w:cs="宋体"/>
          <w:color w:val="auto"/>
          <w:szCs w:val="21"/>
          <w:highlight w:val="none"/>
          <w:u w:val="single"/>
        </w:rPr>
        <w:t>质量保证金缴纳方式：交工验收完成结算审计后，发包人支付工程款至经审计的结算价的9</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%，扣留</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%作为质量保证金。</w:t>
      </w:r>
    </w:p>
    <w:p w14:paraId="1134FC06">
      <w:pPr>
        <w:pageBreakBefore w:val="0"/>
        <w:widowControl w:val="0"/>
        <w:tabs>
          <w:tab w:val="left" w:pos="1080"/>
        </w:tabs>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18.3 验收</w:t>
      </w:r>
    </w:p>
    <w:p w14:paraId="748498C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18.3.7 （增加）组织办理交工验收和签发交工证书的费用由承包人承担，其费用包含在相关单价或总额价中，业主不单独另外计量与支付。</w:t>
      </w:r>
    </w:p>
    <w:p w14:paraId="749B33F6">
      <w:pPr>
        <w:pageBreakBefore w:val="0"/>
        <w:widowControl w:val="0"/>
        <w:tabs>
          <w:tab w:val="left" w:pos="1080"/>
        </w:tabs>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18.9竣工文件</w:t>
      </w:r>
    </w:p>
    <w:p w14:paraId="5E5166B4">
      <w:pPr>
        <w:pageBreakBefore w:val="0"/>
        <w:widowControl w:val="0"/>
        <w:kinsoku/>
        <w:wordWrap/>
        <w:overflowPunct/>
        <w:topLinePunct w:val="0"/>
        <w:autoSpaceDE/>
        <w:autoSpaceDN/>
        <w:bidi w:val="0"/>
        <w:adjustRightInd/>
        <w:spacing w:line="360" w:lineRule="auto"/>
        <w:textAlignment w:val="auto"/>
        <w:rPr>
          <w:rFonts w:hint="default" w:ascii="宋体" w:hAnsi="宋体" w:eastAsia="宋体" w:cs="宋体"/>
          <w:color w:val="auto"/>
          <w:szCs w:val="21"/>
          <w:highlight w:val="none"/>
          <w:lang w:val="en-US" w:eastAsia="zh-CN"/>
        </w:rPr>
      </w:pPr>
      <w:r>
        <w:rPr>
          <w:rFonts w:hint="eastAsia" w:ascii="宋体" w:hAnsi="宋体" w:eastAsia="宋体" w:cs="宋体"/>
          <w:b/>
          <w:color w:val="auto"/>
          <w:szCs w:val="21"/>
          <w:highlight w:val="none"/>
        </w:rPr>
        <w:t xml:space="preserve">    （增加）</w:t>
      </w:r>
      <w:r>
        <w:rPr>
          <w:rFonts w:hint="eastAsia" w:ascii="宋体" w:hAnsi="宋体" w:eastAsia="宋体" w:cs="宋体"/>
          <w:color w:val="auto"/>
          <w:szCs w:val="21"/>
          <w:highlight w:val="none"/>
        </w:rPr>
        <w:t>工程竣工文件的立卷归档按交通部《公路工程竣工文件材料立卷归档管理办法》（交办发[2001]390号）和广西壮族自治区公路管理局《广西公路网建设工程档案验收办法》（路工程函[2005]591号）执行。</w:t>
      </w:r>
      <w:r>
        <w:rPr>
          <w:rFonts w:hint="eastAsia" w:ascii="宋体" w:hAnsi="宋体" w:cs="宋体"/>
          <w:color w:val="auto"/>
          <w:szCs w:val="21"/>
          <w:highlight w:val="none"/>
          <w:lang w:val="en-US" w:eastAsia="zh-CN"/>
        </w:rPr>
        <w:t>如行业主管部门有最新政策要求的，按最新正常要求执行。</w:t>
      </w:r>
    </w:p>
    <w:p w14:paraId="28C64103">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20.1 工程保险</w:t>
      </w:r>
    </w:p>
    <w:p w14:paraId="39A4A742">
      <w:pPr>
        <w:pStyle w:val="43"/>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20.2 人员工伤事故的保险 </w:t>
      </w:r>
    </w:p>
    <w:p w14:paraId="642D5B2E">
      <w:pPr>
        <w:pStyle w:val="43"/>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20.2.1 承包人员工伤事故的保险 </w:t>
      </w:r>
    </w:p>
    <w:p w14:paraId="77E136D4">
      <w:pPr>
        <w:pStyle w:val="43"/>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增加内容：办理保险的一切费用均由承包人承担，并包括在工程量清单的单价及总额价中，发包人不单独支付。</w:t>
      </w:r>
    </w:p>
    <w:p w14:paraId="2C846815">
      <w:pPr>
        <w:pStyle w:val="43"/>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20.3 人身意外伤害险 </w:t>
      </w:r>
    </w:p>
    <w:p w14:paraId="0A5A8B40">
      <w:pPr>
        <w:pStyle w:val="43"/>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20.3.2 承包人应在整个施工期间为其现场机构雇用的全部人员，投保人身意外伤害险，缴纳保险费，并要求其分包人也进行此项保险。办理保险的一切费用均由承包人承担，并包括在工程量清单的单价及总额价中，发包人不单独支付。 </w:t>
      </w:r>
    </w:p>
    <w:p w14:paraId="56B0A36E">
      <w:pPr>
        <w:pStyle w:val="43"/>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其中：人身意外伤害险每位被保险人的最低保险金额为10万元人民币，附加意外伤害险医疗险的保险金额为2万元人民币，每合同段的人身意外伤害险和附加意外伤害医疗险保险费按合同价（不含该保险费）的3‰计列。人身意外伤害险和附加意外伤害医疗险的保险对象为建筑施工企业参加基建项目建设施工现场从事施工作业和管理的人员。时间上涵盖施工全过程的任一时段，在保险范围上覆盖所有参加工程建设的管理人员、施工人员（含农民工）。保险期限为自施工队伍进场之日起至工程通过竣工验收时止。 </w:t>
      </w:r>
    </w:p>
    <w:p w14:paraId="1EF2366C">
      <w:pPr>
        <w:pStyle w:val="43"/>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施工合同签订后工程开工前 15 日，承包人必须按有关规定与保险公司签订人身意外伤害险和附加意外伤害医疗险以及其他需要投保的保险的保险合同。</w:t>
      </w:r>
    </w:p>
    <w:p w14:paraId="753746F4">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21.1不可抗力的确认</w:t>
      </w:r>
    </w:p>
    <w:p w14:paraId="259DD09D">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21.1.1（6）不可抗力的其他情形：</w:t>
      </w:r>
      <w:r>
        <w:rPr>
          <w:rFonts w:hint="eastAsia" w:ascii="宋体" w:hAnsi="宋体" w:eastAsia="宋体" w:cs="宋体"/>
          <w:color w:val="auto"/>
          <w:szCs w:val="21"/>
          <w:highlight w:val="none"/>
          <w:u w:val="single"/>
        </w:rPr>
        <w:t xml:space="preserve">  按通用条款内容   </w:t>
      </w:r>
    </w:p>
    <w:p w14:paraId="174F03AE">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22.1承包人违约</w:t>
      </w:r>
    </w:p>
    <w:p w14:paraId="6A005377">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22.1.2当承包人发生第22.1.1项约定的违约情况时，发包人有权向承包人处以违约金，具体约定如下：违约金处理：</w:t>
      </w:r>
    </w:p>
    <w:p w14:paraId="6EE44D4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22.1.2.1有本项（1）目行为的，可对承包人处以以下的违约金。</w:t>
      </w:r>
    </w:p>
    <w:p w14:paraId="502A0D9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a．由于承包人没有履行合同规定的义务与责任，同类事件第一次被监理工程师、业主工作指令整改的处500元/次；第二次出现指令整改的处1000元/次；多次重复出现被责令整改的处5000元/次。</w:t>
      </w:r>
    </w:p>
    <w:p w14:paraId="314578C7">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b．在指令规定时间内拒不整改的同一事件被第二次及以上责令整改的处2000元/次。</w:t>
      </w:r>
    </w:p>
    <w:p w14:paraId="7462E15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22.1.2.2有本项（2）、（3）、（5）、（6）目行为的，除按合同相关条款处理外，由监理工程师发出整改工作指令，按22.1.2.1对承包人处以违约金。</w:t>
      </w:r>
    </w:p>
    <w:p w14:paraId="75E8CBC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22.1.2.3有本项（4）、（7）目行为的，可对承包人处以以下的违约金。</w:t>
      </w:r>
    </w:p>
    <w:p w14:paraId="75C0BD5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a．未按规定开工的，可处以1000元/天的业主延期损失偿金。</w:t>
      </w:r>
    </w:p>
    <w:p w14:paraId="40DD56B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b．未按指令采取措施加快进行本工程或其关键部分的施工，可处以1000元/天的业主延期损失偿金。</w:t>
      </w:r>
    </w:p>
    <w:p w14:paraId="43DBD04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c．未按均衡组织施工要求组织施工的，处每项1000元/月次。</w:t>
      </w:r>
    </w:p>
    <w:p w14:paraId="354B459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22.1.2.4有本项（8）目行为的，可对承包人按以下处以违约金。</w:t>
      </w:r>
    </w:p>
    <w:p w14:paraId="5BD8AF4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a.承包人未经业主、监理工程师同意更换人员，项目经理处2万元/次，总工（或项目总工）处1万元/次。</w:t>
      </w:r>
    </w:p>
    <w:p w14:paraId="3C4D782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pacing w:val="-6"/>
          <w:sz w:val="21"/>
          <w:szCs w:val="21"/>
          <w:highlight w:val="none"/>
        </w:rPr>
        <w:t>项目经理、总工每月驻工地不满25天，处500元/人·月，其他主要人员处200元/人·月。</w:t>
      </w:r>
    </w:p>
    <w:p w14:paraId="3B58BB6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c.未经请假准允离开工地，经理、总工处500元/人·日，其他主要人员处100元/人·日。</w:t>
      </w:r>
    </w:p>
    <w:p w14:paraId="0B31D66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d.主要设备没有按承诺进场的处500元台/日。</w:t>
      </w:r>
    </w:p>
    <w:p w14:paraId="658AC88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22.1.2.4有本项（9）目行为的，可对承包人处以以下的违约金。</w:t>
      </w:r>
    </w:p>
    <w:p w14:paraId="2165C98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a．安全生产管理</w:t>
      </w:r>
    </w:p>
    <w:p w14:paraId="2DF9D145">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（a）出现下列行为之一可处100元/（人）次。</w:t>
      </w:r>
    </w:p>
    <w:p w14:paraId="52807D7A">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Ⅰ需持证上岗人员无证上岗的；或</w:t>
      </w:r>
    </w:p>
    <w:p w14:paraId="258F648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Ⅱ需配戴安全防护用具作业的；或</w:t>
      </w:r>
    </w:p>
    <w:p w14:paraId="64B20781">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Ⅲ未经登记、安全培训教育上岗的。</w:t>
      </w:r>
    </w:p>
    <w:p w14:paraId="6860B6E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（b）出现下列行为之一可处300元/处次。</w:t>
      </w:r>
    </w:p>
    <w:p w14:paraId="12A13FAC">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Ⅰ无专职安全检查人员；或</w:t>
      </w:r>
    </w:p>
    <w:p w14:paraId="2B4E54A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Ⅱ无安全生产检查日志；或</w:t>
      </w:r>
    </w:p>
    <w:p w14:paraId="7ABF77C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Ⅲ作业点或危险施工路段安全标志不全；或</w:t>
      </w:r>
    </w:p>
    <w:p w14:paraId="2DE179B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Ⅳ安全标志（牌）、线（绳）不符国家规定的；或</w:t>
      </w:r>
    </w:p>
    <w:p w14:paraId="7DBC3DE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Ⅴ易燃易爆物品管理不符合管理要求。</w:t>
      </w:r>
    </w:p>
    <w:p w14:paraId="20753E2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（c）出现下列行为之一可处500元/处次。</w:t>
      </w:r>
    </w:p>
    <w:p w14:paraId="011A1D1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Ⅰ施工作业点或施工形成的危险路段无规定的安全标志；或</w:t>
      </w:r>
    </w:p>
    <w:p w14:paraId="67DA203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Ⅱ需设安全防护设施的未按规定设置；或</w:t>
      </w:r>
    </w:p>
    <w:p w14:paraId="61EC3837">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Ⅲ出现一般安全生事故负有责任的；或</w:t>
      </w:r>
    </w:p>
    <w:p w14:paraId="37C1121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Ⅳ发生重大安全事故不按规定报告的。</w:t>
      </w:r>
    </w:p>
    <w:p w14:paraId="4F61313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（d）出现下列行为之一可处5000元/处次。</w:t>
      </w:r>
    </w:p>
    <w:p w14:paraId="3829442E">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出现重大安全生产事故负有责任的。</w:t>
      </w:r>
    </w:p>
    <w:p w14:paraId="7C6B75C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22.1.2.5有本项(10)目违反合同专用条款规定的其他重要规定，可对承包人处以以下的违约金。</w:t>
      </w:r>
    </w:p>
    <w:p w14:paraId="3BE8C69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a.质量管理</w:t>
      </w:r>
    </w:p>
    <w:p w14:paraId="39B8B6F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(a)出现下列行为之一可处100元/（人）次。</w:t>
      </w:r>
    </w:p>
    <w:p w14:paraId="4981029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 分项工程施工现场无合格的施工责任牌；或</w:t>
      </w:r>
    </w:p>
    <w:p w14:paraId="3989331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 分项工程施工现场无其相关责任人；或</w:t>
      </w:r>
    </w:p>
    <w:p w14:paraId="4B2F0EC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 施工现场无基本的检测检验工具；或</w:t>
      </w:r>
    </w:p>
    <w:p w14:paraId="4F08D9B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 施工现场相关责任人无检查检验记录表；或</w:t>
      </w:r>
    </w:p>
    <w:p w14:paraId="77AAD2C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Ⅴ 现场已完成工作无检查记录。</w:t>
      </w:r>
    </w:p>
    <w:p w14:paraId="2E643C7E">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（b）出现以下行为之一，可处500元/次。</w:t>
      </w:r>
    </w:p>
    <w:p w14:paraId="47B20EEC">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Ⅰ未按工序申请检验进入下一道工序的；或</w:t>
      </w:r>
    </w:p>
    <w:p w14:paraId="41A39A0A">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Ⅱ隐蔽工程记录文件不全；或</w:t>
      </w:r>
    </w:p>
    <w:p w14:paraId="3768FE6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Ⅲ施工试验检验频率不符合施工规范规定；或</w:t>
      </w:r>
    </w:p>
    <w:p w14:paraId="1481EFC5">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Ⅳ分项工程质量自检验收检验频率不符合质量评定标准规定的。</w:t>
      </w:r>
    </w:p>
    <w:p w14:paraId="4AE87EE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（c）出现以下行为之一，可处1000元/次。</w:t>
      </w:r>
    </w:p>
    <w:p w14:paraId="095074A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Ⅰ出现质量问题，且承包人负有直接责任的，或不能证明其履行其职责的。或</w:t>
      </w:r>
    </w:p>
    <w:p w14:paraId="42D24DE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Ⅱ发生质量事故，未按有关规定和时间向有关部门报告的；</w:t>
      </w:r>
    </w:p>
    <w:p w14:paraId="5C4CB74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Ⅲ已经施工完成的工程没有按竣工文件收集归档管理办法要求依分项工程、工序将施工作业记录、测量记录、试验检测记录及工序报验审批记录等收集归档。</w:t>
      </w:r>
    </w:p>
    <w:p w14:paraId="1466FE3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 ）出现以下行为之一，可处3000元/次。</w:t>
      </w:r>
    </w:p>
    <w:p w14:paraId="5642BDC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Ⅰ施工单位不接受质监机构监督；或</w:t>
      </w:r>
    </w:p>
    <w:p w14:paraId="3601768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Ⅱ出现二、三级一般质量事故，且承包人负有直接责任，或不能证明其履行其职责的；或</w:t>
      </w:r>
    </w:p>
    <w:p w14:paraId="2D1F836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Ⅲ构造物、中小型预制构件等一次单点实体抽查合格率为50%—75%的；或</w:t>
      </w:r>
    </w:p>
    <w:p w14:paraId="03AF6AA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Ⅳ使用主要材料（钢筋、水泥、沥青、碎石、砂、砂砾等）不合格的。或</w:t>
      </w:r>
    </w:p>
    <w:p w14:paraId="1DA2AB01">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Ⅴ已经施工完成的工程无法提供按竣工文件收集归档管理办法要求应收集的分项工程、工序的施工作业记录、测量记录、试验检测记录及工序报验审批记录等质量管理文件的。</w:t>
      </w:r>
    </w:p>
    <w:p w14:paraId="22C77E0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（e）出现以下行为之一，可处5000元/次。</w:t>
      </w:r>
    </w:p>
    <w:p w14:paraId="0AD4504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Ⅰ发生一级一般质量事故或重大质量事故，且承包人负有直接责任，或不能证明其履行其职责的；或 </w:t>
      </w:r>
    </w:p>
    <w:p w14:paraId="154FBFD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Ⅱ构造物、中小型预制构件等一次单点实体抽查合格率小于50%的；或</w:t>
      </w:r>
    </w:p>
    <w:p w14:paraId="33C8668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Ⅲ未按要求进行自检，弄虚作假、捏造数据、伪造试验报告的。</w:t>
      </w:r>
    </w:p>
    <w:p w14:paraId="24C3E1C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（f）因质量问题被地市级及以上交通主管部门、质量监督单位、公路管理机构通报（批评）的，可对承包人处以10000元违约金，红牌警告5000元，黄牌警告3000元。</w:t>
      </w:r>
    </w:p>
    <w:p w14:paraId="376F8DD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b．文明施工与环境保护，交通通畅</w:t>
      </w:r>
    </w:p>
    <w:p w14:paraId="27D6C21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（a）由于施工原因造成污染、破坏被群众向政府、主管单位投诉或被环保、水利部门责令整改的，处1000元/次。</w:t>
      </w:r>
    </w:p>
    <w:p w14:paraId="69B82AF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（b）其他重要规定违约处理</w:t>
      </w:r>
    </w:p>
    <w:p w14:paraId="0768307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有下列行为之一的处500元/人次违约金并责令承包人进行整改。</w:t>
      </w:r>
    </w:p>
    <w:p w14:paraId="58828081">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 劳务人员未按规定签订聘用合同并向业主、监理工程师报备；或</w:t>
      </w:r>
    </w:p>
    <w:p w14:paraId="5446E00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b)、签订的劳务合同不符合劳动法等法规要求；或</w:t>
      </w:r>
    </w:p>
    <w:p w14:paraId="11AC68C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c)、务人员未编入承包人施工班组，并持项目经理签发的劳务上岗证上岗。</w:t>
      </w:r>
    </w:p>
    <w:p w14:paraId="0D4B6B9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22.1.3上述被处的违约金在计量支付时从履约担保金中扣除，当扣除额达履约担保金总额30%时，承包人无条件进行足额补充。</w:t>
      </w:r>
    </w:p>
    <w:p w14:paraId="052520F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22.1.4业主（项目法人）按合同进行违约处理后，并不解除承包人按照国家法规与合同应承担的责任与义务。</w:t>
      </w:r>
    </w:p>
    <w:p w14:paraId="3D2A8836">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25.其它（增加）</w:t>
      </w:r>
    </w:p>
    <w:p w14:paraId="2DE0D491">
      <w:pPr>
        <w:pageBreakBefore w:val="0"/>
        <w:widowControl w:val="0"/>
        <w:tabs>
          <w:tab w:val="left" w:pos="7200"/>
          <w:tab w:val="left" w:pos="7380"/>
          <w:tab w:val="left" w:pos="7560"/>
        </w:tabs>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color w:val="auto"/>
          <w:kern w:val="1"/>
          <w:szCs w:val="21"/>
          <w:highlight w:val="none"/>
        </w:rPr>
      </w:pPr>
      <w:r>
        <w:rPr>
          <w:rFonts w:hint="eastAsia" w:ascii="宋体" w:hAnsi="宋体" w:eastAsia="宋体" w:cs="宋体"/>
          <w:b/>
          <w:bCs/>
          <w:color w:val="auto"/>
          <w:szCs w:val="21"/>
          <w:highlight w:val="none"/>
        </w:rPr>
        <w:t>25.1（增加）承包人应严格按照《中华人民共和国农业法》、《中华人民共和国土地管理法》、《基本农田保护条例》等的规定占用或使用土地，切实保护耕地，承包人的临时用地应作好复耕、绿化、地质灾害防护或恢复至使用状态。同时，在工程施工中，依据国家和地方有关环境的法律法规和文件、环境影响报告书、有关技术规范及设计文件等，在生态保护、水土保持、地质灾害防治、绿化、污染物防治等方面执行有关环境规定。对承包人违反耕地保护和环境保护的相关规定的，监理工程师有权作出指令要求承包人进行整改或修复并监理工程师满意，若承包人不执行监理工程师指令的，监理工程师有权中止支付或另行处理，所发生费用由承包人承担。</w:t>
      </w:r>
    </w:p>
    <w:p w14:paraId="012914B8">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rPr>
        <w:sectPr>
          <w:footerReference r:id="rId9" w:type="default"/>
          <w:footerReference r:id="rId10" w:type="even"/>
          <w:pgSz w:w="11910" w:h="16850"/>
          <w:pgMar w:top="1480" w:right="1200" w:bottom="1080" w:left="1220" w:header="883" w:footer="884" w:gutter="0"/>
          <w:cols w:space="720" w:num="1"/>
        </w:sectPr>
      </w:pPr>
    </w:p>
    <w:p w14:paraId="7BDFDEF6">
      <w:pPr>
        <w:pStyle w:val="3"/>
        <w:pageBreakBefore w:val="0"/>
        <w:numPr>
          <w:ilvl w:val="0"/>
          <w:numId w:val="10"/>
        </w:numPr>
        <w:kinsoku/>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color w:val="auto"/>
          <w:highlight w:val="none"/>
        </w:rPr>
      </w:pPr>
      <w:bookmarkStart w:id="474" w:name="_Toc122424237"/>
      <w:bookmarkStart w:id="475" w:name="_Toc16394"/>
      <w:bookmarkStart w:id="476" w:name="_Toc122424486"/>
      <w:bookmarkStart w:id="477" w:name="_Toc24988"/>
      <w:r>
        <w:rPr>
          <w:rFonts w:hint="eastAsia" w:ascii="宋体" w:hAnsi="宋体" w:eastAsia="宋体" w:cs="宋体"/>
          <w:color w:val="auto"/>
          <w:highlight w:val="none"/>
        </w:rPr>
        <w:t>合同附件格式</w:t>
      </w:r>
      <w:bookmarkEnd w:id="474"/>
      <w:bookmarkEnd w:id="475"/>
      <w:bookmarkEnd w:id="476"/>
      <w:bookmarkEnd w:id="477"/>
      <w:bookmarkStart w:id="478" w:name="_Toc122424239"/>
      <w:bookmarkStart w:id="479" w:name="_Toc122424488"/>
      <w:bookmarkStart w:id="480" w:name="_Toc13658"/>
    </w:p>
    <w:p w14:paraId="799B0929">
      <w:pPr>
        <w:pStyle w:val="3"/>
        <w:pageBreakBefore w:val="0"/>
        <w:numPr>
          <w:ilvl w:val="0"/>
          <w:numId w:val="0"/>
        </w:numPr>
        <w:kinsoku/>
        <w:overflowPunct/>
        <w:topLinePunct w:val="0"/>
        <w:autoSpaceDE/>
        <w:autoSpaceDN/>
        <w:bidi w:val="0"/>
        <w:adjustRightInd w:val="0"/>
        <w:snapToGrid w:val="0"/>
        <w:spacing w:before="0" w:after="0" w:line="360" w:lineRule="auto"/>
        <w:jc w:val="both"/>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附件一 成交通知书</w:t>
      </w:r>
    </w:p>
    <w:p w14:paraId="571EC51B">
      <w:pPr>
        <w:pStyle w:val="3"/>
        <w:pageBreakBefore w:val="0"/>
        <w:numPr>
          <w:ilvl w:val="0"/>
          <w:numId w:val="0"/>
        </w:numPr>
        <w:kinsoku/>
        <w:overflowPunct/>
        <w:topLinePunct w:val="0"/>
        <w:autoSpaceDE/>
        <w:autoSpaceDN/>
        <w:bidi w:val="0"/>
        <w:adjustRightInd w:val="0"/>
        <w:snapToGrid w:val="0"/>
        <w:spacing w:before="0" w:after="0" w:line="360" w:lineRule="auto"/>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附件</w:t>
      </w:r>
      <w:r>
        <w:rPr>
          <w:rFonts w:hint="eastAsia" w:ascii="宋体" w:hAnsi="宋体" w:cs="宋体"/>
          <w:color w:val="auto"/>
          <w:highlight w:val="none"/>
          <w:lang w:val="en-US" w:eastAsia="zh-CN"/>
        </w:rPr>
        <w:t>二</w:t>
      </w:r>
      <w:r>
        <w:rPr>
          <w:rFonts w:hint="eastAsia" w:ascii="宋体" w:hAnsi="宋体" w:eastAsia="宋体" w:cs="宋体"/>
          <w:color w:val="auto"/>
          <w:highlight w:val="none"/>
        </w:rPr>
        <w:t xml:space="preserve"> 廉政合同</w:t>
      </w:r>
      <w:bookmarkEnd w:id="478"/>
      <w:bookmarkEnd w:id="479"/>
      <w:bookmarkEnd w:id="480"/>
    </w:p>
    <w:p w14:paraId="2DFFC791">
      <w:pPr>
        <w:pageBreakBefore w:val="0"/>
        <w:kinsoku/>
        <w:overflowPunct/>
        <w:topLinePunct w:val="0"/>
        <w:autoSpaceDE/>
        <w:autoSpaceDN/>
        <w:bidi w:val="0"/>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廉 政 合 同</w:t>
      </w:r>
    </w:p>
    <w:p w14:paraId="3827BCC7">
      <w:pPr>
        <w:pageBreakBefore w:val="0"/>
        <w:kinsoku/>
        <w:overflowPunct/>
        <w:topLinePunct w:val="0"/>
        <w:autoSpaceDE/>
        <w:autoSpaceDN/>
        <w:bidi w:val="0"/>
        <w:spacing w:line="360" w:lineRule="auto"/>
        <w:ind w:firstLine="420"/>
        <w:textAlignment w:val="auto"/>
        <w:rPr>
          <w:rFonts w:hint="eastAsia" w:ascii="宋体" w:hAnsi="宋体" w:eastAsia="宋体" w:cs="宋体"/>
          <w:color w:val="auto"/>
          <w:highlight w:val="none"/>
        </w:rPr>
      </w:pPr>
    </w:p>
    <w:p w14:paraId="1851033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（项目名称）项目法人</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（项目法人名称，以下简称“发包人”）与该项目的施工单位</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（施工单位名称，以下简称“承包人”），特订立如下合同。</w:t>
      </w:r>
    </w:p>
    <w:p w14:paraId="2B81ADC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1．发包人和承包人双方的权利和义务</w:t>
      </w:r>
    </w:p>
    <w:p w14:paraId="21D20CE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（1）严格遵守党的政策规定和国家有关法律法规及交通运输部的有关规定。</w:t>
      </w:r>
    </w:p>
    <w:p w14:paraId="3F282718">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（2）严格执行</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（项目名称）施工合同文件，自觉按合同办事。</w:t>
      </w:r>
    </w:p>
    <w:p w14:paraId="3D81159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（3）双方的业务活动坚持公开、公正、诚信、透明的原则（法律认定的商业秘密和合同文件另有规定除外），不得损害国家和集体利益，不得违反工程建设管理规章制度。</w:t>
      </w:r>
    </w:p>
    <w:p w14:paraId="3131DBE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（4）建立健全廉政制度，开展廉政教育，设立廉政告示牌，公布举报电话，监督并认真查处违法违纪行为。</w:t>
      </w:r>
    </w:p>
    <w:p w14:paraId="36E9ED6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（5）发现对方在业务活动中有违反廉政规定的行为，有及时提醒对方纠正的权利和义务。</w:t>
      </w:r>
    </w:p>
    <w:p w14:paraId="5DC3E65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（6）发现对方严重违反本合同义务条款的行为，有向其上级有关部门举报、建议给予处理并要求告知处理结果的权利。</w:t>
      </w:r>
    </w:p>
    <w:p w14:paraId="1A1E126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2．发包人的义务</w:t>
      </w:r>
    </w:p>
    <w:p w14:paraId="783FD81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（1）发包人及其工作人员不得索要或接受承包人的礼金、有价证券和贵重物品，不得让承包人报销任何应由发包人或发包人工作人员个人支付的费用等。</w:t>
      </w:r>
    </w:p>
    <w:p w14:paraId="01E759A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（2）发包人工作人员不得参加承包人安排的超标准宴请和娱乐活动；不得接受承包人提供的通讯工具、交通工具和高档办公用品等。</w:t>
      </w:r>
    </w:p>
    <w:p w14:paraId="4990945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（3）发包人及其工作人员不得要求或者接受承包人为其住房装修、婚丧嫁娶活动、配偶子女的工作安排以及出国出境、旅游等提供方便等。</w:t>
      </w:r>
    </w:p>
    <w:p w14:paraId="5C8B5756">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（4）发包人工作人员及其配偶、子女不得从事与发包人工作有关的材料设备供应、工程分包、劳务等经济活动等。</w:t>
      </w:r>
    </w:p>
    <w:p w14:paraId="05F5090C">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（5）发包人及其工作人员不得以任何理由向承包人推荐分包单位或推销材料，不得要求承包人购买合同规定外的材料和设备。</w:t>
      </w:r>
    </w:p>
    <w:p w14:paraId="374E017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（6）发包人工作人员要秉公办事，不准营私舞弊，不准利用职权从事各种个人有偿中介活动和安排个人施工队伍。</w:t>
      </w:r>
    </w:p>
    <w:p w14:paraId="582486B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3．承包人的义务</w:t>
      </w:r>
    </w:p>
    <w:p w14:paraId="09EF5C0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（1）承包人不得以任何理由向发包人及其工作人员行贿或馈赠礼金、有价证券、贵重礼品。</w:t>
      </w:r>
    </w:p>
    <w:p w14:paraId="2AB1E0C2">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（2）承包人不得以任何名义为发包人及其工作人员报销应由发包人单位或个人支付的任何费用。</w:t>
      </w:r>
    </w:p>
    <w:p w14:paraId="262D3252">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（3）承包人不得以任何理由安排发包人工作人员参加超标准宴请及娱乐活动。</w:t>
      </w:r>
    </w:p>
    <w:p w14:paraId="656A68F9">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（4）承包人不得为发包人单位和个人购置或提供通讯工具、交通工具和高档办公用品等。</w:t>
      </w:r>
    </w:p>
    <w:p w14:paraId="52A8427F">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4．违约责任</w:t>
      </w:r>
    </w:p>
    <w:p w14:paraId="74AF740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（1）发包人及其工作人员违反本合同第1、2条，按管理权限，依据有关规定给予党纪、政纪或组织处理；涉嫌犯罪的，移交司法院追究刑事责任；给承包人单位造成经济损失的，应予以赔偿。</w:t>
      </w:r>
    </w:p>
    <w:p w14:paraId="12830DF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7C7BD0CC">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07B7B5C8">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6.本合同有效期为发包人和承包人签署之日起至该工程项目竣工验收后止。</w:t>
      </w:r>
    </w:p>
    <w:p w14:paraId="35199B6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7．本合同作为</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（项目名称）施工合同的附件，与工程施工合同具有同等的法律效力，经合同双方签署后立即生效。</w:t>
      </w:r>
    </w:p>
    <w:p w14:paraId="6BBCF54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8．本合同一式</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份，由发包人和承包人各执</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w:t>
      </w:r>
    </w:p>
    <w:p w14:paraId="4A731B6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0D8E726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发包人：（盖单位章）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承包人：（盖单位章）</w:t>
      </w:r>
    </w:p>
    <w:p w14:paraId="136ECD7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AF4D47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p>
    <w:p w14:paraId="25690A6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522E132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年  月  日</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年  月  日</w:t>
      </w:r>
    </w:p>
    <w:p w14:paraId="4A006326">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highlight w:val="none"/>
        </w:rPr>
      </w:pPr>
    </w:p>
    <w:p w14:paraId="08E52F6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u w:val="none"/>
        </w:rPr>
      </w:pPr>
      <w:r>
        <w:rPr>
          <w:rFonts w:hint="eastAsia" w:ascii="宋体" w:hAnsi="宋体" w:cs="宋体"/>
          <w:color w:val="auto"/>
          <w:highlight w:val="none"/>
          <w:lang w:val="en-US" w:eastAsia="zh-CN"/>
        </w:rPr>
        <w:t>经办人</w:t>
      </w:r>
      <w:r>
        <w:rPr>
          <w:rFonts w:hint="eastAsia" w:ascii="宋体" w:hAnsi="宋体" w:eastAsia="宋体" w:cs="宋体"/>
          <w:color w:val="auto"/>
          <w:highlight w:val="none"/>
        </w:rPr>
        <w:t>：</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签字或盖章</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 xml:space="preserve">                          经办人</w:t>
      </w:r>
      <w:r>
        <w:rPr>
          <w:rFonts w:hint="eastAsia" w:ascii="宋体" w:hAnsi="宋体" w:eastAsia="宋体" w:cs="宋体"/>
          <w:color w:val="auto"/>
          <w:highlight w:val="none"/>
          <w:u w:val="none"/>
        </w:rPr>
        <w:t>：</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签字或盖章</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 xml:space="preserve"> </w:t>
      </w:r>
    </w:p>
    <w:p w14:paraId="5AB468CA">
      <w:pPr>
        <w:pageBreakBefore w:val="0"/>
        <w:kinsoku/>
        <w:overflowPunct/>
        <w:topLinePunct w:val="0"/>
        <w:autoSpaceDE/>
        <w:autoSpaceDN/>
        <w:bidi w:val="0"/>
        <w:spacing w:line="360" w:lineRule="auto"/>
        <w:textAlignment w:val="auto"/>
        <w:rPr>
          <w:rFonts w:hint="eastAsia" w:ascii="宋体" w:hAnsi="宋体" w:cs="宋体"/>
          <w:color w:val="auto"/>
          <w:highlight w:val="none"/>
          <w:lang w:val="en-US" w:eastAsia="zh-CN"/>
        </w:rPr>
      </w:pPr>
    </w:p>
    <w:p w14:paraId="735006D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2F2882E6">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p>
    <w:p w14:paraId="38FC904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4B40EC0B">
      <w:pPr>
        <w:keepNext w:val="0"/>
        <w:keepLines w:val="0"/>
        <w:pageBreakBefore w:val="0"/>
        <w:kinsoku/>
        <w:wordWrap/>
        <w:overflowPunct/>
        <w:topLinePunct w:val="0"/>
        <w:autoSpaceDE/>
        <w:autoSpaceDN/>
        <w:bidi w:val="0"/>
        <w:adjustRightInd/>
        <w:snapToGrid/>
        <w:spacing w:line="360" w:lineRule="auto"/>
        <w:ind w:right="105"/>
        <w:jc w:val="right"/>
        <w:textAlignment w:val="auto"/>
        <w:rPr>
          <w:rFonts w:hint="eastAsia" w:ascii="宋体" w:hAnsi="宋体" w:eastAsia="宋体" w:cs="宋体"/>
          <w:color w:val="auto"/>
          <w:highlight w:val="none"/>
        </w:rPr>
      </w:pPr>
    </w:p>
    <w:p w14:paraId="76A556E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81" w:name="_Toc122424489"/>
      <w:bookmarkStart w:id="482" w:name="_Toc10030"/>
      <w:bookmarkStart w:id="483" w:name="_Toc122424240"/>
      <w:r>
        <w:rPr>
          <w:rFonts w:hint="eastAsia" w:ascii="宋体" w:hAnsi="宋体" w:eastAsia="宋体" w:cs="宋体"/>
          <w:b/>
          <w:bCs/>
          <w:color w:val="auto"/>
          <w:kern w:val="2"/>
          <w:sz w:val="32"/>
          <w:szCs w:val="32"/>
          <w:highlight w:val="none"/>
          <w:lang w:val="en-US" w:eastAsia="zh-CN" w:bidi="ar-SA"/>
        </w:rPr>
        <w:t>附件</w:t>
      </w:r>
      <w:r>
        <w:rPr>
          <w:rFonts w:hint="eastAsia" w:ascii="宋体" w:hAnsi="宋体" w:cs="宋体"/>
          <w:b/>
          <w:bCs/>
          <w:color w:val="auto"/>
          <w:kern w:val="2"/>
          <w:sz w:val="32"/>
          <w:szCs w:val="32"/>
          <w:highlight w:val="none"/>
          <w:lang w:val="en-US" w:eastAsia="zh-CN" w:bidi="ar-SA"/>
        </w:rPr>
        <w:t>三</w:t>
      </w:r>
      <w:r>
        <w:rPr>
          <w:rFonts w:hint="eastAsia" w:ascii="宋体" w:hAnsi="宋体" w:eastAsia="宋体" w:cs="宋体"/>
          <w:b/>
          <w:bCs/>
          <w:color w:val="auto"/>
          <w:kern w:val="2"/>
          <w:sz w:val="32"/>
          <w:szCs w:val="32"/>
          <w:highlight w:val="none"/>
          <w:lang w:val="en-US" w:eastAsia="zh-CN" w:bidi="ar-SA"/>
        </w:rPr>
        <w:t xml:space="preserve"> 安全生产合同</w:t>
      </w:r>
      <w:bookmarkEnd w:id="481"/>
      <w:bookmarkEnd w:id="482"/>
      <w:bookmarkEnd w:id="483"/>
    </w:p>
    <w:p w14:paraId="1492B52A">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安全生产合同</w:t>
      </w:r>
    </w:p>
    <w:p w14:paraId="5D307922">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为在</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（项目名称）施工合同的实施过程中创造安全、高效的施工环境，切实搞好本项目的安全管理工作，本项目发包人</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（发包人名称，以下简称“发包人”）与承包人</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（承包人名称，以下简称“承包人”）特此签订安全生产合同：</w:t>
      </w:r>
    </w:p>
    <w:p w14:paraId="1C8A720F">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1.发包人职责</w:t>
      </w:r>
    </w:p>
    <w:p w14:paraId="7A3E148C">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（1）严格遵守国家有关安全生产的法律法规，认真执行工程承包合同中的有关安全要求。</w:t>
      </w:r>
    </w:p>
    <w:p w14:paraId="789DD2AF">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（2）按照“安全第一、预防为主、综合治理”和坚持“管行业必须管安全、管业务必须管安全、管生产经营必须管安全”的原则进行安全生产管理，做到生产与安全工作同时计划、布置、检查、总结和评比。</w:t>
      </w:r>
    </w:p>
    <w:p w14:paraId="0CB8084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（3）新建、改建、扩建工程项目等建设项目的安全设施必须坚持与主体工程“三同时”的原则，即：同时设计、同时施工、同时投入生产和使用。</w:t>
      </w:r>
    </w:p>
    <w:p w14:paraId="3D06CBDB">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（4）定期召开安全生产调度会，及时传达中央及地方有关安全生产的精神。</w:t>
      </w:r>
    </w:p>
    <w:p w14:paraId="387AF98E">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（5）组织对承包人施工现场安全生产检查，监督承包人及时处理发现的各种安全隐患。</w:t>
      </w:r>
    </w:p>
    <w:p w14:paraId="051B38EE">
      <w:pPr>
        <w:pStyle w:val="18"/>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（6）依照有关法律、法规的规定，对涉及安全生产的事项需要审查批准或者验收的，必须严格依照有关法律、法规和国家标准或者行业标准规定的安全生产条件和程序进行审查。</w:t>
      </w:r>
    </w:p>
    <w:p w14:paraId="73D9B9B7">
      <w:pPr>
        <w:pStyle w:val="18"/>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（7）不得要求接受审查、验收的单位购买其指定品牌或者指定生产、销售单位的安全设备、器材或者其他产品。</w:t>
      </w:r>
    </w:p>
    <w:p w14:paraId="0F9F10F2">
      <w:pPr>
        <w:pStyle w:val="18"/>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（8）定期或不定期对承包人执行有关安全生产的法律、法规和国家标准或者行业标准的情况进行监督检查。</w:t>
      </w:r>
    </w:p>
    <w:p w14:paraId="38F8E263">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2.承包人职责</w:t>
      </w:r>
    </w:p>
    <w:p w14:paraId="08518CD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50EA9E26">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坚持“安全第一、预防为主、综合治理”和“管行业必须管安全、管业务必须管安全、管生产经营必须管安全”的原则，加强安全生产宣传教育，增强全员安全生产意识，建立健全各项安全生产的管理机构和安全生产管理制度，配备专职及兼职安全检查人员，有组织有领导地开展安全生产活动，履行有关安全生产的法律、法规规定的有关安全生产义务。各级领导、工程技术人员、生产管理人员和具体操作人员，必须熟悉和遵守本合同的各项规定，做到生产与安全工作同时计划、布置、检查、总结和评比。</w:t>
      </w:r>
    </w:p>
    <w:p w14:paraId="40718A6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461BEA2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（4）承包人在任何时候都应采取各种合理的预防措施，防止其员工发生任何违法、违禁、暴力或妨碍治安的行为。</w:t>
      </w:r>
    </w:p>
    <w:p w14:paraId="68B2C8F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48A72C4">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33F4E4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（7）操作人员上岗，必须按规定穿戴防护用品。施工负责人和安全检查员应随时检查劳动防护用品的穿戴情况，不按规定穿戴防护用品的人员不得上岗。</w:t>
      </w:r>
    </w:p>
    <w:p w14:paraId="0633F44C">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（8）所有施工机具设备和高空作业的设备均应定期检查，并有安全员的签字记录，保证其经常处于完好状态；不合格的机具、设备和劳动保护用品严禁使用：</w:t>
      </w:r>
    </w:p>
    <w:p w14:paraId="731B3352">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（9）施工中采用新技术、新工艺、新设备、新材料时，必须制定相应的安全技术措施，施工现场必须具有相关的安全标志牌。</w:t>
      </w:r>
    </w:p>
    <w:p w14:paraId="60FB349F">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A6A16B8">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（11）安全生产费用按照《公路水运工程安全生产监督管理办法》的相关规定使用和管理。</w:t>
      </w:r>
    </w:p>
    <w:p w14:paraId="0E7C775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（12）生产、经营、储存、使用危险物品的车间、商店、仓库不得与员工宿舍在同一座建筑物内，并应当与员工宿舍保持安全距离。</w:t>
      </w:r>
    </w:p>
    <w:p w14:paraId="1462F759">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（13）承包人进行爆破、吊装、动火、临时用电以及国务院应急管理部门会同国务院有关部门规定的其他危险作业，应当安排专门人员进行现场安全管理，确保操作规程的遵守和安全措施的落实。</w:t>
      </w:r>
    </w:p>
    <w:p w14:paraId="15E0915D">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（14）承包人应当教育和督促从业人员严格执行本单位的安全生产规章制度和安全操作规程；并向从业人员如实告知作业场所和工作岗位存在的危险因素、防范措施以及事故应急措施。</w:t>
      </w:r>
    </w:p>
    <w:p w14:paraId="5CF1B8A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（15）承包人应当关注从业人员的身体、心理状况和行为习惯，加强对从业人员的心理疏导、精神慰藉，严格落实岗位安全生产责任，防范从业人员行为异常导致事故发生。</w:t>
      </w:r>
    </w:p>
    <w:p w14:paraId="39C77E68">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3.违约责任</w:t>
      </w:r>
    </w:p>
    <w:p w14:paraId="3C244F99">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如因发包人或承包人违约造成安全事故，将依法追究责任。</w:t>
      </w:r>
    </w:p>
    <w:p w14:paraId="2946083B">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4.本合同由双方法定代表人或其授权的代理人签署并加盖单位公章后生效，全部工程竣工验收后失效。</w:t>
      </w:r>
    </w:p>
    <w:p w14:paraId="0C31D0CC">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5.本合同正本—式二份，副本</w:t>
      </w:r>
      <w:r>
        <w:rPr>
          <w:rFonts w:hint="eastAsia" w:ascii="宋体" w:hAnsi="宋体" w:cs="宋体"/>
          <w:color w:val="auto"/>
          <w:highlight w:val="none"/>
          <w:lang w:val="en-US" w:eastAsia="zh-CN"/>
        </w:rPr>
        <w:t>/</w:t>
      </w:r>
      <w:r>
        <w:rPr>
          <w:rFonts w:hint="eastAsia" w:ascii="宋体" w:hAnsi="宋体" w:eastAsia="宋体" w:cs="宋体"/>
          <w:color w:val="auto"/>
          <w:highlight w:val="none"/>
        </w:rPr>
        <w:t>份，合同双方各执正本—份，副本</w:t>
      </w:r>
      <w:r>
        <w:rPr>
          <w:rFonts w:hint="eastAsia" w:ascii="宋体" w:hAnsi="宋体" w:cs="宋体"/>
          <w:color w:val="auto"/>
          <w:highlight w:val="none"/>
          <w:lang w:val="en-US" w:eastAsia="zh-CN"/>
        </w:rPr>
        <w:t>/</w:t>
      </w:r>
      <w:r>
        <w:rPr>
          <w:rFonts w:hint="eastAsia" w:ascii="宋体" w:hAnsi="宋体" w:eastAsia="宋体" w:cs="宋体"/>
          <w:color w:val="auto"/>
          <w:highlight w:val="none"/>
        </w:rPr>
        <w:t>份，当正本与副本的内容不一致时，以正本为准。</w:t>
      </w:r>
    </w:p>
    <w:p w14:paraId="09611A3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发包人：（盖单位章）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承包人：（盖单位章）</w:t>
      </w:r>
    </w:p>
    <w:p w14:paraId="4AF37EE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签字或盖章</w:t>
      </w:r>
      <w:r>
        <w:rPr>
          <w:rFonts w:hint="eastAsia" w:ascii="宋体" w:hAnsi="宋体" w:cs="宋体"/>
          <w:color w:val="auto"/>
          <w:highlight w:val="none"/>
          <w:u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法定代表人或其委托代理人：</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签字或盖章</w:t>
      </w:r>
      <w:r>
        <w:rPr>
          <w:rFonts w:hint="eastAsia" w:ascii="宋体" w:hAnsi="宋体" w:cs="宋体"/>
          <w:color w:val="auto"/>
          <w:highlight w:val="none"/>
          <w:u w:val="none"/>
          <w:lang w:eastAsia="zh-CN"/>
        </w:rPr>
        <w:t>）</w:t>
      </w:r>
    </w:p>
    <w:p w14:paraId="797879B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经办人</w:t>
      </w:r>
      <w:r>
        <w:rPr>
          <w:rFonts w:hint="eastAsia" w:ascii="宋体" w:hAnsi="宋体" w:eastAsia="宋体" w:cs="宋体"/>
          <w:color w:val="auto"/>
          <w:highlight w:val="none"/>
        </w:rPr>
        <w:t>：</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签字或盖章</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 xml:space="preserve">                          经办人</w:t>
      </w:r>
      <w:r>
        <w:rPr>
          <w:rFonts w:hint="eastAsia" w:ascii="宋体" w:hAnsi="宋体" w:eastAsia="宋体" w:cs="宋体"/>
          <w:color w:val="auto"/>
          <w:highlight w:val="none"/>
          <w:u w:val="none"/>
        </w:rPr>
        <w:t>：</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签字或盖章</w:t>
      </w:r>
      <w:r>
        <w:rPr>
          <w:rFonts w:hint="eastAsia" w:ascii="宋体" w:hAnsi="宋体" w:cs="宋体"/>
          <w:color w:val="auto"/>
          <w:highlight w:val="none"/>
          <w:u w:val="none"/>
          <w:lang w:eastAsia="zh-CN"/>
        </w:rPr>
        <w:t>）</w:t>
      </w:r>
    </w:p>
    <w:p w14:paraId="5061D4B9">
      <w:pPr>
        <w:keepNext w:val="0"/>
        <w:keepLines w:val="0"/>
        <w:pageBreakBefore w:val="0"/>
        <w:kinsoku/>
        <w:wordWrap/>
        <w:overflowPunct/>
        <w:topLinePunct w:val="0"/>
        <w:autoSpaceDE/>
        <w:autoSpaceDN/>
        <w:bidi w:val="0"/>
        <w:adjustRightInd/>
        <w:snapToGrid/>
        <w:spacing w:line="360" w:lineRule="auto"/>
        <w:ind w:firstLine="840" w:firstLineChars="4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年  月  日</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年  月  日</w:t>
      </w:r>
    </w:p>
    <w:p w14:paraId="5532415A">
      <w:pPr>
        <w:pageBreakBefore w:val="0"/>
        <w:widowControl/>
        <w:kinsoku/>
        <w:overflowPunct/>
        <w:topLinePunct w:val="0"/>
        <w:autoSpaceDE/>
        <w:autoSpaceDN/>
        <w:bidi w:val="0"/>
        <w:spacing w:line="360" w:lineRule="auto"/>
        <w:textAlignment w:val="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highlight w:val="none"/>
        </w:rPr>
        <w:br w:type="page"/>
      </w:r>
      <w:bookmarkStart w:id="484" w:name="_Toc4526"/>
      <w:bookmarkStart w:id="485" w:name="_Toc122424490"/>
      <w:bookmarkStart w:id="486" w:name="_Toc122424241"/>
      <w:r>
        <w:rPr>
          <w:rFonts w:hint="eastAsia" w:ascii="宋体" w:hAnsi="宋体" w:eastAsia="宋体" w:cs="宋体"/>
          <w:b/>
          <w:bCs/>
          <w:color w:val="auto"/>
          <w:kern w:val="2"/>
          <w:sz w:val="32"/>
          <w:szCs w:val="32"/>
          <w:highlight w:val="none"/>
          <w:lang w:val="en-US" w:eastAsia="zh-CN" w:bidi="ar-SA"/>
        </w:rPr>
        <w:t>附件</w:t>
      </w:r>
      <w:r>
        <w:rPr>
          <w:rFonts w:hint="eastAsia" w:ascii="宋体" w:hAnsi="宋体" w:cs="宋体"/>
          <w:b/>
          <w:bCs/>
          <w:color w:val="auto"/>
          <w:kern w:val="2"/>
          <w:sz w:val="32"/>
          <w:szCs w:val="32"/>
          <w:highlight w:val="none"/>
          <w:lang w:val="en-US" w:eastAsia="zh-CN" w:bidi="ar-SA"/>
        </w:rPr>
        <w:t>四</w:t>
      </w:r>
      <w:r>
        <w:rPr>
          <w:rFonts w:hint="eastAsia" w:ascii="宋体" w:hAnsi="宋体" w:eastAsia="宋体" w:cs="宋体"/>
          <w:b/>
          <w:bCs/>
          <w:color w:val="auto"/>
          <w:kern w:val="2"/>
          <w:sz w:val="32"/>
          <w:szCs w:val="32"/>
          <w:highlight w:val="none"/>
          <w:lang w:val="en-US" w:eastAsia="zh-CN" w:bidi="ar-SA"/>
        </w:rPr>
        <w:t xml:space="preserve"> 其他管理和技术人员最低要求</w:t>
      </w:r>
      <w:bookmarkEnd w:id="484"/>
      <w:bookmarkEnd w:id="485"/>
      <w:bookmarkEnd w:id="486"/>
    </w:p>
    <w:tbl>
      <w:tblPr>
        <w:tblStyle w:val="26"/>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6"/>
        <w:gridCol w:w="2342"/>
        <w:gridCol w:w="4647"/>
      </w:tblGrid>
      <w:tr w14:paraId="0A3F5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525D7F3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人</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员</w:t>
            </w: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6BF725A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数</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量</w:t>
            </w: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6B604C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资 格 要 求</w:t>
            </w:r>
          </w:p>
        </w:tc>
      </w:tr>
      <w:tr w14:paraId="03494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6C4EC7B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39EB852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7A1498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7A2A5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9066E6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6275B2F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0C26FD0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EA67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03C8499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015F4D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0AAA932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7B29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6320763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1F7C4ED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7A20DF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16EE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D52DC9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6E69EB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F00CE6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5E93F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32D729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5F189C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2FB82DD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FE0A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59D7AE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113CF94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0AEAAB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3619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5690F10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153C49F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19BB18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A0AE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1AB88B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32196F6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4B38D5B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2B10E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95406E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46308BF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5D656E8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2E20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21C64F4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C88E9D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804F56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6E671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2D92FD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7D008A0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2229B5F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60B81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F109E1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7DB4176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8C4A57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7F56A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77B9E0E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262327C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2FD8564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11466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0E2B228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3818CF0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5922F72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bl>
    <w:p w14:paraId="1F79EFF8">
      <w:pPr>
        <w:pageBreakBefore w:val="0"/>
        <w:widowControl/>
        <w:kinsoku/>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87" w:name="_Toc1254"/>
      <w:bookmarkStart w:id="488" w:name="_Toc122424242"/>
      <w:bookmarkStart w:id="489" w:name="_Toc122424491"/>
      <w:r>
        <w:rPr>
          <w:rFonts w:hint="eastAsia" w:ascii="宋体" w:hAnsi="宋体" w:eastAsia="宋体" w:cs="宋体"/>
          <w:b/>
          <w:bCs/>
          <w:color w:val="auto"/>
          <w:sz w:val="32"/>
          <w:szCs w:val="32"/>
          <w:highlight w:val="none"/>
        </w:rPr>
        <w:t>附件</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 xml:space="preserve"> 主要机械设备和试验检测设备最低要求</w:t>
      </w:r>
      <w:bookmarkEnd w:id="487"/>
      <w:bookmarkEnd w:id="488"/>
      <w:bookmarkEnd w:id="489"/>
    </w:p>
    <w:tbl>
      <w:tblPr>
        <w:tblStyle w:val="26"/>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6"/>
        <w:gridCol w:w="3092"/>
        <w:gridCol w:w="1564"/>
        <w:gridCol w:w="2473"/>
      </w:tblGrid>
      <w:tr w14:paraId="7F5A8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75C0DA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设备名称</w:t>
            </w: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5019959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规格、功率及容量</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E98310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单位</w:t>
            </w: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52C323F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最低数量要求</w:t>
            </w:r>
          </w:p>
        </w:tc>
      </w:tr>
      <w:tr w14:paraId="1366B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0161EEA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183DBF2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3DC62B0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331AC8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2C42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733A502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7834174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4A5774F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642D2CC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69396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1FEA30D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181AF2E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38886C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42B9247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0C308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D2B493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732EB26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2C5D886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FE092F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1AE8D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0628047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36AF815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6BF3671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9082EF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D953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5BCDDC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722F19A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888C3E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3CF5B8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12AD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4D9456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2F4BB3A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468FBDF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061808B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5CC3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B1D704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5D57B5F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CD8629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0899AFC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0C30D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45BC1E1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57718C7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E54EC9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3D4A52D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965C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374DF32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4026E64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C5FF76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47C962D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70AB6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1D84737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0774A9D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6C2231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633B9C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16B1A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349BC2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01BC020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0715E48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21B95D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5F2A6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1A50357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6A8C91A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C94709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5840DA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B0A2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AF4001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41E9F5F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643B111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6A7418E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08C5C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DCD9DB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214CC51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3DC0709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EB92B9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bl>
    <w:p w14:paraId="4829B9CF">
      <w:pPr>
        <w:pStyle w:val="4"/>
        <w:pageBreakBefore w:val="0"/>
        <w:kinsoku/>
        <w:overflowPunct/>
        <w:topLinePunct w:val="0"/>
        <w:autoSpaceDE/>
        <w:autoSpaceDN/>
        <w:bidi w:val="0"/>
        <w:spacing w:before="0" w:after="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90" w:name="_Toc122424243"/>
      <w:bookmarkStart w:id="491" w:name="_Toc122424492"/>
      <w:r>
        <w:rPr>
          <w:rFonts w:hint="eastAsia" w:ascii="宋体" w:hAnsi="宋体" w:eastAsia="宋体" w:cs="宋体"/>
          <w:color w:val="auto"/>
          <w:highlight w:val="none"/>
        </w:rPr>
        <w:t>附件</w:t>
      </w:r>
      <w:r>
        <w:rPr>
          <w:rFonts w:hint="eastAsia" w:ascii="宋体" w:hAnsi="宋体" w:cs="宋体"/>
          <w:color w:val="auto"/>
          <w:highlight w:val="none"/>
          <w:lang w:val="en-US" w:eastAsia="zh-CN"/>
        </w:rPr>
        <w:t>六</w:t>
      </w:r>
      <w:r>
        <w:rPr>
          <w:rFonts w:hint="eastAsia" w:ascii="宋体" w:hAnsi="宋体" w:eastAsia="宋体" w:cs="宋体"/>
          <w:color w:val="auto"/>
          <w:highlight w:val="none"/>
        </w:rPr>
        <w:t xml:space="preserve"> 履约保证金格式</w:t>
      </w:r>
      <w:bookmarkEnd w:id="490"/>
      <w:bookmarkEnd w:id="491"/>
    </w:p>
    <w:p w14:paraId="4EB39EB2">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如采用银行保函，格式如下。</w:t>
      </w:r>
    </w:p>
    <w:p w14:paraId="6A467E85">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p>
    <w:p w14:paraId="2F0F4B77">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p>
    <w:p w14:paraId="574F7F0D">
      <w:pPr>
        <w:pageBreakBefore w:val="0"/>
        <w:kinsoku/>
        <w:overflowPunct/>
        <w:topLinePunct w:val="0"/>
        <w:autoSpaceDE/>
        <w:autoSpaceDN/>
        <w:bidi w:val="0"/>
        <w:spacing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履约保证金</w:t>
      </w:r>
    </w:p>
    <w:p w14:paraId="2EB35AE5">
      <w:pPr>
        <w:pStyle w:val="44"/>
        <w:pageBreakBefore w:val="0"/>
        <w:shd w:val="clear" w:color="auto" w:fill="auto"/>
        <w:tabs>
          <w:tab w:val="left" w:leader="underscore" w:pos="2222"/>
        </w:tabs>
        <w:kinsoku/>
        <w:overflowPunct/>
        <w:topLinePunct w:val="0"/>
        <w:autoSpaceDE/>
        <w:autoSpaceDN/>
        <w:bidi w:val="0"/>
        <w:spacing w:before="0" w:after="388" w:line="360" w:lineRule="auto"/>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ab/>
      </w:r>
      <w:r>
        <w:rPr>
          <w:rStyle w:val="45"/>
          <w:rFonts w:hint="eastAsia" w:ascii="宋体" w:hAnsi="宋体" w:eastAsia="宋体" w:cs="宋体"/>
          <w:color w:val="auto"/>
          <w:sz w:val="21"/>
          <w:szCs w:val="21"/>
          <w:highlight w:val="none"/>
        </w:rPr>
        <w:t xml:space="preserve"> (发包人名称）：</w:t>
      </w:r>
    </w:p>
    <w:p w14:paraId="3823202B">
      <w:pPr>
        <w:pStyle w:val="44"/>
        <w:pageBreakBefore w:val="0"/>
        <w:shd w:val="clear" w:color="auto" w:fill="auto"/>
        <w:tabs>
          <w:tab w:val="left" w:leader="underscore" w:pos="2964"/>
          <w:tab w:val="left" w:leader="underscore" w:pos="8141"/>
        </w:tabs>
        <w:kinsoku/>
        <w:overflowPunct/>
        <w:topLinePunct w:val="0"/>
        <w:autoSpaceDE/>
        <w:autoSpaceDN/>
        <w:bidi w:val="0"/>
        <w:spacing w:before="0" w:line="360" w:lineRule="auto"/>
        <w:ind w:firstLine="630" w:firstLineChars="300"/>
        <w:jc w:val="both"/>
        <w:textAlignment w:val="auto"/>
        <w:rPr>
          <w:rFonts w:hint="eastAsia" w:ascii="宋体" w:hAnsi="宋体" w:eastAsia="宋体" w:cs="宋体"/>
          <w:color w:val="auto"/>
          <w:spacing w:val="0"/>
          <w:sz w:val="21"/>
          <w:szCs w:val="21"/>
          <w:highlight w:val="none"/>
        </w:rPr>
      </w:pPr>
      <w:r>
        <w:rPr>
          <w:rStyle w:val="45"/>
          <w:rFonts w:hint="eastAsia" w:ascii="宋体" w:hAnsi="宋体" w:eastAsia="宋体" w:cs="宋体"/>
          <w:color w:val="auto"/>
          <w:sz w:val="21"/>
          <w:szCs w:val="21"/>
          <w:highlight w:val="none"/>
        </w:rPr>
        <w:t>鉴于</w:t>
      </w:r>
      <w:r>
        <w:rPr>
          <w:rStyle w:val="45"/>
          <w:rFonts w:hint="eastAsia" w:ascii="宋体" w:hAnsi="宋体" w:eastAsia="宋体" w:cs="宋体"/>
          <w:color w:val="auto"/>
          <w:sz w:val="21"/>
          <w:szCs w:val="21"/>
          <w:highlight w:val="none"/>
        </w:rPr>
        <w:tab/>
      </w:r>
      <w:r>
        <w:rPr>
          <w:rStyle w:val="45"/>
          <w:rFonts w:hint="eastAsia" w:ascii="宋体" w:hAnsi="宋体" w:eastAsia="宋体" w:cs="宋体"/>
          <w:color w:val="auto"/>
          <w:sz w:val="21"/>
          <w:szCs w:val="21"/>
          <w:highlight w:val="none"/>
        </w:rPr>
        <w:t xml:space="preserve"> (发包人名称，以下简称“发包人”）接受</w:t>
      </w:r>
      <w:r>
        <w:rPr>
          <w:rStyle w:val="45"/>
          <w:rFonts w:hint="eastAsia" w:ascii="宋体" w:hAnsi="宋体" w:eastAsia="宋体" w:cs="宋体"/>
          <w:color w:val="auto"/>
          <w:sz w:val="21"/>
          <w:szCs w:val="21"/>
          <w:highlight w:val="none"/>
        </w:rPr>
        <w:tab/>
      </w:r>
      <w:r>
        <w:rPr>
          <w:rStyle w:val="45"/>
          <w:rFonts w:hint="eastAsia" w:ascii="宋体" w:hAnsi="宋体" w:eastAsia="宋体" w:cs="宋体"/>
          <w:color w:val="auto"/>
          <w:sz w:val="21"/>
          <w:szCs w:val="21"/>
          <w:highlight w:val="none"/>
        </w:rPr>
        <w:t xml:space="preserve"> (承包人名称，以下简称“承包人”）于</w:t>
      </w:r>
      <w:r>
        <w:rPr>
          <w:rStyle w:val="45"/>
          <w:rFonts w:hint="eastAsia" w:ascii="宋体" w:hAnsi="宋体" w:eastAsia="宋体" w:cs="宋体"/>
          <w:color w:val="auto"/>
          <w:sz w:val="21"/>
          <w:szCs w:val="21"/>
          <w:highlight w:val="none"/>
          <w:u w:val="single"/>
          <w:lang w:val="en-US"/>
        </w:rPr>
        <w:t xml:space="preserve">   </w:t>
      </w:r>
      <w:r>
        <w:rPr>
          <w:rStyle w:val="45"/>
          <w:rFonts w:hint="eastAsia" w:ascii="宋体" w:hAnsi="宋体" w:eastAsia="宋体" w:cs="宋体"/>
          <w:color w:val="auto"/>
          <w:sz w:val="21"/>
          <w:szCs w:val="21"/>
          <w:highlight w:val="none"/>
        </w:rPr>
        <w:t>年</w:t>
      </w:r>
      <w:r>
        <w:rPr>
          <w:rStyle w:val="45"/>
          <w:rFonts w:hint="eastAsia" w:ascii="宋体" w:hAnsi="宋体" w:eastAsia="宋体" w:cs="宋体"/>
          <w:color w:val="auto"/>
          <w:sz w:val="21"/>
          <w:szCs w:val="21"/>
          <w:highlight w:val="none"/>
          <w:u w:val="single"/>
          <w:lang w:val="en-US"/>
        </w:rPr>
        <w:t xml:space="preserve">    </w:t>
      </w:r>
      <w:r>
        <w:rPr>
          <w:rStyle w:val="45"/>
          <w:rFonts w:hint="eastAsia" w:ascii="宋体" w:hAnsi="宋体" w:eastAsia="宋体" w:cs="宋体"/>
          <w:color w:val="auto"/>
          <w:sz w:val="21"/>
          <w:szCs w:val="21"/>
          <w:highlight w:val="none"/>
        </w:rPr>
        <w:t>月</w:t>
      </w:r>
      <w:r>
        <w:rPr>
          <w:rStyle w:val="45"/>
          <w:rFonts w:hint="eastAsia" w:ascii="宋体" w:hAnsi="宋体" w:eastAsia="宋体" w:cs="宋体"/>
          <w:color w:val="auto"/>
          <w:sz w:val="21"/>
          <w:szCs w:val="21"/>
          <w:highlight w:val="none"/>
          <w:u w:val="single"/>
          <w:lang w:val="en-US"/>
        </w:rPr>
        <w:t xml:space="preserve">    </w:t>
      </w:r>
      <w:r>
        <w:rPr>
          <w:rStyle w:val="45"/>
          <w:rFonts w:hint="eastAsia" w:ascii="宋体" w:hAnsi="宋体" w:eastAsia="宋体" w:cs="宋体"/>
          <w:color w:val="auto"/>
          <w:sz w:val="21"/>
          <w:szCs w:val="21"/>
          <w:highlight w:val="none"/>
        </w:rPr>
        <w:t>日参加</w:t>
      </w:r>
      <w:r>
        <w:rPr>
          <w:rStyle w:val="45"/>
          <w:rFonts w:hint="eastAsia" w:ascii="宋体" w:hAnsi="宋体" w:eastAsia="宋体" w:cs="宋体"/>
          <w:color w:val="auto"/>
          <w:sz w:val="21"/>
          <w:szCs w:val="21"/>
          <w:highlight w:val="none"/>
          <w:lang w:val="en-US"/>
        </w:rPr>
        <w:t xml:space="preserve"> </w:t>
      </w:r>
      <w:r>
        <w:rPr>
          <w:rStyle w:val="45"/>
          <w:rFonts w:hint="eastAsia" w:ascii="宋体" w:hAnsi="宋体" w:eastAsia="宋体" w:cs="宋体"/>
          <w:color w:val="auto"/>
          <w:sz w:val="21"/>
          <w:szCs w:val="21"/>
          <w:highlight w:val="none"/>
          <w:u w:val="single"/>
          <w:lang w:val="en-US"/>
        </w:rPr>
        <w:t xml:space="preserve"> </w:t>
      </w:r>
      <w:r>
        <w:rPr>
          <w:rStyle w:val="45"/>
          <w:rFonts w:hint="eastAsia" w:ascii="宋体" w:hAnsi="宋体" w:eastAsia="宋体" w:cs="宋体"/>
          <w:color w:val="auto"/>
          <w:sz w:val="21"/>
          <w:szCs w:val="21"/>
          <w:highlight w:val="none"/>
          <w:u w:val="single"/>
        </w:rPr>
        <w:t>(项目名称）</w:t>
      </w:r>
      <w:r>
        <w:rPr>
          <w:rStyle w:val="45"/>
          <w:rFonts w:hint="eastAsia" w:ascii="宋体" w:hAnsi="宋体" w:eastAsia="宋体" w:cs="宋体"/>
          <w:color w:val="auto"/>
          <w:sz w:val="21"/>
          <w:szCs w:val="21"/>
          <w:highlight w:val="none"/>
          <w:u w:val="single"/>
          <w:lang w:val="en-US"/>
        </w:rPr>
        <w:t xml:space="preserve">     </w:t>
      </w:r>
      <w:r>
        <w:rPr>
          <w:rStyle w:val="45"/>
          <w:rFonts w:hint="eastAsia" w:ascii="宋体" w:hAnsi="宋体" w:eastAsia="宋体" w:cs="宋体"/>
          <w:color w:val="auto"/>
          <w:sz w:val="21"/>
          <w:szCs w:val="21"/>
          <w:highlight w:val="none"/>
        </w:rPr>
        <w:t>标段施工的投标。我方愿意无条件地、不可撤销地就承包人履行与你方订立的合同，向你方提供担保。</w:t>
      </w:r>
    </w:p>
    <w:p w14:paraId="4E591DF7">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1.担保金额人民币</w:t>
      </w:r>
      <w:r>
        <w:rPr>
          <w:rFonts w:hint="eastAsia" w:ascii="宋体" w:hAnsi="宋体" w:eastAsia="宋体" w:cs="宋体"/>
          <w:color w:val="auto"/>
          <w:highlight w:val="none"/>
          <w:u w:val="single"/>
        </w:rPr>
        <w:t>（大写）</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元（￥</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w:t>
      </w:r>
      <w:r>
        <w:rPr>
          <w:rFonts w:hint="eastAsia" w:ascii="宋体" w:hAnsi="宋体" w:eastAsia="宋体" w:cs="宋体"/>
          <w:color w:val="auto"/>
          <w:highlight w:val="none"/>
        </w:rPr>
        <w:t>。</w:t>
      </w:r>
    </w:p>
    <w:p w14:paraId="7F18AC43">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2.担保有效期自发包人与承包人签订的合同生效之日起至发包人签发交工验收证书且承包人按照合同约定缴纳质量保证金之日止。</w:t>
      </w:r>
      <w:r>
        <w:rPr>
          <w:rStyle w:val="31"/>
          <w:rFonts w:hint="eastAsia" w:ascii="宋体" w:hAnsi="宋体" w:eastAsia="宋体" w:cs="宋体"/>
          <w:color w:val="auto"/>
          <w:highlight w:val="none"/>
        </w:rPr>
        <w:footnoteReference w:id="1"/>
      </w:r>
    </w:p>
    <w:p w14:paraId="18FEAFC8">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3.在本担保有效期内，因承包人违反合同约定的义务给你方造成经济损失时， 我方在收到你方以书面形式提出的在担保金额内的赔偿要求后，在 7 日内无条件支付，无须你方出具证明或陈述理由。</w:t>
      </w:r>
    </w:p>
    <w:p w14:paraId="0A9157A8">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4.发包人和承包人按合同条款第 15 条变更合同时，无论我方是否收到该变更， 我方承担本担保规定的义务不变。</w:t>
      </w:r>
    </w:p>
    <w:p w14:paraId="168DD0F8">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担保人名称：</w:t>
      </w:r>
      <w:r>
        <w:rPr>
          <w:rFonts w:hint="eastAsia" w:ascii="宋体" w:hAnsi="宋体" w:eastAsia="宋体" w:cs="宋体"/>
          <w:color w:val="auto"/>
          <w:highlight w:val="none"/>
        </w:rPr>
        <w:tab/>
      </w:r>
      <w:r>
        <w:rPr>
          <w:rFonts w:hint="eastAsia" w:ascii="宋体" w:hAnsi="宋体" w:eastAsia="宋体" w:cs="宋体"/>
          <w:color w:val="auto"/>
          <w:highlight w:val="none"/>
        </w:rPr>
        <w:t>（盖单位章）</w:t>
      </w:r>
    </w:p>
    <w:p w14:paraId="7300AEAD">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w:t>
      </w:r>
    </w:p>
    <w:p w14:paraId="1828459A">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地   址 ：</w:t>
      </w:r>
      <w:r>
        <w:rPr>
          <w:rFonts w:hint="eastAsia" w:ascii="宋体" w:hAnsi="宋体" w:eastAsia="宋体" w:cs="宋体"/>
          <w:color w:val="auto"/>
          <w:highlight w:val="none"/>
        </w:rPr>
        <w:tab/>
      </w:r>
      <w:r>
        <w:rPr>
          <w:rFonts w:hint="eastAsia" w:ascii="宋体" w:hAnsi="宋体" w:eastAsia="宋体" w:cs="宋体"/>
          <w:color w:val="auto"/>
          <w:highlight w:val="none"/>
        </w:rPr>
        <w:tab/>
      </w:r>
    </w:p>
    <w:p w14:paraId="11A060B0">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p>
    <w:p w14:paraId="7528A3AB">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电    </w:t>
      </w:r>
      <w:r>
        <w:rPr>
          <w:rFonts w:hint="eastAsia" w:ascii="宋体" w:hAnsi="宋体" w:eastAsia="宋体" w:cs="宋体"/>
          <w:color w:val="auto"/>
          <w:highlight w:val="none"/>
        </w:rPr>
        <w:tab/>
      </w:r>
      <w:r>
        <w:rPr>
          <w:rFonts w:hint="eastAsia" w:ascii="宋体" w:hAnsi="宋体" w:eastAsia="宋体" w:cs="宋体"/>
          <w:color w:val="auto"/>
          <w:highlight w:val="none"/>
        </w:rPr>
        <w:t>话：</w:t>
      </w:r>
    </w:p>
    <w:p w14:paraId="72555267">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传    </w:t>
      </w:r>
      <w:r>
        <w:rPr>
          <w:rFonts w:hint="eastAsia" w:ascii="宋体" w:hAnsi="宋体" w:eastAsia="宋体" w:cs="宋体"/>
          <w:color w:val="auto"/>
          <w:highlight w:val="none"/>
        </w:rPr>
        <w:tab/>
      </w:r>
      <w:r>
        <w:rPr>
          <w:rFonts w:hint="eastAsia" w:ascii="宋体" w:hAnsi="宋体" w:eastAsia="宋体" w:cs="宋体"/>
          <w:color w:val="auto"/>
          <w:highlight w:val="none"/>
        </w:rPr>
        <w:t xml:space="preserve">真： </w:t>
      </w:r>
      <w:r>
        <w:rPr>
          <w:rFonts w:hint="eastAsia" w:ascii="宋体" w:hAnsi="宋体" w:eastAsia="宋体" w:cs="宋体"/>
          <w:color w:val="auto"/>
          <w:highlight w:val="none"/>
        </w:rPr>
        <w:tab/>
      </w:r>
      <w:r>
        <w:rPr>
          <w:rFonts w:hint="eastAsia" w:ascii="宋体" w:hAnsi="宋体" w:eastAsia="宋体" w:cs="宋体"/>
          <w:color w:val="auto"/>
          <w:highlight w:val="none"/>
        </w:rPr>
        <w:tab/>
      </w:r>
    </w:p>
    <w:p w14:paraId="742DD633">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 xml:space="preserve">年   月 </w:t>
      </w:r>
      <w:r>
        <w:rPr>
          <w:rFonts w:hint="eastAsia" w:ascii="宋体" w:hAnsi="宋体" w:eastAsia="宋体" w:cs="宋体"/>
          <w:color w:val="auto"/>
          <w:highlight w:val="none"/>
        </w:rPr>
        <w:tab/>
      </w:r>
      <w:r>
        <w:rPr>
          <w:rFonts w:hint="eastAsia" w:ascii="宋体" w:hAnsi="宋体" w:eastAsia="宋体" w:cs="宋体"/>
          <w:color w:val="auto"/>
          <w:highlight w:val="none"/>
        </w:rPr>
        <w:t xml:space="preserve">日 </w:t>
      </w:r>
    </w:p>
    <w:p w14:paraId="796919FD">
      <w:pPr>
        <w:pageBreakBefore w:val="0"/>
        <w:tabs>
          <w:tab w:val="left" w:pos="3261"/>
        </w:tabs>
        <w:kinsoku/>
        <w:overflowPunct/>
        <w:topLinePunct w:val="0"/>
        <w:autoSpaceDE/>
        <w:autoSpaceDN/>
        <w:bidi w:val="0"/>
        <w:spacing w:line="360" w:lineRule="auto"/>
        <w:contextualSpacing/>
        <w:jc w:val="both"/>
        <w:textAlignment w:val="auto"/>
        <w:rPr>
          <w:rFonts w:hint="eastAsia" w:ascii="宋体" w:hAnsi="宋体" w:eastAsia="宋体" w:cs="宋体"/>
          <w:b/>
          <w:bCs/>
          <w:color w:val="auto"/>
          <w:highlight w:val="none"/>
        </w:rPr>
        <w:sectPr>
          <w:pgSz w:w="11911" w:h="16838"/>
          <w:pgMar w:top="1134" w:right="1134" w:bottom="1134" w:left="1134" w:header="720" w:footer="720" w:gutter="0"/>
          <w:cols w:space="720" w:num="1"/>
        </w:sectPr>
      </w:pPr>
    </w:p>
    <w:p w14:paraId="7310F3D4">
      <w:pPr>
        <w:pStyle w:val="2"/>
        <w:spacing w:before="0" w:after="0" w:line="240" w:lineRule="auto"/>
        <w:jc w:val="center"/>
        <w:rPr>
          <w:rFonts w:hint="eastAsia" w:ascii="宋体" w:hAnsi="宋体" w:eastAsia="宋体" w:cs="宋体"/>
          <w:b w:val="0"/>
          <w:bCs w:val="0"/>
          <w:color w:val="auto"/>
          <w:highlight w:val="none"/>
        </w:rPr>
      </w:pPr>
      <w:bookmarkStart w:id="492" w:name="_Toc29015"/>
      <w:bookmarkStart w:id="493" w:name="_Toc407135283"/>
      <w:bookmarkStart w:id="494" w:name="_Toc10491"/>
      <w:r>
        <w:rPr>
          <w:rFonts w:hint="eastAsia" w:ascii="宋体" w:hAnsi="宋体" w:eastAsia="宋体" w:cs="宋体"/>
          <w:b w:val="0"/>
          <w:bCs w:val="0"/>
          <w:color w:val="auto"/>
          <w:highlight w:val="none"/>
        </w:rPr>
        <w:t>第七章 工程量清单</w:t>
      </w:r>
      <w:bookmarkEnd w:id="492"/>
      <w:bookmarkEnd w:id="493"/>
      <w:r>
        <w:rPr>
          <w:rFonts w:hint="eastAsia" w:ascii="宋体" w:hAnsi="宋体" w:eastAsia="宋体" w:cs="宋体"/>
          <w:b w:val="0"/>
          <w:bCs w:val="0"/>
          <w:color w:val="auto"/>
          <w:highlight w:val="none"/>
        </w:rPr>
        <w:t>、图纸</w:t>
      </w:r>
      <w:bookmarkEnd w:id="494"/>
    </w:p>
    <w:p w14:paraId="1E1FE76F">
      <w:pPr>
        <w:pStyle w:val="4"/>
        <w:spacing w:before="0" w:after="0" w:line="360" w:lineRule="auto"/>
        <w:jc w:val="center"/>
        <w:rPr>
          <w:rFonts w:hint="eastAsia" w:ascii="宋体" w:hAnsi="宋体" w:eastAsia="宋体" w:cs="宋体"/>
          <w:color w:val="auto"/>
          <w:highlight w:val="none"/>
        </w:rPr>
      </w:pPr>
    </w:p>
    <w:p w14:paraId="63487A9D">
      <w:pPr>
        <w:pStyle w:val="4"/>
        <w:spacing w:before="0" w:after="0" w:line="360" w:lineRule="auto"/>
        <w:rPr>
          <w:rFonts w:hint="eastAsia" w:ascii="宋体" w:hAnsi="宋体" w:eastAsia="宋体" w:cs="宋体"/>
          <w:color w:val="auto"/>
          <w:highlight w:val="none"/>
        </w:rPr>
      </w:pPr>
      <w:bookmarkStart w:id="495" w:name="_Toc122424260"/>
      <w:bookmarkStart w:id="496" w:name="_Toc122424011"/>
      <w:r>
        <w:rPr>
          <w:rFonts w:hint="eastAsia" w:ascii="宋体" w:hAnsi="宋体" w:eastAsia="宋体" w:cs="宋体"/>
          <w:color w:val="auto"/>
          <w:highlight w:val="none"/>
        </w:rPr>
        <w:t>1.工程量清单说明</w:t>
      </w:r>
      <w:bookmarkEnd w:id="495"/>
      <w:bookmarkEnd w:id="496"/>
    </w:p>
    <w:p w14:paraId="71B596F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1.1本工程量清单是根据磋商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75C1769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1.2本工程量清单应与磋商文件中的供应商须知、通用合同条款、专用合同条款、工程量清单计量规则、技术规范及图纸等一起阅读和理解。</w:t>
      </w:r>
    </w:p>
    <w:p w14:paraId="6CFFC83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1.3本工程量清单中所列工程数量是估算的或设计的预计数量，仅作为竞标报价的共同基础，不能作为最终结算与支付的依据。实际支付应按实际完成的工程量， 由承包人按工程量清单计量规则规定的计量方法，以监理人认可的尺寸、断面计量， 按本工程量清单的单价和总额价计算支付金额；或根据具体情况，按合同条款第 15.4 款的规定，按监理人确定的单价或总额价计算支付额。</w:t>
      </w:r>
    </w:p>
    <w:p w14:paraId="45584B7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1.4工程量清单各章是按《公路工程标准施工招标文件》（2018年版）第八章“工程量清单计量规则”、第七章“技术规范”的相应章次编号的，因此，工程量清单中各章的工程子目的范围与计量等应与“工程量清单计量规则” “技术规范”相应章节的范围、计量与支付条款结合起来理解或解释。</w:t>
      </w:r>
    </w:p>
    <w:p w14:paraId="324C4CE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1.5对作业和材料的一般说明或规定，未重复写入工程量清单内，在给工程量清单各子目标价前，应参阅第七章“技术规范”的有关内容。</w:t>
      </w:r>
    </w:p>
    <w:p w14:paraId="2FA6CA70">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1.6工程量清单中所列工程量的变动，丝毫不会降低或影响合同条款的效力， 也不免除承包人按规定的标准进行施工和修复缺陷的责任。</w:t>
      </w:r>
    </w:p>
    <w:p w14:paraId="13DAC832">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1.7图纸中所列的工程数量表及数量汇总表仅是提供资料，不是工程量清单的外延。当图纸与工程量清单所列数量不一致时，以工程量清单所列数量作为报价的依据。</w:t>
      </w:r>
    </w:p>
    <w:p w14:paraId="2D972167">
      <w:pPr>
        <w:pStyle w:val="4"/>
        <w:spacing w:before="0" w:after="0" w:line="360" w:lineRule="auto"/>
        <w:rPr>
          <w:rFonts w:hint="eastAsia" w:ascii="宋体" w:hAnsi="宋体" w:eastAsia="宋体" w:cs="宋体"/>
          <w:color w:val="auto"/>
          <w:highlight w:val="none"/>
        </w:rPr>
      </w:pPr>
      <w:bookmarkStart w:id="497" w:name="_Toc122424012"/>
      <w:bookmarkStart w:id="498" w:name="_Toc5517"/>
      <w:bookmarkStart w:id="499" w:name="_Toc122424261"/>
      <w:r>
        <w:rPr>
          <w:rFonts w:hint="eastAsia" w:ascii="宋体" w:hAnsi="宋体" w:eastAsia="宋体" w:cs="宋体"/>
          <w:color w:val="auto"/>
          <w:highlight w:val="none"/>
        </w:rPr>
        <w:t>2.竞标报价说明</w:t>
      </w:r>
      <w:bookmarkEnd w:id="497"/>
      <w:bookmarkEnd w:id="498"/>
      <w:bookmarkEnd w:id="499"/>
    </w:p>
    <w:p w14:paraId="2AF76204">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2.1工程量清单中的每一子目须填入单价或价格，且只允许有一个报价。</w:t>
      </w:r>
    </w:p>
    <w:p w14:paraId="5A8845C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2.2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064B3F76">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2.3工程量清单中供应商没有填入单价或价格的子目，其费用视为已分摊在工程量清单中其他相关子目的单价或价格之中。承包人必须按监理人指令完成工程量清单中未填入单价或价格的子目，但不能得到结算与支付。</w:t>
      </w:r>
    </w:p>
    <w:p w14:paraId="3F1B532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2.4符合合同条款规定的全部费用应认为已被计入有标价的工程量清单所列各子目之中，未列子目不予计量的工作，其费用应视为已分摊在本合同工程的有关子目的单价或总额价之中。</w:t>
      </w:r>
    </w:p>
    <w:p w14:paraId="7E7515C0">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2.5承包人用于本合同工程的各类装备的提供、运输、维护、拆卸、拼装等支付的费用，已包括在工程量清单的单价与总额价之中。</w:t>
      </w:r>
    </w:p>
    <w:p w14:paraId="6D9BF531">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2.6供应商应根据《公路水运工程安全生产监督管理办法》，在竞标总价中计入安全生产费用，安全生产费用应符合合同条款第 9.2.5 项的规定。工程量清单第 100 章内列有上述安全生产费的支付子目，由供应商按磋商文件的规定填写总额价。</w:t>
      </w:r>
    </w:p>
    <w:p w14:paraId="11541A7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2.7工程量清单中各项金额均以人民币（元）结算。</w:t>
      </w:r>
    </w:p>
    <w:p w14:paraId="0DF95E9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2.8暂列金额（不含计日工总额）的数量及拟用子目的说明：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详见工程量清单</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9FA25E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2.9暂估价的数量及拟用子目的说明：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详见工程量清单</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B7D0B80">
      <w:pPr>
        <w:pStyle w:val="4"/>
        <w:spacing w:before="0" w:after="0" w:line="360" w:lineRule="auto"/>
        <w:rPr>
          <w:rFonts w:hint="eastAsia" w:ascii="宋体" w:hAnsi="宋体" w:eastAsia="宋体" w:cs="宋体"/>
          <w:color w:val="auto"/>
          <w:highlight w:val="none"/>
        </w:rPr>
      </w:pPr>
      <w:bookmarkStart w:id="500" w:name="_Toc16130"/>
      <w:bookmarkStart w:id="501" w:name="_Toc122424262"/>
      <w:bookmarkStart w:id="502" w:name="_Toc122424013"/>
      <w:r>
        <w:rPr>
          <w:rFonts w:hint="eastAsia" w:ascii="宋体" w:hAnsi="宋体" w:eastAsia="宋体" w:cs="宋体"/>
          <w:color w:val="auto"/>
          <w:highlight w:val="none"/>
        </w:rPr>
        <w:t>3.计日工说明</w:t>
      </w:r>
      <w:bookmarkEnd w:id="500"/>
      <w:bookmarkEnd w:id="501"/>
      <w:bookmarkEnd w:id="502"/>
    </w:p>
    <w:p w14:paraId="26F0DDF6">
      <w:pPr>
        <w:pStyle w:val="5"/>
        <w:rPr>
          <w:rFonts w:hint="eastAsia" w:ascii="宋体" w:hAnsi="宋体" w:eastAsia="宋体" w:cs="宋体"/>
          <w:color w:val="auto"/>
          <w:highlight w:val="none"/>
        </w:rPr>
      </w:pPr>
      <w:bookmarkStart w:id="503" w:name="_Toc2050"/>
      <w:r>
        <w:rPr>
          <w:rFonts w:hint="eastAsia" w:ascii="宋体" w:hAnsi="宋体" w:eastAsia="宋体" w:cs="宋体"/>
          <w:color w:val="auto"/>
          <w:highlight w:val="none"/>
        </w:rPr>
        <w:t>3.1总则</w:t>
      </w:r>
      <w:bookmarkEnd w:id="503"/>
    </w:p>
    <w:p w14:paraId="2060E2CB">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（1）本说明应参照通用合同条款第 15.7 款一并理解。</w:t>
      </w:r>
    </w:p>
    <w:p w14:paraId="0CA9D3A6">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（2）未经监理人书面指令，任何工程不得按计日工施工；接到监理人按计日工施工的书面指令，承包人也不得拒绝。</w:t>
      </w:r>
    </w:p>
    <w:p w14:paraId="093906B0">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供应商应在计日工单价表中填列计日工子目的基本单价或租价，该基本单价或租价适用于监理人指令的任何数量的计日工的结算与支付。计日工的劳务、材料和施工机械由采购人（或发包人）列出正常的估计数量，供应商报出单价，计算出计日工总额后列入工程量清单汇总表中并进入评标价。</w:t>
      </w:r>
    </w:p>
    <w:p w14:paraId="1D6676DE">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（4）计日工不调价。</w:t>
      </w:r>
    </w:p>
    <w:p w14:paraId="0FC246C5">
      <w:pPr>
        <w:pStyle w:val="5"/>
        <w:rPr>
          <w:rFonts w:hint="eastAsia" w:ascii="宋体" w:hAnsi="宋体" w:eastAsia="宋体" w:cs="宋体"/>
          <w:color w:val="auto"/>
          <w:highlight w:val="none"/>
        </w:rPr>
      </w:pPr>
      <w:bookmarkStart w:id="504" w:name="_Toc13076"/>
      <w:r>
        <w:rPr>
          <w:rFonts w:hint="eastAsia" w:ascii="宋体" w:hAnsi="宋体" w:eastAsia="宋体" w:cs="宋体"/>
          <w:color w:val="auto"/>
          <w:highlight w:val="none"/>
        </w:rPr>
        <w:t>3.2计日工劳务</w:t>
      </w:r>
      <w:bookmarkEnd w:id="504"/>
    </w:p>
    <w:p w14:paraId="1F285A0E">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14:paraId="0617262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（2）承包人可以得到用于计日工劳务的全部工时的支付，此支付按承包人填报的“计日工劳务单价表”所列单价计算，该单价应包括基本单价及承包人的管理费、税费、利润等所有附加费，说明如下：</w:t>
      </w:r>
    </w:p>
    <w:p w14:paraId="1454B2D0">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a.劳务基本单价包括：承包人劳务的全部直接费用，如：工资、加班费、津贴、福利费及劳动保护费等。</w:t>
      </w:r>
    </w:p>
    <w:p w14:paraId="6CCDC7C5">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b.承包人的利润、管理、质检、保险、税费；易耗品的使用，水电及照明费， 工作台、脚手架、临时设施费，手动机具与工具的使用及维修，以及上述各项伴随而来的费用。</w:t>
      </w:r>
    </w:p>
    <w:p w14:paraId="1398C700">
      <w:pPr>
        <w:pStyle w:val="5"/>
        <w:rPr>
          <w:rFonts w:hint="eastAsia" w:ascii="宋体" w:hAnsi="宋体" w:eastAsia="宋体" w:cs="宋体"/>
          <w:color w:val="auto"/>
          <w:highlight w:val="none"/>
        </w:rPr>
      </w:pPr>
      <w:bookmarkStart w:id="505" w:name="_Toc23837"/>
      <w:r>
        <w:rPr>
          <w:rFonts w:hint="eastAsia" w:ascii="宋体" w:hAnsi="宋体" w:eastAsia="宋体" w:cs="宋体"/>
          <w:color w:val="auto"/>
          <w:highlight w:val="none"/>
        </w:rPr>
        <w:t>3.3计日工材料</w:t>
      </w:r>
      <w:bookmarkEnd w:id="505"/>
    </w:p>
    <w:p w14:paraId="64047BE1">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承包人可以得到计日工使用的材料费用（上述 3.2 款已计入劳务费内的材料费用除外）的支付，此费用按承包人“计日工材料单价表”中所填报的单价计算，该单价应包括基本单价及承包人的管理费、税费、利润等所有附加费，说明如下：</w:t>
      </w:r>
    </w:p>
    <w:p w14:paraId="0258FC1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（1）材料基本单价按供货价加运杂费（到达承包人现场仓库）、保险费、仓库管理费以及运输损耗等计算；</w:t>
      </w:r>
    </w:p>
    <w:p w14:paraId="15EA0D51">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（2）承包人的利润、管理、质检、保险、税费及其他附加费；</w:t>
      </w:r>
    </w:p>
    <w:p w14:paraId="68614D53">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（3）从现场运至使用地点的人工费和施工机械使用费不包括在上述基本单价内。</w:t>
      </w:r>
    </w:p>
    <w:p w14:paraId="3A40A3DA">
      <w:pPr>
        <w:pStyle w:val="5"/>
        <w:rPr>
          <w:rFonts w:hint="eastAsia" w:ascii="宋体" w:hAnsi="宋体" w:eastAsia="宋体" w:cs="宋体"/>
          <w:color w:val="auto"/>
          <w:highlight w:val="none"/>
        </w:rPr>
      </w:pPr>
      <w:r>
        <w:rPr>
          <w:rFonts w:hint="eastAsia" w:ascii="宋体" w:hAnsi="宋体" w:eastAsia="宋体" w:cs="宋体"/>
          <w:color w:val="auto"/>
          <w:highlight w:val="none"/>
        </w:rPr>
        <w:t>3.4计日工施工机械</w:t>
      </w:r>
    </w:p>
    <w:p w14:paraId="3677F121">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（1）承包人可以得到用于计日工作业的施工机械费用的支付，该费用按承包</w:t>
      </w:r>
    </w:p>
    <w:p w14:paraId="7AC0164C">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人填报的“计日工施工机械单价表”中的租价计算。该租价应包括施工机械的折旧、利息、维修、保养、零配件、油燃料、保险和其他消耗品的费用以及全部有关使用这些机械的管理费、税费、利润和司机与助手的劳务费等费用。</w:t>
      </w:r>
    </w:p>
    <w:p w14:paraId="7BAB24C3">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6D3E3D2A">
      <w:pPr>
        <w:pStyle w:val="4"/>
        <w:spacing w:before="0" w:after="0" w:line="360" w:lineRule="auto"/>
        <w:rPr>
          <w:rFonts w:hint="eastAsia" w:ascii="宋体" w:hAnsi="宋体" w:eastAsia="宋体" w:cs="宋体"/>
          <w:color w:val="auto"/>
          <w:highlight w:val="none"/>
        </w:rPr>
      </w:pPr>
      <w:bookmarkStart w:id="506" w:name="_Toc25846"/>
      <w:bookmarkStart w:id="507" w:name="_Toc122424263"/>
      <w:bookmarkStart w:id="508" w:name="_Toc122424014"/>
      <w:r>
        <w:rPr>
          <w:rFonts w:hint="eastAsia" w:ascii="宋体" w:hAnsi="宋体" w:eastAsia="宋体" w:cs="宋体"/>
          <w:color w:val="auto"/>
          <w:highlight w:val="none"/>
        </w:rPr>
        <w:t>4.其他说明</w:t>
      </w:r>
      <w:bookmarkEnd w:id="506"/>
      <w:bookmarkEnd w:id="507"/>
      <w:bookmarkEnd w:id="508"/>
    </w:p>
    <w:p w14:paraId="4D1647B1">
      <w:pPr>
        <w:pStyle w:val="4"/>
        <w:spacing w:before="0" w:after="0"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工程量清单、图纸获取</w:t>
      </w:r>
    </w:p>
    <w:p w14:paraId="1C0769E5">
      <w:pPr>
        <w:tabs>
          <w:tab w:val="left" w:pos="3261"/>
        </w:tabs>
        <w:spacing w:line="360" w:lineRule="auto"/>
        <w:jc w:val="left"/>
        <w:rPr>
          <w:rFonts w:ascii="宋体" w:hAnsi="宋体" w:cs="宋体"/>
          <w:b/>
          <w:color w:val="auto"/>
          <w:sz w:val="44"/>
          <w:szCs w:val="44"/>
          <w:highlight w:val="none"/>
        </w:rPr>
      </w:pPr>
      <w:r>
        <w:rPr>
          <w:rFonts w:hint="eastAsia" w:ascii="宋体" w:hAnsi="宋体" w:eastAsia="宋体" w:cs="宋体"/>
          <w:color w:val="auto"/>
          <w:highlight w:val="none"/>
        </w:rPr>
        <w:t>获取方式：网上下载。本项目不发放</w:t>
      </w:r>
      <w:r>
        <w:rPr>
          <w:rFonts w:hint="eastAsia" w:ascii="宋体" w:hAnsi="宋体" w:eastAsia="宋体" w:cs="宋体"/>
          <w:color w:val="auto"/>
          <w:highlight w:val="none"/>
          <w:lang w:eastAsia="zh-CN"/>
        </w:rPr>
        <w:t>纸质版的</w:t>
      </w:r>
      <w:r>
        <w:rPr>
          <w:rFonts w:hint="eastAsia" w:ascii="宋体" w:hAnsi="宋体" w:eastAsia="宋体" w:cs="宋体"/>
          <w:color w:val="auto"/>
          <w:highlight w:val="none"/>
        </w:rPr>
        <w:t>工程量清单及图纸，由潜在供应商自行在</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下载。</w:t>
      </w:r>
    </w:p>
    <w:p w14:paraId="66D2BE8E">
      <w:pPr>
        <w:tabs>
          <w:tab w:val="left" w:pos="3261"/>
        </w:tabs>
        <w:spacing w:line="360" w:lineRule="auto"/>
        <w:jc w:val="center"/>
        <w:rPr>
          <w:rFonts w:ascii="宋体" w:hAnsi="宋体" w:cs="宋体"/>
          <w:b/>
          <w:color w:val="auto"/>
          <w:sz w:val="44"/>
          <w:szCs w:val="44"/>
          <w:highlight w:val="none"/>
        </w:rPr>
      </w:pPr>
    </w:p>
    <w:p w14:paraId="36EBAD79">
      <w:pPr>
        <w:tabs>
          <w:tab w:val="left" w:pos="3261"/>
        </w:tabs>
        <w:spacing w:line="360" w:lineRule="auto"/>
        <w:jc w:val="center"/>
        <w:rPr>
          <w:rFonts w:ascii="宋体" w:hAnsi="宋体" w:cs="宋体"/>
          <w:b/>
          <w:color w:val="auto"/>
          <w:sz w:val="44"/>
          <w:szCs w:val="44"/>
          <w:highlight w:val="none"/>
        </w:rPr>
      </w:pPr>
    </w:p>
    <w:p w14:paraId="427E322B">
      <w:pPr>
        <w:widowControl/>
        <w:spacing w:line="360" w:lineRule="auto"/>
        <w:jc w:val="left"/>
        <w:rPr>
          <w:rFonts w:ascii="宋体" w:hAnsi="宋体" w:cs="宋体"/>
          <w:b/>
          <w:bCs/>
          <w:color w:val="auto"/>
          <w:sz w:val="44"/>
          <w:szCs w:val="44"/>
          <w:highlight w:val="none"/>
        </w:rPr>
        <w:sectPr>
          <w:pgSz w:w="11910" w:h="16840"/>
          <w:pgMar w:top="1340" w:right="1500" w:bottom="280" w:left="1680" w:header="720" w:footer="720" w:gutter="0"/>
          <w:cols w:space="720" w:num="1"/>
        </w:sectPr>
      </w:pPr>
    </w:p>
    <w:p w14:paraId="13171FD0">
      <w:pPr>
        <w:tabs>
          <w:tab w:val="left" w:pos="3261"/>
        </w:tabs>
        <w:spacing w:line="360" w:lineRule="auto"/>
        <w:jc w:val="center"/>
        <w:rPr>
          <w:rFonts w:ascii="宋体" w:hAnsi="宋体" w:cs="宋体"/>
          <w:b/>
          <w:color w:val="auto"/>
          <w:sz w:val="44"/>
          <w:szCs w:val="44"/>
          <w:highlight w:val="none"/>
        </w:rPr>
      </w:pPr>
    </w:p>
    <w:p w14:paraId="6257ADBA">
      <w:pPr>
        <w:tabs>
          <w:tab w:val="left" w:pos="3261"/>
        </w:tabs>
        <w:spacing w:line="360" w:lineRule="auto"/>
        <w:jc w:val="center"/>
        <w:rPr>
          <w:rFonts w:ascii="宋体" w:hAnsi="宋体" w:cs="宋体"/>
          <w:b/>
          <w:color w:val="auto"/>
          <w:sz w:val="44"/>
          <w:szCs w:val="44"/>
          <w:highlight w:val="none"/>
        </w:rPr>
      </w:pPr>
    </w:p>
    <w:p w14:paraId="69AA9C59">
      <w:pPr>
        <w:tabs>
          <w:tab w:val="left" w:pos="3261"/>
        </w:tabs>
        <w:spacing w:line="360" w:lineRule="auto"/>
        <w:jc w:val="center"/>
        <w:rPr>
          <w:rFonts w:ascii="宋体" w:hAnsi="宋体" w:cs="宋体"/>
          <w:b/>
          <w:color w:val="auto"/>
          <w:sz w:val="44"/>
          <w:szCs w:val="44"/>
          <w:highlight w:val="none"/>
        </w:rPr>
      </w:pPr>
    </w:p>
    <w:p w14:paraId="4EC8D1FD">
      <w:pPr>
        <w:tabs>
          <w:tab w:val="left" w:pos="3261"/>
        </w:tabs>
        <w:spacing w:line="360" w:lineRule="auto"/>
        <w:jc w:val="center"/>
        <w:rPr>
          <w:rFonts w:ascii="宋体" w:hAnsi="宋体" w:cs="宋体"/>
          <w:b/>
          <w:color w:val="auto"/>
          <w:sz w:val="44"/>
          <w:szCs w:val="44"/>
          <w:highlight w:val="none"/>
        </w:rPr>
      </w:pPr>
    </w:p>
    <w:p w14:paraId="47BD94DB">
      <w:pPr>
        <w:tabs>
          <w:tab w:val="left" w:pos="3261"/>
        </w:tabs>
        <w:spacing w:line="360" w:lineRule="auto"/>
        <w:jc w:val="center"/>
        <w:rPr>
          <w:rFonts w:ascii="宋体" w:hAnsi="宋体" w:cs="宋体"/>
          <w:b/>
          <w:color w:val="auto"/>
          <w:sz w:val="44"/>
          <w:szCs w:val="44"/>
          <w:highlight w:val="none"/>
        </w:rPr>
      </w:pPr>
    </w:p>
    <w:p w14:paraId="3611968D">
      <w:pPr>
        <w:pStyle w:val="2"/>
        <w:jc w:val="center"/>
        <w:rPr>
          <w:rFonts w:ascii="宋体" w:hAnsi="宋体" w:cs="宋体"/>
          <w:color w:val="auto"/>
          <w:highlight w:val="none"/>
        </w:rPr>
      </w:pPr>
      <w:bookmarkStart w:id="509" w:name="_Toc22933"/>
      <w:r>
        <w:rPr>
          <w:rFonts w:hint="eastAsia" w:ascii="宋体" w:hAnsi="宋体" w:cs="宋体"/>
          <w:b w:val="0"/>
          <w:color w:val="auto"/>
          <w:highlight w:val="none"/>
        </w:rPr>
        <w:t>第</w:t>
      </w:r>
      <w:r>
        <w:rPr>
          <w:rFonts w:hint="eastAsia" w:ascii="宋体" w:hAnsi="宋体" w:cs="宋体"/>
          <w:b w:val="0"/>
          <w:color w:val="auto"/>
          <w:highlight w:val="none"/>
          <w:lang w:val="en-US" w:eastAsia="zh-CN"/>
        </w:rPr>
        <w:t>八</w:t>
      </w:r>
      <w:r>
        <w:rPr>
          <w:rFonts w:hint="eastAsia" w:ascii="宋体" w:hAnsi="宋体" w:cs="宋体"/>
          <w:b w:val="0"/>
          <w:color w:val="auto"/>
          <w:highlight w:val="none"/>
        </w:rPr>
        <w:t>章 质疑、投诉材料格式</w:t>
      </w:r>
      <w:bookmarkEnd w:id="509"/>
    </w:p>
    <w:p w14:paraId="6A447DD9">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184F0BFC">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1C949AB6">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0C864950">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985C3FF">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B143407">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1196B3F">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3DE6A2B3">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24C622C">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B54AC34">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5C99FDA8">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510" w:name="PO_3000001868_PM002_16"/>
      <w:r>
        <w:rPr>
          <w:rFonts w:hint="eastAsia" w:hAnsi="宋体" w:cs="宋体"/>
          <w:bCs/>
          <w:color w:val="auto"/>
          <w:sz w:val="24"/>
          <w:szCs w:val="24"/>
          <w:highlight w:val="none"/>
          <w:u w:val="single"/>
        </w:rPr>
        <w:t>[项目名称]</w:t>
      </w:r>
      <w:bookmarkEnd w:id="510"/>
      <w:r>
        <w:rPr>
          <w:rFonts w:hint="eastAsia" w:hAnsi="宋体" w:cs="宋体"/>
          <w:bCs/>
          <w:color w:val="auto"/>
          <w:sz w:val="24"/>
          <w:szCs w:val="24"/>
          <w:highlight w:val="none"/>
          <w:u w:val="single"/>
        </w:rPr>
        <w:t xml:space="preserve"> </w:t>
      </w:r>
    </w:p>
    <w:p w14:paraId="604E3E1B">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bookmarkStart w:id="511" w:name="PO_3000001868_PM001_13"/>
      <w:r>
        <w:rPr>
          <w:rFonts w:hint="eastAsia" w:hAnsi="宋体" w:cs="宋体"/>
          <w:bCs/>
          <w:color w:val="auto"/>
          <w:sz w:val="24"/>
          <w:szCs w:val="24"/>
          <w:highlight w:val="none"/>
          <w:u w:val="single"/>
        </w:rPr>
        <w:t>[项目编号]</w:t>
      </w:r>
      <w:bookmarkEnd w:id="511"/>
      <w:r>
        <w:rPr>
          <w:rFonts w:hint="eastAsia" w:hAnsi="宋体" w:cs="宋体"/>
          <w:bCs/>
          <w:color w:val="auto"/>
          <w:sz w:val="24"/>
          <w:szCs w:val="24"/>
          <w:highlight w:val="none"/>
          <w:u w:val="single"/>
        </w:rPr>
        <w:t xml:space="preserve"> </w:t>
      </w:r>
    </w:p>
    <w:p w14:paraId="404783D4">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512" w:name="PO_3000001868_PM026_7"/>
      <w:r>
        <w:rPr>
          <w:rFonts w:hint="eastAsia" w:hAnsi="宋体" w:cs="宋体"/>
          <w:bCs/>
          <w:color w:val="auto"/>
          <w:sz w:val="24"/>
          <w:szCs w:val="24"/>
          <w:highlight w:val="none"/>
          <w:u w:val="single"/>
        </w:rPr>
        <w:t>[采购人]</w:t>
      </w:r>
      <w:bookmarkEnd w:id="512"/>
      <w:r>
        <w:rPr>
          <w:rFonts w:hint="eastAsia" w:hAnsi="宋体" w:cs="宋体"/>
          <w:bCs/>
          <w:color w:val="auto"/>
          <w:sz w:val="24"/>
          <w:szCs w:val="24"/>
          <w:highlight w:val="none"/>
          <w:u w:val="single"/>
        </w:rPr>
        <w:t xml:space="preserve">  </w:t>
      </w:r>
    </w:p>
    <w:p w14:paraId="3440E47E">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193DBD02">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2AAFE539">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3C7913A5">
      <w:pPr>
        <w:pStyle w:val="15"/>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25F72D35">
      <w:pPr>
        <w:pStyle w:val="15"/>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725FC76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101B65E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171141B0">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1CF0B92B">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40486BDD">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1CBCC3DF">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25A492D2">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6A895AE8">
      <w:pPr>
        <w:pStyle w:val="15"/>
        <w:spacing w:line="360" w:lineRule="auto"/>
        <w:ind w:left="25" w:leftChars="12" w:firstLine="352" w:firstLineChars="147"/>
        <w:contextualSpacing/>
        <w:rPr>
          <w:rFonts w:hAnsi="宋体" w:cs="宋体"/>
          <w:color w:val="auto"/>
          <w:sz w:val="24"/>
          <w:szCs w:val="24"/>
          <w:highlight w:val="none"/>
        </w:rPr>
      </w:pPr>
    </w:p>
    <w:p w14:paraId="522DC54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26FE5019">
      <w:pPr>
        <w:pStyle w:val="15"/>
        <w:spacing w:line="360" w:lineRule="auto"/>
        <w:ind w:left="25" w:leftChars="12" w:firstLine="352" w:firstLineChars="147"/>
        <w:contextualSpacing/>
        <w:rPr>
          <w:rFonts w:hAnsi="宋体" w:cs="宋体"/>
          <w:color w:val="auto"/>
          <w:sz w:val="24"/>
          <w:szCs w:val="24"/>
          <w:highlight w:val="none"/>
        </w:rPr>
      </w:pPr>
    </w:p>
    <w:p w14:paraId="6DCE1AAA">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日期：</w:t>
      </w:r>
    </w:p>
    <w:p w14:paraId="07187F3C">
      <w:pPr>
        <w:pStyle w:val="15"/>
        <w:spacing w:line="360" w:lineRule="auto"/>
        <w:rPr>
          <w:rFonts w:hAnsi="宋体" w:cs="宋体"/>
          <w:b/>
          <w:color w:val="auto"/>
          <w:sz w:val="24"/>
          <w:szCs w:val="24"/>
          <w:highlight w:val="none"/>
        </w:rPr>
      </w:pPr>
    </w:p>
    <w:p w14:paraId="2209715B">
      <w:pPr>
        <w:pStyle w:val="15"/>
        <w:spacing w:line="360" w:lineRule="auto"/>
        <w:rPr>
          <w:rFonts w:hAnsi="宋体" w:cs="宋体"/>
          <w:b/>
          <w:color w:val="auto"/>
          <w:sz w:val="24"/>
          <w:szCs w:val="24"/>
          <w:highlight w:val="none"/>
        </w:rPr>
      </w:pPr>
    </w:p>
    <w:p w14:paraId="46D2CE43">
      <w:pPr>
        <w:pStyle w:val="15"/>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6066C6F0">
      <w:pPr>
        <w:pStyle w:val="15"/>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4475D0E0">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7E05371">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69B82310">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04676B08">
      <w:pPr>
        <w:pStyle w:val="15"/>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19B98B13">
      <w:pPr>
        <w:pStyle w:val="15"/>
        <w:snapToGrid w:val="0"/>
        <w:rPr>
          <w:rFonts w:hAnsi="宋体" w:cs="宋体"/>
          <w:b/>
          <w:color w:val="auto"/>
          <w:sz w:val="24"/>
          <w:szCs w:val="24"/>
          <w:highlight w:val="none"/>
        </w:rPr>
      </w:pPr>
    </w:p>
    <w:p w14:paraId="51034394">
      <w:pPr>
        <w:spacing w:line="460" w:lineRule="exact"/>
        <w:jc w:val="center"/>
        <w:rPr>
          <w:rFonts w:ascii="宋体" w:hAnsi="宋体" w:cs="宋体"/>
          <w:color w:val="auto"/>
          <w:sz w:val="44"/>
          <w:highlight w:val="none"/>
        </w:rPr>
      </w:pPr>
      <w:r>
        <w:rPr>
          <w:rFonts w:hint="eastAsia" w:ascii="宋体" w:hAnsi="宋体" w:cs="宋体"/>
          <w:color w:val="auto"/>
          <w:sz w:val="44"/>
          <w:highlight w:val="none"/>
        </w:rPr>
        <w:br w:type="page"/>
      </w:r>
    </w:p>
    <w:p w14:paraId="1D1BFFD4">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3388A916">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15D2A85A">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D79A6D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2934866">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4202DF3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CD2C725">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E37AF24">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4A7CF432">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7A9362A">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0E3AA149">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3778A901">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6F94E7D">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B4362E1">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3F41D6A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5603B049">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69F5CC98">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2F1C0400">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ECA316D">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72BB51C9">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513" w:name="PO_3000001868_PM002_17"/>
      <w:r>
        <w:rPr>
          <w:rFonts w:hint="eastAsia" w:hAnsi="宋体" w:cs="宋体"/>
          <w:bCs/>
          <w:color w:val="auto"/>
          <w:sz w:val="24"/>
          <w:szCs w:val="24"/>
          <w:highlight w:val="none"/>
          <w:u w:val="single"/>
        </w:rPr>
        <w:t>[项目名称]</w:t>
      </w:r>
      <w:bookmarkEnd w:id="513"/>
      <w:r>
        <w:rPr>
          <w:rFonts w:hint="eastAsia" w:hAnsi="宋体" w:cs="宋体"/>
          <w:bCs/>
          <w:color w:val="auto"/>
          <w:sz w:val="24"/>
          <w:szCs w:val="24"/>
          <w:highlight w:val="none"/>
          <w:u w:val="single"/>
        </w:rPr>
        <w:t xml:space="preserve">    </w:t>
      </w:r>
    </w:p>
    <w:p w14:paraId="4B8B126C">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bookmarkStart w:id="514" w:name="PO_3000001868_PM001_14"/>
      <w:r>
        <w:rPr>
          <w:rFonts w:hint="eastAsia" w:hAnsi="宋体" w:cs="宋体"/>
          <w:bCs/>
          <w:color w:val="auto"/>
          <w:sz w:val="24"/>
          <w:szCs w:val="24"/>
          <w:highlight w:val="none"/>
          <w:u w:val="single"/>
        </w:rPr>
        <w:t>[项目编号]</w:t>
      </w:r>
      <w:bookmarkEnd w:id="514"/>
      <w:r>
        <w:rPr>
          <w:rFonts w:hint="eastAsia" w:hAnsi="宋体" w:cs="宋体"/>
          <w:bCs/>
          <w:color w:val="auto"/>
          <w:sz w:val="24"/>
          <w:szCs w:val="24"/>
          <w:highlight w:val="none"/>
          <w:u w:val="single"/>
        </w:rPr>
        <w:t xml:space="preserve">    </w:t>
      </w:r>
    </w:p>
    <w:p w14:paraId="45A75FB1">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515" w:name="PO_3000001868_PM026_8"/>
      <w:r>
        <w:rPr>
          <w:rFonts w:hint="eastAsia" w:hAnsi="宋体" w:cs="宋体"/>
          <w:bCs/>
          <w:color w:val="auto"/>
          <w:sz w:val="24"/>
          <w:szCs w:val="24"/>
          <w:highlight w:val="none"/>
          <w:u w:val="single"/>
        </w:rPr>
        <w:t>[采购人]</w:t>
      </w:r>
      <w:bookmarkEnd w:id="515"/>
      <w:r>
        <w:rPr>
          <w:rFonts w:hint="eastAsia" w:hAnsi="宋体" w:cs="宋体"/>
          <w:bCs/>
          <w:color w:val="auto"/>
          <w:sz w:val="24"/>
          <w:szCs w:val="24"/>
          <w:highlight w:val="none"/>
          <w:u w:val="single"/>
        </w:rPr>
        <w:t xml:space="preserve">                </w:t>
      </w:r>
    </w:p>
    <w:p w14:paraId="530AE79A">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bookmarkStart w:id="516" w:name="PO_3000001868_PM031_5"/>
      <w:r>
        <w:rPr>
          <w:rFonts w:hint="eastAsia" w:hAnsi="宋体" w:cs="宋体"/>
          <w:bCs/>
          <w:color w:val="auto"/>
          <w:sz w:val="24"/>
          <w:szCs w:val="24"/>
          <w:highlight w:val="none"/>
          <w:u w:val="single"/>
        </w:rPr>
        <w:t>[采购组织机构]</w:t>
      </w:r>
      <w:bookmarkEnd w:id="516"/>
      <w:r>
        <w:rPr>
          <w:rFonts w:hint="eastAsia" w:hAnsi="宋体" w:cs="宋体"/>
          <w:bCs/>
          <w:color w:val="auto"/>
          <w:sz w:val="24"/>
          <w:szCs w:val="24"/>
          <w:highlight w:val="none"/>
          <w:u w:val="single"/>
        </w:rPr>
        <w:t xml:space="preserve">                </w:t>
      </w:r>
    </w:p>
    <w:p w14:paraId="026B7C44">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47B7319B">
      <w:pPr>
        <w:pStyle w:val="15"/>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F05F42C">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68B97B40">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7188E55D">
      <w:pPr>
        <w:pStyle w:val="15"/>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F76E097">
      <w:pPr>
        <w:pStyle w:val="15"/>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FA0C1C8">
      <w:pPr>
        <w:pStyle w:val="15"/>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365236DE">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7BB75074">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7F2E95AB">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8A2F743">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6DE78242">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D4EF1DA">
      <w:pPr>
        <w:pStyle w:val="15"/>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C3EB7C5">
      <w:pPr>
        <w:pStyle w:val="15"/>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402F2D16">
      <w:pPr>
        <w:pStyle w:val="15"/>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0461F2FB">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66DA0915">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1C91FB00">
      <w:pPr>
        <w:pStyle w:val="15"/>
        <w:spacing w:line="360" w:lineRule="auto"/>
        <w:ind w:left="25" w:leftChars="12" w:firstLine="352" w:firstLineChars="147"/>
        <w:rPr>
          <w:rFonts w:hAnsi="宋体" w:cs="宋体"/>
          <w:color w:val="auto"/>
          <w:sz w:val="24"/>
          <w:szCs w:val="24"/>
          <w:highlight w:val="none"/>
        </w:rPr>
      </w:pPr>
    </w:p>
    <w:p w14:paraId="189BB426">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33078355">
      <w:pPr>
        <w:pStyle w:val="15"/>
        <w:spacing w:line="360" w:lineRule="auto"/>
        <w:ind w:left="25" w:leftChars="12" w:firstLine="352" w:firstLineChars="147"/>
        <w:rPr>
          <w:rFonts w:hAnsi="宋体" w:cs="宋体"/>
          <w:color w:val="auto"/>
          <w:sz w:val="24"/>
          <w:szCs w:val="24"/>
          <w:highlight w:val="none"/>
        </w:rPr>
      </w:pPr>
    </w:p>
    <w:p w14:paraId="1A10BBD1">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0A8DF963">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6A061260">
      <w:pPr>
        <w:pStyle w:val="15"/>
        <w:snapToGrid w:val="0"/>
        <w:spacing w:line="360" w:lineRule="auto"/>
        <w:rPr>
          <w:rFonts w:hAnsi="宋体" w:cs="宋体"/>
          <w:b/>
          <w:color w:val="auto"/>
          <w:sz w:val="24"/>
          <w:szCs w:val="24"/>
          <w:highlight w:val="none"/>
        </w:rPr>
      </w:pPr>
    </w:p>
    <w:p w14:paraId="74BEFBA8">
      <w:pPr>
        <w:pStyle w:val="15"/>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33EBF33F">
      <w:pPr>
        <w:pStyle w:val="15"/>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43620B2A">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ED4D7E0">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49E154CE">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6F4C0C8F">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10A8889F">
      <w:pPr>
        <w:pStyle w:val="15"/>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7F9627B7">
      <w:pPr>
        <w:rPr>
          <w:rFonts w:ascii="宋体" w:hAnsi="宋体" w:cs="宋体"/>
          <w:color w:val="auto"/>
          <w:highlight w:val="none"/>
        </w:rPr>
      </w:pPr>
    </w:p>
    <w:p w14:paraId="1D4931B4">
      <w:pPr>
        <w:rPr>
          <w:rFonts w:ascii="宋体" w:hAnsi="宋体" w:cs="宋体"/>
          <w:color w:val="auto"/>
          <w:highlight w:val="none"/>
        </w:rPr>
      </w:pPr>
    </w:p>
    <w:sectPr>
      <w:footerReference r:id="rId12" w:type="first"/>
      <w:footerReference r:id="rId11"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方正小标宋简体">
    <w:altName w:val="黑体"/>
    <w:panose1 w:val="00000000000000000000"/>
    <w:charset w:val="86"/>
    <w:family w:val="auto"/>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147F7">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A9EA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53A9EA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5D49">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81FCD">
                          <w:pPr>
                            <w:pStyle w:val="1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6C81FCD">
                    <w:pPr>
                      <w:pStyle w:val="1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35946">
    <w:pPr>
      <w:pStyle w:val="18"/>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EF57D3">
                          <w:pPr>
                            <w:pStyle w:val="18"/>
                            <w:jc w:val="right"/>
                          </w:pPr>
                          <w:r>
                            <w:fldChar w:fldCharType="begin"/>
                          </w:r>
                          <w:r>
                            <w:instrText xml:space="preserve">PAGE   \* MERGEFORMAT</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0EF57D3">
                    <w:pPr>
                      <w:pStyle w:val="18"/>
                      <w:jc w:val="right"/>
                    </w:pPr>
                    <w:r>
                      <w:fldChar w:fldCharType="begin"/>
                    </w:r>
                    <w:r>
                      <w:instrText xml:space="preserve">PAGE   \* MERGEFORMAT</w:instrText>
                    </w:r>
                    <w:r>
                      <w:fldChar w:fldCharType="separate"/>
                    </w:r>
                    <w:r>
                      <w:t>5</w:t>
                    </w:r>
                    <w:r>
                      <w:fldChar w:fldCharType="end"/>
                    </w:r>
                  </w:p>
                </w:txbxContent>
              </v:textbox>
            </v:shape>
          </w:pict>
        </mc:Fallback>
      </mc:AlternateContent>
    </w:r>
  </w:p>
  <w:p w14:paraId="55FCA117">
    <w:pPr>
      <w:pStyle w:val="11"/>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249EC">
    <w:pPr>
      <w:pStyle w:val="18"/>
    </w:pPr>
    <w:r>
      <w:fldChar w:fldCharType="begin"/>
    </w:r>
    <w:r>
      <w:instrText xml:space="preserve">PAGE   \* MERGEFORMAT</w:instrText>
    </w:r>
    <w:r>
      <w:fldChar w:fldCharType="separate"/>
    </w:r>
    <w:r>
      <w:t>150</w:t>
    </w:r>
    <w:r>
      <w:fldChar w:fldCharType="end"/>
    </w:r>
  </w:p>
  <w:p w14:paraId="3D8FF921">
    <w:pPr>
      <w:pStyle w:val="11"/>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C2C91">
    <w:pPr>
      <w:pStyle w:val="18"/>
      <w:jc w:val="righ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4337E">
                          <w:pPr>
                            <w:pStyle w:val="18"/>
                            <w:jc w:val="right"/>
                          </w:pPr>
                          <w:r>
                            <w:fldChar w:fldCharType="begin"/>
                          </w:r>
                          <w:r>
                            <w:instrText xml:space="preserve">PAGE   \* MERGEFORMAT</w:instrText>
                          </w:r>
                          <w:r>
                            <w:fldChar w:fldCharType="separate"/>
                          </w:r>
                          <w:r>
                            <w:t>149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454337E">
                    <w:pPr>
                      <w:pStyle w:val="18"/>
                      <w:jc w:val="right"/>
                    </w:pPr>
                    <w:r>
                      <w:fldChar w:fldCharType="begin"/>
                    </w:r>
                    <w:r>
                      <w:instrText xml:space="preserve">PAGE   \* MERGEFORMAT</w:instrText>
                    </w:r>
                    <w:r>
                      <w:fldChar w:fldCharType="separate"/>
                    </w:r>
                    <w:r>
                      <w:t>149</w:t>
                    </w:r>
                    <w:r>
                      <w:fldChar w:fldCharType="end"/>
                    </w:r>
                  </w:p>
                </w:txbxContent>
              </v:textbox>
            </v:shape>
          </w:pict>
        </mc:Fallback>
      </mc:AlternateContent>
    </w:r>
  </w:p>
  <w:p w14:paraId="260E7D84">
    <w:pPr>
      <w:pStyle w:val="11"/>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E0A13">
    <w:pPr>
      <w:pStyle w:val="11"/>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78CBE">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170E56">
                          <w:pPr>
                            <w:pStyle w:val="18"/>
                            <w:jc w:val="center"/>
                          </w:pPr>
                          <w:r>
                            <w:fldChar w:fldCharType="begin"/>
                          </w:r>
                          <w:r>
                            <w:instrText xml:space="preserve"> PAGE  \* MERGEFORMAT </w:instrText>
                          </w:r>
                          <w:r>
                            <w:fldChar w:fldCharType="separate"/>
                          </w:r>
                          <w:r>
                            <w:t>84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A170E56">
                    <w:pPr>
                      <w:pStyle w:val="18"/>
                      <w:jc w:val="center"/>
                    </w:pPr>
                    <w:r>
                      <w:fldChar w:fldCharType="begin"/>
                    </w:r>
                    <w:r>
                      <w:instrText xml:space="preserve"> PAGE  \* MERGEFORMAT </w:instrText>
                    </w:r>
                    <w:r>
                      <w:fldChar w:fldCharType="separate"/>
                    </w:r>
                    <w:r>
                      <w:t>84</w:t>
                    </w:r>
                    <w:r>
                      <w:fldChar w:fldCharType="end"/>
                    </w:r>
                  </w:p>
                </w:txbxContent>
              </v:textbox>
            </v:shape>
          </w:pict>
        </mc:Fallback>
      </mc:AlternateContent>
    </w:r>
  </w:p>
  <w:p w14:paraId="091A11A8">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4C04E">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50972">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8350972">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6C1E3398">
      <w:pPr>
        <w:pStyle w:val="22"/>
        <w:spacing w:line="240" w:lineRule="auto"/>
        <w:ind w:firstLine="0"/>
        <w:rPr>
          <w:rFonts w:hint="eastAsia"/>
          <w:kern w:val="2"/>
        </w:rPr>
      </w:pPr>
      <w:r>
        <w:rPr>
          <w:rStyle w:val="31"/>
        </w:rPr>
        <w:footnoteRef/>
      </w:r>
      <w:r>
        <w:rPr>
          <w:rFonts w:hint="eastAsia"/>
        </w:rPr>
        <w:t>如果在招标阶段，招标人在图纸中直接指定了取土场和弃土场位置，且作为投标人投标报价的依据，则招标人应在项目专用合同条款中对本项规定进行调整。</w:t>
      </w:r>
    </w:p>
  </w:footnote>
  <w:footnote w:id="1">
    <w:p w14:paraId="2A36C7DA">
      <w:pPr>
        <w:pStyle w:val="22"/>
        <w:ind w:firstLine="360"/>
        <w:rPr>
          <w:rFonts w:hint="eastAsia"/>
          <w:kern w:val="2"/>
        </w:rPr>
      </w:pPr>
      <w:r>
        <w:rPr>
          <w:rStyle w:val="31"/>
        </w:rPr>
        <w:footnoteRef/>
      </w:r>
      <w:r>
        <w:rPr>
          <w:rFonts w:hint="eastAsia"/>
        </w:rPr>
        <w:t>本条内容可修改为：“本担保自（生效日期）之日起生效，至</w:t>
      </w:r>
      <w:r>
        <w:rPr>
          <w:rFonts w:hint="eastAsia"/>
        </w:rPr>
        <w:tab/>
      </w:r>
      <w:r>
        <w:rPr>
          <w:rFonts w:hint="eastAsia"/>
        </w:rPr>
        <w:t>（失效日期）之日失效。”</w:t>
      </w:r>
    </w:p>
    <w:p w14:paraId="7FDD9DEC">
      <w:pPr>
        <w:pStyle w:val="22"/>
        <w:ind w:firstLine="360"/>
        <w:rPr>
          <w:rFonts w:hint="eastAsia"/>
        </w:rPr>
      </w:pPr>
      <w:r>
        <w:rPr>
          <w:rFonts w:hint="eastAsia"/>
        </w:rPr>
        <w:t>如发包人接受履约保函采用固定有效期，在项目专用合同条款中应增加保证承包人在履约保函失效日前向发包人出具后续阶段履约保函的约束性条款，直至发包人签发交工验收证书且承包人按照合同约定缴纳质量保证金之日为止。</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A55C">
    <w:pPr>
      <w:pStyle w:val="19"/>
    </w:pPr>
    <w:r>
      <w:rPr>
        <w:rFonts w:hint="eastAsia"/>
        <w:lang w:val="en-US" w:eastAsia="zh-CN"/>
      </w:rPr>
      <w:t>防城港市上思县</w:t>
    </w:r>
    <w:r>
      <w:rPr>
        <w:rFonts w:hint="eastAsia"/>
      </w:rPr>
      <w:t>政府采购竞争性磋商采购文件（项目编号：</w:t>
    </w:r>
    <w:r>
      <w:rPr>
        <w:rFonts w:hint="eastAsia"/>
        <w:lang w:eastAsia="zh-CN"/>
      </w:rPr>
      <w:t>FCZC2025-C2-210099-GXHT</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BBD62"/>
    <w:multiLevelType w:val="singleLevel"/>
    <w:tmpl w:val="A0BBBD62"/>
    <w:lvl w:ilvl="0" w:tentative="0">
      <w:start w:val="1"/>
      <w:numFmt w:val="decimal"/>
      <w:suff w:val="nothing"/>
      <w:lvlText w:val="（%1）"/>
      <w:lvlJc w:val="left"/>
    </w:lvl>
  </w:abstractNum>
  <w:abstractNum w:abstractNumId="1">
    <w:nsid w:val="A1965E9C"/>
    <w:multiLevelType w:val="singleLevel"/>
    <w:tmpl w:val="A1965E9C"/>
    <w:lvl w:ilvl="0" w:tentative="0">
      <w:start w:val="1"/>
      <w:numFmt w:val="decimal"/>
      <w:suff w:val="nothing"/>
      <w:lvlText w:val="（%1）"/>
      <w:lvlJc w:val="left"/>
    </w:lvl>
  </w:abstractNum>
  <w:abstractNum w:abstractNumId="2">
    <w:nsid w:val="E2AD0F0F"/>
    <w:multiLevelType w:val="singleLevel"/>
    <w:tmpl w:val="E2AD0F0F"/>
    <w:lvl w:ilvl="0" w:tentative="0">
      <w:start w:val="12"/>
      <w:numFmt w:val="decimal"/>
      <w:suff w:val="nothing"/>
      <w:lvlText w:val="%1．"/>
      <w:lvlJc w:val="left"/>
    </w:lvl>
  </w:abstractNum>
  <w:abstractNum w:abstractNumId="3">
    <w:nsid w:val="EED7ECF8"/>
    <w:multiLevelType w:val="singleLevel"/>
    <w:tmpl w:val="EED7ECF8"/>
    <w:lvl w:ilvl="0" w:tentative="0">
      <w:start w:val="3"/>
      <w:numFmt w:val="chineseCounting"/>
      <w:suff w:val="space"/>
      <w:lvlText w:val="第%1节"/>
      <w:lvlJc w:val="left"/>
      <w:rPr>
        <w:rFonts w:hint="eastAsia"/>
      </w:rPr>
    </w:lvl>
  </w:abstractNum>
  <w:abstractNum w:abstractNumId="4">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177157EF"/>
    <w:multiLevelType w:val="singleLevel"/>
    <w:tmpl w:val="177157EF"/>
    <w:lvl w:ilvl="0" w:tentative="0">
      <w:start w:val="3"/>
      <w:numFmt w:val="chineseCounting"/>
      <w:suff w:val="nothing"/>
      <w:lvlText w:val="%1、"/>
      <w:lvlJc w:val="left"/>
      <w:rPr>
        <w:rFonts w:hint="eastAsia"/>
      </w:rPr>
    </w:lvl>
  </w:abstractNum>
  <w:abstractNum w:abstractNumId="6">
    <w:nsid w:val="508D7A92"/>
    <w:multiLevelType w:val="singleLevel"/>
    <w:tmpl w:val="508D7A92"/>
    <w:lvl w:ilvl="0" w:tentative="0">
      <w:start w:val="1"/>
      <w:numFmt w:val="decimal"/>
      <w:suff w:val="nothing"/>
      <w:lvlText w:val="（%1）"/>
      <w:lvlJc w:val="left"/>
    </w:lvl>
  </w:abstractNum>
  <w:abstractNum w:abstractNumId="7">
    <w:nsid w:val="531434F1"/>
    <w:multiLevelType w:val="singleLevel"/>
    <w:tmpl w:val="531434F1"/>
    <w:lvl w:ilvl="0" w:tentative="0">
      <w:start w:val="1"/>
      <w:numFmt w:val="decimal"/>
      <w:suff w:val="nothing"/>
      <w:lvlText w:val="（%1）"/>
      <w:lvlJc w:val="left"/>
    </w:lvl>
  </w:abstractNum>
  <w:abstractNum w:abstractNumId="8">
    <w:nsid w:val="5B39FDE6"/>
    <w:multiLevelType w:val="singleLevel"/>
    <w:tmpl w:val="5B39FDE6"/>
    <w:lvl w:ilvl="0" w:tentative="0">
      <w:start w:val="1"/>
      <w:numFmt w:val="decimal"/>
      <w:suff w:val="nothing"/>
      <w:lvlText w:val="（%1）"/>
      <w:lvlJc w:val="left"/>
      <w:pPr>
        <w:ind w:left="0" w:firstLine="0"/>
      </w:pPr>
    </w:lvl>
  </w:abstractNum>
  <w:abstractNum w:abstractNumId="9">
    <w:nsid w:val="72668605"/>
    <w:multiLevelType w:val="singleLevel"/>
    <w:tmpl w:val="72668605"/>
    <w:lvl w:ilvl="0" w:tentative="0">
      <w:start w:val="1"/>
      <w:numFmt w:val="decimal"/>
      <w:pStyle w:val="7"/>
      <w:lvlText w:val="%1."/>
      <w:lvlJc w:val="left"/>
      <w:pPr>
        <w:tabs>
          <w:tab w:val="left" w:pos="360"/>
        </w:tabs>
        <w:ind w:left="360" w:hanging="360"/>
      </w:pPr>
    </w:lvl>
  </w:abstractNum>
  <w:num w:numId="1">
    <w:abstractNumId w:val="9"/>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8"/>
    <w:lvlOverride w:ilvl="0">
      <w:startOverride w:val="1"/>
    </w:lvlOverride>
  </w:num>
  <w:num w:numId="7">
    <w:abstractNumId w:val="1"/>
  </w:num>
  <w:num w:numId="8">
    <w:abstractNumId w:val="0"/>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MGY0MTZhNzRiZjhmNWIwNjBhN2QyNGI5MmIwMWQifQ=="/>
  </w:docVars>
  <w:rsids>
    <w:rsidRoot w:val="72590521"/>
    <w:rsid w:val="000510B6"/>
    <w:rsid w:val="0014006B"/>
    <w:rsid w:val="0015420E"/>
    <w:rsid w:val="001E77F1"/>
    <w:rsid w:val="002738D5"/>
    <w:rsid w:val="003E0F2D"/>
    <w:rsid w:val="00444F54"/>
    <w:rsid w:val="00733D07"/>
    <w:rsid w:val="00733FD2"/>
    <w:rsid w:val="00773247"/>
    <w:rsid w:val="00854C70"/>
    <w:rsid w:val="00896A26"/>
    <w:rsid w:val="00B477E1"/>
    <w:rsid w:val="00E02320"/>
    <w:rsid w:val="00E076C4"/>
    <w:rsid w:val="019D115B"/>
    <w:rsid w:val="01A544B3"/>
    <w:rsid w:val="01E12EDC"/>
    <w:rsid w:val="03FB241F"/>
    <w:rsid w:val="054D2E98"/>
    <w:rsid w:val="05F4078D"/>
    <w:rsid w:val="06A41694"/>
    <w:rsid w:val="07CA4C73"/>
    <w:rsid w:val="08783670"/>
    <w:rsid w:val="08910034"/>
    <w:rsid w:val="089D5EE4"/>
    <w:rsid w:val="09024057"/>
    <w:rsid w:val="099427CD"/>
    <w:rsid w:val="0BEC2D80"/>
    <w:rsid w:val="0C973ECB"/>
    <w:rsid w:val="0DC05864"/>
    <w:rsid w:val="0DC07915"/>
    <w:rsid w:val="0EE643B4"/>
    <w:rsid w:val="0F764D32"/>
    <w:rsid w:val="11140D0D"/>
    <w:rsid w:val="11162CD7"/>
    <w:rsid w:val="112D117D"/>
    <w:rsid w:val="11543B08"/>
    <w:rsid w:val="11CE2706"/>
    <w:rsid w:val="131F22A7"/>
    <w:rsid w:val="138E124B"/>
    <w:rsid w:val="14B542EB"/>
    <w:rsid w:val="14C65C60"/>
    <w:rsid w:val="14E153AA"/>
    <w:rsid w:val="16C2757B"/>
    <w:rsid w:val="17E841F0"/>
    <w:rsid w:val="18083A36"/>
    <w:rsid w:val="1811456D"/>
    <w:rsid w:val="18A701A3"/>
    <w:rsid w:val="1AEF0255"/>
    <w:rsid w:val="1DAD75B8"/>
    <w:rsid w:val="1DB63522"/>
    <w:rsid w:val="1DC37378"/>
    <w:rsid w:val="1E1F4DBD"/>
    <w:rsid w:val="1F1A4A57"/>
    <w:rsid w:val="1F212D50"/>
    <w:rsid w:val="2120569A"/>
    <w:rsid w:val="217007B4"/>
    <w:rsid w:val="22432E10"/>
    <w:rsid w:val="22B569E9"/>
    <w:rsid w:val="239530E4"/>
    <w:rsid w:val="23CF3DE7"/>
    <w:rsid w:val="23E838BA"/>
    <w:rsid w:val="24C02C1C"/>
    <w:rsid w:val="250C6536"/>
    <w:rsid w:val="27064F56"/>
    <w:rsid w:val="2A2A6F25"/>
    <w:rsid w:val="2B637489"/>
    <w:rsid w:val="2DD161DF"/>
    <w:rsid w:val="2F7B74D5"/>
    <w:rsid w:val="3179279B"/>
    <w:rsid w:val="31946B55"/>
    <w:rsid w:val="323A4620"/>
    <w:rsid w:val="340547BA"/>
    <w:rsid w:val="346B4DFC"/>
    <w:rsid w:val="350D3D50"/>
    <w:rsid w:val="35AA4124"/>
    <w:rsid w:val="35D3093F"/>
    <w:rsid w:val="37015A22"/>
    <w:rsid w:val="37587838"/>
    <w:rsid w:val="379A790F"/>
    <w:rsid w:val="38757231"/>
    <w:rsid w:val="39333B77"/>
    <w:rsid w:val="39414E76"/>
    <w:rsid w:val="395028AA"/>
    <w:rsid w:val="3A7D30CD"/>
    <w:rsid w:val="3B4C7172"/>
    <w:rsid w:val="3CE65E70"/>
    <w:rsid w:val="3D3D401B"/>
    <w:rsid w:val="3F0A4723"/>
    <w:rsid w:val="3FD20B5E"/>
    <w:rsid w:val="41310CE3"/>
    <w:rsid w:val="41D2177E"/>
    <w:rsid w:val="434D1256"/>
    <w:rsid w:val="436D5ED7"/>
    <w:rsid w:val="43804DDE"/>
    <w:rsid w:val="440A3726"/>
    <w:rsid w:val="45F97FFB"/>
    <w:rsid w:val="4614088C"/>
    <w:rsid w:val="47036501"/>
    <w:rsid w:val="470C7D34"/>
    <w:rsid w:val="473D0DA5"/>
    <w:rsid w:val="487041FF"/>
    <w:rsid w:val="488643E5"/>
    <w:rsid w:val="48E91EBC"/>
    <w:rsid w:val="493A429A"/>
    <w:rsid w:val="493F3E72"/>
    <w:rsid w:val="49E66D09"/>
    <w:rsid w:val="4A6F7BCC"/>
    <w:rsid w:val="4B1530DD"/>
    <w:rsid w:val="4B931AB6"/>
    <w:rsid w:val="4C0F2086"/>
    <w:rsid w:val="4C3374BB"/>
    <w:rsid w:val="4C4F0B89"/>
    <w:rsid w:val="4C925E54"/>
    <w:rsid w:val="4CB66890"/>
    <w:rsid w:val="4CE0771A"/>
    <w:rsid w:val="4D2B1E2E"/>
    <w:rsid w:val="4DB513F5"/>
    <w:rsid w:val="4DBA440F"/>
    <w:rsid w:val="4E0E32EC"/>
    <w:rsid w:val="4E6A1991"/>
    <w:rsid w:val="4E6F6C65"/>
    <w:rsid w:val="4FD55530"/>
    <w:rsid w:val="500A1A11"/>
    <w:rsid w:val="50125E3D"/>
    <w:rsid w:val="50D420F0"/>
    <w:rsid w:val="510A6F88"/>
    <w:rsid w:val="519F45AD"/>
    <w:rsid w:val="52285CE0"/>
    <w:rsid w:val="52CA68C2"/>
    <w:rsid w:val="52CD68BD"/>
    <w:rsid w:val="546227DC"/>
    <w:rsid w:val="54F26A43"/>
    <w:rsid w:val="55F552E0"/>
    <w:rsid w:val="566E6C91"/>
    <w:rsid w:val="57600F2A"/>
    <w:rsid w:val="5829145C"/>
    <w:rsid w:val="582A3264"/>
    <w:rsid w:val="5855720E"/>
    <w:rsid w:val="58814E71"/>
    <w:rsid w:val="58E40592"/>
    <w:rsid w:val="58F86F27"/>
    <w:rsid w:val="5B0171D9"/>
    <w:rsid w:val="5B3C46B5"/>
    <w:rsid w:val="5C1B4AA7"/>
    <w:rsid w:val="5C5B1863"/>
    <w:rsid w:val="5CD821BC"/>
    <w:rsid w:val="5D34405E"/>
    <w:rsid w:val="5EA467FA"/>
    <w:rsid w:val="5EDC1325"/>
    <w:rsid w:val="5F5E109E"/>
    <w:rsid w:val="5FA40A7B"/>
    <w:rsid w:val="60492303"/>
    <w:rsid w:val="61643B7D"/>
    <w:rsid w:val="61B01959"/>
    <w:rsid w:val="634F3056"/>
    <w:rsid w:val="64073002"/>
    <w:rsid w:val="64485466"/>
    <w:rsid w:val="64CE0732"/>
    <w:rsid w:val="654D349C"/>
    <w:rsid w:val="666A1688"/>
    <w:rsid w:val="672229B1"/>
    <w:rsid w:val="67D768A8"/>
    <w:rsid w:val="68481CB4"/>
    <w:rsid w:val="684D788C"/>
    <w:rsid w:val="69643755"/>
    <w:rsid w:val="69E76134"/>
    <w:rsid w:val="6A3505E0"/>
    <w:rsid w:val="6C1B0895"/>
    <w:rsid w:val="6C5664BB"/>
    <w:rsid w:val="6D5F0968"/>
    <w:rsid w:val="6D90547A"/>
    <w:rsid w:val="6E900EFE"/>
    <w:rsid w:val="6EC85349"/>
    <w:rsid w:val="6EE73126"/>
    <w:rsid w:val="71DF335D"/>
    <w:rsid w:val="72590521"/>
    <w:rsid w:val="737F2F3A"/>
    <w:rsid w:val="73C92407"/>
    <w:rsid w:val="740F250F"/>
    <w:rsid w:val="75930F1E"/>
    <w:rsid w:val="77F74806"/>
    <w:rsid w:val="788C05D2"/>
    <w:rsid w:val="788D26EB"/>
    <w:rsid w:val="7895331B"/>
    <w:rsid w:val="7A7F5410"/>
    <w:rsid w:val="7C464F3C"/>
    <w:rsid w:val="7C8342AF"/>
    <w:rsid w:val="7D3C187C"/>
    <w:rsid w:val="7E6D4A02"/>
    <w:rsid w:val="7ED740F4"/>
    <w:rsid w:val="7F701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99"/>
    <w:pPr>
      <w:ind w:left="1400" w:leftChars="1400"/>
    </w:pPr>
  </w:style>
  <w:style w:type="paragraph" w:styleId="7">
    <w:name w:val="List Number"/>
    <w:basedOn w:val="1"/>
    <w:autoRedefine/>
    <w:qFormat/>
    <w:uiPriority w:val="0"/>
    <w:pPr>
      <w:numPr>
        <w:ilvl w:val="0"/>
        <w:numId w:val="1"/>
      </w:numPr>
    </w:pPr>
  </w:style>
  <w:style w:type="paragraph" w:styleId="8">
    <w:name w:val="Normal Indent"/>
    <w:basedOn w:val="1"/>
    <w:autoRedefine/>
    <w:qFormat/>
    <w:uiPriority w:val="99"/>
    <w:pPr>
      <w:ind w:firstLine="420"/>
    </w:pPr>
    <w:rPr>
      <w:szCs w:val="20"/>
    </w:rPr>
  </w:style>
  <w:style w:type="paragraph" w:styleId="9">
    <w:name w:val="annotation text"/>
    <w:basedOn w:val="1"/>
    <w:autoRedefine/>
    <w:qFormat/>
    <w:uiPriority w:val="0"/>
    <w:pPr>
      <w:jc w:val="left"/>
    </w:pPr>
  </w:style>
  <w:style w:type="paragraph" w:styleId="10">
    <w:name w:val="Body Text 3"/>
    <w:basedOn w:val="1"/>
    <w:autoRedefine/>
    <w:unhideWhenUsed/>
    <w:qFormat/>
    <w:uiPriority w:val="99"/>
    <w:pPr>
      <w:spacing w:after="120"/>
    </w:pPr>
    <w:rPr>
      <w:sz w:val="16"/>
      <w:szCs w:val="16"/>
    </w:rPr>
  </w:style>
  <w:style w:type="paragraph" w:styleId="11">
    <w:name w:val="Body Text"/>
    <w:basedOn w:val="1"/>
    <w:autoRedefine/>
    <w:unhideWhenUsed/>
    <w:qFormat/>
    <w:uiPriority w:val="0"/>
    <w:pPr>
      <w:spacing w:after="120"/>
    </w:pPr>
  </w:style>
  <w:style w:type="paragraph" w:styleId="12">
    <w:name w:val="Body Text Indent"/>
    <w:basedOn w:val="1"/>
    <w:autoRedefine/>
    <w:qFormat/>
    <w:uiPriority w:val="0"/>
    <w:pPr>
      <w:ind w:firstLine="830" w:firstLineChars="352"/>
    </w:pPr>
    <w:rPr>
      <w:rFonts w:ascii="仿宋_GB2312" w:eastAsia="仿宋_GB2312"/>
      <w:kern w:val="0"/>
      <w:sz w:val="32"/>
      <w:szCs w:val="20"/>
    </w:rPr>
  </w:style>
  <w:style w:type="paragraph" w:styleId="13">
    <w:name w:val="List 2"/>
    <w:basedOn w:val="1"/>
    <w:autoRedefine/>
    <w:unhideWhenUsed/>
    <w:qFormat/>
    <w:uiPriority w:val="99"/>
    <w:pPr>
      <w:ind w:left="100" w:leftChars="200" w:hanging="200" w:hangingChars="200"/>
      <w:contextualSpacing/>
    </w:pPr>
  </w:style>
  <w:style w:type="paragraph" w:styleId="14">
    <w:name w:val="toc 3"/>
    <w:basedOn w:val="1"/>
    <w:next w:val="1"/>
    <w:autoRedefine/>
    <w:unhideWhenUsed/>
    <w:qFormat/>
    <w:uiPriority w:val="39"/>
    <w:pPr>
      <w:ind w:left="840" w:leftChars="400"/>
    </w:pPr>
  </w:style>
  <w:style w:type="paragraph" w:styleId="15">
    <w:name w:val="Plain Text"/>
    <w:basedOn w:val="1"/>
    <w:next w:val="1"/>
    <w:autoRedefine/>
    <w:qFormat/>
    <w:uiPriority w:val="0"/>
    <w:rPr>
      <w:rFonts w:ascii="宋体" w:hAnsi="Courier New"/>
      <w:kern w:val="0"/>
      <w:sz w:val="20"/>
      <w:szCs w:val="21"/>
    </w:rPr>
  </w:style>
  <w:style w:type="paragraph" w:styleId="16">
    <w:name w:val="Body Text Indent 2"/>
    <w:basedOn w:val="1"/>
    <w:autoRedefine/>
    <w:qFormat/>
    <w:uiPriority w:val="99"/>
    <w:pPr>
      <w:spacing w:after="120" w:line="480" w:lineRule="auto"/>
      <w:ind w:left="420" w:leftChars="200"/>
    </w:pPr>
    <w:rPr>
      <w:sz w:val="24"/>
    </w:rPr>
  </w:style>
  <w:style w:type="paragraph" w:styleId="17">
    <w:name w:val="Balloon Text"/>
    <w:basedOn w:val="1"/>
    <w:link w:val="42"/>
    <w:autoRedefine/>
    <w:qFormat/>
    <w:uiPriority w:val="0"/>
    <w:rPr>
      <w:sz w:val="18"/>
      <w:szCs w:val="18"/>
    </w:rPr>
  </w:style>
  <w:style w:type="paragraph" w:styleId="18">
    <w:name w:val="footer"/>
    <w:basedOn w:val="1"/>
    <w:autoRedefine/>
    <w:unhideWhenUsed/>
    <w:qFormat/>
    <w:uiPriority w:val="99"/>
    <w:pPr>
      <w:tabs>
        <w:tab w:val="center" w:pos="4153"/>
        <w:tab w:val="right" w:pos="8306"/>
      </w:tabs>
      <w:snapToGrid w:val="0"/>
      <w:jc w:val="left"/>
    </w:pPr>
    <w:rPr>
      <w:kern w:val="0"/>
      <w:sz w:val="18"/>
      <w:szCs w:val="18"/>
    </w:rPr>
  </w:style>
  <w:style w:type="paragraph" w:styleId="19">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unhideWhenUsed/>
    <w:qFormat/>
    <w:uiPriority w:val="39"/>
  </w:style>
  <w:style w:type="paragraph" w:styleId="21">
    <w:name w:val="List"/>
    <w:basedOn w:val="1"/>
    <w:autoRedefine/>
    <w:unhideWhenUsed/>
    <w:qFormat/>
    <w:uiPriority w:val="99"/>
    <w:pPr>
      <w:ind w:left="200" w:hanging="200" w:hangingChars="200"/>
      <w:contextualSpacing/>
    </w:pPr>
  </w:style>
  <w:style w:type="paragraph" w:styleId="22">
    <w:name w:val="footnote text"/>
    <w:basedOn w:val="1"/>
    <w:autoRedefine/>
    <w:qFormat/>
    <w:uiPriority w:val="0"/>
    <w:pPr>
      <w:adjustRightInd w:val="0"/>
      <w:spacing w:line="312" w:lineRule="atLeast"/>
      <w:jc w:val="left"/>
      <w:textAlignment w:val="baseline"/>
    </w:pPr>
    <w:rPr>
      <w:kern w:val="0"/>
      <w:sz w:val="18"/>
      <w:szCs w:val="18"/>
    </w:rPr>
  </w:style>
  <w:style w:type="paragraph" w:styleId="23">
    <w:name w:val="toc 2"/>
    <w:basedOn w:val="1"/>
    <w:next w:val="1"/>
    <w:autoRedefine/>
    <w:unhideWhenUsed/>
    <w:qFormat/>
    <w:uiPriority w:val="39"/>
    <w:pPr>
      <w:tabs>
        <w:tab w:val="right" w:leader="dot" w:pos="8296"/>
      </w:tabs>
      <w:ind w:left="420" w:leftChars="200"/>
    </w:pPr>
  </w:style>
  <w:style w:type="paragraph" w:styleId="24">
    <w:name w:val="Normal (Web)"/>
    <w:basedOn w:val="1"/>
    <w:autoRedefine/>
    <w:qFormat/>
    <w:uiPriority w:val="0"/>
    <w:pPr>
      <w:spacing w:before="100" w:beforeAutospacing="1" w:after="100" w:afterAutospacing="1"/>
      <w:jc w:val="left"/>
    </w:pPr>
    <w:rPr>
      <w:kern w:val="0"/>
      <w:sz w:val="24"/>
    </w:rPr>
  </w:style>
  <w:style w:type="paragraph" w:styleId="25">
    <w:name w:val="Body Text First Indent 2"/>
    <w:basedOn w:val="12"/>
    <w:autoRedefine/>
    <w:unhideWhenUsed/>
    <w:qFormat/>
    <w:uiPriority w:val="99"/>
    <w:pPr>
      <w:ind w:firstLine="420" w:firstLineChars="200"/>
    </w:p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Hyperlink"/>
    <w:autoRedefine/>
    <w:unhideWhenUsed/>
    <w:qFormat/>
    <w:uiPriority w:val="99"/>
    <w:rPr>
      <w:color w:val="0000FF"/>
      <w:u w:val="single"/>
    </w:rPr>
  </w:style>
  <w:style w:type="character" w:styleId="30">
    <w:name w:val="annotation reference"/>
    <w:basedOn w:val="28"/>
    <w:autoRedefine/>
    <w:qFormat/>
    <w:uiPriority w:val="99"/>
    <w:rPr>
      <w:sz w:val="21"/>
      <w:szCs w:val="21"/>
    </w:rPr>
  </w:style>
  <w:style w:type="character" w:styleId="31">
    <w:name w:val="footnote reference"/>
    <w:autoRedefine/>
    <w:unhideWhenUsed/>
    <w:qFormat/>
    <w:uiPriority w:val="0"/>
    <w:rPr>
      <w:vertAlign w:val="superscript"/>
    </w:rPr>
  </w:style>
  <w:style w:type="paragraph" w:customStyle="1" w:styleId="32">
    <w:name w:val="Title1"/>
    <w:basedOn w:val="1"/>
    <w:next w:val="1"/>
    <w:autoRedefine/>
    <w:qFormat/>
    <w:uiPriority w:val="0"/>
    <w:pPr>
      <w:jc w:val="center"/>
      <w:outlineLvl w:val="0"/>
    </w:pPr>
    <w:rPr>
      <w:rFonts w:ascii="Calibri Light" w:hAnsi="Calibri Light" w:eastAsia="Arial Unicode MS"/>
      <w:b/>
    </w:rPr>
  </w:style>
  <w:style w:type="paragraph" w:customStyle="1" w:styleId="33">
    <w:name w:val="表格文字115"/>
    <w:basedOn w:val="1"/>
    <w:autoRedefine/>
    <w:qFormat/>
    <w:uiPriority w:val="0"/>
    <w:pPr>
      <w:spacing w:before="25" w:after="25"/>
      <w:jc w:val="left"/>
    </w:pPr>
    <w:rPr>
      <w:bCs/>
      <w:spacing w:val="10"/>
      <w:kern w:val="0"/>
      <w:sz w:val="24"/>
    </w:rPr>
  </w:style>
  <w:style w:type="paragraph" w:customStyle="1" w:styleId="34">
    <w:name w:val="正文-公1"/>
    <w:basedOn w:val="1"/>
    <w:autoRedefine/>
    <w:qFormat/>
    <w:uiPriority w:val="0"/>
    <w:pPr>
      <w:ind w:firstLine="200" w:firstLineChars="200"/>
      <w:jc w:val="left"/>
    </w:pPr>
    <w:rPr>
      <w:rFonts w:eastAsia="仿宋_GB2312"/>
    </w:rPr>
  </w:style>
  <w:style w:type="paragraph" w:customStyle="1" w:styleId="35">
    <w:name w:val="Default"/>
    <w:autoRedefine/>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6">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37">
    <w:name w:val="样式5"/>
    <w:basedOn w:val="1"/>
    <w:autoRedefine/>
    <w:qFormat/>
    <w:uiPriority w:val="99"/>
    <w:pPr>
      <w:adjustRightInd w:val="0"/>
      <w:spacing w:line="440" w:lineRule="exact"/>
      <w:ind w:left="2" w:firstLine="480" w:firstLineChars="200"/>
    </w:pPr>
    <w:rPr>
      <w:rFonts w:ascii="仿宋_GB2312" w:hAnsi="仿宋" w:eastAsia="仿宋_GB2312"/>
      <w:sz w:val="24"/>
    </w:rPr>
  </w:style>
  <w:style w:type="paragraph" w:customStyle="1" w:styleId="38">
    <w:name w:val="正文缩进1"/>
    <w:basedOn w:val="1"/>
    <w:next w:val="12"/>
    <w:autoRedefine/>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39">
    <w:name w:val="Table Paragraph"/>
    <w:basedOn w:val="1"/>
    <w:autoRedefine/>
    <w:qFormat/>
    <w:uiPriority w:val="1"/>
    <w:pPr>
      <w:jc w:val="left"/>
    </w:pPr>
    <w:rPr>
      <w:rFonts w:ascii="Calibri" w:hAnsi="Calibri"/>
      <w:kern w:val="0"/>
      <w:sz w:val="22"/>
      <w:szCs w:val="22"/>
      <w:lang w:eastAsia="en-US"/>
    </w:rPr>
  </w:style>
  <w:style w:type="character" w:customStyle="1" w:styleId="40">
    <w:name w:val="font91"/>
    <w:basedOn w:val="28"/>
    <w:autoRedefine/>
    <w:qFormat/>
    <w:uiPriority w:val="0"/>
    <w:rPr>
      <w:rFonts w:hint="eastAsia" w:ascii="黑体" w:hAnsi="宋体" w:eastAsia="黑体" w:cs="黑体"/>
      <w:color w:val="000000"/>
      <w:sz w:val="21"/>
      <w:szCs w:val="21"/>
      <w:u w:val="none"/>
    </w:rPr>
  </w:style>
  <w:style w:type="character" w:customStyle="1" w:styleId="41">
    <w:name w:val="font61"/>
    <w:basedOn w:val="28"/>
    <w:autoRedefine/>
    <w:qFormat/>
    <w:uiPriority w:val="0"/>
    <w:rPr>
      <w:rFonts w:hint="default" w:ascii="Times New Roman" w:hAnsi="Times New Roman" w:cs="Times New Roman"/>
      <w:color w:val="000000"/>
      <w:sz w:val="21"/>
      <w:szCs w:val="21"/>
      <w:u w:val="none"/>
      <w:vertAlign w:val="superscript"/>
    </w:rPr>
  </w:style>
  <w:style w:type="character" w:customStyle="1" w:styleId="42">
    <w:name w:val="批注框文本 字符"/>
    <w:basedOn w:val="28"/>
    <w:link w:val="17"/>
    <w:autoRedefine/>
    <w:qFormat/>
    <w:uiPriority w:val="0"/>
    <w:rPr>
      <w:kern w:val="2"/>
      <w:sz w:val="18"/>
      <w:szCs w:val="18"/>
    </w:rPr>
  </w:style>
  <w:style w:type="paragraph" w:customStyle="1" w:styleId="43">
    <w:name w:val="首行缩进"/>
    <w:basedOn w:val="1"/>
    <w:autoRedefine/>
    <w:qFormat/>
    <w:uiPriority w:val="99"/>
    <w:pPr>
      <w:ind w:firstLine="480" w:firstLineChars="200"/>
    </w:pPr>
    <w:rPr>
      <w:lang w:val="zh-CN"/>
    </w:rPr>
  </w:style>
  <w:style w:type="paragraph" w:customStyle="1" w:styleId="44">
    <w:name w:val="正文文本 (2)4"/>
    <w:basedOn w:val="1"/>
    <w:autoRedefine/>
    <w:qFormat/>
    <w:uiPriority w:val="0"/>
    <w:pPr>
      <w:shd w:val="clear" w:color="auto" w:fill="FFFFFF"/>
      <w:autoSpaceDE/>
      <w:autoSpaceDN/>
      <w:adjustRightInd/>
      <w:spacing w:before="300" w:line="439" w:lineRule="exact"/>
      <w:jc w:val="distribute"/>
    </w:pPr>
    <w:rPr>
      <w:rFonts w:hint="default" w:ascii="MingLiU" w:hAnsi="MingLiU" w:eastAsia="MingLiU"/>
      <w:spacing w:val="20"/>
      <w:sz w:val="22"/>
      <w:szCs w:val="22"/>
      <w:shd w:val="clear" w:color="auto" w:fill="FFFFFF"/>
    </w:rPr>
  </w:style>
  <w:style w:type="character" w:customStyle="1" w:styleId="45">
    <w:name w:val="正文文本 (2) + 间距 0 pt2"/>
    <w:autoRedefine/>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paragraph" w:customStyle="1" w:styleId="46">
    <w:name w:val="Body text|1"/>
    <w:basedOn w:val="1"/>
    <w:autoRedefine/>
    <w:qFormat/>
    <w:uiPriority w:val="0"/>
    <w:pPr>
      <w:spacing w:line="360" w:lineRule="auto"/>
      <w:ind w:firstLine="400"/>
    </w:pPr>
    <w:rPr>
      <w:rFonts w:ascii="宋体" w:hAnsi="宋体" w:eastAsia="宋体" w:cs="宋体"/>
      <w:color w:val="auto"/>
      <w:szCs w:val="20"/>
      <w:lang w:val="zh-CN" w:eastAsia="zh-CN" w:bidi="zh-CN"/>
    </w:rPr>
  </w:style>
  <w:style w:type="character" w:customStyle="1" w:styleId="47">
    <w:name w:val="fontstyle01"/>
    <w:basedOn w:val="28"/>
    <w:qFormat/>
    <w:uiPriority w:val="0"/>
    <w:rPr>
      <w:rFonts w:ascii="宋体" w:hAnsi="宋体" w:eastAsia="宋体" w:cs="宋体"/>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157</Pages>
  <Words>5955</Words>
  <Characters>7020</Characters>
  <Lines>6178</Lines>
  <Paragraphs>2622</Paragraphs>
  <TotalTime>11</TotalTime>
  <ScaleCrop>false</ScaleCrop>
  <LinksUpToDate>false</LinksUpToDate>
  <CharactersWithSpaces>7116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2023-06-13T09:54:00Z</dcterms:created>
  <dc:creator>Max</dc:creator>
  <cp:lastModifiedBy>翔燕</cp:lastModifiedBy>
  <cp:lastPrinted>2024-01-03T00:56:00Z</cp:lastPrinted>
  <dcterms:modified xsi:type="dcterms:W3CDTF">2025-09-30T03:26:41Z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5CA9615C026D4F4AAF4F9BA0A2B9DF0A_13</vt:lpwstr>
  </property>
  <property fmtid="{D5CDD505-2E9C-101B-9397-08002B2CF9AE}" pid="4" name="KSOTemplateDocerSaveRecord">
    <vt:lpwstr>eyJoZGlkIjoiYWYyNmVkMWFkNDVmM2QxNzc3YmI4OWMzYzY0M2UzZWUiLCJ1c2VySWQiOiI3MzA1OTU2MDgifQ==</vt:lpwstr>
  </property>
</Properties>
</file>