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防城港市上思县</w:t>
      </w:r>
      <w:r>
        <w:rPr>
          <w:rFonts w:hint="eastAsia" w:ascii="宋体" w:hAnsi="宋体" w:cs="宋体"/>
          <w:color w:val="auto"/>
          <w:sz w:val="52"/>
          <w:szCs w:val="52"/>
          <w:highlight w:val="none"/>
        </w:rPr>
        <w:t>政府采购</w:t>
      </w: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3FEC3126">
      <w:pPr>
        <w:spacing w:line="360" w:lineRule="auto"/>
        <w:jc w:val="center"/>
        <w:rPr>
          <w:rFonts w:ascii="宋体" w:hAnsi="宋体" w:cs="宋体"/>
          <w:b/>
          <w:color w:val="auto"/>
          <w:sz w:val="32"/>
          <w:szCs w:val="32"/>
          <w:highlight w:val="none"/>
        </w:rPr>
      </w:pPr>
    </w:p>
    <w:p w14:paraId="4C027CE0">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2025年平福乡明旺村产业道路项目</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FCZC2025-C2-210100-GXHT</w:t>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SSZC2025-C2-00982</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防城港市上思县</w:t>
      </w:r>
      <w:r>
        <w:rPr>
          <w:rFonts w:hint="eastAsia" w:hAnsi="宋体" w:cs="宋体"/>
          <w:b/>
          <w:bCs/>
          <w:color w:val="auto"/>
          <w:sz w:val="30"/>
          <w:szCs w:val="30"/>
          <w:highlight w:val="none"/>
        </w:rPr>
        <w:t xml:space="preserve">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上思县农业农村局</w:t>
      </w:r>
    </w:p>
    <w:p w14:paraId="2C3FB451">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广西昊泰工程咨询有限公司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30</w:t>
      </w:r>
      <w:r>
        <w:rPr>
          <w:rFonts w:hint="eastAsia" w:hAnsi="宋体" w:cs="宋体"/>
          <w:b/>
          <w:bCs/>
          <w:color w:val="auto"/>
          <w:w w:val="95"/>
          <w:sz w:val="30"/>
          <w:szCs w:val="30"/>
          <w:highlight w:val="none"/>
        </w:rPr>
        <w:t>日</w:t>
      </w:r>
    </w:p>
    <w:p w14:paraId="6BB46A5A">
      <w:pPr>
        <w:widowControl/>
        <w:spacing w:line="360" w:lineRule="auto"/>
        <w:jc w:val="left"/>
        <w:rPr>
          <w:rFonts w:ascii="宋体" w:hAnsi="宋体" w:cs="宋体"/>
          <w:b/>
          <w:bCs/>
          <w:color w:val="auto"/>
          <w:w w:val="95"/>
          <w:kern w:val="0"/>
          <w:sz w:val="30"/>
          <w:szCs w:val="30"/>
          <w:highlight w:val="none"/>
        </w:rPr>
        <w:sectPr>
          <w:head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30474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6D49C5">
      <w:pPr>
        <w:pStyle w:val="23"/>
        <w:tabs>
          <w:tab w:val="right" w:leader="dot" w:pos="8879"/>
          <w:tab w:val="clear" w:pos="8296"/>
        </w:tabs>
        <w:rPr>
          <w:rFonts w:hint="default" w:eastAsia="宋体"/>
          <w:color w:val="auto"/>
          <w:highlight w:val="none"/>
          <w:lang w:val="en-US" w:eastAsia="zh-CN"/>
        </w:rPr>
      </w:pPr>
      <w:r>
        <w:rPr>
          <w:rFonts w:hint="eastAsia" w:ascii="宋体" w:hAnsi="宋体" w:cs="宋体"/>
          <w:color w:val="auto"/>
          <w:szCs w:val="28"/>
          <w:highlight w:val="none"/>
        </w:rPr>
        <w:t>合同</w:t>
      </w:r>
      <w:r>
        <w:rPr>
          <w:rFonts w:hint="eastAsia" w:ascii="宋体" w:hAnsi="宋体" w:cs="宋体"/>
          <w:color w:val="auto"/>
          <w:szCs w:val="28"/>
          <w:highlight w:val="none"/>
          <w:lang w:val="en-US" w:eastAsia="zh-CN"/>
        </w:rPr>
        <w:t>协议书</w:t>
      </w:r>
      <w:r>
        <w:rPr>
          <w:rFonts w:hint="eastAsia" w:ascii="宋体" w:hAnsi="宋体" w:cs="宋体"/>
          <w:color w:val="auto"/>
          <w:highlight w:val="none"/>
        </w:rPr>
        <w:tab/>
      </w:r>
      <w:r>
        <w:rPr>
          <w:rFonts w:hint="eastAsia" w:ascii="宋体" w:hAnsi="宋体" w:cs="宋体"/>
          <w:color w:val="auto"/>
          <w:highlight w:val="none"/>
          <w:lang w:val="en-US" w:eastAsia="zh-CN"/>
        </w:rPr>
        <w:t>..72</w:t>
      </w:r>
    </w:p>
    <w:p w14:paraId="5FEDE307">
      <w:pPr>
        <w:pStyle w:val="23"/>
        <w:tabs>
          <w:tab w:val="right" w:leader="dot" w:pos="8879"/>
          <w:tab w:val="clear" w:pos="829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 xml:space="preserve">第一部分 </w:t>
      </w:r>
      <w:r>
        <w:rPr>
          <w:rFonts w:hint="eastAsia" w:ascii="宋体" w:hAnsi="宋体" w:cs="宋体"/>
          <w:color w:val="auto"/>
          <w:szCs w:val="28"/>
          <w:highlight w:val="none"/>
          <w:lang w:eastAsia="zh-CN"/>
        </w:rPr>
        <w:t>通用合同条款</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4534ADED">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09</w:t>
      </w:r>
    </w:p>
    <w:p w14:paraId="479C21F2">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 xml:space="preserve">第三部分 </w:t>
      </w:r>
      <w:r>
        <w:rPr>
          <w:rFonts w:hint="eastAsia" w:ascii="宋体" w:hAnsi="宋体" w:cs="宋体"/>
          <w:color w:val="auto"/>
          <w:szCs w:val="28"/>
          <w:highlight w:val="none"/>
          <w:lang w:val="en-US" w:eastAsia="zh-CN"/>
        </w:rPr>
        <w:t>合同附件格式</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48</w:t>
      </w:r>
    </w:p>
    <w:p w14:paraId="419D5869">
      <w:pPr>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w:t>
      </w:r>
      <w:r>
        <w:rPr>
          <w:rFonts w:hint="eastAsia" w:ascii="宋体" w:hAnsi="宋体" w:cs="宋体"/>
          <w:color w:val="auto"/>
          <w:highlight w:val="none"/>
          <w:lang w:val="en-US" w:eastAsia="zh-CN"/>
        </w:rPr>
        <w:t xml:space="preserve"> 工程量清单、图纸..........................................................1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57</w:t>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八</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152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5CAF0477">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5769DC2C">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44229878"/>
      <w:bookmarkStart w:id="10" w:name="_Toc28359089"/>
      <w:bookmarkStart w:id="11" w:name="_Toc28359012"/>
      <w:bookmarkStart w:id="12" w:name="_Toc35393629"/>
      <w:bookmarkStart w:id="13" w:name="_Toc35393798"/>
      <w:bookmarkStart w:id="14" w:name="_Toc35393623"/>
      <w:bookmarkStart w:id="15" w:name="_Toc35393792"/>
      <w:bookmarkStart w:id="16" w:name="_Toc28359004"/>
      <w:bookmarkStart w:id="17" w:name="_Toc28359081"/>
    </w:p>
    <w:p w14:paraId="5ED37E36">
      <w:pPr>
        <w:rPr>
          <w:rFonts w:ascii="宋体" w:hAnsi="宋体" w:cs="宋体"/>
          <w:color w:val="auto"/>
          <w:highlight w:val="none"/>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2025年平福乡明旺村产业道路项目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FCZC2025-C2-210100-GXHT</w:t>
      </w:r>
    </w:p>
    <w:p w14:paraId="12635E3D">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2025年平福乡明旺村产业道路项目</w:t>
      </w:r>
    </w:p>
    <w:p w14:paraId="75A38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0B664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989188.00</w:t>
      </w:r>
      <w:r>
        <w:rPr>
          <w:rFonts w:hint="eastAsia" w:ascii="宋体" w:hAnsi="宋体" w:cs="宋体"/>
          <w:color w:val="auto"/>
          <w:szCs w:val="21"/>
          <w:highlight w:val="none"/>
        </w:rPr>
        <w:t>元</w:t>
      </w:r>
    </w:p>
    <w:p w14:paraId="1289B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03F9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6"/>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27"/>
        <w:gridCol w:w="819"/>
        <w:gridCol w:w="763"/>
        <w:gridCol w:w="5601"/>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19"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01"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3CE0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2C9B5A5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7" w:type="dxa"/>
            <w:tcBorders>
              <w:top w:val="single" w:color="auto" w:sz="4" w:space="0"/>
              <w:left w:val="single" w:color="auto" w:sz="4" w:space="0"/>
              <w:bottom w:val="single" w:color="auto" w:sz="4" w:space="0"/>
              <w:right w:val="single" w:color="auto" w:sz="4" w:space="0"/>
            </w:tcBorders>
            <w:vAlign w:val="center"/>
          </w:tcPr>
          <w:p w14:paraId="07DF1FEE">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2025年平福乡明旺村产业道路项目</w:t>
            </w:r>
          </w:p>
        </w:tc>
        <w:tc>
          <w:tcPr>
            <w:tcW w:w="819" w:type="dxa"/>
            <w:tcBorders>
              <w:top w:val="single" w:color="auto" w:sz="4" w:space="0"/>
              <w:left w:val="single" w:color="auto" w:sz="4" w:space="0"/>
              <w:bottom w:val="single" w:color="auto" w:sz="4" w:space="0"/>
              <w:right w:val="single" w:color="auto" w:sz="4" w:space="0"/>
            </w:tcBorders>
            <w:vAlign w:val="center"/>
          </w:tcPr>
          <w:p w14:paraId="228466B9">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763" w:type="dxa"/>
            <w:tcBorders>
              <w:top w:val="single" w:color="auto" w:sz="4" w:space="0"/>
              <w:left w:val="single" w:color="auto" w:sz="4" w:space="0"/>
              <w:bottom w:val="single" w:color="auto" w:sz="4" w:space="0"/>
              <w:right w:val="single" w:color="auto" w:sz="4" w:space="0"/>
            </w:tcBorders>
            <w:vAlign w:val="center"/>
          </w:tcPr>
          <w:p w14:paraId="2E2831E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5601" w:type="dxa"/>
            <w:tcBorders>
              <w:top w:val="single" w:color="auto" w:sz="4" w:space="0"/>
              <w:left w:val="single" w:color="auto" w:sz="4" w:space="0"/>
              <w:bottom w:val="single" w:color="auto" w:sz="4" w:space="0"/>
              <w:right w:val="single" w:color="auto" w:sz="4" w:space="0"/>
            </w:tcBorders>
            <w:vAlign w:val="center"/>
          </w:tcPr>
          <w:p w14:paraId="285986B3">
            <w:pPr>
              <w:spacing w:line="3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2025年平福乡明旺村产业道路项目，</w:t>
            </w:r>
            <w:r>
              <w:rPr>
                <w:rFonts w:hint="eastAsia" w:ascii="宋体" w:hAnsi="宋体" w:cs="宋体"/>
                <w:color w:val="auto"/>
                <w:szCs w:val="21"/>
                <w:highlight w:val="none"/>
                <w:lang w:val="en-US" w:eastAsia="zh-CN"/>
              </w:rPr>
              <w:t>具体内容见工程量清单。</w:t>
            </w:r>
          </w:p>
        </w:tc>
      </w:tr>
    </w:tbl>
    <w:p w14:paraId="59FAC3C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1A999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0DE9AD2E">
      <w:pPr>
        <w:spacing w:line="360" w:lineRule="auto"/>
        <w:ind w:firstLine="482" w:firstLineChars="200"/>
        <w:rPr>
          <w:rFonts w:ascii="宋体" w:hAnsi="宋体" w:cs="宋体"/>
          <w:bCs/>
          <w:color w:val="auto"/>
          <w:sz w:val="24"/>
          <w:highlight w:val="none"/>
        </w:rPr>
      </w:pPr>
      <w:bookmarkStart w:id="19" w:name="_Toc35393799"/>
      <w:bookmarkStart w:id="20" w:name="_Toc28359090"/>
      <w:bookmarkStart w:id="21" w:name="_Toc44229879"/>
      <w:bookmarkStart w:id="22" w:name="_Toc28359013"/>
      <w:bookmarkStart w:id="23" w:name="_Toc35393630"/>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)注册建造师资格，并持有省级或以上交通运输行政主管部门颁发的安全生产考核合格证(“三类人员”B 类证书)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拟投入本项目的安全员应具有省级（或以上）交通主管部门颁发的《安全生产考核合格证书》C证。</w:t>
      </w:r>
    </w:p>
    <w:p w14:paraId="6ABF0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4" w:name="_Toc35393624"/>
      <w:bookmarkStart w:id="25" w:name="_Toc28359005"/>
      <w:bookmarkStart w:id="26" w:name="_Toc28359082"/>
      <w:bookmarkStart w:id="27" w:name="_Toc35393793"/>
      <w:r>
        <w:rPr>
          <w:rFonts w:hint="eastAsia" w:ascii="宋体" w:hAnsi="宋体" w:cs="宋体"/>
          <w:color w:val="auto"/>
          <w:szCs w:val="21"/>
          <w:highlight w:val="none"/>
        </w:rPr>
        <w:t>时间：</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9</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30</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15</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r>
        <w:rPr>
          <w:rFonts w:hint="eastAsia" w:ascii="宋体" w:hAnsi="宋体" w:cs="宋体"/>
          <w:color w:val="auto"/>
          <w:szCs w:val="21"/>
          <w:highlight w:val="none"/>
        </w:rPr>
        <w:t>。</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76F1A4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日09点30分</w:t>
      </w:r>
    </w:p>
    <w:p w14:paraId="434EC14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21B5604">
      <w:pPr>
        <w:spacing w:line="360" w:lineRule="auto"/>
        <w:ind w:firstLine="420" w:firstLineChars="200"/>
        <w:rPr>
          <w:rFonts w:ascii="宋体" w:hAnsi="宋体" w:cs="宋体"/>
          <w:bCs/>
          <w:color w:val="auto"/>
          <w:szCs w:val="21"/>
          <w:highlight w:val="none"/>
          <w:u w:val="single"/>
        </w:rPr>
      </w:pPr>
      <w:bookmarkStart w:id="28" w:name="_Toc28359007"/>
      <w:bookmarkStart w:id="29" w:name="_Toc35393625"/>
      <w:bookmarkStart w:id="30" w:name="_Toc35393794"/>
      <w:bookmarkStart w:id="31" w:name="_Toc28359084"/>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后</w:t>
      </w:r>
    </w:p>
    <w:p w14:paraId="40CBBDEF">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2.地点：广西壮族自治区防城港市开标室</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3</w:t>
      </w:r>
    </w:p>
    <w:p w14:paraId="505A10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8"/>
      <w:bookmarkEnd w:id="29"/>
      <w:bookmarkEnd w:id="30"/>
      <w:bookmarkEnd w:id="31"/>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4F9362F">
      <w:pPr>
        <w:spacing w:line="360" w:lineRule="auto"/>
        <w:ind w:firstLine="482" w:firstLineChars="200"/>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15A765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455AAB2">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2.采购意向公开链接：https://zfcg.gxzf.gov.cn/luban/detail?parentId=66601&amp;articleId=ann_eKoEbgs0v/3NXCByFk8lw9D5ndTMr3NGt5TILBJnhQo=</w:t>
      </w:r>
    </w:p>
    <w:p w14:paraId="3538194D">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1BCF1F1A">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中国政府采购网（www.ccgp.gov.cn）、广西壮族自治区政府采购网（http://zfcg.gxzf.gov.cn/）、全国公共资源交易平台(广西·防城港)（http://ggzy.jgswj.gxzf.gov.cn/fcgggzy/）</w:t>
      </w:r>
    </w:p>
    <w:p w14:paraId="3869C1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3F4A760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EB5A86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02592E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BDB454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EFB97C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.在线竞标响应（电子竞标）说明及注意事项</w:t>
      </w:r>
    </w:p>
    <w:p w14:paraId="1E147C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6F590AD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E21778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76177C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18DA035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6B24E9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48819F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70B2708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939DD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46F0DC3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监督部门：上思县政府采购中心，电话：0770-8521708。</w:t>
      </w:r>
    </w:p>
    <w:p w14:paraId="3548F6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 xml:space="preserve">.评标说明：本项目为远程异地全流程电子评标。 </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0070EB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w:t>
      </w:r>
      <w:bookmarkStart w:id="37" w:name="_Toc10702"/>
      <w:r>
        <w:rPr>
          <w:rFonts w:hint="eastAsia" w:ascii="宋体" w:hAnsi="宋体" w:cs="宋体"/>
          <w:color w:val="auto"/>
          <w:szCs w:val="21"/>
          <w:highlight w:val="none"/>
        </w:rPr>
        <w:t>1.采购人信息</w:t>
      </w:r>
    </w:p>
    <w:p w14:paraId="59D8DF1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上思县农业农村局</w:t>
      </w:r>
    </w:p>
    <w:p w14:paraId="2D66BF6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上思县思阳镇仁甫西路农业农村局</w:t>
      </w:r>
    </w:p>
    <w:p w14:paraId="63213EF6">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陆俊吉</w:t>
      </w:r>
    </w:p>
    <w:p w14:paraId="0E34F65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78C8163E">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554A2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广西昊泰工程咨询有限公司</w:t>
      </w:r>
    </w:p>
    <w:p w14:paraId="6A4932D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地址：南宁市青秀区园湖南路31号祥龙大厦3楼312号</w:t>
      </w:r>
    </w:p>
    <w:p w14:paraId="0CAC1FB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梁耀蓬</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0771-3802986</w:t>
      </w:r>
    </w:p>
    <w:p w14:paraId="6FAC88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14103BE6">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梁耀蓬</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0771-3802986</w:t>
      </w:r>
    </w:p>
    <w:p w14:paraId="13B11FD1">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广西昊泰工程咨询有限公司</w:t>
      </w:r>
    </w:p>
    <w:p w14:paraId="5C56F9C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14:paraId="14960183">
      <w:pPr>
        <w:spacing w:line="360" w:lineRule="auto"/>
        <w:ind w:firstLine="210" w:firstLineChars="100"/>
        <w:jc w:val="right"/>
        <w:rPr>
          <w:rFonts w:ascii="宋体" w:hAnsi="宋体" w:cs="宋体"/>
          <w:color w:val="auto"/>
          <w:highlight w:val="none"/>
        </w:rPr>
      </w:pPr>
    </w:p>
    <w:p w14:paraId="5FDC8921">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7F1980E2">
      <w:pPr>
        <w:pStyle w:val="9"/>
        <w:spacing w:line="4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791B24F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22E07AB8">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2688DFA">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893622C">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3A135887">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3F65E53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6751923E">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.本采购标的所属行业：</w:t>
      </w:r>
      <w:r>
        <w:rPr>
          <w:rFonts w:hint="eastAsia" w:ascii="宋体" w:hAnsi="宋体" w:cs="宋体"/>
          <w:color w:val="auto"/>
          <w:szCs w:val="21"/>
          <w:highlight w:val="none"/>
          <w:lang w:val="en-US" w:eastAsia="zh-CN"/>
        </w:rPr>
        <w:t>建筑业</w:t>
      </w:r>
      <w:r>
        <w:rPr>
          <w:rFonts w:hint="eastAsia" w:ascii="宋体" w:hAnsi="宋体" w:cs="宋体"/>
          <w:color w:val="auto"/>
          <w:szCs w:val="21"/>
          <w:highlight w:val="none"/>
        </w:rPr>
        <w:t>（详见附件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7165D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4434BAA5">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28C1DF1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48" w:type="dxa"/>
            <w:tcBorders>
              <w:top w:val="single" w:color="auto" w:sz="4" w:space="0"/>
              <w:left w:val="single" w:color="auto" w:sz="4" w:space="0"/>
              <w:right w:val="single" w:color="auto" w:sz="4" w:space="0"/>
            </w:tcBorders>
            <w:vAlign w:val="center"/>
          </w:tcPr>
          <w:p w14:paraId="4729F66C">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2025年平福乡明旺村产业道路项目</w:t>
            </w:r>
          </w:p>
        </w:tc>
        <w:tc>
          <w:tcPr>
            <w:tcW w:w="464" w:type="dxa"/>
            <w:tcBorders>
              <w:top w:val="single" w:color="auto" w:sz="4" w:space="0"/>
              <w:left w:val="single" w:color="auto" w:sz="4" w:space="0"/>
              <w:right w:val="single" w:color="auto" w:sz="4" w:space="0"/>
            </w:tcBorders>
            <w:vAlign w:val="center"/>
          </w:tcPr>
          <w:p w14:paraId="528BD47B">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6874E036">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56619C82">
            <w:pPr>
              <w:pStyle w:val="32"/>
              <w:jc w:val="left"/>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一、建设地点：平福乡明旺村</w:t>
            </w:r>
          </w:p>
          <w:p w14:paraId="31904FFE">
            <w:pPr>
              <w:pStyle w:val="32"/>
              <w:jc w:val="left"/>
              <w:rPr>
                <w:rFonts w:hint="eastAsia" w:ascii="宋体" w:hAnsi="宋体" w:eastAsia="宋体" w:cs="宋体"/>
                <w:b w:val="0"/>
                <w:bCs/>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二、</w:t>
            </w:r>
            <w:r>
              <w:rPr>
                <w:rFonts w:hint="eastAsia" w:ascii="宋体" w:hAnsi="宋体" w:eastAsia="宋体" w:cs="宋体"/>
                <w:b w:val="0"/>
                <w:bCs/>
                <w:color w:val="auto"/>
                <w:highlight w:val="none"/>
                <w:lang w:val="en-US" w:eastAsia="zh-CN"/>
              </w:rPr>
              <w:t>项目采购范围（工程内容）：2025年平福乡明旺村产业道路项目</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lang w:val="en-US" w:eastAsia="zh-CN"/>
              </w:rPr>
              <w:t>具体内容见本项目工程量清单。</w:t>
            </w:r>
          </w:p>
          <w:p w14:paraId="5BE24590">
            <w:pPr>
              <w:rPr>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技术标准：</w:t>
            </w:r>
            <w:r>
              <w:rPr>
                <w:rFonts w:hint="eastAsia" w:ascii="宋体" w:hAnsi="宋体" w:eastAsia="宋体" w:cs="宋体"/>
                <w:color w:val="auto"/>
                <w:highlight w:val="none"/>
                <w:lang w:val="en-US" w:eastAsia="zh-CN"/>
              </w:rPr>
              <w:t>按交通部颁发的《公路工程技术标准》（JTG B01-2014）规定四级公路标准，并参照《小交通量农村公路工程技术标准》（JTG 2111—2019）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符合现行国家相关标准、行业标准、地方标准或者其他标准、规范。</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lang w:eastAsia="zh-CN"/>
              </w:rPr>
              <w:t>国家、行业和地方有新的规范、标准、规程出台的，应执行新的规范、标准、规程。</w:t>
            </w:r>
          </w:p>
        </w:tc>
        <w:tc>
          <w:tcPr>
            <w:tcW w:w="727" w:type="dxa"/>
            <w:tcBorders>
              <w:top w:val="single" w:color="auto" w:sz="4" w:space="0"/>
              <w:left w:val="single" w:color="auto" w:sz="4" w:space="0"/>
              <w:right w:val="single" w:color="auto" w:sz="4" w:space="0"/>
            </w:tcBorders>
            <w:vAlign w:val="center"/>
          </w:tcPr>
          <w:p w14:paraId="6E3AC61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989188.00</w:t>
            </w:r>
          </w:p>
        </w:tc>
        <w:tc>
          <w:tcPr>
            <w:tcW w:w="1188" w:type="dxa"/>
            <w:tcBorders>
              <w:top w:val="single" w:color="auto" w:sz="4" w:space="0"/>
              <w:left w:val="single" w:color="auto" w:sz="4" w:space="0"/>
              <w:right w:val="single" w:color="auto" w:sz="4" w:space="0"/>
            </w:tcBorders>
            <w:vAlign w:val="center"/>
          </w:tcPr>
          <w:p w14:paraId="120213A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建筑业</w:t>
            </w:r>
          </w:p>
        </w:tc>
      </w:tr>
      <w:tr w14:paraId="72DDAA82">
        <w:tblPrEx>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298CF56D">
            <w:pPr>
              <w:spacing w:line="360" w:lineRule="exact"/>
              <w:jc w:val="center"/>
              <w:rPr>
                <w:rFonts w:ascii="宋体" w:hAnsi="宋体" w:cs="宋体"/>
                <w:color w:val="auto"/>
                <w:highlight w:val="none"/>
              </w:rPr>
            </w:pPr>
          </w:p>
          <w:p w14:paraId="521000FB">
            <w:pPr>
              <w:spacing w:line="360" w:lineRule="exact"/>
              <w:jc w:val="center"/>
              <w:rPr>
                <w:rFonts w:ascii="宋体" w:hAnsi="宋体" w:cs="宋体"/>
                <w:color w:val="auto"/>
                <w:highlight w:val="none"/>
              </w:rPr>
            </w:pPr>
          </w:p>
          <w:p w14:paraId="3F973325">
            <w:pPr>
              <w:spacing w:line="360" w:lineRule="exact"/>
              <w:jc w:val="center"/>
              <w:rPr>
                <w:rFonts w:ascii="宋体" w:hAnsi="宋体" w:cs="宋体"/>
                <w:color w:val="auto"/>
                <w:highlight w:val="none"/>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606C5AC7">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120日历天</w:t>
            </w:r>
            <w:r>
              <w:rPr>
                <w:rFonts w:hint="eastAsia" w:ascii="宋体" w:hAnsi="宋体" w:cs="宋体"/>
                <w:color w:val="auto"/>
                <w:szCs w:val="21"/>
                <w:highlight w:val="none"/>
              </w:rPr>
              <w:t>。</w:t>
            </w:r>
          </w:p>
          <w:p w14:paraId="7B04BB8A">
            <w:pPr>
              <w:widowControl/>
              <w:shd w:val="clear" w:color="auto" w:fill="FFFFFF"/>
              <w:spacing w:line="360" w:lineRule="exact"/>
              <w:ind w:firstLine="630" w:firstLineChars="3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：自合同签订之日起至项目验收完成。</w:t>
            </w:r>
          </w:p>
          <w:p w14:paraId="7FE44AD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、提交服务成果地点：采购人指定地点。</w:t>
            </w:r>
          </w:p>
          <w:p w14:paraId="6307AC8F">
            <w:pPr>
              <w:widowControl/>
              <w:shd w:val="clear" w:color="auto" w:fill="FFFFFF"/>
              <w:spacing w:line="360" w:lineRule="exac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r>
              <w:rPr>
                <w:rFonts w:hint="eastAsia" w:ascii="宋体" w:hAnsi="宋体" w:cs="宋体"/>
                <w:color w:val="auto"/>
                <w:highlight w:val="none"/>
                <w:lang w:eastAsia="zh-CN"/>
              </w:rPr>
              <w:t>。</w:t>
            </w:r>
          </w:p>
          <w:p w14:paraId="42A2E793">
            <w:pPr>
              <w:widowControl/>
              <w:shd w:val="clear" w:color="auto" w:fill="FFFFFF"/>
              <w:spacing w:line="360" w:lineRule="exact"/>
              <w:ind w:firstLine="630" w:firstLineChars="300"/>
              <w:rPr>
                <w:rFonts w:hint="eastAsia" w:ascii="宋体" w:hAnsi="宋体" w:cs="宋体"/>
                <w:color w:val="auto"/>
                <w:highlight w:val="none"/>
                <w:lang w:eastAsia="zh-CN"/>
              </w:rPr>
            </w:pPr>
            <w:r>
              <w:rPr>
                <w:rStyle w:val="45"/>
                <w:rFonts w:hint="eastAsia" w:ascii="宋体" w:hAnsi="宋体" w:eastAsia="宋体" w:cs="宋体"/>
                <w:color w:val="auto"/>
                <w:sz w:val="21"/>
                <w:szCs w:val="21"/>
                <w:highlight w:val="none"/>
              </w:rPr>
              <w:t>工程安全目标</w:t>
            </w:r>
            <w:r>
              <w:rPr>
                <w:rStyle w:val="45"/>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不允许发生安全事故，即使发生，</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须对事故负责。</w:t>
            </w:r>
          </w:p>
          <w:p w14:paraId="2F2081DB">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、其他要求：</w:t>
            </w:r>
          </w:p>
          <w:p w14:paraId="4EB83627">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4C0338F2">
            <w:pPr>
              <w:widowControl/>
              <w:shd w:val="clear" w:color="auto" w:fill="FFFFFF"/>
              <w:spacing w:line="360" w:lineRule="exact"/>
              <w:ind w:firstLine="422" w:firstLineChars="200"/>
              <w:rPr>
                <w:rFonts w:hint="eastAsia" w:ascii="宋体" w:hAnsi="宋体" w:cs="宋体"/>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380C6BC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 xml:space="preserve"> 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 xml:space="preserve"> 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0397FC8">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2.10编制依据：详见工程量清单。</w:t>
            </w:r>
          </w:p>
          <w:p w14:paraId="190EB5EB">
            <w:pPr>
              <w:widowControl/>
              <w:numPr>
                <w:ilvl w:val="0"/>
                <w:numId w:val="0"/>
              </w:numPr>
              <w:shd w:val="clear" w:color="auto" w:fill="FFFFFF"/>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w:t>
            </w:r>
            <w:r>
              <w:rPr>
                <w:rFonts w:hint="eastAsia" w:ascii="宋体" w:hAnsi="宋体" w:cs="宋体"/>
                <w:color w:val="auto"/>
                <w:highlight w:val="none"/>
              </w:rPr>
              <w:t>付款方式：</w:t>
            </w:r>
            <w:r>
              <w:rPr>
                <w:rFonts w:hint="eastAsia" w:ascii="宋体" w:hAnsi="宋体" w:cs="宋体"/>
                <w:color w:val="auto"/>
                <w:highlight w:val="none"/>
                <w:lang w:val="en-US" w:eastAsia="zh-CN"/>
              </w:rPr>
              <w:t>详见专用合同</w:t>
            </w:r>
            <w:r>
              <w:rPr>
                <w:rFonts w:hint="eastAsia" w:ascii="宋体" w:hAnsi="宋体" w:cs="宋体"/>
                <w:color w:val="auto"/>
                <w:highlight w:val="none"/>
              </w:rPr>
              <w:t>。</w:t>
            </w:r>
          </w:p>
        </w:tc>
      </w:tr>
    </w:tbl>
    <w:p w14:paraId="410A2AF4">
      <w:pPr>
        <w:pStyle w:val="9"/>
        <w:spacing w:line="360" w:lineRule="exact"/>
        <w:ind w:firstLine="420" w:firstLineChars="200"/>
        <w:rPr>
          <w:rFonts w:ascii="宋体" w:hAnsi="宋体" w:cs="宋体"/>
          <w:color w:val="auto"/>
          <w:szCs w:val="21"/>
          <w:highlight w:val="none"/>
        </w:rPr>
      </w:pPr>
    </w:p>
    <w:p w14:paraId="0804842F">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5DDA53E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A8603A7">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8E0ACF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7B2DEC">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25D8E1E7">
      <w:pPr>
        <w:pStyle w:val="3"/>
        <w:jc w:val="center"/>
        <w:rPr>
          <w:rFonts w:ascii="宋体" w:hAnsi="宋体" w:cs="宋体"/>
          <w:b w:val="0"/>
          <w:color w:val="auto"/>
          <w:highlight w:val="none"/>
        </w:rPr>
      </w:pPr>
      <w:bookmarkStart w:id="40" w:name="_Toc28882"/>
      <w:r>
        <w:rPr>
          <w:rFonts w:hint="eastAsia" w:ascii="宋体" w:hAnsi="宋体" w:cs="宋体"/>
          <w:b w:val="0"/>
          <w:color w:val="auto"/>
          <w:highlight w:val="none"/>
        </w:rPr>
        <w:t>第一节 供应商须知前附表</w:t>
      </w:r>
      <w:bookmarkEnd w:id="40"/>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90A3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
                <w:bCs/>
                <w:color w:val="auto"/>
                <w:szCs w:val="21"/>
                <w:highlight w:val="none"/>
              </w:rPr>
              <w:t>（必须提供，否则响应文件按无效响应处理）</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28C2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16DC39">
            <w:pPr>
              <w:spacing w:line="360" w:lineRule="auto"/>
              <w:rPr>
                <w:rFonts w:hint="eastAsia" w:ascii="微软雅黑" w:hAnsi="微软雅黑" w:eastAsia="微软雅黑" w:cs="微软雅黑"/>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资格要求</w:t>
            </w:r>
            <w:r>
              <w:rPr>
                <w:rFonts w:hint="eastAsia" w:ascii="宋体" w:hAnsi="宋体" w:cs="宋体"/>
                <w:color w:val="auto"/>
                <w:szCs w:val="21"/>
                <w:highlight w:val="none"/>
                <w:lang w:eastAsia="zh-CN"/>
              </w:rPr>
              <w:t>：</w:t>
            </w:r>
            <w:r>
              <w:rPr>
                <w:rFonts w:hint="default" w:ascii="Calibri" w:hAnsi="Calibri" w:cs="Calibri"/>
                <w:color w:val="auto"/>
                <w:szCs w:val="21"/>
                <w:highlight w:val="none"/>
                <w:lang w:eastAsia="zh-CN"/>
              </w:rPr>
              <w:t>①</w:t>
            </w:r>
            <w:r>
              <w:rPr>
                <w:rFonts w:hint="eastAsia" w:ascii="宋体" w:hAnsi="宋体" w:cs="宋体"/>
                <w:color w:val="auto"/>
                <w:szCs w:val="21"/>
                <w:highlight w:val="none"/>
              </w:rPr>
              <w:t>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r>
              <w:rPr>
                <w:rFonts w:hint="default" w:ascii="Calibri" w:hAnsi="Calibri" w:cs="Calibri"/>
                <w:color w:val="auto"/>
                <w:szCs w:val="21"/>
                <w:highlight w:val="none"/>
              </w:rPr>
              <w:t>②</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w:t>
            </w:r>
            <w:r>
              <w:rPr>
                <w:rFonts w:hint="eastAsia" w:ascii="宋体" w:hAnsi="宋体" w:eastAsia="宋体" w:cs="宋体"/>
                <w:color w:val="auto"/>
                <w:szCs w:val="21"/>
                <w:highlight w:val="none"/>
              </w:rPr>
              <w:t>运输行政主管部门颁发的安全生产考核合格证(“三类人员”B 类证书)</w:t>
            </w:r>
            <w:r>
              <w:rPr>
                <w:rFonts w:hint="eastAsia" w:ascii="宋体" w:hAnsi="宋体" w:eastAsia="宋体" w:cs="宋体"/>
                <w:color w:val="auto"/>
                <w:szCs w:val="21"/>
                <w:highlight w:val="none"/>
                <w:lang w:eastAsia="zh-CN"/>
              </w:rPr>
              <w:t>，</w:t>
            </w:r>
            <w:r>
              <w:rPr>
                <w:rFonts w:hint="default" w:ascii="Calibri" w:hAnsi="Calibri" w:eastAsia="宋体" w:cs="Calibri"/>
                <w:color w:val="auto"/>
                <w:szCs w:val="21"/>
                <w:highlight w:val="none"/>
                <w:lang w:eastAsia="zh-CN"/>
              </w:rPr>
              <w:t>③</w:t>
            </w:r>
            <w:r>
              <w:rPr>
                <w:rFonts w:hint="eastAsia" w:ascii="宋体" w:hAnsi="宋体" w:eastAsia="宋体" w:cs="宋体"/>
                <w:color w:val="auto"/>
                <w:szCs w:val="21"/>
                <w:highlight w:val="none"/>
                <w:lang w:val="en-US" w:eastAsia="zh-CN"/>
              </w:rPr>
              <w:t>拟投入本项目的安全员应具有省级（或以上）交通主管部门颁发的《安全生产考核合格证书》 C证。</w:t>
            </w:r>
          </w:p>
          <w:p w14:paraId="58F19C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05142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7.承诺函；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6F6A049">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B23575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5AAFADD">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1E3F7A">
            <w:pPr>
              <w:spacing w:line="360" w:lineRule="auto"/>
              <w:rPr>
                <w:rFonts w:ascii="宋体" w:hAnsi="宋体" w:cs="宋体"/>
                <w:color w:val="auto"/>
                <w:szCs w:val="21"/>
                <w:highlight w:val="none"/>
              </w:rPr>
            </w:pPr>
            <w:r>
              <w:rPr>
                <w:rFonts w:hint="eastAsia" w:ascii="宋体" w:hAnsi="宋体" w:cs="宋体"/>
                <w:color w:val="auto"/>
                <w:szCs w:val="21"/>
                <w:highlight w:val="none"/>
              </w:rPr>
              <w:t>5.服务需求偏离表；</w:t>
            </w:r>
            <w:r>
              <w:rPr>
                <w:rFonts w:hint="eastAsia" w:ascii="宋体" w:hAnsi="宋体" w:cs="宋体"/>
                <w:b/>
                <w:bCs/>
                <w:color w:val="auto"/>
                <w:szCs w:val="21"/>
                <w:highlight w:val="none"/>
              </w:rPr>
              <w:t>（必须提供，否则响应文件按无效响应处理）</w:t>
            </w:r>
          </w:p>
          <w:p w14:paraId="3791A2CF">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6.施工组织设计；</w:t>
            </w:r>
            <w:r>
              <w:rPr>
                <w:rFonts w:hint="eastAsia" w:ascii="宋体" w:hAnsi="宋体" w:cs="宋体"/>
                <w:b/>
                <w:bCs/>
                <w:color w:val="auto"/>
                <w:szCs w:val="21"/>
                <w:highlight w:val="none"/>
              </w:rPr>
              <w:t>（必须提供，否则响应文件按无效响应处理）</w:t>
            </w:r>
          </w:p>
          <w:p w14:paraId="6340961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项目实施人员一览表</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p w14:paraId="58912178">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default" w:ascii="宋体" w:hAnsi="宋体" w:cs="宋体"/>
                <w:color w:val="auto"/>
                <w:szCs w:val="21"/>
                <w:highlight w:val="none"/>
                <w:lang w:val="en-US" w:eastAsia="zh-CN"/>
              </w:rPr>
              <w:t>.代理服务费承诺书（格式后附）；</w:t>
            </w:r>
          </w:p>
          <w:p w14:paraId="7A418BBD">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default" w:ascii="宋体" w:hAnsi="宋体" w:cs="宋体"/>
                <w:color w:val="auto"/>
                <w:szCs w:val="21"/>
                <w:highlight w:val="none"/>
                <w:lang w:val="en-US" w:eastAsia="zh-CN"/>
              </w:rPr>
              <w:t>.对应采购需求的服务需求、商务条款提供的其他文件资料；</w:t>
            </w:r>
          </w:p>
          <w:p w14:paraId="3CDBF3B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2C2EF8F0">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广西昊泰工程咨询有限公司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0771-3802986</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南宁市青秀区园湖南路31号祥龙大厦3楼312号</w:t>
            </w:r>
            <w:r>
              <w:rPr>
                <w:rFonts w:hint="eastAsia" w:ascii="宋体" w:hAnsi="宋体" w:cs="宋体"/>
                <w:color w:val="auto"/>
                <w:szCs w:val="21"/>
                <w:highlight w:val="none"/>
              </w:rPr>
              <w:t xml:space="preserve">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上思县农业农村局</w:t>
            </w:r>
            <w:r>
              <w:rPr>
                <w:rFonts w:hint="eastAsia" w:ascii="宋体" w:hAnsi="宋体" w:cs="宋体"/>
                <w:color w:val="auto"/>
                <w:szCs w:val="21"/>
                <w:highlight w:val="none"/>
              </w:rPr>
              <w:t>部门；</w:t>
            </w:r>
          </w:p>
          <w:p w14:paraId="4F026B9D">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上思县思阳镇仁甫西路农业农村局</w:t>
            </w:r>
            <w:r>
              <w:rPr>
                <w:rFonts w:hint="eastAsia" w:ascii="宋体" w:hAnsi="宋体" w:cs="宋体"/>
                <w:color w:val="auto"/>
                <w:szCs w:val="21"/>
                <w:highlight w:val="none"/>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DC8AD2B">
            <w:pPr>
              <w:snapToGrid w:val="0"/>
              <w:spacing w:line="380" w:lineRule="exact"/>
              <w:rPr>
                <w:rFonts w:ascii="宋体" w:hAnsi="宋体" w:cs="宋体"/>
                <w:color w:val="auto"/>
                <w:highlight w:val="none"/>
              </w:rPr>
            </w:pPr>
            <w:r>
              <w:rPr>
                <w:rFonts w:hint="eastAsia" w:ascii="宋体" w:hAnsi="宋体" w:cs="宋体"/>
                <w:color w:val="auto"/>
                <w:highlight w:val="none"/>
              </w:rPr>
              <w:t>名称：上思县政府采购中心</w:t>
            </w:r>
          </w:p>
          <w:p w14:paraId="249962BF">
            <w:pPr>
              <w:snapToGrid w:val="0"/>
              <w:spacing w:line="380" w:lineRule="exact"/>
              <w:rPr>
                <w:rFonts w:ascii="宋体" w:hAnsi="宋体" w:cs="宋体"/>
                <w:color w:val="auto"/>
                <w:highlight w:val="none"/>
              </w:rPr>
            </w:pPr>
            <w:r>
              <w:rPr>
                <w:rFonts w:hint="eastAsia" w:ascii="宋体" w:hAnsi="宋体" w:cs="宋体"/>
                <w:color w:val="auto"/>
                <w:highlight w:val="none"/>
              </w:rPr>
              <w:t>地址：上思县思阳镇更生路财政大厦</w:t>
            </w:r>
          </w:p>
          <w:p w14:paraId="6032D124">
            <w:pPr>
              <w:snapToGrid w:val="0"/>
              <w:spacing w:line="380" w:lineRule="exact"/>
              <w:rPr>
                <w:rFonts w:ascii="宋体" w:hAnsi="宋体" w:cs="宋体"/>
                <w:color w:val="auto"/>
                <w:highlight w:val="none"/>
              </w:rPr>
            </w:pPr>
            <w:r>
              <w:rPr>
                <w:rFonts w:hint="eastAsia" w:ascii="宋体" w:hAnsi="宋体" w:cs="宋体"/>
                <w:color w:val="auto"/>
                <w:highlight w:val="none"/>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616EDE8">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230BF54B">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本项目采购代理费按以下费率采用累进法计算，并以成交</w:t>
            </w:r>
            <w:r>
              <w:rPr>
                <w:rFonts w:hint="eastAsia" w:hAnsi="宋体" w:cs="宋体"/>
                <w:color w:val="auto"/>
                <w:sz w:val="21"/>
                <w:highlight w:val="none"/>
                <w:lang w:val="en-US" w:eastAsia="zh-CN"/>
              </w:rPr>
              <w:t>总</w:t>
            </w:r>
            <w:r>
              <w:rPr>
                <w:rFonts w:hint="eastAsia" w:hAnsi="宋体" w:cs="宋体"/>
                <w:color w:val="auto"/>
                <w:sz w:val="21"/>
                <w:highlight w:val="none"/>
              </w:rPr>
              <w:t>金额为基价计取采购代理费。采购代理费由采购代理机构向成交供应商收取。成交供应商在领取成交通知书前一次性向采购代理机构付清采购代理费。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w:t>
                  </w:r>
                </w:p>
              </w:tc>
            </w:tr>
          </w:tbl>
          <w:p w14:paraId="18E3B210">
            <w:pPr>
              <w:pStyle w:val="15"/>
              <w:snapToGrid w:val="0"/>
              <w:spacing w:line="380" w:lineRule="exact"/>
              <w:rPr>
                <w:rFonts w:hAnsi="宋体" w:cs="宋体"/>
                <w:color w:val="auto"/>
                <w:sz w:val="21"/>
                <w:highlight w:val="none"/>
              </w:rPr>
            </w:pP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5D33DA">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p w14:paraId="6EC46F26">
            <w:pPr>
              <w:rPr>
                <w:rFonts w:hint="default" w:eastAsia="宋体"/>
                <w:color w:val="auto"/>
                <w:highlight w:val="none"/>
                <w:lang w:val="en-US" w:eastAsia="zh-CN"/>
              </w:rPr>
            </w:pPr>
            <w:bookmarkStart w:id="517" w:name="_GoBack"/>
            <w:bookmarkEnd w:id="517"/>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73FD994D">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3" w:name="_Toc254970532"/>
      <w:bookmarkStart w:id="44" w:name="_Toc254970673"/>
      <w:r>
        <w:rPr>
          <w:rFonts w:hint="eastAsia" w:ascii="宋体" w:hAnsi="宋体" w:cs="宋体"/>
          <w:b/>
          <w:bCs/>
          <w:color w:val="auto"/>
          <w:sz w:val="24"/>
          <w:highlight w:val="none"/>
        </w:rPr>
        <w:t>7.特别说明</w:t>
      </w:r>
      <w:bookmarkEnd w:id="43"/>
      <w:bookmarkEnd w:id="44"/>
    </w:p>
    <w:p w14:paraId="2C89F6E8">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7" w:name="_Toc254970534"/>
      <w:bookmarkStart w:id="48" w:name="_Toc254970675"/>
      <w:bookmarkStart w:id="49" w:name="_Toc5567"/>
      <w:r>
        <w:rPr>
          <w:rFonts w:hint="eastAsia" w:ascii="宋体" w:hAnsi="宋体" w:cs="宋体"/>
          <w:b w:val="0"/>
          <w:bCs w:val="0"/>
          <w:color w:val="auto"/>
          <w:highlight w:val="none"/>
        </w:rPr>
        <w:t>二、磋商文件</w:t>
      </w:r>
      <w:bookmarkEnd w:id="47"/>
      <w:bookmarkEnd w:id="48"/>
      <w:bookmarkEnd w:id="49"/>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68C531F4">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第七章 </w:t>
      </w:r>
      <w:r>
        <w:rPr>
          <w:rFonts w:hint="eastAsia" w:ascii="宋体" w:hAnsi="宋体" w:eastAsia="宋体" w:cs="宋体"/>
          <w:b w:val="0"/>
          <w:bCs w:val="0"/>
          <w:color w:val="auto"/>
          <w:highlight w:val="none"/>
        </w:rPr>
        <w:t>工程量清单、图纸</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6"/>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6"/>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5AF1CD76">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7A120D4">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E7FB631">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9"/>
          <w:rFonts w:hint="eastAsia" w:ascii="宋体" w:hAnsi="宋体" w:cs="宋体"/>
          <w:color w:val="auto"/>
          <w:highlight w:val="none"/>
        </w:rPr>
        <w:t>www.creditchina.gov.cn</w:t>
      </w:r>
      <w:r>
        <w:rPr>
          <w:rStyle w:val="29"/>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9"/>
          <w:rFonts w:hint="eastAsia" w:ascii="宋体" w:hAnsi="宋体" w:cs="宋体"/>
          <w:color w:val="auto"/>
          <w:highlight w:val="none"/>
        </w:rPr>
        <w:t>www.ccgp.gov.cn</w:t>
      </w:r>
      <w:r>
        <w:rPr>
          <w:rStyle w:val="29"/>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ascii="宋体" w:hAnsi="宋体" w:cs="宋体"/>
                <w:b/>
                <w:color w:val="auto"/>
                <w:kern w:val="0"/>
                <w:szCs w:val="21"/>
                <w:highlight w:val="none"/>
              </w:rPr>
              <w:t>施工组织设计评分标准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099A86BD">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zh-CN"/>
              </w:rPr>
              <w:t>总体施工组织布置及规划</w:t>
            </w:r>
          </w:p>
        </w:tc>
        <w:tc>
          <w:tcPr>
            <w:tcW w:w="7110" w:type="dxa"/>
            <w:vAlign w:val="center"/>
          </w:tcPr>
          <w:p w14:paraId="18E44691">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一档（0分）：未提供施工总平面布置图，或提供的施工总平面布置图与本项目无关的。</w:t>
            </w:r>
          </w:p>
          <w:p w14:paraId="6F58B83C">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二档（1分）：有施工总平面布置图，但安排不合理，不符合本项目施工实际要求或不符合安全、文明生产要求。</w:t>
            </w:r>
          </w:p>
          <w:p w14:paraId="6C27C3A6">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三档（3分）：有施工总平面布置图，安排基本科学合理，基本符合本项目施工实际要求。</w:t>
            </w:r>
          </w:p>
          <w:p w14:paraId="07338A4D">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四档（5分）：有施工总平面布置图，安排科学合理，符合本项目施工实际要求。</w:t>
            </w:r>
          </w:p>
        </w:tc>
        <w:tc>
          <w:tcPr>
            <w:tcW w:w="772" w:type="dxa"/>
            <w:vAlign w:val="center"/>
          </w:tcPr>
          <w:p w14:paraId="13328BBC">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748136D">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施工方案、方法与技术措施</w:t>
            </w:r>
          </w:p>
        </w:tc>
        <w:tc>
          <w:tcPr>
            <w:tcW w:w="7110" w:type="dxa"/>
            <w:vAlign w:val="center"/>
          </w:tcPr>
          <w:p w14:paraId="5434298F">
            <w:pPr>
              <w:spacing w:line="400" w:lineRule="exact"/>
              <w:ind w:firstLine="42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一档（0分）：未提供主要工程项目的施工方案、方法与技术措施，或提供的方案与本项目无关的。</w:t>
            </w:r>
          </w:p>
          <w:p w14:paraId="00A8EC0F">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档（5分）：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方法与技术措施不完整</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lang w:val="en-US" w:eastAsia="zh-CN"/>
              </w:rPr>
              <w:t>基本满足项目实施需求，但不能确保施工安全</w:t>
            </w:r>
            <w:r>
              <w:rPr>
                <w:rFonts w:hint="eastAsia" w:ascii="宋体" w:hAnsi="宋体" w:cs="宋体"/>
                <w:bCs/>
                <w:color w:val="auto"/>
                <w:kern w:val="0"/>
                <w:szCs w:val="21"/>
                <w:highlight w:val="none"/>
              </w:rPr>
              <w:t xml:space="preserve">。 </w:t>
            </w:r>
          </w:p>
          <w:p w14:paraId="4D786C5D">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档（10分）：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方法与技术措施完整，</w:t>
            </w:r>
            <w:r>
              <w:rPr>
                <w:rFonts w:hint="eastAsia" w:ascii="宋体" w:hAnsi="宋体" w:cs="宋体"/>
                <w:bCs/>
                <w:color w:val="auto"/>
                <w:kern w:val="0"/>
                <w:szCs w:val="21"/>
                <w:highlight w:val="none"/>
              </w:rPr>
              <w:t xml:space="preserve">有详尽的施工技术方案，有主要分部工程施工步骤、施工要点，能指导具体施工并确保安全。 </w:t>
            </w:r>
          </w:p>
          <w:p w14:paraId="29C76F73">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w:t>
            </w:r>
            <w:r>
              <w:rPr>
                <w:rFonts w:hint="eastAsia" w:ascii="宋体" w:hAnsi="宋体" w:cs="宋体"/>
                <w:bCs/>
                <w:color w:val="auto"/>
                <w:kern w:val="0"/>
                <w:szCs w:val="21"/>
                <w:highlight w:val="none"/>
              </w:rPr>
              <w:t>档（15分）：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方法与技术措施详尽完整，</w:t>
            </w:r>
            <w:r>
              <w:rPr>
                <w:rFonts w:hint="eastAsia" w:ascii="宋体" w:hAnsi="宋体" w:cs="宋体"/>
                <w:bCs/>
                <w:color w:val="auto"/>
                <w:kern w:val="0"/>
                <w:szCs w:val="21"/>
                <w:highlight w:val="none"/>
              </w:rPr>
              <w:t>各主要分部施工方法符合项目实际，有详尽的施工技术方案，主要分部工程施工工序、施工步骤、施工要点、施工工艺方案具有先进性，施工准备、技术准备或交底、各工种施工配合方案具有针对性，能高效指导具体施工并确保安全。</w:t>
            </w:r>
          </w:p>
        </w:tc>
        <w:tc>
          <w:tcPr>
            <w:tcW w:w="772" w:type="dxa"/>
            <w:vAlign w:val="center"/>
          </w:tcPr>
          <w:p w14:paraId="04CAFB12">
            <w:pPr>
              <w:spacing w:line="360" w:lineRule="exact"/>
              <w:jc w:val="center"/>
              <w:rPr>
                <w:rFonts w:ascii="宋体" w:hAnsi="宋体" w:cs="宋体"/>
                <w:color w:val="auto"/>
                <w:kern w:val="0"/>
                <w:szCs w:val="21"/>
                <w:highlight w:val="none"/>
              </w:rPr>
            </w:pPr>
            <w:r>
              <w:rPr>
                <w:rFonts w:ascii="宋体" w:hAnsi="宋体" w:cs="宋体"/>
                <w:bCs/>
                <w:color w:val="auto"/>
                <w:kern w:val="0"/>
                <w:szCs w:val="21"/>
                <w:highlight w:val="none"/>
              </w:rPr>
              <w:t>15</w:t>
            </w:r>
            <w:r>
              <w:rPr>
                <w:rFonts w:hint="eastAsia" w:ascii="宋体" w:hAnsi="宋体" w:cs="宋体"/>
                <w:bCs/>
                <w:color w:val="auto"/>
                <w:kern w:val="0"/>
                <w:szCs w:val="21"/>
                <w:highlight w:val="none"/>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拟投入的主要物资计划、劳动力安排计划方案</w:t>
            </w:r>
          </w:p>
        </w:tc>
        <w:tc>
          <w:tcPr>
            <w:tcW w:w="7110" w:type="dxa"/>
            <w:vAlign w:val="center"/>
          </w:tcPr>
          <w:p w14:paraId="17B69B93">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一档（0分）：</w:t>
            </w:r>
            <w:r>
              <w:rPr>
                <w:rFonts w:hint="eastAsia" w:ascii="宋体" w:hAnsi="宋体" w:eastAsia="宋体" w:cs="宋体"/>
                <w:bCs/>
                <w:color w:val="auto"/>
                <w:sz w:val="21"/>
                <w:highlight w:val="none"/>
                <w:lang w:val="en-US" w:eastAsia="zh-CN"/>
              </w:rPr>
              <w:t>没有提供</w:t>
            </w:r>
            <w:r>
              <w:rPr>
                <w:rFonts w:hint="eastAsia" w:ascii="宋体" w:hAnsi="宋体" w:eastAsia="宋体" w:cs="宋体"/>
                <w:bCs/>
                <w:color w:val="auto"/>
                <w:sz w:val="21"/>
                <w:highlight w:val="none"/>
              </w:rPr>
              <w:t>拟投入的主要物资计划、劳动力安排计划方案</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lang w:val="en-US" w:eastAsia="zh-CN"/>
              </w:rPr>
              <w:t>或内容与本项目无关。</w:t>
            </w:r>
          </w:p>
          <w:p w14:paraId="25290D39">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二</w:t>
            </w:r>
            <w:r>
              <w:rPr>
                <w:rFonts w:hint="eastAsia" w:ascii="宋体" w:hAnsi="宋体" w:eastAsia="宋体" w:cs="宋体"/>
                <w:bCs/>
                <w:color w:val="auto"/>
                <w:sz w:val="21"/>
                <w:highlight w:val="none"/>
              </w:rPr>
              <w:t>档（</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分）：投入的施工材料有组织计划，基本满足施工需要。各主</w:t>
            </w:r>
            <w:r>
              <w:rPr>
                <w:rFonts w:hint="eastAsia" w:hAnsi="宋体" w:cs="宋体"/>
                <w:bCs/>
                <w:color w:val="auto"/>
                <w:sz w:val="21"/>
                <w:highlight w:val="none"/>
              </w:rPr>
              <w:t>要施工工序有劳动力安排计划，有各工种劳动力安排计划，基本能满足施工需要。</w:t>
            </w:r>
          </w:p>
          <w:p w14:paraId="0ADFD14E">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三</w:t>
            </w:r>
            <w:r>
              <w:rPr>
                <w:rFonts w:hint="eastAsia" w:hAnsi="宋体" w:cs="宋体"/>
                <w:bCs/>
                <w:color w:val="auto"/>
                <w:sz w:val="21"/>
                <w:highlight w:val="none"/>
              </w:rPr>
              <w:t>档（</w:t>
            </w:r>
            <w:r>
              <w:rPr>
                <w:rFonts w:hint="eastAsia" w:hAnsi="宋体" w:cs="宋体"/>
                <w:bCs/>
                <w:color w:val="auto"/>
                <w:sz w:val="21"/>
                <w:highlight w:val="none"/>
                <w:lang w:val="en-US" w:eastAsia="zh-CN"/>
              </w:rPr>
              <w:t>6</w:t>
            </w:r>
            <w:r>
              <w:rPr>
                <w:rFonts w:hint="eastAsia" w:hAnsi="宋体" w:cs="宋体"/>
                <w:bCs/>
                <w:color w:val="auto"/>
                <w:sz w:val="21"/>
                <w:highlight w:val="none"/>
              </w:rPr>
              <w:t>分）：投入的主要物资计划与进度计划呼应，满足施工需要，定量定点堆放物资。各主要施工工序有周密的劳动力安排计划，不窝工，有各工种劳动力安排计划，能满足施工需要。</w:t>
            </w:r>
          </w:p>
          <w:p w14:paraId="58050F66">
            <w:pPr>
              <w:pStyle w:val="15"/>
              <w:spacing w:line="400" w:lineRule="exact"/>
              <w:ind w:firstLine="420" w:firstLineChars="200"/>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四</w:t>
            </w:r>
            <w:r>
              <w:rPr>
                <w:rFonts w:hint="eastAsia" w:hAnsi="宋体" w:cs="宋体"/>
                <w:bCs/>
                <w:color w:val="auto"/>
                <w:sz w:val="21"/>
                <w:highlight w:val="none"/>
              </w:rPr>
              <w:t>档（1</w:t>
            </w:r>
            <w:r>
              <w:rPr>
                <w:rFonts w:hint="eastAsia" w:hAnsi="宋体" w:cs="宋体"/>
                <w:bCs/>
                <w:color w:val="auto"/>
                <w:sz w:val="21"/>
                <w:highlight w:val="none"/>
                <w:lang w:val="en-US" w:eastAsia="zh-CN"/>
              </w:rPr>
              <w:t>0</w:t>
            </w:r>
            <w:r>
              <w:rPr>
                <w:rFonts w:hint="eastAsia" w:hAnsi="宋体" w:cs="宋体"/>
                <w:bCs/>
                <w:color w:val="auto"/>
                <w:sz w:val="21"/>
                <w:highlight w:val="none"/>
              </w:rPr>
              <w:t>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tc>
        <w:tc>
          <w:tcPr>
            <w:tcW w:w="772" w:type="dxa"/>
            <w:vAlign w:val="center"/>
          </w:tcPr>
          <w:p w14:paraId="0A43CAE9">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工程质量管理体系及保证措施</w:t>
            </w:r>
          </w:p>
        </w:tc>
        <w:tc>
          <w:tcPr>
            <w:tcW w:w="7110" w:type="dxa"/>
            <w:vAlign w:val="center"/>
          </w:tcPr>
          <w:p w14:paraId="144CD6D2">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一档（0分）：没有工程质量管理体系及保证措施的</w:t>
            </w:r>
            <w:r>
              <w:rPr>
                <w:rFonts w:hint="eastAsia" w:hAnsi="宋体" w:cs="宋体"/>
                <w:bCs/>
                <w:color w:val="auto"/>
                <w:sz w:val="21"/>
                <w:highlight w:val="none"/>
                <w:lang w:val="en-US" w:eastAsia="zh-CN"/>
              </w:rPr>
              <w:t>，或内容与本项目无关。</w:t>
            </w:r>
          </w:p>
          <w:p w14:paraId="2C7A3F51">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二档（1分）：主要工序无质量技术保证措施和手段，自控体系不完整，或不能有效保证技术质量，达不到承诺的质量标准。</w:t>
            </w:r>
          </w:p>
          <w:p w14:paraId="2AB5CCB0">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三档（3分）：主要工序有质量技术保证措施和手段，自控体系基本完整，基本能有效保证技术质量，达到承诺的质量标准。</w:t>
            </w:r>
          </w:p>
          <w:p w14:paraId="7315B3BA">
            <w:pPr>
              <w:pStyle w:val="15"/>
              <w:spacing w:line="400" w:lineRule="exact"/>
              <w:ind w:firstLine="420" w:firstLineChars="200"/>
              <w:rPr>
                <w:rFonts w:hint="default"/>
                <w:color w:val="auto"/>
                <w:highlight w:val="none"/>
                <w:lang w:val="en-US" w:eastAsia="zh-CN"/>
              </w:rPr>
            </w:pPr>
            <w:r>
              <w:rPr>
                <w:rFonts w:hint="eastAsia" w:ascii="宋体" w:hAnsi="宋体" w:eastAsia="宋体" w:cs="宋体"/>
                <w:bCs/>
                <w:color w:val="auto"/>
                <w:sz w:val="21"/>
                <w:highlight w:val="none"/>
                <w:lang w:val="en-US" w:eastAsia="zh-CN"/>
              </w:rPr>
              <w:t>四档（5分）：主要工序有详细的质量技术保证措施和手段，自控体系完整，能有效保证技术质量，达到承诺的质量标准。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安全生产管理体系及保证措施</w:t>
            </w:r>
          </w:p>
        </w:tc>
        <w:tc>
          <w:tcPr>
            <w:tcW w:w="7110" w:type="dxa"/>
            <w:vAlign w:val="center"/>
          </w:tcPr>
          <w:p w14:paraId="620F91BB">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一档（0分）：没有安全生产管理体系及保证措施</w:t>
            </w:r>
            <w:r>
              <w:rPr>
                <w:rFonts w:hint="eastAsia" w:hAnsi="宋体" w:cs="宋体"/>
                <w:bCs/>
                <w:color w:val="auto"/>
                <w:sz w:val="21"/>
                <w:highlight w:val="none"/>
                <w:lang w:val="en-US" w:eastAsia="zh-CN"/>
              </w:rPr>
              <w:t>，或内容与本项目无关。</w:t>
            </w:r>
          </w:p>
          <w:p w14:paraId="3123E724">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无专门的安全管理人员或制度，或人员配备不合理，制度不健全，或各道工序安全技术措施无针对性，不符合实际不满足有关安全技术标准要求。或现场防火、应急救援、社会治安安全措施不可行。</w:t>
            </w:r>
          </w:p>
          <w:p w14:paraId="1219E35C">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三档（3分）：有专门的安全管理人员（至少1名）和制度，制度健全，各道工序安全技术措施有针对性，满足施工安全技术标准要求。现场防火、应急救援、社会治安安全措施基本可行。</w:t>
            </w:r>
          </w:p>
          <w:p w14:paraId="179DB0BF">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四档（5分）：有专门的安全管理人员（至少2名）和制度，且人员配备合理，制度健全，各道工序安全技术措施针对性强，符合项目实际且满足施工安全技术标准要求。现场防火、应急救援、社会治安安全措施得力。</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7B24EA84">
            <w:pPr>
              <w:adjustRightInd w:val="0"/>
              <w:spacing w:line="400" w:lineRule="exact"/>
              <w:jc w:val="center"/>
              <w:textAlignment w:val="baseline"/>
              <w:rPr>
                <w:rFonts w:ascii="宋体" w:hAnsi="宋体" w:cs="宋体"/>
                <w:bCs/>
                <w:color w:val="auto"/>
                <w:kern w:val="0"/>
                <w:szCs w:val="21"/>
                <w:highlight w:val="none"/>
              </w:rPr>
            </w:pPr>
            <w:r>
              <w:rPr>
                <w:rFonts w:ascii="宋体" w:hAnsi="宋体" w:cs="宋体"/>
                <w:bCs/>
                <w:color w:val="auto"/>
                <w:kern w:val="0"/>
                <w:szCs w:val="21"/>
                <w:highlight w:val="none"/>
              </w:rPr>
              <w:t>工期保证体系及保证措施</w:t>
            </w:r>
          </w:p>
        </w:tc>
        <w:tc>
          <w:tcPr>
            <w:tcW w:w="7110" w:type="dxa"/>
            <w:vAlign w:val="center"/>
          </w:tcPr>
          <w:p w14:paraId="26CAE670">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ascii="宋体" w:hAnsi="宋体" w:eastAsia="宋体" w:cs="宋体"/>
                <w:bCs/>
                <w:color w:val="auto"/>
                <w:sz w:val="21"/>
                <w:highlight w:val="none"/>
                <w:lang w:val="zh-CN"/>
              </w:rPr>
              <w:t>没有确保工期的技术组织措施。</w:t>
            </w:r>
          </w:p>
          <w:p w14:paraId="5D9BFA77">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二档（1分）：无保证工期的具体措施或措施不得当。或者无控制工期的施工进度计划。或者无施工总进度表或施工网络图，或各项计划图表编制不完善，安排不合理，不符合本项目施工实际要求。</w:t>
            </w:r>
          </w:p>
          <w:p w14:paraId="676F7CC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r>
              <w:rPr>
                <w:rFonts w:hint="eastAsia" w:hAnsi="宋体" w:cs="宋体"/>
                <w:bCs/>
                <w:color w:val="auto"/>
                <w:sz w:val="21"/>
                <w:highlight w:val="none"/>
              </w:rPr>
              <w:t>。</w:t>
            </w:r>
          </w:p>
          <w:p w14:paraId="4B6C96AC">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772" w:type="dxa"/>
            <w:vAlign w:val="center"/>
          </w:tcPr>
          <w:p w14:paraId="5178397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265D00B0">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文明施工、文物保护保证体系及保证措施</w:t>
            </w:r>
          </w:p>
        </w:tc>
        <w:tc>
          <w:tcPr>
            <w:tcW w:w="7110" w:type="dxa"/>
            <w:vAlign w:val="center"/>
          </w:tcPr>
          <w:p w14:paraId="7556D67C">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无现场</w:t>
            </w:r>
            <w:r>
              <w:rPr>
                <w:rFonts w:hint="eastAsia" w:hAnsi="宋体" w:cs="宋体"/>
                <w:bCs/>
                <w:color w:val="auto"/>
                <w:sz w:val="21"/>
                <w:highlight w:val="none"/>
              </w:rPr>
              <w:t>文明施工、文物保护保证体系及保证措施</w:t>
            </w:r>
            <w:r>
              <w:rPr>
                <w:rFonts w:hint="eastAsia" w:ascii="宋体" w:hAnsi="宋体" w:eastAsia="宋体" w:cs="宋体"/>
                <w:bCs/>
                <w:color w:val="auto"/>
                <w:sz w:val="21"/>
                <w:highlight w:val="none"/>
                <w:lang w:val="zh-CN"/>
              </w:rPr>
              <w:t>，</w:t>
            </w:r>
            <w:r>
              <w:rPr>
                <w:rFonts w:hint="eastAsia" w:hAnsi="宋体" w:cs="宋体"/>
                <w:bCs/>
                <w:color w:val="auto"/>
                <w:sz w:val="21"/>
                <w:highlight w:val="none"/>
                <w:lang w:val="en-US" w:eastAsia="zh-CN"/>
              </w:rPr>
              <w:t>或内容与本项目无关。</w:t>
            </w:r>
          </w:p>
          <w:p w14:paraId="1D1FDE8B">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ascii="宋体" w:hAnsi="宋体" w:eastAsia="宋体" w:cs="宋体"/>
                <w:bCs/>
                <w:color w:val="auto"/>
                <w:sz w:val="21"/>
                <w:highlight w:val="none"/>
                <w:lang w:val="zh-CN"/>
              </w:rPr>
              <w:t>环境保护措施内容达不到</w:t>
            </w:r>
            <w:r>
              <w:rPr>
                <w:rFonts w:hint="eastAsia" w:ascii="宋体" w:hAnsi="宋体" w:eastAsia="宋体" w:cs="宋体"/>
                <w:bCs/>
                <w:color w:val="auto"/>
                <w:sz w:val="21"/>
                <w:highlight w:val="none"/>
                <w:lang w:val="en-US" w:eastAsia="zh-CN"/>
              </w:rPr>
              <w:t>采购需求</w:t>
            </w:r>
            <w:r>
              <w:rPr>
                <w:rFonts w:hint="eastAsia" w:ascii="宋体" w:hAnsi="宋体" w:eastAsia="宋体" w:cs="宋体"/>
                <w:bCs/>
                <w:color w:val="auto"/>
                <w:sz w:val="21"/>
                <w:highlight w:val="none"/>
                <w:lang w:val="zh-CN"/>
              </w:rPr>
              <w:t>，各项措施不可行。</w:t>
            </w:r>
          </w:p>
          <w:p w14:paraId="23D3FF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，且各项措施内容具体、基本可行</w:t>
            </w:r>
            <w:r>
              <w:rPr>
                <w:rFonts w:hint="eastAsia" w:hAnsi="宋体" w:cs="宋体"/>
                <w:bCs/>
                <w:color w:val="auto"/>
                <w:sz w:val="21"/>
                <w:highlight w:val="none"/>
              </w:rPr>
              <w:t>。</w:t>
            </w:r>
          </w:p>
          <w:p w14:paraId="328298F4">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四档（5分）：现场文明施工、文物保护保证体系</w:t>
            </w:r>
            <w:r>
              <w:rPr>
                <w:rFonts w:hint="eastAsia" w:hAnsi="宋体" w:cs="宋体"/>
                <w:bCs/>
                <w:color w:val="auto"/>
                <w:sz w:val="21"/>
                <w:highlight w:val="none"/>
                <w:lang w:val="zh-CN"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符合项目实际</w:t>
            </w:r>
            <w:r>
              <w:rPr>
                <w:rFonts w:hint="eastAsia" w:hAnsi="宋体" w:cs="宋体"/>
                <w:bCs/>
                <w:color w:val="auto"/>
                <w:sz w:val="21"/>
                <w:highlight w:val="none"/>
                <w:lang w:val="zh-CN"/>
              </w:rPr>
              <w:t>，且</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各项措施内容周全、具体、</w:t>
            </w:r>
            <w:r>
              <w:rPr>
                <w:rFonts w:hint="eastAsia" w:hAnsi="宋体" w:cs="宋体"/>
                <w:bCs/>
                <w:color w:val="auto"/>
                <w:sz w:val="21"/>
                <w:highlight w:val="none"/>
                <w:lang w:val="en-US" w:eastAsia="zh-CN"/>
              </w:rPr>
              <w:t>可行性高</w:t>
            </w:r>
            <w:r>
              <w:rPr>
                <w:rFonts w:hint="eastAsia" w:hAnsi="宋体" w:cs="宋体"/>
                <w:bCs/>
                <w:color w:val="auto"/>
                <w:sz w:val="21"/>
                <w:highlight w:val="none"/>
                <w:lang w:val="zh-CN"/>
              </w:rPr>
              <w:t>。</w:t>
            </w:r>
          </w:p>
        </w:tc>
        <w:tc>
          <w:tcPr>
            <w:tcW w:w="772" w:type="dxa"/>
            <w:vAlign w:val="center"/>
          </w:tcPr>
          <w:p w14:paraId="1A23E98F">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145EF377">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项目风险预测与防范，事故应急预案</w:t>
            </w:r>
          </w:p>
        </w:tc>
        <w:tc>
          <w:tcPr>
            <w:tcW w:w="7110" w:type="dxa"/>
            <w:vAlign w:val="center"/>
          </w:tcPr>
          <w:p w14:paraId="3B331186">
            <w:pPr>
              <w:pStyle w:val="15"/>
              <w:spacing w:line="400" w:lineRule="exact"/>
              <w:ind w:firstLine="420" w:firstLineChars="200"/>
              <w:rPr>
                <w:rFonts w:hint="default" w:hAnsi="宋体" w:eastAsia="宋体" w:cs="宋体"/>
                <w:bCs/>
                <w:color w:val="auto"/>
                <w:sz w:val="21"/>
                <w:highlight w:val="none"/>
                <w:lang w:val="en-US" w:eastAsia="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w:t>
            </w:r>
            <w:r>
              <w:rPr>
                <w:rFonts w:hint="eastAsia" w:hAnsi="宋体" w:cs="宋体"/>
                <w:bCs/>
                <w:color w:val="auto"/>
                <w:sz w:val="21"/>
                <w:highlight w:val="none"/>
              </w:rPr>
              <w:t>项目风险预测与防范，事故应急预案</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或内容与本项目无关。</w:t>
            </w:r>
          </w:p>
          <w:p w14:paraId="4052C58C">
            <w:pPr>
              <w:pStyle w:val="15"/>
              <w:spacing w:line="40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w:t>
            </w:r>
            <w:r>
              <w:rPr>
                <w:rFonts w:hint="eastAsia" w:hAnsi="宋体" w:cs="宋体"/>
                <w:bCs/>
                <w:color w:val="auto"/>
                <w:sz w:val="21"/>
                <w:highlight w:val="none"/>
                <w:lang w:val="en-US" w:eastAsia="zh-CN"/>
              </w:rPr>
              <w:t>2</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en-US"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en-US" w:eastAsia="zh-CN"/>
              </w:rPr>
              <w:t>内容不完整</w:t>
            </w:r>
            <w:r>
              <w:rPr>
                <w:rFonts w:hint="eastAsia" w:hAnsi="宋体" w:cs="宋体"/>
                <w:bCs/>
                <w:color w:val="auto"/>
                <w:sz w:val="21"/>
                <w:highlight w:val="none"/>
                <w:lang w:val="zh-CN"/>
              </w:rPr>
              <w:t>，</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rPr>
              <w:t>不</w:t>
            </w:r>
            <w:r>
              <w:rPr>
                <w:rFonts w:hint="eastAsia" w:hAnsi="宋体" w:cs="宋体"/>
                <w:bCs/>
                <w:color w:val="auto"/>
                <w:sz w:val="21"/>
                <w:highlight w:val="none"/>
                <w:lang w:val="en-US" w:eastAsia="zh-CN"/>
              </w:rPr>
              <w:t>可行</w:t>
            </w:r>
            <w:r>
              <w:rPr>
                <w:rFonts w:hint="eastAsia" w:hAnsi="宋体" w:cs="宋体"/>
                <w:bCs/>
                <w:color w:val="auto"/>
                <w:sz w:val="21"/>
                <w:highlight w:val="none"/>
                <w:lang w:val="zh-CN"/>
              </w:rPr>
              <w:t>。</w:t>
            </w:r>
          </w:p>
          <w:p w14:paraId="327218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6</w:t>
            </w:r>
            <w:r>
              <w:rPr>
                <w:rFonts w:hint="eastAsia" w:hAnsi="宋体" w:cs="宋体"/>
                <w:bCs/>
                <w:color w:val="auto"/>
                <w:sz w:val="21"/>
                <w:highlight w:val="none"/>
              </w:rPr>
              <w:t>分）：</w:t>
            </w:r>
            <w:r>
              <w:rPr>
                <w:rFonts w:hint="eastAsia" w:hAnsi="宋体" w:cs="宋体"/>
                <w:bCs/>
                <w:color w:val="auto"/>
                <w:sz w:val="21"/>
                <w:highlight w:val="none"/>
                <w:lang w:val="zh-CN"/>
              </w:rPr>
              <w:t>针对本工程项目特点，风险预测</w:t>
            </w:r>
            <w:r>
              <w:rPr>
                <w:rFonts w:hint="eastAsia" w:hAnsi="宋体" w:cs="宋体"/>
                <w:bCs/>
                <w:color w:val="auto"/>
                <w:sz w:val="21"/>
                <w:highlight w:val="none"/>
                <w:lang w:val="zh-CN" w:eastAsia="zh-CN"/>
              </w:rPr>
              <w:t>与防范</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eastAsia="zh-CN"/>
              </w:rPr>
              <w:t>、事故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齐全</w:t>
            </w:r>
            <w:r>
              <w:rPr>
                <w:rFonts w:hint="eastAsia" w:hAnsi="宋体" w:cs="宋体"/>
                <w:bCs/>
                <w:color w:val="auto"/>
                <w:sz w:val="21"/>
                <w:highlight w:val="none"/>
                <w:lang w:val="zh-CN"/>
              </w:rPr>
              <w:t>，且各项措施具体、</w:t>
            </w:r>
            <w:r>
              <w:rPr>
                <w:rFonts w:hint="eastAsia" w:hAnsi="宋体" w:cs="宋体"/>
                <w:bCs/>
                <w:color w:val="auto"/>
                <w:sz w:val="21"/>
                <w:highlight w:val="none"/>
                <w:lang w:val="en-US" w:eastAsia="zh-CN"/>
              </w:rPr>
              <w:t>可行</w:t>
            </w:r>
            <w:r>
              <w:rPr>
                <w:rFonts w:hint="eastAsia" w:hAnsi="宋体" w:cs="宋体"/>
                <w:bCs/>
                <w:color w:val="auto"/>
                <w:sz w:val="21"/>
                <w:highlight w:val="none"/>
              </w:rPr>
              <w:t>。</w:t>
            </w:r>
          </w:p>
          <w:p w14:paraId="422E2C8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w:t>
            </w:r>
            <w:r>
              <w:rPr>
                <w:rFonts w:hint="eastAsia" w:hAnsi="宋体" w:cs="宋体"/>
                <w:bCs/>
                <w:color w:val="auto"/>
                <w:sz w:val="21"/>
                <w:highlight w:val="none"/>
                <w:lang w:val="en-US" w:eastAsia="zh-CN"/>
              </w:rPr>
              <w:t>10</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zh-CN"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完整详细，且符合项目实际</w:t>
            </w:r>
            <w:r>
              <w:rPr>
                <w:rFonts w:hint="eastAsia" w:hAnsi="宋体" w:cs="宋体"/>
                <w:bCs/>
                <w:color w:val="auto"/>
                <w:sz w:val="21"/>
                <w:highlight w:val="none"/>
                <w:lang w:val="zh-CN"/>
              </w:rPr>
              <w:t>，各项措施周全、具体、有效。</w:t>
            </w:r>
          </w:p>
        </w:tc>
        <w:tc>
          <w:tcPr>
            <w:tcW w:w="772" w:type="dxa"/>
            <w:vAlign w:val="center"/>
          </w:tcPr>
          <w:p w14:paraId="7BA5140F">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7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544F54">
            <w:pPr>
              <w:widowControl/>
              <w:spacing w:line="360" w:lineRule="exact"/>
              <w:jc w:val="center"/>
              <w:rPr>
                <w:rFonts w:hint="default" w:ascii="宋体" w:hAnsi="宋体" w:eastAsia="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2.9</w:t>
            </w:r>
          </w:p>
        </w:tc>
        <w:tc>
          <w:tcPr>
            <w:tcW w:w="1086" w:type="dxa"/>
            <w:vAlign w:val="center"/>
          </w:tcPr>
          <w:p w14:paraId="6960F4DB">
            <w:pPr>
              <w:widowControl/>
              <w:spacing w:line="360" w:lineRule="exact"/>
              <w:jc w:val="center"/>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项目实施人员</w:t>
            </w:r>
          </w:p>
        </w:tc>
        <w:tc>
          <w:tcPr>
            <w:tcW w:w="7110" w:type="dxa"/>
            <w:vAlign w:val="center"/>
          </w:tcPr>
          <w:p w14:paraId="0A11B51D">
            <w:pPr>
              <w:pStyle w:val="15"/>
              <w:spacing w:line="400" w:lineRule="exac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（1）项目经理：</w:t>
            </w:r>
            <w:r>
              <w:rPr>
                <w:rFonts w:hAnsi="宋体" w:cs="宋体"/>
                <w:bCs/>
                <w:color w:val="auto"/>
                <w:sz w:val="21"/>
                <w:highlight w:val="none"/>
              </w:rPr>
              <w:t>拟投入本项目的</w:t>
            </w:r>
            <w:r>
              <w:rPr>
                <w:rFonts w:hint="eastAsia" w:hAnsi="宋体" w:cs="宋体"/>
                <w:bCs/>
                <w:color w:val="auto"/>
                <w:sz w:val="21"/>
                <w:highlight w:val="none"/>
                <w:lang w:val="en-US" w:eastAsia="zh-CN"/>
              </w:rPr>
              <w:t>项目经理具有中级及以上技术职称得4分。</w:t>
            </w:r>
          </w:p>
          <w:p w14:paraId="1DCFB39A">
            <w:pPr>
              <w:widowControl/>
              <w:spacing w:line="360" w:lineRule="exact"/>
              <w:jc w:val="lef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其他人员（不含项目经理）：拟投入本项目的人员至少包括安全员、施工员、质量员、材料员，且均具有相应岗位资格证书的，得基础分4分，拟投入其他人员中具有初级及以上技术职称证书的，每人加1分。此项满分6分。</w:t>
            </w:r>
          </w:p>
          <w:p w14:paraId="0EA5AD80">
            <w:pPr>
              <w:widowControl/>
              <w:spacing w:line="360" w:lineRule="exact"/>
              <w:jc w:val="lef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4D6C011D">
            <w:pPr>
              <w:widowControl/>
              <w:spacing w:line="360" w:lineRule="exact"/>
              <w:jc w:val="center"/>
              <w:rPr>
                <w:rFonts w:hint="default" w:ascii="宋体" w:hAnsi="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BA4AB58">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5D69147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6F10E2E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5B6D0B06">
            <w:pPr>
              <w:widowControl/>
              <w:spacing w:line="36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业绩</w:t>
            </w:r>
          </w:p>
        </w:tc>
        <w:tc>
          <w:tcPr>
            <w:tcW w:w="7110" w:type="dxa"/>
          </w:tcPr>
          <w:p w14:paraId="0F1E83C3">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竞标人20</w:t>
            </w:r>
            <w:r>
              <w:rPr>
                <w:rFonts w:hint="eastAsia" w:hAnsi="宋体" w:cs="宋体"/>
                <w:color w:val="auto"/>
                <w:sz w:val="21"/>
                <w:highlight w:val="none"/>
                <w:lang w:val="en-US" w:eastAsia="zh-CN"/>
              </w:rPr>
              <w:t>22</w:t>
            </w:r>
            <w:r>
              <w:rPr>
                <w:rFonts w:hint="eastAsia" w:hAnsi="宋体" w:cs="宋体"/>
                <w:color w:val="auto"/>
                <w:sz w:val="21"/>
                <w:highlight w:val="none"/>
              </w:rPr>
              <w:t>年1月1日以来</w:t>
            </w:r>
            <w:r>
              <w:rPr>
                <w:rFonts w:hint="eastAsia" w:hAnsi="宋体" w:cs="宋体"/>
                <w:bCs/>
                <w:color w:val="auto"/>
                <w:sz w:val="21"/>
                <w:highlight w:val="none"/>
              </w:rPr>
              <w:t>完成</w:t>
            </w:r>
            <w:r>
              <w:rPr>
                <w:rFonts w:hint="eastAsia" w:hAnsi="宋体" w:cs="宋体"/>
                <w:bCs/>
                <w:color w:val="auto"/>
                <w:sz w:val="21"/>
                <w:highlight w:val="none"/>
                <w:lang w:val="en-US" w:eastAsia="zh-CN"/>
              </w:rPr>
              <w:t>或承接</w:t>
            </w:r>
            <w:r>
              <w:rPr>
                <w:rFonts w:hint="eastAsia" w:hAnsi="宋体" w:cs="宋体"/>
                <w:bCs/>
                <w:color w:val="auto"/>
                <w:sz w:val="21"/>
                <w:highlight w:val="none"/>
              </w:rPr>
              <w:t>过</w:t>
            </w:r>
            <w:r>
              <w:rPr>
                <w:rFonts w:hint="eastAsia" w:hAnsi="宋体" w:cs="宋体"/>
                <w:bCs/>
                <w:color w:val="auto"/>
                <w:sz w:val="21"/>
                <w:highlight w:val="none"/>
                <w:lang w:val="en-US" w:eastAsia="zh-CN"/>
              </w:rPr>
              <w:t>类似</w:t>
            </w:r>
            <w:r>
              <w:rPr>
                <w:rFonts w:hint="eastAsia" w:hAnsi="宋体" w:cs="宋体"/>
                <w:color w:val="auto"/>
                <w:sz w:val="21"/>
                <w:highlight w:val="none"/>
              </w:rPr>
              <w:t>项目业绩的，每个得</w:t>
            </w:r>
            <w:r>
              <w:rPr>
                <w:rFonts w:hint="eastAsia" w:hAnsi="宋体" w:cs="宋体"/>
                <w:color w:val="auto"/>
                <w:sz w:val="21"/>
                <w:highlight w:val="none"/>
                <w:lang w:val="en-US" w:eastAsia="zh-CN"/>
              </w:rPr>
              <w:t>5</w:t>
            </w:r>
            <w:r>
              <w:rPr>
                <w:rFonts w:hint="eastAsia" w:hAnsi="宋体" w:cs="宋体"/>
                <w:color w:val="auto"/>
                <w:sz w:val="21"/>
                <w:highlight w:val="none"/>
              </w:rPr>
              <w:t>分，此项满分</w:t>
            </w:r>
            <w:r>
              <w:rPr>
                <w:rFonts w:hint="eastAsia" w:hAnsi="宋体" w:cs="宋体"/>
                <w:color w:val="auto"/>
                <w:sz w:val="21"/>
                <w:highlight w:val="none"/>
                <w:lang w:val="en-US" w:eastAsia="zh-CN"/>
              </w:rPr>
              <w:t>15</w:t>
            </w:r>
            <w:r>
              <w:rPr>
                <w:rFonts w:hint="eastAsia" w:hAnsi="宋体" w:cs="宋体"/>
                <w:color w:val="auto"/>
                <w:sz w:val="21"/>
                <w:highlight w:val="none"/>
              </w:rPr>
              <w:t>分。</w:t>
            </w:r>
          </w:p>
          <w:p w14:paraId="4219F1E7">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注：</w:t>
            </w:r>
            <w:r>
              <w:rPr>
                <w:rFonts w:hint="eastAsia" w:hAnsi="宋体" w:cs="宋体"/>
                <w:color w:val="auto"/>
                <w:sz w:val="21"/>
                <w:highlight w:val="none"/>
                <w:lang w:val="en-US" w:eastAsia="zh-CN"/>
              </w:rPr>
              <w:t>类似项目指建设内容包含道路（公路）新建或改扩建或维修（维护）类等施工项目。</w:t>
            </w:r>
            <w:r>
              <w:rPr>
                <w:rFonts w:hint="eastAsia" w:hAnsi="宋体" w:cs="宋体"/>
                <w:color w:val="auto"/>
                <w:sz w:val="21"/>
                <w:highlight w:val="none"/>
              </w:rPr>
              <w:t>响应文件中需提供以下对应材料，并加盖竞标人单位公章，不按照要求提供资料不得分。</w:t>
            </w:r>
          </w:p>
          <w:p w14:paraId="401A835D">
            <w:pPr>
              <w:pStyle w:val="15"/>
              <w:numPr>
                <w:ilvl w:val="0"/>
                <w:numId w:val="0"/>
              </w:numPr>
              <w:spacing w:line="360" w:lineRule="exact"/>
              <w:ind w:left="420" w:lef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①提供业绩一览表；</w:t>
            </w:r>
          </w:p>
          <w:p w14:paraId="741FCF65">
            <w:pPr>
              <w:pStyle w:val="15"/>
              <w:spacing w:line="360" w:lineRule="exact"/>
              <w:ind w:firstLine="420" w:firstLineChars="200"/>
              <w:rPr>
                <w:rFonts w:hint="default" w:eastAsia="宋体"/>
                <w:color w:val="auto"/>
                <w:highlight w:val="none"/>
                <w:lang w:val="en-US" w:eastAsia="zh-CN"/>
              </w:rPr>
            </w:pPr>
            <w:r>
              <w:rPr>
                <w:rFonts w:hint="eastAsia" w:ascii="宋体" w:hAnsi="宋体" w:eastAsia="宋体" w:cs="宋体"/>
                <w:color w:val="auto"/>
                <w:sz w:val="21"/>
                <w:highlight w:val="none"/>
              </w:rPr>
              <w:t>②提供合同或中标通知书复印件。</w:t>
            </w:r>
          </w:p>
        </w:tc>
        <w:tc>
          <w:tcPr>
            <w:tcW w:w="772" w:type="dxa"/>
            <w:vAlign w:val="center"/>
          </w:tcPr>
          <w:p w14:paraId="6EBDAFF6">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6CF60E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D2DFA20">
      <w:pPr>
        <w:pStyle w:val="3"/>
        <w:spacing w:before="0" w:after="0" w:line="360" w:lineRule="auto"/>
        <w:ind w:firstLine="640" w:firstLineChars="200"/>
        <w:jc w:val="center"/>
        <w:rPr>
          <w:rFonts w:ascii="宋体" w:hAnsi="宋体" w:cs="宋体"/>
          <w:b w:val="0"/>
          <w:color w:val="auto"/>
          <w:highlight w:val="none"/>
        </w:rPr>
      </w:pPr>
    </w:p>
    <w:p w14:paraId="4BCB96F5">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3DFA464">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6"/>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4" w:name="_Toc23409"/>
      <w:bookmarkStart w:id="65" w:name="_Toc80205936"/>
      <w:r>
        <w:rPr>
          <w:rFonts w:hint="eastAsia" w:ascii="宋体" w:hAnsi="宋体" w:cs="宋体"/>
          <w:b w:val="0"/>
          <w:color w:val="auto"/>
          <w:highlight w:val="none"/>
        </w:rPr>
        <w:t>第三节 评审过程的保密与录像</w:t>
      </w:r>
      <w:bookmarkEnd w:id="64"/>
      <w:bookmarkEnd w:id="65"/>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068E6DB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7" w:name="_Toc7129"/>
      <w:bookmarkStart w:id="68" w:name="_Toc80205938"/>
      <w:r>
        <w:rPr>
          <w:rFonts w:hint="eastAsia" w:ascii="宋体" w:hAnsi="宋体" w:cs="宋体"/>
          <w:b w:val="0"/>
          <w:color w:val="auto"/>
          <w:highlight w:val="none"/>
        </w:rPr>
        <w:t>第一节 封面格式</w:t>
      </w:r>
      <w:bookmarkEnd w:id="67"/>
      <w:bookmarkEnd w:id="68"/>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78052D5">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1" w:name="_Toc30886"/>
      <w:bookmarkStart w:id="72" w:name="_Toc80205939"/>
      <w:r>
        <w:rPr>
          <w:rFonts w:hint="eastAsia" w:ascii="宋体" w:hAnsi="宋体" w:cs="宋体"/>
          <w:bCs w:val="0"/>
          <w:color w:val="auto"/>
          <w:highlight w:val="none"/>
        </w:rPr>
        <w:t>第二节 资格证明文件格式</w:t>
      </w:r>
      <w:bookmarkEnd w:id="71"/>
      <w:bookmarkEnd w:id="72"/>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493E3E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一、营业执照(或事业法人登记证或其他工商等登记证明材料)复印件（供应商为自然人的，须提供自然人的身份证明）…………………………………………（页码）</w:t>
      </w:r>
    </w:p>
    <w:p w14:paraId="710725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二、竞标人根据防财监〔2023〕58 号文要求提供的《防城港市政府采购供应商信用承诺函》……………………………………………………………………（页码）</w:t>
      </w:r>
    </w:p>
    <w:p w14:paraId="6BAAB7E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、供应商直接控股股东信息…………………………………………………（页码）</w:t>
      </w:r>
    </w:p>
    <w:p w14:paraId="4A9AB89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、供应商直接关联关系信息表………………………………………………（页码）</w:t>
      </w:r>
    </w:p>
    <w:p w14:paraId="2952EC3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、竞标声明…………………………………………………………………（页码）</w:t>
      </w:r>
    </w:p>
    <w:p w14:paraId="171B65C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、中小企业声明函或残疾人福利性单位声明函或属于监狱企业的证明文件…（页码）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资格条件正面材料：</w:t>
      </w:r>
      <w:r>
        <w:rPr>
          <w:rFonts w:hint="default" w:ascii="宋体" w:hAnsi="宋体" w:eastAsia="宋体" w:cs="宋体"/>
          <w:color w:val="auto"/>
          <w:sz w:val="24"/>
          <w:highlight w:val="none"/>
          <w:lang w:eastAsia="zh-CN"/>
        </w:rPr>
        <w:t>①</w:t>
      </w:r>
      <w:r>
        <w:rPr>
          <w:rFonts w:hint="eastAsia" w:ascii="宋体" w:hAnsi="宋体" w:eastAsia="宋体" w:cs="宋体"/>
          <w:color w:val="auto"/>
          <w:sz w:val="24"/>
          <w:highlight w:val="none"/>
        </w:rPr>
        <w:t>供应商须具备公路工程施工总承包叁级(含)以上资质，</w:t>
      </w:r>
      <w:r>
        <w:rPr>
          <w:rFonts w:hint="eastAsia" w:ascii="宋体" w:hAnsi="宋体" w:eastAsia="宋体" w:cs="宋体"/>
          <w:color w:val="auto"/>
          <w:sz w:val="24"/>
          <w:highlight w:val="none"/>
          <w:lang w:val="en-US" w:eastAsia="zh-CN"/>
        </w:rPr>
        <w:t>同时</w:t>
      </w:r>
      <w:r>
        <w:rPr>
          <w:rFonts w:hint="eastAsia" w:ascii="宋体" w:hAnsi="宋体" w:eastAsia="宋体" w:cs="宋体"/>
          <w:color w:val="auto"/>
          <w:sz w:val="24"/>
          <w:highlight w:val="none"/>
        </w:rPr>
        <w:t>持有省级及以上建设行政主管部门颁发的安全生产许可证；</w:t>
      </w:r>
      <w:r>
        <w:rPr>
          <w:rFonts w:hint="default"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拟投入本项目的</w:t>
      </w:r>
      <w:r>
        <w:rPr>
          <w:rFonts w:hint="eastAsia" w:ascii="宋体" w:hAnsi="宋体" w:eastAsia="宋体" w:cs="宋体"/>
          <w:color w:val="auto"/>
          <w:sz w:val="24"/>
          <w:highlight w:val="none"/>
        </w:rPr>
        <w:t>项目经理须</w:t>
      </w:r>
      <w:r>
        <w:rPr>
          <w:rFonts w:hint="eastAsia" w:ascii="宋体" w:hAnsi="宋体" w:eastAsia="宋体" w:cs="宋体"/>
          <w:color w:val="auto"/>
          <w:sz w:val="24"/>
          <w:highlight w:val="none"/>
          <w:lang w:val="en-US" w:eastAsia="zh-CN"/>
        </w:rPr>
        <w:t>具备</w:t>
      </w:r>
      <w:r>
        <w:rPr>
          <w:rFonts w:hint="eastAsia" w:ascii="宋体" w:hAnsi="宋体" w:eastAsia="宋体" w:cs="宋体"/>
          <w:color w:val="auto"/>
          <w:sz w:val="24"/>
          <w:highlight w:val="none"/>
        </w:rPr>
        <w:t>公路工程专业</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级以上(含</w:t>
      </w:r>
      <w:r>
        <w:rPr>
          <w:rFonts w:hint="eastAsia" w:ascii="宋体" w:hAnsi="宋体" w:eastAsia="宋体" w:cs="宋体"/>
          <w:color w:val="auto"/>
          <w:sz w:val="24"/>
          <w:highlight w:val="none"/>
          <w:lang w:val="en-US" w:eastAsia="zh-CN"/>
        </w:rPr>
        <w:t>贰级</w:t>
      </w:r>
      <w:r>
        <w:rPr>
          <w:rFonts w:hint="eastAsia" w:ascii="宋体" w:hAnsi="宋体" w:eastAsia="宋体" w:cs="宋体"/>
          <w:color w:val="auto"/>
          <w:sz w:val="24"/>
          <w:highlight w:val="none"/>
        </w:rPr>
        <w:t>)注册建造师资格，并持有省级或以上交通运输行政主管部门颁发的安全生产考核合格证(“三类人员”B 类证书)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eastAsia="zh-CN"/>
        </w:rPr>
        <w:t>③</w:t>
      </w:r>
      <w:r>
        <w:rPr>
          <w:rFonts w:hint="eastAsia" w:ascii="宋体" w:hAnsi="宋体" w:eastAsia="宋体" w:cs="宋体"/>
          <w:color w:val="auto"/>
          <w:sz w:val="24"/>
          <w:highlight w:val="none"/>
          <w:lang w:val="en-US" w:eastAsia="zh-CN"/>
        </w:rPr>
        <w:t>拟投入本项目的安全员应具有省级（或以上）交通主管部门颁发的《安全生产考核合格证书》 C证</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53E1D3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八、承诺函</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067D8614">
      <w:pPr>
        <w:spacing w:line="300" w:lineRule="auto"/>
        <w:rPr>
          <w:rFonts w:ascii="宋体" w:hAnsi="宋体" w:cs="宋体"/>
          <w:color w:val="auto"/>
          <w:szCs w:val="21"/>
          <w:highlight w:val="none"/>
        </w:rPr>
      </w:pPr>
    </w:p>
    <w:p w14:paraId="13003AB2">
      <w:pPr>
        <w:spacing w:line="300" w:lineRule="auto"/>
        <w:rPr>
          <w:rFonts w:ascii="宋体" w:hAnsi="宋体" w:cs="宋体"/>
          <w:color w:val="auto"/>
          <w:szCs w:val="21"/>
          <w:highlight w:val="none"/>
        </w:rPr>
      </w:pPr>
    </w:p>
    <w:p w14:paraId="12BFA9DB">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auto"/>
          <w:sz w:val="30"/>
          <w:szCs w:val="30"/>
          <w:highlight w:val="none"/>
        </w:rPr>
      </w:pPr>
    </w:p>
    <w:p w14:paraId="7F0A09C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B52F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5E0FAC">
      <w:pPr>
        <w:snapToGrid w:val="0"/>
        <w:spacing w:before="120" w:beforeLines="50" w:after="50"/>
        <w:rPr>
          <w:rFonts w:ascii="宋体" w:hAnsi="宋体" w:cs="宋体"/>
          <w:color w:val="auto"/>
          <w:sz w:val="24"/>
          <w:szCs w:val="20"/>
          <w:highlight w:val="none"/>
        </w:rPr>
      </w:pPr>
    </w:p>
    <w:p w14:paraId="73768C22">
      <w:pPr>
        <w:pStyle w:val="15"/>
        <w:spacing w:line="360" w:lineRule="auto"/>
        <w:ind w:firstLine="602" w:firstLineChars="200"/>
        <w:rPr>
          <w:rFonts w:ascii="宋体" w:hAnsi="宋体"/>
          <w:b/>
          <w:color w:val="auto"/>
          <w:sz w:val="32"/>
          <w:szCs w:val="32"/>
          <w:highlight w:val="none"/>
        </w:rPr>
      </w:pPr>
      <w:r>
        <w:rPr>
          <w:rFonts w:hint="eastAsia" w:hAnsi="宋体" w:cs="宋体"/>
          <w:b/>
          <w:color w:val="auto"/>
          <w:sz w:val="30"/>
          <w:szCs w:val="30"/>
          <w:highlight w:val="none"/>
        </w:rPr>
        <w:t>二、</w:t>
      </w:r>
      <w:r>
        <w:rPr>
          <w:rFonts w:hint="eastAsia" w:ascii="宋体" w:hAnsi="宋体"/>
          <w:b/>
          <w:color w:val="auto"/>
          <w:sz w:val="32"/>
          <w:szCs w:val="32"/>
          <w:highlight w:val="none"/>
        </w:rPr>
        <w:t>防城港市政府采购供应商信用承诺函（格式）</w:t>
      </w:r>
    </w:p>
    <w:p w14:paraId="30AF43E6">
      <w:pPr>
        <w:spacing w:line="320" w:lineRule="exact"/>
        <w:jc w:val="left"/>
        <w:rPr>
          <w:rFonts w:hint="eastAsia" w:ascii="宋体" w:hAnsi="宋体"/>
          <w:color w:val="auto"/>
          <w:szCs w:val="21"/>
          <w:highlight w:val="none"/>
        </w:rPr>
      </w:pPr>
    </w:p>
    <w:p w14:paraId="64F9D388">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FF7945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C5FD3E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82A2526">
      <w:pPr>
        <w:spacing w:line="360" w:lineRule="auto"/>
        <w:jc w:val="left"/>
        <w:rPr>
          <w:rFonts w:hint="eastAsia" w:ascii="宋体" w:hAnsi="宋体"/>
          <w:color w:val="auto"/>
          <w:sz w:val="24"/>
          <w:highlight w:val="none"/>
        </w:rPr>
      </w:pPr>
    </w:p>
    <w:p w14:paraId="1BFBC2B1">
      <w:pPr>
        <w:spacing w:line="360" w:lineRule="auto"/>
        <w:jc w:val="left"/>
        <w:rPr>
          <w:rFonts w:hint="eastAsia" w:ascii="宋体" w:hAnsi="宋体"/>
          <w:color w:val="auto"/>
          <w:sz w:val="24"/>
          <w:highlight w:val="none"/>
        </w:rPr>
      </w:pPr>
    </w:p>
    <w:p w14:paraId="4F22FB9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30FE837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CCD54F8">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E217232">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7C1DD595">
      <w:pPr>
        <w:spacing w:line="360" w:lineRule="auto"/>
        <w:jc w:val="left"/>
        <w:rPr>
          <w:rFonts w:hint="eastAsia" w:ascii="宋体" w:hAnsi="宋体"/>
          <w:color w:val="auto"/>
          <w:sz w:val="24"/>
          <w:highlight w:val="none"/>
        </w:rPr>
      </w:pPr>
    </w:p>
    <w:p w14:paraId="21CD3949">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09C7706C">
      <w:pPr>
        <w:autoSpaceDE w:val="0"/>
        <w:autoSpaceDN w:val="0"/>
        <w:spacing w:line="360" w:lineRule="auto"/>
        <w:jc w:val="left"/>
        <w:rPr>
          <w:rFonts w:ascii="宋体" w:hAnsi="宋体" w:cs="宋体"/>
          <w:b/>
          <w:bCs/>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1E3FC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B948841">
      <w:pPr>
        <w:snapToGrid w:val="0"/>
        <w:spacing w:before="120" w:beforeLines="50" w:after="50" w:line="360" w:lineRule="auto"/>
        <w:jc w:val="center"/>
        <w:rPr>
          <w:rFonts w:ascii="宋体" w:hAnsi="宋体" w:cs="宋体"/>
          <w:b/>
          <w:color w:val="auto"/>
          <w:sz w:val="24"/>
          <w:highlight w:val="none"/>
        </w:rPr>
      </w:pPr>
    </w:p>
    <w:p w14:paraId="5E59C8FC">
      <w:pPr>
        <w:spacing w:line="360" w:lineRule="auto"/>
        <w:ind w:firstLine="596" w:firstLineChars="198"/>
        <w:rPr>
          <w:rFonts w:hint="eastAsia" w:ascii="宋体" w:hAnsi="宋体" w:cs="宋体"/>
          <w:b/>
          <w:color w:val="auto"/>
          <w:kern w:val="0"/>
          <w:sz w:val="30"/>
          <w:szCs w:val="30"/>
          <w:highlight w:val="none"/>
          <w:lang w:val="en-US" w:eastAsia="zh-CN"/>
        </w:rPr>
      </w:pPr>
    </w:p>
    <w:p w14:paraId="2749F17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3521153E">
      <w:pPr>
        <w:spacing w:line="360" w:lineRule="auto"/>
        <w:jc w:val="center"/>
        <w:rPr>
          <w:rFonts w:ascii="宋体" w:hAnsi="宋体" w:cs="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E46BB0B">
      <w:pPr>
        <w:autoSpaceDE w:val="0"/>
        <w:autoSpaceDN w:val="0"/>
        <w:spacing w:line="360" w:lineRule="auto"/>
        <w:ind w:firstLine="6120" w:firstLineChars="2550"/>
        <w:rPr>
          <w:rFonts w:hint="eastAsia" w:ascii="宋体" w:hAnsi="宋体" w:cs="宋体"/>
          <w:color w:val="auto"/>
          <w:kern w:val="0"/>
          <w:sz w:val="24"/>
          <w:highlight w:val="none"/>
          <w:lang w:val="zh-CN"/>
        </w:rPr>
      </w:pPr>
    </w:p>
    <w:p w14:paraId="0C212B16">
      <w:pPr>
        <w:autoSpaceDE w:val="0"/>
        <w:autoSpaceDN w:val="0"/>
        <w:spacing w:line="360" w:lineRule="auto"/>
        <w:ind w:firstLine="6120" w:firstLineChars="2550"/>
        <w:rPr>
          <w:rFonts w:hint="eastAsia" w:ascii="宋体" w:hAnsi="宋体" w:cs="宋体"/>
          <w:color w:val="auto"/>
          <w:kern w:val="0"/>
          <w:sz w:val="24"/>
          <w:highlight w:val="none"/>
          <w:lang w:val="zh-CN"/>
        </w:rPr>
      </w:pPr>
    </w:p>
    <w:p w14:paraId="00019FCF">
      <w:pPr>
        <w:autoSpaceDE w:val="0"/>
        <w:autoSpaceDN w:val="0"/>
        <w:spacing w:line="360" w:lineRule="auto"/>
        <w:ind w:firstLine="6120" w:firstLineChars="2550"/>
        <w:rPr>
          <w:rFonts w:hint="eastAsia" w:ascii="宋体" w:hAnsi="宋体" w:cs="宋体"/>
          <w:color w:val="auto"/>
          <w:kern w:val="0"/>
          <w:sz w:val="24"/>
          <w:highlight w:val="none"/>
          <w:lang w:val="zh-CN"/>
        </w:rPr>
      </w:pPr>
    </w:p>
    <w:p w14:paraId="397C911A">
      <w:pPr>
        <w:autoSpaceDE w:val="0"/>
        <w:autoSpaceDN w:val="0"/>
        <w:spacing w:line="360" w:lineRule="auto"/>
        <w:ind w:firstLine="6120" w:firstLineChars="2550"/>
        <w:rPr>
          <w:rFonts w:hint="eastAsia" w:ascii="宋体" w:hAnsi="宋体" w:cs="宋体"/>
          <w:color w:val="auto"/>
          <w:kern w:val="0"/>
          <w:sz w:val="24"/>
          <w:highlight w:val="none"/>
          <w:lang w:val="zh-CN"/>
        </w:rPr>
      </w:pPr>
    </w:p>
    <w:p w14:paraId="6C3CF9D0">
      <w:pPr>
        <w:autoSpaceDE w:val="0"/>
        <w:autoSpaceDN w:val="0"/>
        <w:spacing w:line="360" w:lineRule="auto"/>
        <w:ind w:firstLine="6120" w:firstLineChars="2550"/>
        <w:rPr>
          <w:rFonts w:hint="eastAsia" w:ascii="宋体" w:hAnsi="宋体" w:cs="宋体"/>
          <w:color w:val="auto"/>
          <w:kern w:val="0"/>
          <w:sz w:val="24"/>
          <w:highlight w:val="none"/>
          <w:lang w:val="zh-CN"/>
        </w:rPr>
      </w:pPr>
    </w:p>
    <w:p w14:paraId="220FA833">
      <w:pPr>
        <w:autoSpaceDE w:val="0"/>
        <w:autoSpaceDN w:val="0"/>
        <w:spacing w:line="360" w:lineRule="auto"/>
        <w:ind w:firstLine="6120" w:firstLineChars="2550"/>
        <w:rPr>
          <w:rFonts w:hint="eastAsia" w:ascii="宋体" w:hAnsi="宋体" w:cs="宋体"/>
          <w:color w:val="auto"/>
          <w:kern w:val="0"/>
          <w:sz w:val="24"/>
          <w:highlight w:val="none"/>
          <w:lang w:val="zh-CN"/>
        </w:rPr>
      </w:pPr>
    </w:p>
    <w:p w14:paraId="47BCC198">
      <w:pPr>
        <w:autoSpaceDE w:val="0"/>
        <w:autoSpaceDN w:val="0"/>
        <w:spacing w:line="360" w:lineRule="auto"/>
        <w:ind w:firstLine="6120" w:firstLineChars="2550"/>
        <w:rPr>
          <w:rFonts w:hint="eastAsia" w:ascii="宋体" w:hAnsi="宋体" w:cs="宋体"/>
          <w:color w:val="auto"/>
          <w:kern w:val="0"/>
          <w:sz w:val="24"/>
          <w:highlight w:val="none"/>
          <w:lang w:val="zh-CN"/>
        </w:rPr>
      </w:pPr>
    </w:p>
    <w:p w14:paraId="2024A463">
      <w:pPr>
        <w:snapToGrid w:val="0"/>
        <w:rPr>
          <w:rFonts w:ascii="宋体" w:hAnsi="宋体" w:cs="宋体"/>
          <w:b/>
          <w:color w:val="auto"/>
          <w:kern w:val="0"/>
          <w:sz w:val="30"/>
          <w:szCs w:val="30"/>
          <w:highlight w:val="none"/>
        </w:rPr>
      </w:pPr>
    </w:p>
    <w:p w14:paraId="7CADC32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94A2964">
      <w:pPr>
        <w:spacing w:line="360" w:lineRule="auto"/>
        <w:ind w:right="480" w:firstLine="240" w:firstLineChars="100"/>
        <w:contextualSpacing/>
        <w:jc w:val="center"/>
        <w:rPr>
          <w:rFonts w:hint="eastAsia" w:ascii="宋体" w:hAnsi="宋体" w:cs="宋体"/>
          <w:color w:val="auto"/>
          <w:sz w:val="24"/>
          <w:highlight w:val="none"/>
        </w:rPr>
      </w:pPr>
    </w:p>
    <w:p w14:paraId="59CA8F17">
      <w:pPr>
        <w:spacing w:line="360" w:lineRule="auto"/>
        <w:ind w:right="480" w:firstLine="240" w:firstLineChars="100"/>
        <w:contextualSpacing/>
        <w:jc w:val="center"/>
        <w:rPr>
          <w:rFonts w:hint="eastAsia" w:ascii="宋体" w:hAnsi="宋体" w:cs="宋体"/>
          <w:color w:val="auto"/>
          <w:sz w:val="24"/>
          <w:highlight w:val="none"/>
        </w:rPr>
      </w:pPr>
    </w:p>
    <w:p w14:paraId="25986098">
      <w:pPr>
        <w:spacing w:line="360" w:lineRule="auto"/>
        <w:ind w:right="480" w:firstLine="240" w:firstLineChars="100"/>
        <w:contextualSpacing/>
        <w:jc w:val="center"/>
        <w:rPr>
          <w:rFonts w:hint="eastAsia" w:ascii="宋体" w:hAnsi="宋体" w:cs="宋体"/>
          <w:color w:val="auto"/>
          <w:sz w:val="24"/>
          <w:highlight w:val="none"/>
        </w:rPr>
      </w:pPr>
    </w:p>
    <w:p w14:paraId="58D75740">
      <w:pPr>
        <w:spacing w:line="360" w:lineRule="auto"/>
        <w:ind w:right="480" w:firstLine="240" w:firstLineChars="100"/>
        <w:contextualSpacing/>
        <w:jc w:val="center"/>
        <w:rPr>
          <w:rFonts w:hint="eastAsia" w:ascii="宋体" w:hAnsi="宋体" w:cs="宋体"/>
          <w:color w:val="auto"/>
          <w:sz w:val="24"/>
          <w:highlight w:val="none"/>
        </w:rPr>
      </w:pPr>
    </w:p>
    <w:p w14:paraId="1A7C2EB3">
      <w:pPr>
        <w:spacing w:line="360" w:lineRule="auto"/>
        <w:ind w:right="480" w:firstLine="240" w:firstLineChars="100"/>
        <w:contextualSpacing/>
        <w:jc w:val="center"/>
        <w:rPr>
          <w:rFonts w:hint="eastAsia" w:ascii="宋体" w:hAnsi="宋体" w:cs="宋体"/>
          <w:color w:val="auto"/>
          <w:sz w:val="24"/>
          <w:highlight w:val="none"/>
        </w:rPr>
      </w:pPr>
    </w:p>
    <w:p w14:paraId="18019E04">
      <w:pPr>
        <w:spacing w:line="360" w:lineRule="auto"/>
        <w:ind w:right="480" w:firstLine="240" w:firstLineChars="100"/>
        <w:contextualSpacing/>
        <w:jc w:val="center"/>
        <w:rPr>
          <w:rFonts w:hint="eastAsia" w:ascii="宋体" w:hAnsi="宋体" w:cs="宋体"/>
          <w:color w:val="auto"/>
          <w:sz w:val="24"/>
          <w:highlight w:val="none"/>
        </w:rPr>
      </w:pPr>
    </w:p>
    <w:p w14:paraId="32E75FED">
      <w:pPr>
        <w:spacing w:line="360" w:lineRule="auto"/>
        <w:ind w:right="480" w:firstLine="240" w:firstLineChars="100"/>
        <w:contextualSpacing/>
        <w:jc w:val="center"/>
        <w:rPr>
          <w:rFonts w:hint="eastAsia" w:ascii="宋体" w:hAnsi="宋体" w:cs="宋体"/>
          <w:color w:val="auto"/>
          <w:sz w:val="24"/>
          <w:highlight w:val="none"/>
        </w:rPr>
      </w:pPr>
    </w:p>
    <w:p w14:paraId="3803614B">
      <w:pPr>
        <w:spacing w:line="360" w:lineRule="auto"/>
        <w:ind w:right="480" w:firstLine="240" w:firstLineChars="100"/>
        <w:contextualSpacing/>
        <w:jc w:val="center"/>
        <w:rPr>
          <w:rFonts w:hint="eastAsia" w:ascii="宋体" w:hAnsi="宋体" w:cs="宋体"/>
          <w:color w:val="auto"/>
          <w:sz w:val="24"/>
          <w:highlight w:val="none"/>
        </w:rPr>
      </w:pPr>
    </w:p>
    <w:p w14:paraId="0B1AFD75">
      <w:pPr>
        <w:spacing w:line="360" w:lineRule="auto"/>
        <w:ind w:right="480" w:firstLine="240" w:firstLineChars="100"/>
        <w:contextualSpacing/>
        <w:jc w:val="center"/>
        <w:rPr>
          <w:rFonts w:hint="eastAsia" w:ascii="宋体" w:hAnsi="宋体" w:cs="宋体"/>
          <w:color w:val="auto"/>
          <w:sz w:val="24"/>
          <w:highlight w:val="none"/>
        </w:rPr>
      </w:pPr>
    </w:p>
    <w:p w14:paraId="5974DDA5">
      <w:pPr>
        <w:spacing w:line="360" w:lineRule="auto"/>
        <w:ind w:right="480" w:firstLine="240" w:firstLineChars="100"/>
        <w:contextualSpacing/>
        <w:jc w:val="center"/>
        <w:rPr>
          <w:rFonts w:hint="eastAsia" w:ascii="宋体" w:hAnsi="宋体" w:cs="宋体"/>
          <w:color w:val="auto"/>
          <w:sz w:val="24"/>
          <w:highlight w:val="none"/>
        </w:rPr>
      </w:pPr>
    </w:p>
    <w:p w14:paraId="7B639FE7">
      <w:pPr>
        <w:spacing w:line="360" w:lineRule="auto"/>
        <w:ind w:right="480" w:firstLine="240" w:firstLineChars="100"/>
        <w:contextualSpacing/>
        <w:jc w:val="center"/>
        <w:rPr>
          <w:rFonts w:hint="eastAsia" w:ascii="宋体" w:hAnsi="宋体" w:cs="宋体"/>
          <w:color w:val="auto"/>
          <w:sz w:val="24"/>
          <w:highlight w:val="none"/>
        </w:rPr>
      </w:pPr>
    </w:p>
    <w:p w14:paraId="6FEAC6EA">
      <w:pPr>
        <w:spacing w:line="360" w:lineRule="auto"/>
        <w:ind w:right="480" w:firstLine="240" w:firstLineChars="100"/>
        <w:contextualSpacing/>
        <w:jc w:val="center"/>
        <w:rPr>
          <w:rFonts w:hint="eastAsia" w:ascii="宋体" w:hAnsi="宋体" w:cs="宋体"/>
          <w:color w:val="auto"/>
          <w:sz w:val="24"/>
          <w:highlight w:val="none"/>
        </w:rPr>
      </w:pPr>
    </w:p>
    <w:p w14:paraId="78203386">
      <w:pPr>
        <w:spacing w:line="360" w:lineRule="auto"/>
        <w:ind w:right="480"/>
        <w:contextualSpacing/>
        <w:jc w:val="both"/>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5D49B1B">
      <w:pPr>
        <w:spacing w:line="320" w:lineRule="exact"/>
        <w:jc w:val="both"/>
        <w:rPr>
          <w:rFonts w:ascii="宋体" w:hAnsi="宋体" w:cs="宋体"/>
          <w:b/>
          <w:color w:val="auto"/>
          <w:sz w:val="32"/>
          <w:szCs w:val="32"/>
          <w:highlight w:val="none"/>
        </w:rPr>
      </w:pPr>
    </w:p>
    <w:p w14:paraId="3E1742AD">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035F08CA">
      <w:pPr>
        <w:spacing w:line="320" w:lineRule="exact"/>
        <w:jc w:val="center"/>
        <w:rPr>
          <w:rFonts w:ascii="宋体" w:hAnsi="宋体" w:cs="宋体"/>
          <w:color w:val="auto"/>
          <w:sz w:val="24"/>
          <w:szCs w:val="20"/>
          <w:highlight w:val="none"/>
        </w:rPr>
      </w:pPr>
    </w:p>
    <w:p w14:paraId="3355E3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64A7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A3D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6DB7E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B8061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01E9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10E23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3A0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A823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3284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46DD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AEC5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5412F6E">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1DE3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1BA4A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0E5BA56">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9E16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2D6BF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5AAF223">
      <w:pPr>
        <w:spacing w:line="360" w:lineRule="auto"/>
        <w:contextualSpacing/>
        <w:jc w:val="left"/>
        <w:rPr>
          <w:rFonts w:hint="eastAsia" w:ascii="宋体" w:hAnsi="宋体" w:cs="宋体"/>
          <w:b/>
          <w:color w:val="auto"/>
          <w:sz w:val="24"/>
          <w:highlight w:val="none"/>
        </w:rPr>
      </w:pPr>
    </w:p>
    <w:p w14:paraId="7A82FC17">
      <w:pPr>
        <w:spacing w:line="360" w:lineRule="auto"/>
        <w:contextualSpacing/>
        <w:jc w:val="left"/>
        <w:rPr>
          <w:rFonts w:hint="eastAsia" w:ascii="宋体" w:hAnsi="宋体" w:cs="宋体"/>
          <w:color w:val="auto"/>
          <w:szCs w:val="21"/>
          <w:highlight w:val="none"/>
        </w:rPr>
      </w:pPr>
    </w:p>
    <w:p w14:paraId="21E00605">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47A7D065">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464BB6EB">
      <w:pPr>
        <w:widowControl/>
        <w:spacing w:line="360" w:lineRule="auto"/>
        <w:jc w:val="left"/>
        <w:rPr>
          <w:rFonts w:hint="eastAsia"/>
          <w:color w:val="auto"/>
          <w:sz w:val="24"/>
          <w:szCs w:val="24"/>
          <w:highlight w:val="none"/>
          <w:lang w:val="zh-CN"/>
        </w:rPr>
        <w:sectPr>
          <w:pgSz w:w="11910" w:h="16840"/>
          <w:pgMar w:top="1340" w:right="1500" w:bottom="280" w:left="1680" w:header="720" w:footer="720" w:gutter="0"/>
          <w:cols w:space="720" w:num="1"/>
        </w:sect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w:t>
      </w:r>
    </w:p>
    <w:p w14:paraId="17188202">
      <w:pPr>
        <w:pStyle w:val="32"/>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auto"/>
          <w:sz w:val="30"/>
          <w:szCs w:val="30"/>
          <w:highlight w:val="none"/>
        </w:rPr>
      </w:pPr>
    </w:p>
    <w:p w14:paraId="6263F00C">
      <w:pPr>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资格条件证明材料：</w:t>
      </w:r>
      <w:r>
        <w:rPr>
          <w:rFonts w:hint="eastAsia" w:ascii="宋体" w:hAnsi="宋体" w:cs="宋体"/>
          <w:b/>
          <w:bCs/>
          <w:color w:val="auto"/>
          <w:sz w:val="24"/>
          <w:highlight w:val="none"/>
          <w:lang w:eastAsia="zh-CN"/>
        </w:rPr>
        <w:t>①</w:t>
      </w:r>
      <w:r>
        <w:rPr>
          <w:rFonts w:hint="eastAsia" w:ascii="宋体" w:hAnsi="宋体" w:cs="宋体"/>
          <w:b/>
          <w:bCs/>
          <w:color w:val="auto"/>
          <w:sz w:val="24"/>
          <w:highlight w:val="none"/>
        </w:rPr>
        <w:t>供应商须具备公路工程施工总承包叁级(含)以上资质，</w:t>
      </w:r>
      <w:r>
        <w:rPr>
          <w:rFonts w:hint="eastAsia" w:ascii="宋体" w:hAnsi="宋体" w:cs="宋体"/>
          <w:b/>
          <w:bCs/>
          <w:color w:val="auto"/>
          <w:sz w:val="24"/>
          <w:highlight w:val="none"/>
          <w:lang w:val="en-US" w:eastAsia="zh-CN"/>
        </w:rPr>
        <w:t>同时</w:t>
      </w:r>
      <w:r>
        <w:rPr>
          <w:rFonts w:hint="eastAsia" w:ascii="宋体" w:hAnsi="宋体" w:cs="宋体"/>
          <w:b/>
          <w:bCs/>
          <w:color w:val="auto"/>
          <w:sz w:val="24"/>
          <w:highlight w:val="none"/>
        </w:rPr>
        <w:t>持有省级及以上建设行政主管部门颁发的安全生产许可证；②</w:t>
      </w:r>
      <w:r>
        <w:rPr>
          <w:rFonts w:hint="eastAsia" w:ascii="宋体" w:hAnsi="宋体" w:cs="宋体"/>
          <w:b/>
          <w:bCs/>
          <w:color w:val="auto"/>
          <w:sz w:val="24"/>
          <w:highlight w:val="none"/>
          <w:lang w:val="en-US" w:eastAsia="zh-CN"/>
        </w:rPr>
        <w:t>拟投入本项目的</w:t>
      </w:r>
      <w:r>
        <w:rPr>
          <w:rFonts w:hint="eastAsia" w:ascii="宋体" w:hAnsi="宋体" w:cs="宋体"/>
          <w:b/>
          <w:bCs/>
          <w:color w:val="auto"/>
          <w:sz w:val="24"/>
          <w:highlight w:val="none"/>
        </w:rPr>
        <w:t>项目经理须</w:t>
      </w:r>
      <w:r>
        <w:rPr>
          <w:rFonts w:hint="eastAsia" w:ascii="宋体" w:hAnsi="宋体" w:cs="宋体"/>
          <w:b/>
          <w:bCs/>
          <w:color w:val="auto"/>
          <w:sz w:val="24"/>
          <w:highlight w:val="none"/>
          <w:lang w:val="en-US" w:eastAsia="zh-CN"/>
        </w:rPr>
        <w:t>具备</w:t>
      </w:r>
      <w:r>
        <w:rPr>
          <w:rFonts w:hint="eastAsia" w:ascii="宋体" w:hAnsi="宋体" w:cs="宋体"/>
          <w:b/>
          <w:bCs/>
          <w:color w:val="auto"/>
          <w:sz w:val="24"/>
          <w:highlight w:val="none"/>
        </w:rPr>
        <w:t>公路工程专业</w:t>
      </w:r>
      <w:r>
        <w:rPr>
          <w:rFonts w:hint="eastAsia" w:ascii="宋体" w:hAnsi="宋体" w:cs="宋体"/>
          <w:b/>
          <w:bCs/>
          <w:color w:val="auto"/>
          <w:sz w:val="24"/>
          <w:highlight w:val="none"/>
          <w:lang w:val="en-US" w:eastAsia="zh-CN"/>
        </w:rPr>
        <w:t>贰</w:t>
      </w:r>
      <w:r>
        <w:rPr>
          <w:rFonts w:hint="eastAsia" w:ascii="宋体" w:hAnsi="宋体" w:cs="宋体"/>
          <w:b/>
          <w:bCs/>
          <w:color w:val="auto"/>
          <w:sz w:val="24"/>
          <w:highlight w:val="none"/>
        </w:rPr>
        <w:t>级以上(含</w:t>
      </w:r>
      <w:r>
        <w:rPr>
          <w:rFonts w:hint="eastAsia" w:ascii="宋体" w:hAnsi="宋体" w:cs="宋体"/>
          <w:b/>
          <w:bCs/>
          <w:color w:val="auto"/>
          <w:sz w:val="24"/>
          <w:highlight w:val="none"/>
          <w:lang w:val="en-US" w:eastAsia="zh-CN"/>
        </w:rPr>
        <w:t>贰级</w:t>
      </w:r>
      <w:r>
        <w:rPr>
          <w:rFonts w:hint="eastAsia" w:ascii="宋体" w:hAnsi="宋体" w:cs="宋体"/>
          <w:b/>
          <w:bCs/>
          <w:color w:val="auto"/>
          <w:sz w:val="24"/>
          <w:highlight w:val="none"/>
        </w:rPr>
        <w:t>)注册建造师资格，并持有省级或以上交通运输行政主管部门颁发的安全生产考核合格证(“三类人员”B 类证书)</w:t>
      </w:r>
      <w:r>
        <w:rPr>
          <w:rFonts w:hint="eastAsia" w:ascii="宋体" w:hAnsi="宋体" w:cs="宋体"/>
          <w:b/>
          <w:bCs/>
          <w:color w:val="auto"/>
          <w:sz w:val="24"/>
          <w:highlight w:val="none"/>
          <w:lang w:eastAsia="zh-CN"/>
        </w:rPr>
        <w:t>，③</w:t>
      </w:r>
      <w:r>
        <w:rPr>
          <w:rFonts w:hint="eastAsia" w:ascii="宋体" w:hAnsi="宋体" w:cs="宋体"/>
          <w:b/>
          <w:bCs/>
          <w:color w:val="auto"/>
          <w:sz w:val="24"/>
          <w:highlight w:val="none"/>
          <w:lang w:val="en-US" w:eastAsia="zh-CN"/>
        </w:rPr>
        <w:t>拟投入本项目的安全员应具有省级（或以上）交通主管部门颁发的《安全生产考核合格证书》 C证</w:t>
      </w:r>
    </w:p>
    <w:p w14:paraId="06B57C75">
      <w:pPr>
        <w:snapToGrid w:val="0"/>
        <w:spacing w:line="360" w:lineRule="auto"/>
        <w:ind w:firstLine="602" w:firstLineChars="200"/>
        <w:rPr>
          <w:rFonts w:ascii="宋体" w:hAnsi="宋体" w:cs="宋体"/>
          <w:b/>
          <w:color w:val="auto"/>
          <w:sz w:val="30"/>
          <w:szCs w:val="30"/>
          <w:highlight w:val="none"/>
        </w:rPr>
      </w:pPr>
    </w:p>
    <w:p w14:paraId="7FC72565">
      <w:pPr>
        <w:spacing w:line="360" w:lineRule="auto"/>
        <w:contextualSpacing/>
        <w:rPr>
          <w:rFonts w:hint="eastAsia" w:ascii="宋体" w:hAnsi="宋体" w:cs="宋体"/>
          <w:color w:val="auto"/>
          <w:sz w:val="24"/>
          <w:highlight w:val="none"/>
          <w:lang w:val="zh-CN" w:eastAsia="zh-CN"/>
        </w:rPr>
      </w:pPr>
    </w:p>
    <w:p w14:paraId="1636AEB2">
      <w:pPr>
        <w:spacing w:line="360" w:lineRule="auto"/>
        <w:contextualSpacing/>
        <w:rPr>
          <w:rFonts w:hint="eastAsia" w:ascii="宋体" w:hAnsi="宋体" w:cs="宋体"/>
          <w:color w:val="auto"/>
          <w:sz w:val="24"/>
          <w:highlight w:val="none"/>
          <w:lang w:val="zh-CN" w:eastAsia="zh-CN"/>
        </w:rPr>
      </w:pPr>
    </w:p>
    <w:p w14:paraId="759FE6ED">
      <w:pPr>
        <w:spacing w:line="360" w:lineRule="auto"/>
        <w:contextualSpacing/>
        <w:rPr>
          <w:rFonts w:hint="eastAsia" w:ascii="宋体" w:hAnsi="宋体" w:cs="宋体"/>
          <w:color w:val="auto"/>
          <w:sz w:val="24"/>
          <w:highlight w:val="none"/>
          <w:lang w:val="zh-CN" w:eastAsia="zh-CN"/>
        </w:rPr>
      </w:pPr>
    </w:p>
    <w:p w14:paraId="116D9287">
      <w:pPr>
        <w:spacing w:line="360" w:lineRule="auto"/>
        <w:contextualSpacing/>
        <w:rPr>
          <w:rFonts w:hint="eastAsia" w:ascii="宋体" w:hAnsi="宋体" w:cs="宋体"/>
          <w:color w:val="auto"/>
          <w:sz w:val="24"/>
          <w:highlight w:val="none"/>
          <w:lang w:val="en-US" w:eastAsia="zh-CN"/>
        </w:rPr>
      </w:pPr>
    </w:p>
    <w:p w14:paraId="4EBB53D3">
      <w:pPr>
        <w:spacing w:line="360" w:lineRule="auto"/>
        <w:contextualSpacing/>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八、承诺函</w:t>
      </w:r>
    </w:p>
    <w:p w14:paraId="7BB63DEA">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承诺函（一）</w:t>
      </w:r>
    </w:p>
    <w:p w14:paraId="6C5EEC3D">
      <w:pPr>
        <w:spacing w:before="240" w:after="240" w:line="500" w:lineRule="exact"/>
        <w:rPr>
          <w:rFonts w:ascii="宋体" w:hAnsi="宋体" w:cs="宋体"/>
          <w:color w:val="auto"/>
          <w:szCs w:val="21"/>
          <w:highlight w:val="none"/>
          <w:u w:val="single"/>
        </w:rPr>
      </w:pPr>
      <w:r>
        <w:rPr>
          <w:rFonts w:hint="eastAsia" w:ascii="宋体" w:hAnsi="宋体" w:cs="宋体"/>
          <w:color w:val="auto"/>
          <w:szCs w:val="21"/>
          <w:highlight w:val="none"/>
          <w:u w:val="single"/>
        </w:rPr>
        <w:t>致：（</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rPr>
        <w:t>名称）：</w:t>
      </w:r>
    </w:p>
    <w:p w14:paraId="4548A3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我公司决定参加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采购活动</w:t>
      </w:r>
      <w:r>
        <w:rPr>
          <w:rFonts w:hint="eastAsia" w:ascii="宋体" w:hAnsi="宋体" w:cs="宋体"/>
          <w:color w:val="auto"/>
          <w:szCs w:val="21"/>
          <w:highlight w:val="none"/>
        </w:rPr>
        <w:t>并作出如下承诺：</w:t>
      </w:r>
    </w:p>
    <w:p w14:paraId="061355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一、我公司保证在递交</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文件截止之日止，在已完或在建的项目中没有存在拖欠或克扣农民工工资的行为；</w:t>
      </w:r>
    </w:p>
    <w:p w14:paraId="38A0C3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后，同意按工程</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价的2%缴纳农民工工资保障金；</w:t>
      </w:r>
    </w:p>
    <w:p w14:paraId="52B306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，保证依法足额支付农民工工资，一旦本公司承建的项目出现拖欠农民工工资的，可由劳动保障、交通主管部门（或交通主管部门授权的机构）及建设单位根据相关规定从本公司的农民工工资保障金中先予支取。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四、农民工工资保障金按现金支票或银行汇票的方式汇到发包人指定帐户。</w:t>
      </w:r>
    </w:p>
    <w:p w14:paraId="2458A83C">
      <w:pPr>
        <w:spacing w:line="500" w:lineRule="exact"/>
        <w:ind w:left="420" w:firstLine="480"/>
        <w:rPr>
          <w:rFonts w:ascii="宋体" w:hAnsi="宋体" w:cs="宋体"/>
          <w:color w:val="auto"/>
          <w:szCs w:val="21"/>
          <w:highlight w:val="none"/>
        </w:rPr>
      </w:pPr>
    </w:p>
    <w:p w14:paraId="06357AA1">
      <w:pPr>
        <w:ind w:left="420" w:firstLine="480"/>
        <w:rPr>
          <w:rFonts w:ascii="宋体" w:hAnsi="宋体" w:cs="宋体"/>
          <w:color w:val="auto"/>
          <w:szCs w:val="21"/>
          <w:highlight w:val="none"/>
        </w:rPr>
      </w:pPr>
    </w:p>
    <w:p w14:paraId="7198323A">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B71D1EE">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17B29707">
      <w:pPr>
        <w:spacing w:line="500" w:lineRule="exact"/>
        <w:rPr>
          <w:rFonts w:ascii="宋体" w:hAnsi="宋体" w:cs="宋体"/>
          <w:color w:val="auto"/>
          <w:szCs w:val="21"/>
          <w:highlight w:val="none"/>
        </w:rPr>
      </w:pPr>
    </w:p>
    <w:p w14:paraId="60056B36">
      <w:pPr>
        <w:spacing w:before="240" w:after="240" w:line="500" w:lineRule="exact"/>
        <w:jc w:val="center"/>
        <w:rPr>
          <w:rFonts w:ascii="宋体" w:hAnsi="宋体" w:cs="宋体"/>
          <w:color w:val="auto"/>
          <w:sz w:val="24"/>
          <w:highlight w:val="none"/>
        </w:rPr>
      </w:pPr>
    </w:p>
    <w:p w14:paraId="6F11D844">
      <w:pPr>
        <w:spacing w:before="240" w:after="240" w:line="500" w:lineRule="exact"/>
        <w:jc w:val="center"/>
        <w:rPr>
          <w:rFonts w:ascii="宋体" w:hAnsi="宋体" w:cs="宋体"/>
          <w:color w:val="auto"/>
          <w:sz w:val="24"/>
          <w:highlight w:val="none"/>
        </w:rPr>
      </w:pPr>
    </w:p>
    <w:p w14:paraId="4AB3E01A">
      <w:pPr>
        <w:spacing w:before="240" w:after="240" w:line="500" w:lineRule="exact"/>
        <w:jc w:val="center"/>
        <w:rPr>
          <w:rFonts w:ascii="宋体" w:hAnsi="宋体" w:cs="宋体"/>
          <w:color w:val="auto"/>
          <w:sz w:val="24"/>
          <w:highlight w:val="none"/>
        </w:rPr>
      </w:pPr>
    </w:p>
    <w:p w14:paraId="1C5A128E">
      <w:pPr>
        <w:spacing w:before="240" w:after="240" w:line="500" w:lineRule="exact"/>
        <w:jc w:val="center"/>
        <w:rPr>
          <w:rFonts w:ascii="宋体" w:hAnsi="宋体" w:cs="宋体"/>
          <w:color w:val="auto"/>
          <w:sz w:val="24"/>
          <w:highlight w:val="none"/>
        </w:rPr>
      </w:pPr>
    </w:p>
    <w:p w14:paraId="21E33121">
      <w:pPr>
        <w:spacing w:before="240" w:after="240" w:line="500" w:lineRule="exact"/>
        <w:jc w:val="center"/>
        <w:rPr>
          <w:rFonts w:ascii="宋体" w:hAnsi="宋体" w:cs="宋体"/>
          <w:color w:val="auto"/>
          <w:sz w:val="24"/>
          <w:highlight w:val="none"/>
        </w:rPr>
      </w:pPr>
    </w:p>
    <w:p w14:paraId="4B157C99">
      <w:pPr>
        <w:spacing w:before="240" w:after="240" w:line="500" w:lineRule="exact"/>
        <w:jc w:val="center"/>
        <w:rPr>
          <w:rFonts w:ascii="宋体" w:hAnsi="宋体" w:cs="宋体"/>
          <w:color w:val="auto"/>
          <w:sz w:val="24"/>
          <w:highlight w:val="none"/>
        </w:rPr>
      </w:pPr>
    </w:p>
    <w:p w14:paraId="2230DED1">
      <w:pPr>
        <w:spacing w:before="240" w:after="240" w:line="500" w:lineRule="exact"/>
        <w:jc w:val="center"/>
        <w:rPr>
          <w:rFonts w:ascii="宋体" w:hAnsi="宋体" w:cs="宋体"/>
          <w:color w:val="auto"/>
          <w:sz w:val="24"/>
          <w:highlight w:val="none"/>
        </w:rPr>
      </w:pPr>
    </w:p>
    <w:p w14:paraId="20FFDE64">
      <w:pPr>
        <w:spacing w:before="240" w:after="240" w:line="500" w:lineRule="exact"/>
        <w:jc w:val="center"/>
        <w:rPr>
          <w:rFonts w:ascii="宋体" w:hAnsi="宋体" w:cs="宋体"/>
          <w:color w:val="auto"/>
          <w:sz w:val="24"/>
          <w:highlight w:val="none"/>
        </w:rPr>
      </w:pPr>
    </w:p>
    <w:p w14:paraId="044F1C95">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承诺函（二）</w:t>
      </w:r>
    </w:p>
    <w:p w14:paraId="21817D1E">
      <w:pPr>
        <w:spacing w:before="240" w:after="240"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名称）：</w:t>
      </w:r>
    </w:p>
    <w:p w14:paraId="256D07C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我方参加了</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en-US" w:eastAsia="zh-CN"/>
        </w:rPr>
        <w:t>的采购活动</w:t>
      </w:r>
      <w:r>
        <w:rPr>
          <w:rFonts w:hint="eastAsia" w:ascii="宋体" w:hAnsi="宋体" w:cs="宋体"/>
          <w:color w:val="auto"/>
          <w:szCs w:val="21"/>
          <w:highlight w:val="none"/>
        </w:rPr>
        <w:t>，若我方</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，我方在此承诺：</w:t>
      </w:r>
    </w:p>
    <w:p w14:paraId="13BFC8C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文件未要求我方在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人向我方发出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通知书之前，我方将按照合同附件提出的最低要求填报派驻本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的其他主要管理人员和技术人员及主要机械设备和试验检测设备，在经</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人审批后作为派驻本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的项目管理机构主要人员和主要设备且不进行更换，如需更换须经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w:t>
      </w:r>
    </w:p>
    <w:p w14:paraId="1B5E8B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若我方已按本项目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的其他主要管理人员和技术人员及主要机械设备和试验检测设备，我方将严格按照在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如我方违背了上述承诺，本项目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人有权取消我方的</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人将我方的违约行为上报交通行政主管部门，作为不良记录纳入公路建设市场信息管理系统。</w:t>
      </w:r>
    </w:p>
    <w:p w14:paraId="747FAB11">
      <w:pPr>
        <w:spacing w:line="500" w:lineRule="exact"/>
        <w:rPr>
          <w:rFonts w:ascii="宋体" w:hAnsi="宋体" w:cs="宋体"/>
          <w:color w:val="auto"/>
          <w:szCs w:val="21"/>
          <w:highlight w:val="none"/>
        </w:rPr>
      </w:pPr>
    </w:p>
    <w:p w14:paraId="02088AF4">
      <w:pPr>
        <w:rPr>
          <w:rFonts w:ascii="宋体" w:hAnsi="宋体" w:cs="宋体"/>
          <w:color w:val="auto"/>
          <w:szCs w:val="21"/>
          <w:highlight w:val="none"/>
        </w:rPr>
      </w:pPr>
    </w:p>
    <w:p w14:paraId="21FBB139">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8EA6F23">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2B57718B">
      <w:pPr>
        <w:numPr>
          <w:ilvl w:val="0"/>
          <w:numId w:val="0"/>
        </w:numPr>
        <w:snapToGrid w:val="0"/>
        <w:spacing w:line="360" w:lineRule="auto"/>
        <w:rPr>
          <w:rFonts w:hint="eastAsia" w:ascii="宋体" w:hAnsi="宋体" w:eastAsia="宋体" w:cs="宋体"/>
          <w:b/>
          <w:color w:val="auto"/>
          <w:sz w:val="30"/>
          <w:szCs w:val="30"/>
          <w:highlight w:val="none"/>
          <w:lang w:val="en-US" w:eastAsia="zh-CN"/>
        </w:rPr>
      </w:pPr>
    </w:p>
    <w:p w14:paraId="279F1344">
      <w:pPr>
        <w:pStyle w:val="3"/>
        <w:jc w:val="center"/>
        <w:rPr>
          <w:rFonts w:hint="eastAsia" w:ascii="宋体" w:hAnsi="宋体" w:cs="宋体"/>
          <w:b w:val="0"/>
          <w:bCs w:val="0"/>
          <w:color w:val="auto"/>
          <w:highlight w:val="none"/>
        </w:rPr>
      </w:pPr>
      <w:bookmarkStart w:id="75" w:name="_Toc10861"/>
      <w:bookmarkStart w:id="76" w:name="_Toc80205940"/>
    </w:p>
    <w:p w14:paraId="17A5EFEF">
      <w:pPr>
        <w:pStyle w:val="3"/>
        <w:jc w:val="both"/>
        <w:rPr>
          <w:rFonts w:hint="eastAsia" w:ascii="宋体" w:hAnsi="宋体" w:cs="宋体"/>
          <w:b w:val="0"/>
          <w:bCs w:val="0"/>
          <w:color w:val="auto"/>
          <w:highlight w:val="none"/>
        </w:rPr>
      </w:pPr>
    </w:p>
    <w:p w14:paraId="546F607B">
      <w:pPr>
        <w:rPr>
          <w:rFonts w:hint="eastAsia"/>
          <w:color w:val="auto"/>
          <w:highlight w:val="none"/>
        </w:rPr>
      </w:pPr>
    </w:p>
    <w:p w14:paraId="2139C090">
      <w:pPr>
        <w:pStyle w:val="3"/>
        <w:jc w:val="center"/>
        <w:rPr>
          <w:rFonts w:hint="eastAsia" w:ascii="宋体" w:hAnsi="宋体" w:cs="宋体"/>
          <w:b w:val="0"/>
          <w:bCs w:val="0"/>
          <w:color w:val="auto"/>
          <w:highlight w:val="none"/>
        </w:rPr>
      </w:pPr>
    </w:p>
    <w:p w14:paraId="1794892C">
      <w:pPr>
        <w:rPr>
          <w:rFonts w:hint="eastAsia" w:ascii="宋体" w:hAnsi="宋体" w:cs="宋体"/>
          <w:b w:val="0"/>
          <w:bCs w:val="0"/>
          <w:color w:val="auto"/>
          <w:highlight w:val="none"/>
        </w:rPr>
      </w:pPr>
    </w:p>
    <w:p w14:paraId="46E6DBD6">
      <w:pP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5"/>
      <w:bookmarkEnd w:id="76"/>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7" w:name="PO_3000001868_PM002_6"/>
      <w:r>
        <w:rPr>
          <w:rFonts w:hint="eastAsia" w:ascii="宋体" w:hAnsi="宋体" w:cs="宋体"/>
          <w:bCs/>
          <w:color w:val="auto"/>
          <w:sz w:val="32"/>
          <w:szCs w:val="32"/>
          <w:highlight w:val="none"/>
        </w:rPr>
        <w:t>[项目名称]</w:t>
      </w:r>
      <w:bookmarkEnd w:id="77"/>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8" w:name="PO_3000001868_PM001_7"/>
      <w:r>
        <w:rPr>
          <w:rFonts w:hint="eastAsia" w:ascii="宋体" w:hAnsi="宋体" w:cs="宋体"/>
          <w:bCs/>
          <w:color w:val="auto"/>
          <w:sz w:val="32"/>
          <w:szCs w:val="32"/>
          <w:highlight w:val="none"/>
        </w:rPr>
        <w:t>[项目编号]</w:t>
      </w:r>
      <w:bookmarkEnd w:id="78"/>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3F39D35">
      <w:pPr>
        <w:pStyle w:val="8"/>
        <w:snapToGrid w:val="0"/>
        <w:spacing w:before="50" w:after="50"/>
        <w:ind w:firstLine="720" w:firstLineChars="225"/>
        <w:rPr>
          <w:rFonts w:ascii="宋体" w:hAnsi="宋体" w:cs="宋体"/>
          <w:bCs/>
          <w:color w:val="auto"/>
          <w:sz w:val="32"/>
          <w:szCs w:val="32"/>
          <w:highlight w:val="none"/>
        </w:rPr>
      </w:pPr>
    </w:p>
    <w:p w14:paraId="575584AC">
      <w:pPr>
        <w:pStyle w:val="8"/>
        <w:snapToGrid w:val="0"/>
        <w:spacing w:before="50" w:after="50"/>
        <w:ind w:firstLine="720" w:firstLineChars="225"/>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2E08F2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6CB65DD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F3CE651">
      <w:pPr>
        <w:pStyle w:val="37"/>
        <w:spacing w:line="360" w:lineRule="auto"/>
        <w:rPr>
          <w:rFonts w:ascii="宋体" w:hAnsi="宋体" w:eastAsia="宋体" w:cs="宋体"/>
          <w:color w:val="auto"/>
          <w:highlight w:val="none"/>
        </w:rPr>
      </w:pPr>
      <w:bookmarkStart w:id="79" w:name="OLE_LINK7"/>
      <w:bookmarkStart w:id="80" w:name="OLE_LINK6"/>
      <w:bookmarkStart w:id="81" w:name="OLE_LINK5"/>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、服务需求偏离表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9"/>
      <w:bookmarkEnd w:id="80"/>
    </w:p>
    <w:bookmarkEnd w:id="81"/>
    <w:p w14:paraId="5512BB0A">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7245A7B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、项目实施人员一览表……………………………………（页码）</w:t>
      </w:r>
    </w:p>
    <w:p w14:paraId="1EDA5D46">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代理服务费承诺书</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290299">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E6C50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十、服务需求、商务条款要求提供的其他材料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DFCE5D1">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650C3F5">
      <w:pPr>
        <w:adjustRightInd w:val="0"/>
        <w:snapToGrid w:val="0"/>
        <w:spacing w:line="300" w:lineRule="auto"/>
        <w:jc w:val="left"/>
        <w:rPr>
          <w:rFonts w:ascii="宋体" w:hAnsi="宋体" w:cs="宋体"/>
          <w:b/>
          <w:color w:val="auto"/>
          <w:szCs w:val="21"/>
          <w:highlight w:val="none"/>
        </w:rPr>
      </w:pPr>
    </w:p>
    <w:p w14:paraId="04209AD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2" w:name="PO_3000001868_PM031_7"/>
      <w:r>
        <w:rPr>
          <w:rFonts w:hint="eastAsia" w:ascii="宋体" w:hAnsi="宋体" w:cs="宋体"/>
          <w:color w:val="auto"/>
          <w:sz w:val="24"/>
          <w:highlight w:val="none"/>
          <w:u w:val="single"/>
        </w:rPr>
        <w:t>[采购组织机构]</w:t>
      </w:r>
      <w:bookmarkEnd w:id="82"/>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3" w:name="PO_3000001868_PM002_7"/>
      <w:r>
        <w:rPr>
          <w:rFonts w:hint="eastAsia" w:ascii="宋体" w:hAnsi="宋体" w:cs="宋体"/>
          <w:color w:val="auto"/>
          <w:sz w:val="24"/>
          <w:highlight w:val="none"/>
          <w:u w:val="single"/>
        </w:rPr>
        <w:t>[项目名称]</w:t>
      </w:r>
      <w:bookmarkEnd w:id="83"/>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         法定代表人（签字或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 xml:space="preserve">）：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3EEF038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4" w:name="PO_3000001868_PM001_8"/>
      <w:r>
        <w:rPr>
          <w:rFonts w:hint="eastAsia" w:ascii="宋体" w:hAnsi="宋体" w:cs="宋体"/>
          <w:color w:val="auto"/>
          <w:sz w:val="24"/>
          <w:highlight w:val="none"/>
          <w:u w:val="single"/>
        </w:rPr>
        <w:t>[项目编号]</w:t>
      </w:r>
      <w:bookmarkEnd w:id="84"/>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5" w:name="PO_3000001868_PM002_8"/>
      <w:r>
        <w:rPr>
          <w:rFonts w:hint="eastAsia" w:ascii="宋体" w:hAnsi="宋体" w:cs="宋体"/>
          <w:color w:val="auto"/>
          <w:sz w:val="24"/>
          <w:highlight w:val="none"/>
          <w:u w:val="single"/>
        </w:rPr>
        <w:t>[项目名称]</w:t>
      </w:r>
      <w:bookmarkEnd w:id="85"/>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364C640">
      <w:pPr>
        <w:snapToGrid w:val="0"/>
        <w:spacing w:line="360" w:lineRule="auto"/>
        <w:ind w:firstLine="602" w:firstLineChars="200"/>
        <w:rPr>
          <w:rFonts w:ascii="宋体" w:hAnsi="宋体" w:cs="宋体"/>
          <w:b/>
          <w:color w:val="auto"/>
          <w:sz w:val="30"/>
          <w:szCs w:val="30"/>
          <w:highlight w:val="none"/>
        </w:rPr>
      </w:pPr>
    </w:p>
    <w:p w14:paraId="705CEBBB">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、服务需求偏离表</w:t>
      </w:r>
    </w:p>
    <w:p w14:paraId="1B9799D3">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4772FF6A">
      <w:pPr>
        <w:spacing w:line="500" w:lineRule="exact"/>
        <w:jc w:val="center"/>
        <w:rPr>
          <w:rFonts w:ascii="宋体" w:hAnsi="宋体" w:cs="宋体"/>
          <w:b/>
          <w:color w:val="auto"/>
          <w:sz w:val="32"/>
          <w:szCs w:val="32"/>
          <w:highlight w:val="none"/>
        </w:rPr>
      </w:pPr>
    </w:p>
    <w:p w14:paraId="2EC1FA46">
      <w:pPr>
        <w:spacing w:line="360" w:lineRule="auto"/>
        <w:jc w:val="left"/>
        <w:rPr>
          <w:rFonts w:ascii="宋体" w:hAnsi="宋体" w:cs="宋体"/>
          <w:color w:val="auto"/>
          <w:sz w:val="24"/>
          <w:highlight w:val="none"/>
        </w:rPr>
      </w:pPr>
    </w:p>
    <w:p w14:paraId="247C92A6">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E63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10927385">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224D015">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039A300D">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552EE5C">
            <w:pPr>
              <w:rPr>
                <w:rFonts w:ascii="宋体" w:hAnsi="宋体" w:cs="宋体"/>
                <w:color w:val="auto"/>
                <w:szCs w:val="21"/>
                <w:highlight w:val="none"/>
              </w:rPr>
            </w:pPr>
            <w:r>
              <w:rPr>
                <w:rFonts w:hint="eastAsia" w:ascii="宋体" w:hAnsi="宋体" w:cs="宋体"/>
                <w:color w:val="auto"/>
                <w:szCs w:val="21"/>
                <w:highlight w:val="none"/>
              </w:rPr>
              <w:t>偏离说明</w:t>
            </w:r>
          </w:p>
        </w:tc>
      </w:tr>
      <w:tr w14:paraId="235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42CC2F0D">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6861615">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4B4F79BD">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2FD793A">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5A5ABB1E">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3C07E7E">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65810363">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72B902C">
            <w:pPr>
              <w:widowControl/>
              <w:jc w:val="left"/>
              <w:rPr>
                <w:rFonts w:ascii="宋体" w:hAnsi="宋体" w:cs="宋体"/>
                <w:color w:val="auto"/>
                <w:szCs w:val="21"/>
                <w:highlight w:val="none"/>
              </w:rPr>
            </w:pPr>
          </w:p>
        </w:tc>
      </w:tr>
      <w:tr w14:paraId="5FE5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0C52F5F">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7CFC2A3">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AA5498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5FEE95E">
            <w:pPr>
              <w:rPr>
                <w:rFonts w:ascii="宋体" w:hAnsi="宋体" w:cs="宋体"/>
                <w:color w:val="auto"/>
                <w:szCs w:val="21"/>
                <w:highlight w:val="none"/>
              </w:rPr>
            </w:pPr>
            <w:r>
              <w:rPr>
                <w:rFonts w:hint="eastAsia" w:ascii="宋体" w:hAnsi="宋体" w:cs="宋体"/>
                <w:color w:val="auto"/>
                <w:szCs w:val="21"/>
                <w:highlight w:val="none"/>
              </w:rPr>
              <w:t>1  ……</w:t>
            </w:r>
          </w:p>
          <w:p w14:paraId="07F07B75">
            <w:pPr>
              <w:rPr>
                <w:rFonts w:ascii="宋体" w:hAnsi="宋体" w:cs="宋体"/>
                <w:color w:val="auto"/>
                <w:szCs w:val="21"/>
                <w:highlight w:val="none"/>
              </w:rPr>
            </w:pPr>
            <w:r>
              <w:rPr>
                <w:rFonts w:hint="eastAsia" w:ascii="宋体" w:hAnsi="宋体" w:cs="宋体"/>
                <w:color w:val="auto"/>
                <w:szCs w:val="21"/>
                <w:highlight w:val="none"/>
              </w:rPr>
              <w:t>2  ……</w:t>
            </w:r>
          </w:p>
          <w:p w14:paraId="5F55EB75">
            <w:pPr>
              <w:rPr>
                <w:rFonts w:ascii="宋体" w:hAnsi="宋体" w:cs="宋体"/>
                <w:color w:val="auto"/>
                <w:szCs w:val="21"/>
                <w:highlight w:val="none"/>
              </w:rPr>
            </w:pPr>
            <w:r>
              <w:rPr>
                <w:rFonts w:hint="eastAsia" w:ascii="宋体" w:hAnsi="宋体" w:cs="宋体"/>
                <w:color w:val="auto"/>
                <w:szCs w:val="21"/>
                <w:highlight w:val="none"/>
              </w:rPr>
              <w:t>3  ……</w:t>
            </w:r>
          </w:p>
          <w:p w14:paraId="413A5644">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E3F95E8">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274DEC6">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13F618A6">
            <w:pPr>
              <w:rPr>
                <w:rFonts w:ascii="宋体" w:hAnsi="宋体" w:cs="宋体"/>
                <w:color w:val="auto"/>
                <w:szCs w:val="21"/>
                <w:highlight w:val="none"/>
              </w:rPr>
            </w:pPr>
            <w:r>
              <w:rPr>
                <w:rFonts w:hint="eastAsia" w:ascii="宋体" w:hAnsi="宋体" w:cs="宋体"/>
                <w:color w:val="auto"/>
                <w:szCs w:val="21"/>
                <w:highlight w:val="none"/>
              </w:rPr>
              <w:t>1  ……</w:t>
            </w:r>
          </w:p>
          <w:p w14:paraId="54DF41AC">
            <w:pPr>
              <w:rPr>
                <w:rFonts w:ascii="宋体" w:hAnsi="宋体" w:cs="宋体"/>
                <w:color w:val="auto"/>
                <w:szCs w:val="21"/>
                <w:highlight w:val="none"/>
              </w:rPr>
            </w:pPr>
            <w:r>
              <w:rPr>
                <w:rFonts w:hint="eastAsia" w:ascii="宋体" w:hAnsi="宋体" w:cs="宋体"/>
                <w:color w:val="auto"/>
                <w:szCs w:val="21"/>
                <w:highlight w:val="none"/>
              </w:rPr>
              <w:t>2  ……</w:t>
            </w:r>
          </w:p>
          <w:p w14:paraId="34E69893">
            <w:pPr>
              <w:rPr>
                <w:rFonts w:ascii="宋体" w:hAnsi="宋体" w:cs="宋体"/>
                <w:color w:val="auto"/>
                <w:szCs w:val="21"/>
                <w:highlight w:val="none"/>
              </w:rPr>
            </w:pPr>
            <w:r>
              <w:rPr>
                <w:rFonts w:hint="eastAsia" w:ascii="宋体" w:hAnsi="宋体" w:cs="宋体"/>
                <w:color w:val="auto"/>
                <w:szCs w:val="21"/>
                <w:highlight w:val="none"/>
              </w:rPr>
              <w:t>3  ……</w:t>
            </w:r>
          </w:p>
          <w:p w14:paraId="4097AC70">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625DE8F">
            <w:pPr>
              <w:rPr>
                <w:rFonts w:ascii="宋体" w:hAnsi="宋体" w:cs="宋体"/>
                <w:color w:val="auto"/>
                <w:szCs w:val="21"/>
                <w:highlight w:val="none"/>
              </w:rPr>
            </w:pPr>
          </w:p>
        </w:tc>
      </w:tr>
      <w:tr w14:paraId="4BE8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1A6BB75">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78DC6864">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7131C2A">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2586660">
            <w:pPr>
              <w:rPr>
                <w:rFonts w:ascii="宋体" w:hAnsi="宋体" w:cs="宋体"/>
                <w:color w:val="auto"/>
                <w:szCs w:val="21"/>
                <w:highlight w:val="none"/>
              </w:rPr>
            </w:pPr>
            <w:r>
              <w:rPr>
                <w:rFonts w:hint="eastAsia" w:ascii="宋体" w:hAnsi="宋体" w:cs="宋体"/>
                <w:color w:val="auto"/>
                <w:szCs w:val="21"/>
                <w:highlight w:val="none"/>
              </w:rPr>
              <w:t>1  ……</w:t>
            </w:r>
          </w:p>
          <w:p w14:paraId="0F5F3B09">
            <w:pPr>
              <w:rPr>
                <w:rFonts w:ascii="宋体" w:hAnsi="宋体" w:cs="宋体"/>
                <w:color w:val="auto"/>
                <w:szCs w:val="21"/>
                <w:highlight w:val="none"/>
              </w:rPr>
            </w:pPr>
            <w:r>
              <w:rPr>
                <w:rFonts w:hint="eastAsia" w:ascii="宋体" w:hAnsi="宋体" w:cs="宋体"/>
                <w:color w:val="auto"/>
                <w:szCs w:val="21"/>
                <w:highlight w:val="none"/>
              </w:rPr>
              <w:t>2  ……</w:t>
            </w:r>
          </w:p>
          <w:p w14:paraId="0DF28F62">
            <w:pPr>
              <w:rPr>
                <w:rFonts w:ascii="宋体" w:hAnsi="宋体" w:cs="宋体"/>
                <w:color w:val="auto"/>
                <w:szCs w:val="21"/>
                <w:highlight w:val="none"/>
              </w:rPr>
            </w:pPr>
            <w:r>
              <w:rPr>
                <w:rFonts w:hint="eastAsia" w:ascii="宋体" w:hAnsi="宋体" w:cs="宋体"/>
                <w:color w:val="auto"/>
                <w:szCs w:val="21"/>
                <w:highlight w:val="none"/>
              </w:rPr>
              <w:t>3  ……</w:t>
            </w:r>
          </w:p>
          <w:p w14:paraId="3D15C8E0">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4221A94F">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1FE12538">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0F022496">
            <w:pPr>
              <w:rPr>
                <w:rFonts w:ascii="宋体" w:hAnsi="宋体" w:cs="宋体"/>
                <w:color w:val="auto"/>
                <w:szCs w:val="21"/>
                <w:highlight w:val="none"/>
              </w:rPr>
            </w:pPr>
            <w:r>
              <w:rPr>
                <w:rFonts w:hint="eastAsia" w:ascii="宋体" w:hAnsi="宋体" w:cs="宋体"/>
                <w:color w:val="auto"/>
                <w:szCs w:val="21"/>
                <w:highlight w:val="none"/>
              </w:rPr>
              <w:t>1  ……</w:t>
            </w:r>
          </w:p>
          <w:p w14:paraId="5B2E717C">
            <w:pPr>
              <w:rPr>
                <w:rFonts w:ascii="宋体" w:hAnsi="宋体" w:cs="宋体"/>
                <w:color w:val="auto"/>
                <w:szCs w:val="21"/>
                <w:highlight w:val="none"/>
              </w:rPr>
            </w:pPr>
            <w:r>
              <w:rPr>
                <w:rFonts w:hint="eastAsia" w:ascii="宋体" w:hAnsi="宋体" w:cs="宋体"/>
                <w:color w:val="auto"/>
                <w:szCs w:val="21"/>
                <w:highlight w:val="none"/>
              </w:rPr>
              <w:t>2  ……</w:t>
            </w:r>
          </w:p>
          <w:p w14:paraId="2A66DD7C">
            <w:pPr>
              <w:rPr>
                <w:rFonts w:ascii="宋体" w:hAnsi="宋体" w:cs="宋体"/>
                <w:color w:val="auto"/>
                <w:szCs w:val="21"/>
                <w:highlight w:val="none"/>
              </w:rPr>
            </w:pPr>
            <w:r>
              <w:rPr>
                <w:rFonts w:hint="eastAsia" w:ascii="宋体" w:hAnsi="宋体" w:cs="宋体"/>
                <w:color w:val="auto"/>
                <w:szCs w:val="21"/>
                <w:highlight w:val="none"/>
              </w:rPr>
              <w:t>3  ……</w:t>
            </w:r>
          </w:p>
          <w:p w14:paraId="6BA29B5F">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42165AE4">
            <w:pPr>
              <w:rPr>
                <w:rFonts w:ascii="宋体" w:hAnsi="宋体" w:cs="宋体"/>
                <w:color w:val="auto"/>
                <w:szCs w:val="21"/>
                <w:highlight w:val="none"/>
              </w:rPr>
            </w:pPr>
          </w:p>
        </w:tc>
      </w:tr>
      <w:tr w14:paraId="10A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C236F21">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15E6453">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F92F896">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496E8B52">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0B9DCB3E">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24A3D464">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FA8849">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2814458">
            <w:pPr>
              <w:rPr>
                <w:rFonts w:ascii="宋体" w:hAnsi="宋体" w:cs="宋体"/>
                <w:color w:val="auto"/>
                <w:szCs w:val="21"/>
                <w:highlight w:val="none"/>
              </w:rPr>
            </w:pPr>
          </w:p>
        </w:tc>
      </w:tr>
    </w:tbl>
    <w:p w14:paraId="68D6030F">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33260016">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6A6A3CED">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4E50FA61">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D7391BA">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6E639AB6">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2411B72">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31A32B40">
      <w:pPr>
        <w:snapToGrid w:val="0"/>
        <w:spacing w:line="360" w:lineRule="auto"/>
        <w:ind w:firstLine="602" w:firstLineChars="200"/>
        <w:rPr>
          <w:rFonts w:ascii="宋体" w:hAnsi="宋体" w:cs="宋体"/>
          <w:b/>
          <w:color w:val="auto"/>
          <w:sz w:val="30"/>
          <w:szCs w:val="30"/>
          <w:highlight w:val="none"/>
        </w:rPr>
      </w:pPr>
    </w:p>
    <w:p w14:paraId="45CCC2A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CFEAB43">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124B1C6">
      <w:pPr>
        <w:adjustRightInd w:val="0"/>
        <w:snapToGrid w:val="0"/>
        <w:spacing w:line="520" w:lineRule="exact"/>
        <w:jc w:val="center"/>
        <w:rPr>
          <w:rFonts w:ascii="宋体" w:hAnsi="宋体" w:cs="宋体"/>
          <w:bCs/>
          <w:color w:val="auto"/>
          <w:sz w:val="44"/>
          <w:szCs w:val="44"/>
          <w:highlight w:val="none"/>
        </w:rPr>
      </w:pPr>
    </w:p>
    <w:p w14:paraId="51B6A712">
      <w:pPr>
        <w:pStyle w:val="35"/>
        <w:rPr>
          <w:rFonts w:ascii="宋体" w:hAnsi="宋体" w:eastAsia="宋体" w:cs="宋体"/>
          <w:color w:val="auto"/>
          <w:highlight w:val="none"/>
        </w:rPr>
      </w:pPr>
    </w:p>
    <w:p w14:paraId="381FC9AF">
      <w:pPr>
        <w:snapToGrid w:val="0"/>
        <w:spacing w:line="360" w:lineRule="auto"/>
        <w:ind w:firstLine="602" w:firstLineChars="200"/>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施工组织设计</w:t>
      </w:r>
    </w:p>
    <w:p w14:paraId="5B7251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w:t>
      </w:r>
      <w:r>
        <w:rPr>
          <w:rFonts w:hint="eastAsia" w:ascii="宋体" w:hAnsi="宋体" w:cs="宋体"/>
          <w:color w:val="auto"/>
          <w:sz w:val="24"/>
          <w:highlight w:val="none"/>
          <w:lang w:val="en-US" w:eastAsia="zh-CN"/>
        </w:rPr>
        <w:t>评审办法内容编制</w:t>
      </w:r>
      <w:r>
        <w:rPr>
          <w:rFonts w:hint="eastAsia" w:ascii="宋体" w:hAnsi="宋体" w:cs="宋体"/>
          <w:color w:val="auto"/>
          <w:sz w:val="24"/>
          <w:highlight w:val="none"/>
        </w:rPr>
        <w:t>）</w:t>
      </w:r>
    </w:p>
    <w:p w14:paraId="0DE13E75">
      <w:pPr>
        <w:rPr>
          <w:rFonts w:ascii="宋体" w:hAnsi="宋体" w:cs="宋体"/>
          <w:b/>
          <w:bCs/>
          <w:color w:val="auto"/>
          <w:kern w:val="0"/>
          <w:sz w:val="24"/>
          <w:highlight w:val="none"/>
          <w:lang w:val="zh-CN"/>
        </w:rPr>
      </w:pPr>
      <w:bookmarkStart w:id="86"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86"/>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auto"/>
                <w:sz w:val="24"/>
                <w:highlight w:val="none"/>
              </w:rPr>
            </w:pPr>
          </w:p>
          <w:p w14:paraId="34B3BD3F">
            <w:pPr>
              <w:spacing w:line="360" w:lineRule="auto"/>
              <w:rPr>
                <w:rFonts w:ascii="宋体" w:hAnsi="宋体" w:cs="宋体"/>
                <w:color w:val="auto"/>
                <w:sz w:val="24"/>
                <w:highlight w:val="none"/>
              </w:rPr>
            </w:pPr>
          </w:p>
          <w:p w14:paraId="3940FA5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auto"/>
                <w:sz w:val="24"/>
                <w:highlight w:val="none"/>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auto"/>
                <w:sz w:val="24"/>
                <w:highlight w:val="none"/>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auto"/>
                <w:sz w:val="24"/>
                <w:highlight w:val="none"/>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auto"/>
                <w:sz w:val="24"/>
                <w:highlight w:val="none"/>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auto"/>
                <w:sz w:val="24"/>
                <w:highlight w:val="none"/>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auto"/>
                <w:sz w:val="24"/>
                <w:highlight w:val="none"/>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auto"/>
                <w:sz w:val="24"/>
                <w:highlight w:val="none"/>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auto"/>
                <w:sz w:val="24"/>
                <w:highlight w:val="none"/>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auto"/>
                <w:sz w:val="24"/>
                <w:highlight w:val="none"/>
              </w:rPr>
            </w:pPr>
          </w:p>
        </w:tc>
      </w:tr>
    </w:tbl>
    <w:p w14:paraId="45496A85">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58FA0A8">
      <w:pPr>
        <w:snapToGrid w:val="0"/>
        <w:spacing w:line="360" w:lineRule="auto"/>
        <w:ind w:firstLine="602" w:firstLineChars="200"/>
        <w:rPr>
          <w:rFonts w:ascii="宋体" w:hAnsi="宋体" w:cs="宋体"/>
          <w:b/>
          <w:color w:val="auto"/>
          <w:sz w:val="30"/>
          <w:szCs w:val="30"/>
          <w:highlight w:val="none"/>
        </w:rPr>
      </w:pPr>
    </w:p>
    <w:p w14:paraId="772F6764">
      <w:pPr>
        <w:snapToGrid w:val="0"/>
        <w:spacing w:line="360" w:lineRule="auto"/>
        <w:ind w:firstLine="602" w:firstLineChars="200"/>
        <w:rPr>
          <w:rFonts w:ascii="宋体" w:hAnsi="宋体" w:cs="宋体"/>
          <w:b/>
          <w:color w:val="auto"/>
          <w:sz w:val="30"/>
          <w:szCs w:val="30"/>
          <w:highlight w:val="none"/>
        </w:rPr>
      </w:pPr>
    </w:p>
    <w:p w14:paraId="06F58BF3">
      <w:pPr>
        <w:snapToGrid w:val="0"/>
        <w:spacing w:line="360" w:lineRule="auto"/>
        <w:ind w:firstLine="602" w:firstLineChars="200"/>
        <w:rPr>
          <w:rFonts w:ascii="宋体" w:hAnsi="宋体" w:cs="宋体"/>
          <w:b/>
          <w:color w:val="auto"/>
          <w:sz w:val="30"/>
          <w:szCs w:val="30"/>
          <w:highlight w:val="none"/>
        </w:rPr>
      </w:pPr>
    </w:p>
    <w:p w14:paraId="579046E5">
      <w:pPr>
        <w:snapToGrid w:val="0"/>
        <w:spacing w:line="360" w:lineRule="auto"/>
        <w:ind w:firstLine="602" w:firstLineChars="200"/>
        <w:rPr>
          <w:rFonts w:ascii="宋体" w:hAnsi="宋体" w:cs="宋体"/>
          <w:b/>
          <w:color w:val="auto"/>
          <w:sz w:val="30"/>
          <w:szCs w:val="30"/>
          <w:highlight w:val="none"/>
        </w:rPr>
      </w:pPr>
    </w:p>
    <w:p w14:paraId="13838507">
      <w:pPr>
        <w:snapToGrid w:val="0"/>
        <w:spacing w:line="360" w:lineRule="auto"/>
        <w:ind w:firstLine="602" w:firstLineChars="200"/>
        <w:rPr>
          <w:rFonts w:ascii="宋体" w:hAnsi="宋体" w:cs="宋体"/>
          <w:b/>
          <w:color w:val="auto"/>
          <w:sz w:val="30"/>
          <w:szCs w:val="30"/>
          <w:highlight w:val="none"/>
        </w:rPr>
      </w:pPr>
    </w:p>
    <w:p w14:paraId="36D574AC">
      <w:pPr>
        <w:snapToGrid w:val="0"/>
        <w:spacing w:line="360" w:lineRule="auto"/>
        <w:ind w:firstLine="602" w:firstLineChars="200"/>
        <w:rPr>
          <w:rFonts w:ascii="宋体" w:hAnsi="宋体" w:cs="宋体"/>
          <w:b/>
          <w:color w:val="auto"/>
          <w:sz w:val="30"/>
          <w:szCs w:val="30"/>
          <w:highlight w:val="none"/>
        </w:rPr>
      </w:pPr>
    </w:p>
    <w:p w14:paraId="36CB11AB">
      <w:pPr>
        <w:snapToGrid w:val="0"/>
        <w:spacing w:line="360" w:lineRule="auto"/>
        <w:ind w:firstLine="602" w:firstLineChars="200"/>
        <w:rPr>
          <w:rFonts w:ascii="宋体" w:hAnsi="宋体" w:cs="宋体"/>
          <w:b/>
          <w:color w:val="auto"/>
          <w:sz w:val="30"/>
          <w:szCs w:val="30"/>
          <w:highlight w:val="none"/>
        </w:rPr>
      </w:pPr>
    </w:p>
    <w:p w14:paraId="23031F9F">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E140D7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auto"/>
                <w:sz w:val="24"/>
                <w:highlight w:val="none"/>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auto"/>
                <w:sz w:val="24"/>
                <w:highlight w:val="none"/>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auto"/>
                <w:sz w:val="24"/>
                <w:highlight w:val="none"/>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auto"/>
                <w:sz w:val="24"/>
                <w:highlight w:val="none"/>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auto"/>
                <w:sz w:val="24"/>
                <w:highlight w:val="none"/>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auto"/>
                <w:sz w:val="24"/>
                <w:highlight w:val="none"/>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auto"/>
                <w:sz w:val="24"/>
                <w:highlight w:val="none"/>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auto"/>
                <w:sz w:val="24"/>
                <w:highlight w:val="none"/>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auto"/>
                <w:sz w:val="24"/>
                <w:highlight w:val="none"/>
              </w:rPr>
            </w:pPr>
          </w:p>
        </w:tc>
      </w:tr>
    </w:tbl>
    <w:p w14:paraId="37A3158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D203269">
      <w:pPr>
        <w:autoSpaceDE w:val="0"/>
        <w:autoSpaceDN w:val="0"/>
        <w:spacing w:line="360" w:lineRule="auto"/>
        <w:rPr>
          <w:rFonts w:ascii="宋体" w:hAnsi="宋体" w:cs="宋体"/>
          <w:b/>
          <w:color w:val="auto"/>
          <w:sz w:val="24"/>
          <w:highlight w:val="none"/>
        </w:rPr>
      </w:pPr>
    </w:p>
    <w:p w14:paraId="7550E53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本项目的</w:t>
      </w:r>
      <w:r>
        <w:rPr>
          <w:rFonts w:hint="eastAsia" w:ascii="宋体" w:hAnsi="宋体" w:cs="宋体"/>
          <w:b/>
          <w:color w:val="auto"/>
          <w:sz w:val="24"/>
          <w:highlight w:val="none"/>
          <w:lang w:val="en-US" w:eastAsia="zh-CN"/>
        </w:rPr>
        <w:t>其他</w:t>
      </w:r>
      <w:r>
        <w:rPr>
          <w:rFonts w:hint="eastAsia" w:ascii="宋体" w:hAnsi="宋体" w:cs="宋体"/>
          <w:b/>
          <w:color w:val="auto"/>
          <w:sz w:val="24"/>
          <w:highlight w:val="none"/>
        </w:rPr>
        <w:t>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116"/>
        <w:gridCol w:w="1254"/>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116"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执业资格证书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54"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7154520B">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代理服务费承诺书</w:t>
      </w:r>
    </w:p>
    <w:p w14:paraId="3C468F40">
      <w:pPr>
        <w:numPr>
          <w:ilvl w:val="0"/>
          <w:numId w:val="0"/>
        </w:numPr>
        <w:snapToGrid w:val="0"/>
        <w:spacing w:line="360" w:lineRule="auto"/>
        <w:ind w:firstLine="2409" w:firstLineChars="800"/>
        <w:rPr>
          <w:rFonts w:hint="eastAsia" w:ascii="宋体" w:hAnsi="宋体" w:cs="宋体"/>
          <w:b/>
          <w:color w:val="auto"/>
          <w:sz w:val="30"/>
          <w:szCs w:val="30"/>
          <w:highlight w:val="none"/>
        </w:rPr>
      </w:pPr>
      <w:r>
        <w:rPr>
          <w:rFonts w:hint="eastAsia" w:ascii="宋体" w:hAnsi="宋体" w:cs="宋体"/>
          <w:b/>
          <w:color w:val="auto"/>
          <w:sz w:val="30"/>
          <w:szCs w:val="30"/>
          <w:highlight w:val="none"/>
        </w:rPr>
        <w:t>代理服务费承诺书</w:t>
      </w:r>
    </w:p>
    <w:p w14:paraId="5D8C1990">
      <w:pPr>
        <w:snapToGrid w:val="0"/>
        <w:spacing w:before="120" w:beforeLines="50" w:after="50"/>
        <w:jc w:val="center"/>
        <w:rPr>
          <w:rFonts w:hint="eastAsia" w:ascii="宋体" w:hAnsi="宋体"/>
          <w:b/>
          <w:color w:val="auto"/>
          <w:sz w:val="24"/>
          <w:highlight w:val="none"/>
        </w:rPr>
      </w:pPr>
    </w:p>
    <w:p w14:paraId="270C85F7">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16A9D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D8C12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5422D89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C56E23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95F0B1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CD5845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A28EE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E3DF54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02C2D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394F6F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78C603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112B7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2E11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2473CA">
      <w:pPr>
        <w:spacing w:line="440" w:lineRule="exact"/>
        <w:rPr>
          <w:rFonts w:hint="eastAsia" w:ascii="宋体" w:hAnsi="宋体"/>
          <w:color w:val="auto"/>
          <w:sz w:val="24"/>
          <w:highlight w:val="none"/>
        </w:rPr>
      </w:pPr>
    </w:p>
    <w:p w14:paraId="6932DBFE">
      <w:pPr>
        <w:spacing w:line="440" w:lineRule="exact"/>
        <w:rPr>
          <w:rFonts w:hint="eastAsia" w:ascii="宋体" w:hAnsi="宋体"/>
          <w:color w:val="auto"/>
          <w:sz w:val="24"/>
          <w:highlight w:val="none"/>
        </w:rPr>
      </w:pPr>
    </w:p>
    <w:p w14:paraId="1DE8A481">
      <w:pPr>
        <w:spacing w:line="440" w:lineRule="exact"/>
        <w:rPr>
          <w:rFonts w:hint="eastAsia" w:ascii="宋体" w:hAnsi="宋体"/>
          <w:color w:val="auto"/>
          <w:sz w:val="24"/>
          <w:highlight w:val="none"/>
        </w:rPr>
      </w:pPr>
    </w:p>
    <w:p w14:paraId="384721A7">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CC3B378">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37416EBB">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DCA8217">
      <w:pPr>
        <w:snapToGrid w:val="0"/>
        <w:spacing w:line="360" w:lineRule="auto"/>
        <w:ind w:firstLine="602" w:firstLineChars="200"/>
        <w:rPr>
          <w:rFonts w:hint="eastAsia" w:ascii="宋体" w:hAnsi="宋体" w:cs="宋体"/>
          <w:b/>
          <w:color w:val="auto"/>
          <w:sz w:val="30"/>
          <w:szCs w:val="30"/>
          <w:highlight w:val="none"/>
        </w:rPr>
      </w:pPr>
    </w:p>
    <w:p w14:paraId="734FBB0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.供应商认为需要提供的其他有关资料。</w:t>
      </w:r>
    </w:p>
    <w:p w14:paraId="1ECDE605">
      <w:pPr>
        <w:autoSpaceDE w:val="0"/>
        <w:autoSpaceDN w:val="0"/>
        <w:spacing w:line="360" w:lineRule="auto"/>
        <w:ind w:firstLine="6505" w:firstLineChars="2700"/>
        <w:rPr>
          <w:rFonts w:ascii="宋体" w:hAnsi="宋体" w:cs="宋体"/>
          <w:b/>
          <w:bCs/>
          <w:color w:val="auto"/>
          <w:sz w:val="24"/>
          <w:highlight w:val="none"/>
        </w:rPr>
      </w:pPr>
    </w:p>
    <w:p w14:paraId="2C9FD35A">
      <w:pPr>
        <w:pStyle w:val="3"/>
        <w:jc w:val="center"/>
        <w:rPr>
          <w:rFonts w:ascii="宋体" w:hAnsi="宋体" w:cs="宋体"/>
          <w:color w:val="auto"/>
          <w:highlight w:val="none"/>
        </w:rPr>
      </w:pPr>
      <w:bookmarkStart w:id="87" w:name="_Toc32512"/>
      <w:bookmarkStart w:id="88" w:name="_Toc80205941"/>
      <w:r>
        <w:rPr>
          <w:rFonts w:hint="eastAsia" w:ascii="宋体" w:hAnsi="宋体" w:cs="宋体"/>
          <w:color w:val="auto"/>
          <w:highlight w:val="none"/>
        </w:rPr>
        <w:t>第四节 报价文件格式</w:t>
      </w:r>
      <w:bookmarkEnd w:id="87"/>
      <w:bookmarkEnd w:id="88"/>
    </w:p>
    <w:p w14:paraId="31806E0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4420DF0">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9" w:name="PO_3000001868_PM002_9"/>
      <w:r>
        <w:rPr>
          <w:rFonts w:hint="eastAsia" w:ascii="宋体" w:hAnsi="宋体" w:cs="宋体"/>
          <w:bCs/>
          <w:color w:val="auto"/>
          <w:sz w:val="32"/>
          <w:szCs w:val="32"/>
          <w:highlight w:val="none"/>
        </w:rPr>
        <w:t>[项目名称]</w:t>
      </w:r>
      <w:bookmarkEnd w:id="89"/>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0" w:name="PO_3000001868_PM001_9"/>
      <w:r>
        <w:rPr>
          <w:rFonts w:hint="eastAsia" w:ascii="宋体" w:hAnsi="宋体" w:cs="宋体"/>
          <w:bCs/>
          <w:color w:val="auto"/>
          <w:sz w:val="32"/>
          <w:szCs w:val="32"/>
          <w:highlight w:val="none"/>
        </w:rPr>
        <w:t>[项目编号]</w:t>
      </w:r>
      <w:bookmarkEnd w:id="90"/>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6934453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三、已标价工程量清单</w:t>
      </w:r>
      <w:r>
        <w:rPr>
          <w:rFonts w:hint="eastAsia" w:ascii="宋体" w:hAnsi="宋体" w:eastAsia="宋体" w:cs="宋体"/>
          <w:color w:val="auto"/>
          <w:kern w:val="0"/>
          <w:sz w:val="24"/>
          <w:highlight w:val="none"/>
        </w:rPr>
        <w:t>………………………………………（页码）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Cs w:val="20"/>
          <w:highlight w:val="none"/>
        </w:rPr>
      </w:pPr>
      <w:r>
        <w:rPr>
          <w:rFonts w:hint="eastAsia" w:hAnsi="宋体" w:cs="宋体"/>
          <w:color w:val="auto"/>
          <w:szCs w:val="20"/>
          <w:highlight w:val="none"/>
        </w:rPr>
        <w:t>致：</w:t>
      </w:r>
      <w:r>
        <w:rPr>
          <w:rFonts w:hint="eastAsia" w:hAnsi="宋体" w:cs="宋体"/>
          <w:color w:val="auto"/>
          <w:szCs w:val="20"/>
          <w:highlight w:val="none"/>
          <w:u w:val="single"/>
        </w:rPr>
        <w:t xml:space="preserve"> </w:t>
      </w:r>
      <w:bookmarkStart w:id="91" w:name="PO_3000001868_PM031_4"/>
      <w:r>
        <w:rPr>
          <w:rFonts w:hint="eastAsia" w:hAnsi="宋体" w:cs="宋体"/>
          <w:color w:val="auto"/>
          <w:szCs w:val="20"/>
          <w:highlight w:val="none"/>
          <w:u w:val="single"/>
        </w:rPr>
        <w:t>[采购组织机构]</w:t>
      </w:r>
      <w:bookmarkEnd w:id="91"/>
      <w:r>
        <w:rPr>
          <w:rFonts w:hint="eastAsia" w:hAnsi="宋体" w:cs="宋体"/>
          <w:color w:val="auto"/>
          <w:szCs w:val="20"/>
          <w:highlight w:val="none"/>
          <w:u w:val="single"/>
        </w:rPr>
        <w:t xml:space="preserve"> </w:t>
      </w:r>
    </w:p>
    <w:p w14:paraId="678089CB">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我方已仔细阅读了贵方组织的</w:t>
      </w:r>
      <w:r>
        <w:rPr>
          <w:rFonts w:hint="eastAsia" w:hAnsi="宋体" w:cs="宋体"/>
          <w:color w:val="auto"/>
          <w:szCs w:val="20"/>
          <w:highlight w:val="none"/>
          <w:u w:val="single"/>
        </w:rPr>
        <w:t xml:space="preserve"> </w:t>
      </w:r>
      <w:bookmarkStart w:id="92" w:name="PO_3000001868_PM002_10"/>
      <w:r>
        <w:rPr>
          <w:rFonts w:hint="eastAsia" w:hAnsi="宋体" w:cs="宋体"/>
          <w:color w:val="auto"/>
          <w:szCs w:val="20"/>
          <w:highlight w:val="none"/>
          <w:u w:val="single"/>
        </w:rPr>
        <w:t>[项目名称]</w:t>
      </w:r>
      <w:bookmarkEnd w:id="92"/>
      <w:r>
        <w:rPr>
          <w:rFonts w:hint="eastAsia" w:hAnsi="宋体" w:cs="宋体"/>
          <w:color w:val="auto"/>
          <w:szCs w:val="20"/>
          <w:highlight w:val="none"/>
          <w:u w:val="single"/>
        </w:rPr>
        <w:t xml:space="preserve">  </w:t>
      </w:r>
      <w:r>
        <w:rPr>
          <w:rFonts w:hint="eastAsia" w:hAnsi="宋体" w:cs="宋体"/>
          <w:color w:val="auto"/>
          <w:szCs w:val="20"/>
          <w:highlight w:val="none"/>
        </w:rPr>
        <w:t>项目（项目编号：</w:t>
      </w:r>
      <w:r>
        <w:rPr>
          <w:rFonts w:hint="eastAsia" w:hAnsi="宋体" w:cs="宋体"/>
          <w:color w:val="auto"/>
          <w:szCs w:val="20"/>
          <w:highlight w:val="none"/>
          <w:u w:val="single"/>
        </w:rPr>
        <w:t xml:space="preserve">  </w:t>
      </w:r>
      <w:bookmarkStart w:id="93" w:name="PO_3000001868_PM001_10"/>
      <w:r>
        <w:rPr>
          <w:rFonts w:hint="eastAsia" w:hAnsi="宋体" w:cs="宋体"/>
          <w:color w:val="auto"/>
          <w:szCs w:val="20"/>
          <w:highlight w:val="none"/>
          <w:u w:val="single"/>
        </w:rPr>
        <w:t>[项目编号]</w:t>
      </w:r>
      <w:bookmarkEnd w:id="93"/>
      <w:r>
        <w:rPr>
          <w:rFonts w:hint="eastAsia" w:hAnsi="宋体" w:cs="宋体"/>
          <w:color w:val="auto"/>
          <w:szCs w:val="20"/>
          <w:highlight w:val="none"/>
          <w:u w:val="single"/>
        </w:rPr>
        <w:t xml:space="preserve"> </w:t>
      </w:r>
      <w:r>
        <w:rPr>
          <w:rFonts w:hint="eastAsia" w:hAnsi="宋体" w:cs="宋体"/>
          <w:color w:val="auto"/>
          <w:szCs w:val="20"/>
          <w:highlight w:val="none"/>
        </w:rPr>
        <w:t xml:space="preserve">）的竞争性磋商采购文件的全部内容，现正式递交下述文件参加贵方组织的本次政府采购活动： </w:t>
      </w:r>
    </w:p>
    <w:p w14:paraId="5540207E">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一、首次报价文件电子版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w:t>
      </w:r>
    </w:p>
    <w:p w14:paraId="4D035C89">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二、技术文件电子版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供应商须知”提交的全部文件）；（商务技术文件已合并装订成册）；</w:t>
      </w:r>
    </w:p>
    <w:p w14:paraId="2C0E7845">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三、资格证明文件电子版（包含按“第三章供应商须知”提交的全部文件）；</w:t>
      </w:r>
    </w:p>
    <w:p w14:paraId="26466CF0">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据此函，签字人兹宣布：</w:t>
      </w:r>
    </w:p>
    <w:p w14:paraId="51947E0E">
      <w:pPr>
        <w:pStyle w:val="15"/>
        <w:spacing w:line="360" w:lineRule="auto"/>
        <w:ind w:firstLine="482"/>
        <w:rPr>
          <w:rFonts w:hint="eastAsia" w:hAnsi="宋体" w:eastAsia="宋体" w:cs="宋体"/>
          <w:color w:val="auto"/>
          <w:szCs w:val="20"/>
          <w:highlight w:val="none"/>
          <w:lang w:eastAsia="zh-CN"/>
        </w:rPr>
      </w:pPr>
      <w:r>
        <w:rPr>
          <w:rFonts w:hint="eastAsia" w:hAnsi="宋体" w:cs="宋体"/>
          <w:color w:val="auto"/>
          <w:szCs w:val="20"/>
          <w:highlight w:val="none"/>
        </w:rPr>
        <w:t>1、我方愿意以</w:t>
      </w:r>
      <w:r>
        <w:rPr>
          <w:rFonts w:hint="eastAsia" w:hAnsi="宋体" w:cs="宋体"/>
          <w:color w:val="auto"/>
          <w:szCs w:val="20"/>
          <w:highlight w:val="none"/>
          <w:u w:val="single"/>
        </w:rPr>
        <w:t xml:space="preserve"> </w:t>
      </w:r>
      <w:r>
        <w:rPr>
          <w:rFonts w:hint="eastAsia" w:hAnsi="宋体" w:cs="宋体"/>
          <w:color w:val="auto"/>
          <w:szCs w:val="20"/>
          <w:highlight w:val="none"/>
          <w:u w:val="single"/>
          <w:lang w:val="en-US" w:eastAsia="zh-CN"/>
        </w:rPr>
        <w:t>人民币</w:t>
      </w:r>
      <w:r>
        <w:rPr>
          <w:rFonts w:hint="eastAsia" w:hAnsi="宋体" w:cs="宋体"/>
          <w:color w:val="auto"/>
          <w:szCs w:val="20"/>
          <w:highlight w:val="none"/>
          <w:u w:val="single"/>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rPr>
        <w:t>的竞标</w:t>
      </w:r>
      <w:r>
        <w:rPr>
          <w:rFonts w:hint="eastAsia" w:hAnsi="宋体" w:cs="宋体"/>
          <w:color w:val="auto"/>
          <w:szCs w:val="20"/>
          <w:highlight w:val="none"/>
          <w:lang w:val="en-US" w:eastAsia="zh-CN"/>
        </w:rPr>
        <w:t>总</w:t>
      </w:r>
      <w:r>
        <w:rPr>
          <w:rFonts w:hint="eastAsia" w:hAnsi="宋体" w:cs="宋体"/>
          <w:color w:val="auto"/>
          <w:szCs w:val="20"/>
          <w:highlight w:val="none"/>
        </w:rPr>
        <w:t>报价，</w:t>
      </w:r>
      <w:r>
        <w:rPr>
          <w:rFonts w:hint="eastAsia" w:hAnsi="宋体" w:cs="宋体"/>
          <w:color w:val="auto"/>
          <w:highlight w:val="none"/>
          <w:lang w:val="en-US" w:eastAsia="zh-CN"/>
        </w:rPr>
        <w:t>工期</w:t>
      </w:r>
      <w:r>
        <w:rPr>
          <w:rFonts w:hint="eastAsia" w:hAnsi="宋体" w:cs="宋体"/>
          <w:color w:val="auto"/>
          <w:szCs w:val="20"/>
          <w:highlight w:val="none"/>
        </w:rPr>
        <w:t>（无分标时填写）：</w:t>
      </w:r>
      <w:r>
        <w:rPr>
          <w:rFonts w:hint="eastAsia" w:hAnsi="宋体" w:cs="宋体"/>
          <w:color w:val="auto"/>
          <w:szCs w:val="20"/>
          <w:highlight w:val="none"/>
          <w:u w:val="single"/>
        </w:rPr>
        <w:t xml:space="preserve">            </w:t>
      </w:r>
      <w:r>
        <w:rPr>
          <w:rFonts w:hint="eastAsia" w:hAnsi="宋体" w:cs="宋体"/>
          <w:color w:val="auto"/>
          <w:szCs w:val="20"/>
          <w:highlight w:val="none"/>
        </w:rPr>
        <w:t>，</w:t>
      </w:r>
      <w:r>
        <w:rPr>
          <w:rFonts w:hint="eastAsia" w:hAnsi="宋体" w:cs="宋体"/>
          <w:color w:val="auto"/>
          <w:szCs w:val="20"/>
          <w:highlight w:val="none"/>
          <w:lang w:val="en-US" w:eastAsia="zh-CN"/>
        </w:rPr>
        <w:t>工程质量：</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none"/>
          <w:lang w:val="en-US" w:eastAsia="zh-CN"/>
        </w:rPr>
        <w:t>，安全目标：</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none"/>
          <w:lang w:val="en-US" w:eastAsia="zh-CN"/>
        </w:rPr>
        <w:t>，</w:t>
      </w:r>
      <w:r>
        <w:rPr>
          <w:rFonts w:hint="eastAsia" w:hAnsi="宋体" w:cs="宋体"/>
          <w:color w:val="auto"/>
          <w:szCs w:val="20"/>
          <w:highlight w:val="none"/>
        </w:rPr>
        <w:t>提供本项目竞争性磋商采购文件第二章“服务需求一览表”中相应的采购内容</w:t>
      </w:r>
      <w:r>
        <w:rPr>
          <w:rFonts w:hint="eastAsia" w:hAnsi="宋体" w:cs="宋体"/>
          <w:color w:val="auto"/>
          <w:szCs w:val="20"/>
          <w:highlight w:val="none"/>
          <w:lang w:eastAsia="zh-CN"/>
        </w:rPr>
        <w:t>，</w:t>
      </w:r>
      <w:r>
        <w:rPr>
          <w:rFonts w:hint="eastAsia" w:hAnsi="宋体" w:cs="宋体"/>
          <w:color w:val="auto"/>
          <w:szCs w:val="20"/>
          <w:highlight w:val="none"/>
          <w:lang w:val="en-US" w:eastAsia="zh-CN"/>
        </w:rPr>
        <w:t>并</w:t>
      </w:r>
      <w:r>
        <w:rPr>
          <w:rFonts w:hint="eastAsia" w:hAnsi="宋体" w:cs="宋体"/>
          <w:color w:val="auto"/>
          <w:szCs w:val="20"/>
          <w:highlight w:val="none"/>
          <w:lang w:eastAsia="zh-CN"/>
        </w:rPr>
        <w:t>按合同约定实施和完成承包工程，修补工程中的任何缺陷。</w:t>
      </w:r>
    </w:p>
    <w:p w14:paraId="14B8E16A">
      <w:pPr>
        <w:pStyle w:val="15"/>
        <w:spacing w:line="360" w:lineRule="auto"/>
        <w:ind w:firstLine="482"/>
        <w:rPr>
          <w:rFonts w:hAnsi="宋体" w:cs="宋体"/>
          <w:color w:val="auto"/>
          <w:szCs w:val="20"/>
          <w:highlight w:val="none"/>
        </w:rPr>
      </w:pPr>
      <w:r>
        <w:rPr>
          <w:rFonts w:hint="eastAsia" w:hAnsi="宋体" w:cs="宋体"/>
          <w:color w:val="auto"/>
          <w:szCs w:val="20"/>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Cs w:val="20"/>
          <w:highlight w:val="none"/>
        </w:rPr>
      </w:pPr>
      <w:r>
        <w:rPr>
          <w:rFonts w:hint="eastAsia" w:hAnsi="宋体" w:cs="宋体"/>
          <w:color w:val="auto"/>
          <w:szCs w:val="20"/>
          <w:highlight w:val="none"/>
        </w:rPr>
        <w:t>3、我方在此声明，所递交的响应文件及有关资料内容完整、真实和准确。</w:t>
      </w:r>
    </w:p>
    <w:p w14:paraId="2B6FFA51">
      <w:pPr>
        <w:pStyle w:val="15"/>
        <w:spacing w:line="360" w:lineRule="auto"/>
        <w:ind w:firstLine="482"/>
        <w:rPr>
          <w:rFonts w:hAnsi="宋体" w:cs="宋体"/>
          <w:color w:val="auto"/>
          <w:szCs w:val="20"/>
          <w:highlight w:val="none"/>
        </w:rPr>
      </w:pPr>
      <w:r>
        <w:rPr>
          <w:rFonts w:hint="eastAsia" w:hAnsi="宋体" w:cs="宋体"/>
          <w:color w:val="auto"/>
          <w:szCs w:val="20"/>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Cs w:val="20"/>
          <w:highlight w:val="none"/>
        </w:rPr>
      </w:pPr>
      <w:r>
        <w:rPr>
          <w:rFonts w:hint="eastAsia" w:hAnsi="宋体" w:cs="宋体"/>
          <w:color w:val="auto"/>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Cs w:val="20"/>
          <w:highlight w:val="none"/>
        </w:rPr>
      </w:pPr>
      <w:r>
        <w:rPr>
          <w:rFonts w:hint="eastAsia" w:hAnsi="宋体" w:cs="宋体"/>
          <w:color w:val="auto"/>
          <w:szCs w:val="20"/>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Cs w:val="20"/>
          <w:highlight w:val="none"/>
        </w:rPr>
      </w:pPr>
      <w:r>
        <w:rPr>
          <w:rFonts w:hint="eastAsia" w:hAnsi="宋体" w:cs="宋体"/>
          <w:color w:val="auto"/>
          <w:szCs w:val="20"/>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Cs w:val="20"/>
          <w:highlight w:val="none"/>
        </w:rPr>
      </w:pPr>
      <w:r>
        <w:rPr>
          <w:rFonts w:hint="eastAsia" w:hAnsi="宋体" w:cs="宋体"/>
          <w:color w:val="auto"/>
          <w:szCs w:val="20"/>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Cs w:val="20"/>
          <w:highlight w:val="none"/>
        </w:rPr>
      </w:pPr>
      <w:r>
        <w:rPr>
          <w:rFonts w:hint="eastAsia" w:hAnsi="宋体" w:cs="宋体"/>
          <w:color w:val="auto"/>
          <w:szCs w:val="20"/>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Cs w:val="20"/>
          <w:highlight w:val="none"/>
        </w:rPr>
      </w:pPr>
      <w:r>
        <w:rPr>
          <w:rFonts w:hint="eastAsia" w:hAnsi="宋体" w:cs="宋体"/>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提供虚假材料谋取中标、成交的；</w:t>
      </w:r>
    </w:p>
    <w:p w14:paraId="58B4DB06">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采取不正当手段诋毁、排挤其他供应商的；</w:t>
      </w:r>
    </w:p>
    <w:p w14:paraId="4042A0D2">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与采购人、其他供应商或者采购代理机构恶意串通的；</w:t>
      </w:r>
    </w:p>
    <w:p w14:paraId="10B95B00">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向采购人、采购代理机构行贿或者提供其他不正当利益的；</w:t>
      </w:r>
    </w:p>
    <w:p w14:paraId="1C67007F">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在采购过程中与采购人进行协商谈判的；</w:t>
      </w:r>
    </w:p>
    <w:p w14:paraId="1BA5889C">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拒绝有关部门监督检查或提供虚假情况的。</w:t>
      </w:r>
    </w:p>
    <w:p w14:paraId="29957F1B">
      <w:pPr>
        <w:pStyle w:val="15"/>
        <w:spacing w:line="360" w:lineRule="auto"/>
        <w:ind w:firstLine="420"/>
        <w:rPr>
          <w:rFonts w:hAnsi="宋体" w:cs="宋体"/>
          <w:color w:val="auto"/>
          <w:szCs w:val="20"/>
          <w:highlight w:val="none"/>
        </w:rPr>
      </w:pPr>
      <w:r>
        <w:rPr>
          <w:rFonts w:hint="eastAsia" w:hAnsi="宋体" w:cs="宋体"/>
          <w:color w:val="auto"/>
          <w:szCs w:val="20"/>
          <w:highlight w:val="none"/>
        </w:rPr>
        <w:t>11.与本磋商有关的一切正式往来信函请寄：</w:t>
      </w:r>
    </w:p>
    <w:p w14:paraId="74A41332">
      <w:pPr>
        <w:pStyle w:val="15"/>
        <w:spacing w:line="360" w:lineRule="auto"/>
        <w:ind w:firstLine="420"/>
        <w:rPr>
          <w:rFonts w:hAnsi="宋体" w:cs="宋体"/>
          <w:color w:val="auto"/>
          <w:szCs w:val="20"/>
          <w:highlight w:val="none"/>
        </w:rPr>
      </w:pPr>
      <w:r>
        <w:rPr>
          <w:rFonts w:hint="eastAsia" w:hAnsi="宋体" w:cs="宋体"/>
          <w:color w:val="auto"/>
          <w:szCs w:val="20"/>
          <w:highlight w:val="none"/>
        </w:rPr>
        <w:t>地址：</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p>
    <w:p w14:paraId="1AFBF7C8">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电话：</w:t>
      </w:r>
      <w:r>
        <w:rPr>
          <w:rFonts w:hint="eastAsia" w:hAnsi="宋体" w:cs="宋体"/>
          <w:color w:val="auto"/>
          <w:szCs w:val="20"/>
          <w:highlight w:val="none"/>
          <w:u w:val="single"/>
        </w:rPr>
        <w:t xml:space="preserve">                                      　　　　　　　　　</w:t>
      </w:r>
    </w:p>
    <w:p w14:paraId="63D70748">
      <w:pPr>
        <w:pStyle w:val="15"/>
        <w:spacing w:line="360" w:lineRule="auto"/>
        <w:ind w:firstLine="420"/>
        <w:rPr>
          <w:rFonts w:hAnsi="宋体" w:cs="宋体"/>
          <w:color w:val="auto"/>
          <w:szCs w:val="20"/>
          <w:highlight w:val="none"/>
        </w:rPr>
      </w:pPr>
      <w:r>
        <w:rPr>
          <w:rFonts w:hint="eastAsia" w:hAnsi="宋体" w:cs="宋体"/>
          <w:color w:val="auto"/>
          <w:szCs w:val="20"/>
          <w:highlight w:val="none"/>
        </w:rPr>
        <w:t>传真：</w:t>
      </w:r>
      <w:r>
        <w:rPr>
          <w:rFonts w:hint="eastAsia" w:hAnsi="宋体" w:cs="宋体"/>
          <w:color w:val="auto"/>
          <w:szCs w:val="20"/>
          <w:highlight w:val="none"/>
          <w:u w:val="single"/>
        </w:rPr>
        <w:t>　　　　　　　　　　　　　　　　　　　　　　　　　　　　</w:t>
      </w:r>
    </w:p>
    <w:p w14:paraId="757FF7C3">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邮政编码：</w:t>
      </w:r>
      <w:r>
        <w:rPr>
          <w:rFonts w:hint="eastAsia" w:hAnsi="宋体" w:cs="宋体"/>
          <w:color w:val="auto"/>
          <w:szCs w:val="20"/>
          <w:highlight w:val="none"/>
          <w:u w:val="single"/>
        </w:rPr>
        <w:t xml:space="preserve">                                                    </w:t>
      </w:r>
    </w:p>
    <w:p w14:paraId="3C617004">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开户名称：</w:t>
      </w:r>
      <w:r>
        <w:rPr>
          <w:rFonts w:hint="eastAsia" w:hAnsi="宋体" w:cs="宋体"/>
          <w:color w:val="auto"/>
          <w:szCs w:val="20"/>
          <w:highlight w:val="none"/>
          <w:u w:val="single"/>
        </w:rPr>
        <w:t xml:space="preserve">                                                    </w:t>
      </w:r>
    </w:p>
    <w:p w14:paraId="2FD11976">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开户银行：</w:t>
      </w:r>
      <w:r>
        <w:rPr>
          <w:rFonts w:hint="eastAsia" w:hAnsi="宋体" w:cs="宋体"/>
          <w:color w:val="auto"/>
          <w:szCs w:val="20"/>
          <w:highlight w:val="none"/>
          <w:u w:val="single"/>
        </w:rPr>
        <w:t xml:space="preserve">                                                    </w:t>
      </w:r>
    </w:p>
    <w:p w14:paraId="01A5E678">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银行账号：</w:t>
      </w:r>
      <w:r>
        <w:rPr>
          <w:rFonts w:hint="eastAsia" w:hAnsi="宋体" w:cs="宋体"/>
          <w:color w:val="auto"/>
          <w:szCs w:val="20"/>
          <w:highlight w:val="none"/>
          <w:u w:val="single"/>
        </w:rPr>
        <w:t xml:space="preserve">                                                    </w:t>
      </w:r>
    </w:p>
    <w:p w14:paraId="57792856">
      <w:pPr>
        <w:pStyle w:val="13"/>
        <w:tabs>
          <w:tab w:val="left" w:pos="939"/>
        </w:tabs>
        <w:spacing w:line="360" w:lineRule="auto"/>
        <w:ind w:left="141" w:leftChars="67" w:firstLine="300" w:firstLineChars="150"/>
        <w:rPr>
          <w:rFonts w:ascii="宋体" w:hAnsi="宋体" w:cs="宋体"/>
          <w:color w:val="auto"/>
          <w:sz w:val="20"/>
          <w:szCs w:val="20"/>
          <w:highlight w:val="none"/>
        </w:rPr>
      </w:pPr>
      <w:r>
        <w:rPr>
          <w:rFonts w:hint="eastAsia" w:ascii="宋体" w:hAnsi="宋体" w:cs="宋体"/>
          <w:color w:val="auto"/>
          <w:sz w:val="20"/>
          <w:szCs w:val="20"/>
          <w:highlight w:val="none"/>
        </w:rPr>
        <w:t>特此承诺。</w:t>
      </w:r>
    </w:p>
    <w:p w14:paraId="72891655">
      <w:pPr>
        <w:spacing w:line="360" w:lineRule="auto"/>
        <w:jc w:val="left"/>
        <w:rPr>
          <w:rFonts w:ascii="宋体" w:hAnsi="宋体" w:cs="宋体"/>
          <w:color w:val="auto"/>
          <w:szCs w:val="21"/>
          <w:highlight w:val="none"/>
        </w:rPr>
      </w:pPr>
    </w:p>
    <w:p w14:paraId="189F3616">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7EB262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2965081">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4" w:name="PO_3000001868_PM002_11"/>
      <w:r>
        <w:rPr>
          <w:rFonts w:hint="eastAsia" w:ascii="宋体" w:hAnsi="宋体" w:cs="宋体"/>
          <w:color w:val="auto"/>
          <w:sz w:val="24"/>
          <w:highlight w:val="none"/>
          <w:u w:val="single"/>
        </w:rPr>
        <w:t>[项目名称]</w:t>
      </w:r>
      <w:bookmarkEnd w:id="94"/>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5" w:name="PO_3000001868_PM001_11"/>
      <w:r>
        <w:rPr>
          <w:rFonts w:hint="eastAsia" w:ascii="宋体" w:hAnsi="宋体" w:cs="宋体"/>
          <w:color w:val="auto"/>
          <w:sz w:val="24"/>
          <w:highlight w:val="none"/>
          <w:u w:val="single"/>
        </w:rPr>
        <w:t>[项目编号]</w:t>
      </w:r>
      <w:bookmarkEnd w:id="9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2A72FC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2C9DBF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DE3E686">
      <w:pPr>
        <w:widowControl/>
        <w:jc w:val="left"/>
        <w:rPr>
          <w:rFonts w:ascii="宋体" w:hAnsi="宋体" w:cs="宋体"/>
          <w:color w:val="auto"/>
          <w:kern w:val="0"/>
          <w:sz w:val="24"/>
          <w:szCs w:val="21"/>
          <w:highlight w:val="none"/>
          <w:lang w:val="zh-CN"/>
        </w:rPr>
      </w:pPr>
    </w:p>
    <w:p w14:paraId="6CCC7493">
      <w:pPr>
        <w:numPr>
          <w:ilvl w:val="0"/>
          <w:numId w:val="4"/>
        </w:numPr>
        <w:spacing w:line="520" w:lineRule="exact"/>
        <w:ind w:firstLine="643" w:firstLineChars="200"/>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w:t>
      </w:r>
    </w:p>
    <w:p w14:paraId="2452D375">
      <w:pPr>
        <w:bidi w:val="0"/>
        <w:rPr>
          <w:rFonts w:hint="eastAsia"/>
          <w:color w:val="auto"/>
          <w:highlight w:val="none"/>
        </w:rPr>
      </w:pPr>
      <w:bookmarkStart w:id="96" w:name="_Toc31723070"/>
      <w:bookmarkEnd w:id="96"/>
      <w:bookmarkStart w:id="97" w:name="_Toc35611516"/>
      <w:bookmarkEnd w:id="97"/>
      <w:bookmarkStart w:id="98" w:name="_Toc31728084"/>
      <w:bookmarkEnd w:id="98"/>
      <w:bookmarkStart w:id="99" w:name="_Toc35611438"/>
      <w:bookmarkEnd w:id="99"/>
      <w:bookmarkStart w:id="100" w:name="_Toc44229899"/>
      <w:bookmarkEnd w:id="100"/>
      <w:bookmarkStart w:id="101" w:name="_Toc80205942"/>
      <w:bookmarkStart w:id="102" w:name="_Toc15428"/>
      <w:r>
        <w:rPr>
          <w:rFonts w:hint="eastAsia"/>
          <w:color w:val="auto"/>
          <w:highlight w:val="none"/>
        </w:rPr>
        <w:t>供应商应按照第</w:t>
      </w:r>
      <w:r>
        <w:rPr>
          <w:rFonts w:hint="eastAsia"/>
          <w:color w:val="auto"/>
          <w:highlight w:val="none"/>
          <w:lang w:eastAsia="zh-CN"/>
        </w:rPr>
        <w:t>七</w:t>
      </w:r>
      <w:r>
        <w:rPr>
          <w:rFonts w:hint="eastAsia"/>
          <w:color w:val="auto"/>
          <w:highlight w:val="none"/>
        </w:rPr>
        <w:t>章“工程量清单、图纸”的要求逐项填报工程量清单，包括工程量清单说明、投标报价说明、计日工说明、其他说明及工程量清单各项表格。</w:t>
      </w:r>
    </w:p>
    <w:p w14:paraId="3C7E95B0">
      <w:pPr>
        <w:bidi w:val="0"/>
        <w:jc w:val="right"/>
        <w:rPr>
          <w:rFonts w:hint="eastAsia"/>
          <w:color w:val="auto"/>
          <w:highlight w:val="none"/>
        </w:rPr>
      </w:pPr>
      <w:r>
        <w:rPr>
          <w:rFonts w:hint="eastAsia" w:ascii="宋体" w:hAnsi="宋体" w:cs="宋体"/>
          <w:color w:val="auto"/>
          <w:kern w:val="0"/>
          <w:sz w:val="24"/>
          <w:highlight w:val="none"/>
        </w:rPr>
        <w:t>供应商名称（电子签章）：</w:t>
      </w:r>
    </w:p>
    <w:bookmarkEnd w:id="101"/>
    <w:bookmarkEnd w:id="102"/>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79810BA5">
      <w:pPr>
        <w:pStyle w:val="2"/>
        <w:jc w:val="center"/>
        <w:rPr>
          <w:rFonts w:ascii="宋体" w:hAnsi="宋体" w:cs="宋体"/>
          <w:b w:val="0"/>
          <w:bCs w:val="0"/>
          <w:color w:val="auto"/>
          <w:highlight w:val="none"/>
        </w:rPr>
      </w:pPr>
      <w:bookmarkStart w:id="103"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3"/>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5E395FAA">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2BC9BB51">
      <w:pPr>
        <w:spacing w:line="360" w:lineRule="auto"/>
        <w:ind w:firstLine="420" w:firstLineChars="200"/>
        <w:rPr>
          <w:rFonts w:hint="eastAsia" w:ascii="宋体" w:hAnsi="宋体" w:cs="宋体"/>
          <w:color w:val="auto"/>
          <w:highlight w:val="none"/>
          <w:lang w:val="en-US" w:eastAsia="zh-CN"/>
        </w:rPr>
      </w:pPr>
    </w:p>
    <w:p w14:paraId="7EF60780">
      <w:pPr>
        <w:spacing w:line="360" w:lineRule="auto"/>
        <w:ind w:firstLine="420" w:firstLineChars="200"/>
        <w:rPr>
          <w:rFonts w:hint="eastAsia" w:ascii="宋体" w:hAnsi="宋体" w:cs="宋体"/>
          <w:color w:val="auto"/>
          <w:highlight w:val="none"/>
          <w:lang w:val="en-US" w:eastAsia="zh-CN"/>
        </w:rPr>
      </w:pPr>
    </w:p>
    <w:p w14:paraId="536CA060">
      <w:pPr>
        <w:spacing w:line="360" w:lineRule="auto"/>
        <w:ind w:firstLine="420" w:firstLineChars="200"/>
        <w:rPr>
          <w:rFonts w:hint="eastAsia" w:ascii="宋体" w:hAnsi="宋体" w:cs="宋体"/>
          <w:color w:val="auto"/>
          <w:highlight w:val="none"/>
          <w:lang w:val="en-US" w:eastAsia="zh-CN"/>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4" w:name="PO_3000001868_PM002_15"/>
      <w:r>
        <w:rPr>
          <w:rFonts w:hint="eastAsia" w:ascii="宋体" w:hAnsi="宋体" w:cs="宋体"/>
          <w:b/>
          <w:bCs/>
          <w:color w:val="auto"/>
          <w:sz w:val="44"/>
          <w:highlight w:val="none"/>
          <w:u w:val="single"/>
        </w:rPr>
        <w:t>[项目名称]</w:t>
      </w:r>
      <w:bookmarkEnd w:id="104"/>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5" w:name="PO_3000001868_PM026_4"/>
      <w:r>
        <w:rPr>
          <w:rFonts w:hint="eastAsia" w:ascii="宋体" w:hAnsi="宋体" w:cs="宋体"/>
          <w:b/>
          <w:color w:val="auto"/>
          <w:sz w:val="36"/>
          <w:szCs w:val="36"/>
          <w:highlight w:val="none"/>
          <w:u w:val="single"/>
        </w:rPr>
        <w:t>[采购人]</w:t>
      </w:r>
      <w:bookmarkEnd w:id="105"/>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004EF04A">
      <w:pPr>
        <w:snapToGrid w:val="0"/>
        <w:spacing w:line="360" w:lineRule="auto"/>
        <w:rPr>
          <w:rFonts w:hint="eastAsia" w:ascii="宋体" w:hAnsi="宋体" w:cs="宋体"/>
          <w:b/>
          <w:bCs/>
          <w:color w:val="auto"/>
          <w:sz w:val="44"/>
          <w:highlight w:val="none"/>
        </w:rPr>
      </w:pPr>
    </w:p>
    <w:p w14:paraId="002DC788">
      <w:pPr>
        <w:snapToGrid w:val="0"/>
        <w:spacing w:line="360" w:lineRule="auto"/>
        <w:rPr>
          <w:rFonts w:hint="eastAsia" w:ascii="宋体" w:hAnsi="宋体" w:cs="宋体"/>
          <w:b/>
          <w:bCs/>
          <w:color w:val="auto"/>
          <w:sz w:val="44"/>
          <w:highlight w:val="none"/>
        </w:rPr>
      </w:pPr>
    </w:p>
    <w:p w14:paraId="2D4D429B">
      <w:pPr>
        <w:snapToGrid w:val="0"/>
        <w:spacing w:line="360" w:lineRule="auto"/>
        <w:rPr>
          <w:rFonts w:hint="eastAsia" w:ascii="宋体" w:hAnsi="宋体" w:cs="宋体"/>
          <w:b/>
          <w:bCs/>
          <w:color w:val="auto"/>
          <w:sz w:val="44"/>
          <w:highlight w:val="none"/>
        </w:rPr>
      </w:pPr>
    </w:p>
    <w:p w14:paraId="53A546AC">
      <w:pPr>
        <w:snapToGrid w:val="0"/>
        <w:spacing w:line="360" w:lineRule="auto"/>
        <w:rPr>
          <w:rFonts w:hint="eastAsia" w:ascii="宋体" w:hAnsi="宋体" w:cs="宋体"/>
          <w:b/>
          <w:bCs/>
          <w:color w:val="auto"/>
          <w:sz w:val="44"/>
          <w:highlight w:val="none"/>
        </w:rPr>
      </w:pPr>
    </w:p>
    <w:p w14:paraId="6BF8CE95">
      <w:pPr>
        <w:snapToGrid w:val="0"/>
        <w:spacing w:line="360" w:lineRule="auto"/>
        <w:jc w:val="center"/>
        <w:rPr>
          <w:rFonts w:ascii="宋体" w:hAnsi="宋体" w:cs="宋体"/>
          <w:color w:val="auto"/>
          <w:kern w:val="0"/>
          <w:sz w:val="24"/>
          <w:highlight w:val="none"/>
        </w:rPr>
      </w:pPr>
      <w:r>
        <w:rPr>
          <w:rFonts w:hint="eastAsia" w:ascii="宋体" w:hAnsi="宋体" w:eastAsia="宋体" w:cs="宋体"/>
          <w:b/>
          <w:color w:val="auto"/>
          <w:sz w:val="56"/>
          <w:szCs w:val="56"/>
          <w:highlight w:val="none"/>
        </w:rPr>
        <w:t>公路工程施工合同</w:t>
      </w:r>
    </w:p>
    <w:p w14:paraId="6DBDE096">
      <w:pPr>
        <w:snapToGrid w:val="0"/>
        <w:spacing w:line="360" w:lineRule="auto"/>
        <w:rPr>
          <w:rFonts w:ascii="宋体" w:hAnsi="宋体" w:cs="宋体"/>
          <w:color w:val="auto"/>
          <w:kern w:val="0"/>
          <w:sz w:val="24"/>
          <w:highlight w:val="none"/>
        </w:rPr>
      </w:pPr>
    </w:p>
    <w:p w14:paraId="74FA5546">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68362E4">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bookmarkStart w:id="106" w:name="_Toc394929411"/>
      <w:bookmarkStart w:id="107" w:name="_Toc508779702"/>
      <w:bookmarkStart w:id="108" w:name="_Toc511595186"/>
      <w:bookmarkStart w:id="109" w:name="_Toc2532"/>
      <w:bookmarkStart w:id="110" w:name="_Toc514759025"/>
      <w:bookmarkStart w:id="111" w:name="_Toc367270683"/>
      <w:bookmarkStart w:id="112" w:name="_Toc517163145"/>
      <w:r>
        <w:rPr>
          <w:rFonts w:hint="eastAsia" w:ascii="宋体" w:hAnsi="宋体" w:eastAsia="宋体" w:cs="宋体"/>
          <w:b/>
          <w:bCs/>
          <w:color w:val="auto"/>
          <w:sz w:val="28"/>
          <w:szCs w:val="28"/>
          <w:highlight w:val="none"/>
        </w:rPr>
        <w:t>合 同 协 议 书</w:t>
      </w:r>
    </w:p>
    <w:p w14:paraId="1BC3CB24">
      <w:pPr>
        <w:pStyle w:val="44"/>
        <w:pageBreakBefore w:val="0"/>
        <w:shd w:val="clear" w:color="auto" w:fill="auto"/>
        <w:tabs>
          <w:tab w:val="left" w:leader="underscore" w:pos="1756"/>
          <w:tab w:val="left" w:leader="underscore" w:pos="8354"/>
        </w:tabs>
        <w:kinsoku/>
        <w:wordWrap w:val="0"/>
        <w:overflowPunct/>
        <w:topLinePunct w:val="0"/>
        <w:autoSpaceDE/>
        <w:autoSpaceDN/>
        <w:bidi w:val="0"/>
        <w:spacing w:before="0" w:line="360" w:lineRule="auto"/>
        <w:ind w:firstLine="75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u w:val="single"/>
        </w:rPr>
        <w:t>(发包人名称，以下简称“发包人”）</w:t>
      </w:r>
      <w:r>
        <w:rPr>
          <w:rStyle w:val="45"/>
          <w:rFonts w:hint="eastAsia" w:ascii="宋体" w:hAnsi="宋体" w:eastAsia="宋体" w:cs="宋体"/>
          <w:color w:val="auto"/>
          <w:sz w:val="21"/>
          <w:szCs w:val="21"/>
          <w:highlight w:val="none"/>
        </w:rPr>
        <w:t>为实施</w:t>
      </w:r>
      <w:r>
        <w:rPr>
          <w:rStyle w:val="45"/>
          <w:rFonts w:hint="eastAsia" w:ascii="宋体" w:hAnsi="宋体" w:eastAsia="宋体" w:cs="宋体"/>
          <w:color w:val="auto"/>
          <w:sz w:val="21"/>
          <w:szCs w:val="21"/>
          <w:highlight w:val="none"/>
          <w:u w:val="single"/>
        </w:rPr>
        <w:t>(项目名称)</w:t>
      </w:r>
      <w:r>
        <w:rPr>
          <w:rStyle w:val="45"/>
          <w:rFonts w:hint="eastAsia" w:ascii="宋体" w:hAnsi="宋体" w:eastAsia="宋体" w:cs="宋体"/>
          <w:color w:val="auto"/>
          <w:sz w:val="21"/>
          <w:szCs w:val="21"/>
          <w:highlight w:val="none"/>
        </w:rPr>
        <w:t>，已接受</w:t>
      </w:r>
      <w:r>
        <w:rPr>
          <w:rStyle w:val="45"/>
          <w:rFonts w:hint="eastAsia" w:ascii="宋体" w:hAnsi="宋体" w:eastAsia="宋体" w:cs="宋体"/>
          <w:color w:val="auto"/>
          <w:sz w:val="21"/>
          <w:szCs w:val="21"/>
          <w:highlight w:val="none"/>
          <w:u w:val="single"/>
        </w:rPr>
        <w:t>(承包人名称，以下简称“承包人”）</w:t>
      </w:r>
      <w:r>
        <w:rPr>
          <w:rStyle w:val="45"/>
          <w:rFonts w:hint="eastAsia" w:ascii="宋体" w:hAnsi="宋体" w:eastAsia="宋体" w:cs="宋体"/>
          <w:color w:val="auto"/>
          <w:sz w:val="21"/>
          <w:szCs w:val="21"/>
          <w:highlight w:val="none"/>
        </w:rPr>
        <w:t>对该项目</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u w:val="single"/>
        </w:rPr>
        <w:t>标段</w:t>
      </w:r>
      <w:r>
        <w:rPr>
          <w:rStyle w:val="45"/>
          <w:rFonts w:hint="eastAsia" w:ascii="宋体" w:hAnsi="宋体" w:eastAsia="宋体" w:cs="宋体"/>
          <w:color w:val="auto"/>
          <w:sz w:val="21"/>
          <w:szCs w:val="21"/>
          <w:highlight w:val="none"/>
        </w:rPr>
        <w:t>施工的投标。发包人和承包人共同达成如下协议。</w:t>
      </w:r>
    </w:p>
    <w:p w14:paraId="457455A5">
      <w:pPr>
        <w:pStyle w:val="44"/>
        <w:pageBreakBefore w:val="0"/>
        <w:shd w:val="clear" w:color="auto" w:fill="auto"/>
        <w:tabs>
          <w:tab w:val="left" w:pos="1074"/>
        </w:tabs>
        <w:kinsoku/>
        <w:wordWrap w:val="0"/>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1．建设内容：</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w:t>
      </w:r>
    </w:p>
    <w:p w14:paraId="41F2000B">
      <w:pPr>
        <w:pStyle w:val="44"/>
        <w:pageBreakBefore w:val="0"/>
        <w:shd w:val="clear" w:color="auto" w:fill="auto"/>
        <w:tabs>
          <w:tab w:val="left" w:pos="1098"/>
        </w:tabs>
        <w:kinsoku/>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2．下列文件应视为构成合同文件的组成部分：</w:t>
      </w:r>
    </w:p>
    <w:p w14:paraId="4B5B98CA">
      <w:pPr>
        <w:pStyle w:val="44"/>
        <w:pageBreakBefore w:val="0"/>
        <w:shd w:val="clear" w:color="auto" w:fill="auto"/>
        <w:tabs>
          <w:tab w:val="left" w:pos="1373"/>
        </w:tabs>
        <w:kinsoku/>
        <w:overflowPunct/>
        <w:topLinePunct w:val="0"/>
        <w:autoSpaceDE/>
        <w:autoSpaceDN/>
        <w:bidi w:val="0"/>
        <w:spacing w:before="0" w:line="360" w:lineRule="auto"/>
        <w:jc w:val="left"/>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（1）本协议书及各种合同附件（含评标期间和合同谈判过程中的澄清文件和补充资料）；</w:t>
      </w:r>
    </w:p>
    <w:p w14:paraId="3708FA00">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（2）成交通知书；</w:t>
      </w:r>
    </w:p>
    <w:p w14:paraId="38DE822C">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（3）项目专用合同条款；</w:t>
      </w:r>
    </w:p>
    <w:p w14:paraId="1AF08D0F">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4</w:t>
      </w:r>
      <w:r>
        <w:rPr>
          <w:rStyle w:val="45"/>
          <w:rFonts w:hint="eastAsia" w:ascii="宋体" w:hAnsi="宋体" w:eastAsia="宋体" w:cs="宋体"/>
          <w:color w:val="auto"/>
          <w:sz w:val="21"/>
          <w:szCs w:val="21"/>
          <w:highlight w:val="none"/>
        </w:rPr>
        <w:t>）公路工程专用合同条款；</w:t>
      </w:r>
    </w:p>
    <w:p w14:paraId="6A2E1108">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5</w:t>
      </w:r>
      <w:r>
        <w:rPr>
          <w:rStyle w:val="45"/>
          <w:rFonts w:hint="eastAsia" w:ascii="宋体" w:hAnsi="宋体" w:eastAsia="宋体" w:cs="宋体"/>
          <w:color w:val="auto"/>
          <w:sz w:val="21"/>
          <w:szCs w:val="21"/>
          <w:highlight w:val="none"/>
        </w:rPr>
        <w:t>）通用合同条款；</w:t>
      </w:r>
    </w:p>
    <w:p w14:paraId="3E11377A">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）工程量清单计量规则；</w:t>
      </w:r>
    </w:p>
    <w:p w14:paraId="33510746">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7</w:t>
      </w:r>
      <w:r>
        <w:rPr>
          <w:rStyle w:val="45"/>
          <w:rFonts w:hint="eastAsia" w:ascii="宋体" w:hAnsi="宋体" w:eastAsia="宋体" w:cs="宋体"/>
          <w:color w:val="auto"/>
          <w:sz w:val="21"/>
          <w:szCs w:val="21"/>
          <w:highlight w:val="none"/>
        </w:rPr>
        <w:t>）技术规范；</w:t>
      </w:r>
    </w:p>
    <w:p w14:paraId="78B5BA50">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）图纸；</w:t>
      </w:r>
    </w:p>
    <w:p w14:paraId="7AE999BC">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9</w:t>
      </w:r>
      <w:r>
        <w:rPr>
          <w:rStyle w:val="45"/>
          <w:rFonts w:hint="eastAsia" w:ascii="宋体" w:hAnsi="宋体" w:eastAsia="宋体" w:cs="宋体"/>
          <w:color w:val="auto"/>
          <w:sz w:val="21"/>
          <w:szCs w:val="21"/>
          <w:highlight w:val="none"/>
        </w:rPr>
        <w:t>）已标价工程量清单；</w:t>
      </w:r>
    </w:p>
    <w:p w14:paraId="300E1B9C">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0</w:t>
      </w:r>
      <w:r>
        <w:rPr>
          <w:rStyle w:val="45"/>
          <w:rFonts w:hint="eastAsia" w:ascii="宋体" w:hAnsi="宋体" w:eastAsia="宋体" w:cs="宋体"/>
          <w:color w:val="auto"/>
          <w:sz w:val="21"/>
          <w:szCs w:val="21"/>
          <w:highlight w:val="none"/>
        </w:rPr>
        <w:t>）承包人有关人员、设备投入的承诺及响应文件中的施工组织设计；</w:t>
      </w:r>
    </w:p>
    <w:p w14:paraId="43F889E3">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1</w:t>
      </w:r>
      <w:r>
        <w:rPr>
          <w:rStyle w:val="45"/>
          <w:rFonts w:hint="eastAsia" w:ascii="宋体" w:hAnsi="宋体" w:eastAsia="宋体" w:cs="宋体"/>
          <w:color w:val="auto"/>
          <w:sz w:val="21"/>
          <w:szCs w:val="21"/>
          <w:highlight w:val="none"/>
        </w:rPr>
        <w:t>）其他合同文件。</w:t>
      </w:r>
    </w:p>
    <w:p w14:paraId="3525C771">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上述合同文件互相补充和解释。如果合同文件之间存在矛盾或不一致之处，</w:t>
      </w:r>
    </w:p>
    <w:p w14:paraId="1B9A2025">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以上述文件的排列顺序在先者为准。</w:t>
      </w:r>
    </w:p>
    <w:p w14:paraId="7620D5C8">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3.</w:t>
      </w:r>
      <w:r>
        <w:rPr>
          <w:rStyle w:val="45"/>
          <w:rFonts w:hint="eastAsia" w:ascii="宋体" w:hAnsi="宋体" w:eastAsia="宋体" w:cs="宋体"/>
          <w:color w:val="auto"/>
          <w:sz w:val="21"/>
          <w:szCs w:val="21"/>
          <w:highlight w:val="none"/>
        </w:rPr>
        <w:t>根据工程量清单所列的预计数量和单价或总额价计算的签约合同价：人民币（大写）</w:t>
      </w:r>
      <w:r>
        <w:rPr>
          <w:rStyle w:val="45"/>
          <w:rFonts w:hint="eastAsia" w:ascii="宋体" w:hAnsi="宋体" w:eastAsia="宋体" w:cs="宋体"/>
          <w:color w:val="auto"/>
          <w:sz w:val="21"/>
          <w:szCs w:val="21"/>
          <w:highlight w:val="none"/>
          <w:u w:val="single"/>
        </w:rPr>
        <w:t xml:space="preserve">  （¥     </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rPr>
        <w:t>）</w:t>
      </w:r>
      <w:r>
        <w:rPr>
          <w:rStyle w:val="45"/>
          <w:rFonts w:hint="eastAsia" w:ascii="宋体" w:hAnsi="宋体" w:eastAsia="宋体" w:cs="宋体"/>
          <w:color w:val="auto"/>
          <w:sz w:val="21"/>
          <w:szCs w:val="21"/>
          <w:highlight w:val="none"/>
        </w:rPr>
        <w:t>。</w:t>
      </w:r>
    </w:p>
    <w:p w14:paraId="40A8F581">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4.合同价格形式：综合单价合同。</w:t>
      </w:r>
    </w:p>
    <w:p w14:paraId="06766A04">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5</w:t>
      </w:r>
      <w:r>
        <w:rPr>
          <w:rStyle w:val="45"/>
          <w:rFonts w:hint="eastAsia" w:ascii="宋体" w:hAnsi="宋体" w:eastAsia="宋体" w:cs="宋体"/>
          <w:color w:val="auto"/>
          <w:sz w:val="21"/>
          <w:szCs w:val="21"/>
          <w:highlight w:val="none"/>
        </w:rPr>
        <w:t>．承包人项目经理：</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 xml:space="preserve"> 。承包人项目总工：</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lang w:val="en-US"/>
        </w:rPr>
        <w:t xml:space="preserve"> </w:t>
      </w:r>
      <w:r>
        <w:rPr>
          <w:rStyle w:val="45"/>
          <w:rFonts w:hint="eastAsia" w:ascii="宋体" w:hAnsi="宋体" w:eastAsia="宋体" w:cs="宋体"/>
          <w:color w:val="auto"/>
          <w:sz w:val="21"/>
          <w:szCs w:val="21"/>
          <w:highlight w:val="none"/>
        </w:rPr>
        <w:t>。</w:t>
      </w:r>
    </w:p>
    <w:p w14:paraId="14031410">
      <w:pPr>
        <w:pStyle w:val="44"/>
        <w:pageBreakBefore w:val="0"/>
        <w:shd w:val="clear" w:color="auto" w:fill="auto"/>
        <w:tabs>
          <w:tab w:val="left" w:pos="1098"/>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6</w:t>
      </w:r>
      <w:r>
        <w:rPr>
          <w:rStyle w:val="45"/>
          <w:rFonts w:hint="eastAsia" w:ascii="宋体" w:hAnsi="宋体" w:eastAsia="宋体" w:cs="宋体"/>
          <w:color w:val="auto"/>
          <w:sz w:val="21"/>
          <w:szCs w:val="21"/>
          <w:highlight w:val="none"/>
        </w:rPr>
        <w:t>．工程质量符合</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标准。工程安全目标</w:t>
      </w:r>
      <w:r>
        <w:rPr>
          <w:rStyle w:val="45"/>
          <w:rFonts w:hint="eastAsia" w:ascii="宋体" w:hAnsi="宋体" w:eastAsia="宋体" w:cs="宋体"/>
          <w:color w:val="auto"/>
          <w:sz w:val="21"/>
          <w:szCs w:val="21"/>
          <w:highlight w:val="none"/>
          <w:u w:val="none"/>
        </w:rPr>
        <w:t>：</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w:t>
      </w:r>
    </w:p>
    <w:p w14:paraId="0A7FD8B8">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7</w:t>
      </w:r>
      <w:r>
        <w:rPr>
          <w:rStyle w:val="45"/>
          <w:rFonts w:hint="eastAsia" w:ascii="宋体" w:hAnsi="宋体" w:eastAsia="宋体" w:cs="宋体"/>
          <w:color w:val="auto"/>
          <w:sz w:val="21"/>
          <w:szCs w:val="21"/>
          <w:highlight w:val="none"/>
        </w:rPr>
        <w:t>．承包人承诺按合同约定承担工程的实施、完成及缺陷修复。</w:t>
      </w:r>
    </w:p>
    <w:p w14:paraId="569B736A">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．发包人承诺按合同约定的条件、时间和方式向承包人支付合同价款。</w:t>
      </w:r>
    </w:p>
    <w:p w14:paraId="63AA3753">
      <w:pPr>
        <w:pStyle w:val="44"/>
        <w:pageBreakBefore w:val="0"/>
        <w:shd w:val="clear" w:color="auto" w:fill="auto"/>
        <w:tabs>
          <w:tab w:val="left" w:pos="110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9</w:t>
      </w:r>
      <w:r>
        <w:rPr>
          <w:rStyle w:val="45"/>
          <w:rFonts w:hint="eastAsia" w:ascii="宋体" w:hAnsi="宋体" w:eastAsia="宋体" w:cs="宋体"/>
          <w:color w:val="auto"/>
          <w:sz w:val="21"/>
          <w:szCs w:val="21"/>
          <w:highlight w:val="none"/>
        </w:rPr>
        <w:t>．承包人应按照发包人指示开工，工期为_</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日历天。</w:t>
      </w:r>
    </w:p>
    <w:p w14:paraId="57B19DBB">
      <w:pPr>
        <w:pStyle w:val="44"/>
        <w:pageBreakBefore w:val="0"/>
        <w:shd w:val="clear" w:color="auto" w:fill="auto"/>
        <w:tabs>
          <w:tab w:val="left" w:pos="104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10</w:t>
      </w:r>
      <w:r>
        <w:rPr>
          <w:rStyle w:val="45"/>
          <w:rFonts w:hint="eastAsia" w:ascii="宋体" w:hAnsi="宋体" w:eastAsia="宋体" w:cs="宋体"/>
          <w:color w:val="auto"/>
          <w:sz w:val="21"/>
          <w:szCs w:val="21"/>
          <w:highlight w:val="none"/>
        </w:rPr>
        <w:t>．本协议书在承包人提供履约保证金后，由双方法定代表人或其委托代理人签署并加盖单位章后生效。全部工程完工后经交工验收合格、缺陷责任期满签发缺 陷责任终止证书后失效。</w:t>
      </w:r>
    </w:p>
    <w:p w14:paraId="03A8F031">
      <w:pPr>
        <w:pStyle w:val="44"/>
        <w:pageBreakBefore w:val="0"/>
        <w:shd w:val="clear" w:color="auto" w:fill="auto"/>
        <w:tabs>
          <w:tab w:val="left" w:leader="underscore" w:pos="4168"/>
          <w:tab w:val="left" w:leader="underscore" w:pos="828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1</w:t>
      </w:r>
      <w:r>
        <w:rPr>
          <w:rStyle w:val="45"/>
          <w:rFonts w:hint="eastAsia" w:ascii="宋体" w:hAnsi="宋体" w:eastAsia="宋体" w:cs="宋体"/>
          <w:color w:val="auto"/>
          <w:sz w:val="21"/>
          <w:szCs w:val="21"/>
          <w:highlight w:val="none"/>
        </w:rPr>
        <w:t>．本协议书正本二份、副本</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份，合同双方各执正本一份，副本</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份，</w:t>
      </w:r>
    </w:p>
    <w:p w14:paraId="0933875B">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当正本与副本的内容不一致时，以正本为准。</w:t>
      </w:r>
    </w:p>
    <w:p w14:paraId="63A510B0">
      <w:pPr>
        <w:numPr>
          <w:ilvl w:val="0"/>
          <w:numId w:val="5"/>
        </w:numPr>
        <w:bidi w:val="0"/>
        <w:rPr>
          <w:rFonts w:hint="eastAsia"/>
          <w:color w:val="auto"/>
          <w:highlight w:val="none"/>
        </w:rPr>
      </w:pPr>
      <w:r>
        <w:rPr>
          <w:rFonts w:hint="eastAsia"/>
          <w:color w:val="auto"/>
          <w:highlight w:val="none"/>
        </w:rPr>
        <w:t>合同未尽事宜，双方另行签订补充协议。补充协议是合同的组成部分。</w:t>
      </w:r>
    </w:p>
    <w:p w14:paraId="54F5B713">
      <w:pPr>
        <w:bidi w:val="0"/>
        <w:rPr>
          <w:rFonts w:hint="eastAsia" w:ascii="宋体" w:hAnsi="宋体" w:eastAsia="宋体" w:cs="宋体"/>
          <w:color w:val="auto"/>
          <w:highlight w:val="none"/>
        </w:rPr>
      </w:pPr>
    </w:p>
    <w:p w14:paraId="70CE3035">
      <w:pPr>
        <w:bidi w:val="0"/>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20349497">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0542D5CA">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经办人（签字或盖章）：                               经办人（签字或盖章）：</w:t>
      </w:r>
    </w:p>
    <w:p w14:paraId="5C44D738">
      <w:pPr>
        <w:pageBreakBefore w:val="0"/>
        <w:kinsoku/>
        <w:overflowPunct/>
        <w:topLinePunct w:val="0"/>
        <w:autoSpaceDE/>
        <w:autoSpaceDN/>
        <w:bidi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r>
        <w:rPr>
          <w:rFonts w:hint="eastAsia" w:ascii="宋体" w:hAnsi="宋体" w:eastAsia="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8F65DA">
      <w:pPr>
        <w:rPr>
          <w:rFonts w:hint="eastAsia" w:ascii="宋体" w:hAnsi="宋体" w:eastAsia="宋体" w:cs="宋体"/>
          <w:color w:val="auto"/>
          <w:highlight w:val="none"/>
        </w:rPr>
      </w:pPr>
    </w:p>
    <w:p w14:paraId="5C7DAD28">
      <w:pPr>
        <w:pStyle w:val="4"/>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第一节  通用合同条款</w:t>
      </w:r>
      <w:bookmarkEnd w:id="106"/>
      <w:bookmarkEnd w:id="107"/>
      <w:bookmarkEnd w:id="108"/>
      <w:bookmarkEnd w:id="109"/>
      <w:bookmarkEnd w:id="110"/>
      <w:bookmarkEnd w:id="111"/>
      <w:bookmarkEnd w:id="112"/>
    </w:p>
    <w:p w14:paraId="1014B2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13" w:name="_Toc122424433"/>
      <w:bookmarkStart w:id="114" w:name="_Toc27832"/>
      <w:bookmarkStart w:id="115" w:name="_Toc122424184"/>
      <w:r>
        <w:rPr>
          <w:rFonts w:hint="eastAsia" w:ascii="宋体" w:hAnsi="宋体" w:eastAsia="宋体" w:cs="宋体"/>
          <w:color w:val="auto"/>
          <w:highlight w:val="none"/>
        </w:rPr>
        <w:t>1. 一般约定</w:t>
      </w:r>
      <w:bookmarkEnd w:id="113"/>
      <w:bookmarkEnd w:id="114"/>
      <w:bookmarkEnd w:id="115"/>
    </w:p>
    <w:p w14:paraId="6F1A430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6" w:name="_Toc20252"/>
      <w:r>
        <w:rPr>
          <w:rFonts w:hint="eastAsia" w:ascii="宋体" w:hAnsi="宋体" w:eastAsia="宋体" w:cs="宋体"/>
          <w:color w:val="auto"/>
          <w:highlight w:val="none"/>
        </w:rPr>
        <w:t>1.1 词语定义</w:t>
      </w:r>
      <w:bookmarkEnd w:id="116"/>
    </w:p>
    <w:p w14:paraId="4A9475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1B9B6F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14:paraId="3E55C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14:paraId="1090719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14:paraId="565E48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14:paraId="3FC38F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投标函：指构成合同文件组成部分的由承包人填写并签署的投标函。</w:t>
      </w:r>
    </w:p>
    <w:p w14:paraId="7925A7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14:paraId="425823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技术标准和要求：指构成合同文件组成部分的名为技术标准和要求的文件，包括合同双方当事人约定对其所作的修改或补充。</w:t>
      </w:r>
    </w:p>
    <w:p w14:paraId="73ACA47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1.1.1.7图纸：指包含在合同中的工程图纸，以及由发包人按合同约定提供的任何补充和修改的图纸，包括配套的说明。</w:t>
      </w:r>
    </w:p>
    <w:p w14:paraId="6428722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14:paraId="2666F6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14:paraId="2A4E1F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7FE691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14:paraId="26B7AD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14:paraId="7ED60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承包人：指与发包人签订合同协议书的当事人。</w:t>
      </w:r>
    </w:p>
    <w:p w14:paraId="5A82E0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14:paraId="20BFE0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分包人：指从承包人处分包合同中某一部分工程，并与其签订分包合同的分包人。</w:t>
      </w:r>
    </w:p>
    <w:p w14:paraId="2AB94D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14:paraId="4F62A2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14:paraId="6CEB7D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2DE779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14:paraId="3564AF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14:paraId="64BD14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14:paraId="4863B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14:paraId="113AE1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14:paraId="59697B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14:paraId="3698DF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14:paraId="0AF8D6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14:paraId="09EBE6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14:paraId="209B30B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1.1.3.10 永久占地：指专用合同条款中指明为实施合同工程需永久占用的土地。</w:t>
      </w:r>
    </w:p>
    <w:p w14:paraId="6D1057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1.1.3.11 临时占地：指专用合同条款中指明为实施合同工程需临时占用的土地。</w:t>
      </w:r>
    </w:p>
    <w:p w14:paraId="5F4C61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日期</w:t>
      </w:r>
    </w:p>
    <w:p w14:paraId="2D0989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14:paraId="22A18F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14:paraId="514702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14:paraId="4368A8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竣工日期：指第1.1.4.3目约定工期届满时的日期。实际竣工日期以工程接收证书中写明的日期为准。</w:t>
      </w:r>
    </w:p>
    <w:p w14:paraId="32F54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缺陷责任期：指履行第19.2款约定的缺陷责任的期限，具体期限由专用合同条款约定，包括根据第19.3款约定所作的延长。</w:t>
      </w:r>
    </w:p>
    <w:p w14:paraId="6621CD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14:paraId="64E5E1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14:paraId="37A66B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14:paraId="693DA5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签约合同价：指签定合同时合同协议书中写明的，包括了暂列金额、暂估价的合同总金额。</w:t>
      </w:r>
    </w:p>
    <w:p w14:paraId="78465F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14:paraId="0D82E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14:paraId="23AC9F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2FC0CB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14:paraId="7FAF9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14:paraId="624893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14:paraId="514617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14:paraId="17B5A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14:paraId="6ED416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7" w:name="_Toc15769"/>
      <w:r>
        <w:rPr>
          <w:rFonts w:hint="eastAsia" w:ascii="宋体" w:hAnsi="宋体" w:eastAsia="宋体" w:cs="宋体"/>
          <w:color w:val="auto"/>
          <w:highlight w:val="none"/>
        </w:rPr>
        <w:t>1.2 语言文字</w:t>
      </w:r>
      <w:bookmarkEnd w:id="117"/>
    </w:p>
    <w:p w14:paraId="5E120F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367F6BA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8" w:name="_Toc11417"/>
      <w:r>
        <w:rPr>
          <w:rFonts w:hint="eastAsia" w:ascii="宋体" w:hAnsi="宋体" w:eastAsia="宋体" w:cs="宋体"/>
          <w:color w:val="auto"/>
          <w:highlight w:val="none"/>
        </w:rPr>
        <w:t>1.3 法律</w:t>
      </w:r>
      <w:bookmarkEnd w:id="118"/>
    </w:p>
    <w:p w14:paraId="6E94DE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2714FBD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9" w:name="_Toc32224"/>
      <w:r>
        <w:rPr>
          <w:rFonts w:hint="eastAsia" w:ascii="宋体" w:hAnsi="宋体" w:eastAsia="宋体" w:cs="宋体"/>
          <w:color w:val="auto"/>
          <w:highlight w:val="none"/>
        </w:rPr>
        <w:t>1.4 合同文件的优先顺序</w:t>
      </w:r>
      <w:bookmarkEnd w:id="119"/>
    </w:p>
    <w:p w14:paraId="31C65D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07A0B63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770FB3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A13619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14:paraId="05E858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14:paraId="2FD31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38CADE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3C88F3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14:paraId="17A7BB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14:paraId="566D81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14:paraId="0F5853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0" w:name="_Toc1568"/>
      <w:r>
        <w:rPr>
          <w:rFonts w:hint="eastAsia" w:ascii="宋体" w:hAnsi="宋体" w:eastAsia="宋体" w:cs="宋体"/>
          <w:color w:val="auto"/>
          <w:highlight w:val="none"/>
        </w:rPr>
        <w:t>1.5 合同协议书</w:t>
      </w:r>
      <w:bookmarkEnd w:id="120"/>
    </w:p>
    <w:p w14:paraId="7C0E63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7FE3387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1" w:name="_Toc13393"/>
      <w:r>
        <w:rPr>
          <w:rFonts w:hint="eastAsia" w:ascii="宋体" w:hAnsi="宋体" w:eastAsia="宋体" w:cs="宋体"/>
          <w:color w:val="auto"/>
          <w:highlight w:val="none"/>
        </w:rPr>
        <w:t>1.6 图纸和承包人文件</w:t>
      </w:r>
      <w:bookmarkEnd w:id="121"/>
    </w:p>
    <w:p w14:paraId="1002F6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14:paraId="4DDB32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除专用合同条款另有约定外，图纸应在合理的期限内按照合同约定的数量提供给承包人。由于发包人未按时提供图纸造成工期延误的，按第11.3款的约定办理。</w:t>
      </w:r>
    </w:p>
    <w:p w14:paraId="4611A2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14:paraId="422A19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按专用合同条款约定由承包人提供的文件，包括部分工程的大样图、加工图等，承包人应按约定的数量和期限报送监理人。监理人应在专用合同条款约定的期限内批复。</w:t>
      </w:r>
    </w:p>
    <w:p w14:paraId="29DFAD3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14:paraId="0A7E5A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75688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14:paraId="0BB6ED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04A06C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14:paraId="6F7AF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14:paraId="40D3DDC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2" w:name="_Toc25436"/>
      <w:r>
        <w:rPr>
          <w:rFonts w:hint="eastAsia" w:ascii="宋体" w:hAnsi="宋体" w:eastAsia="宋体" w:cs="宋体"/>
          <w:color w:val="auto"/>
          <w:highlight w:val="none"/>
        </w:rPr>
        <w:t>1.7 联络</w:t>
      </w:r>
      <w:bookmarkEnd w:id="122"/>
    </w:p>
    <w:p w14:paraId="5D0445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14:paraId="401837E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 第1.7.1项中的通知、批准、证明、证书、指示、要求、请求、同意、意见、确定和决定等来往函件，均应在合同约定的期限内送达指定地点和接收人，并办理签收手续。</w:t>
      </w:r>
    </w:p>
    <w:p w14:paraId="43E0023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3" w:name="_Toc15893"/>
      <w:r>
        <w:rPr>
          <w:rFonts w:hint="eastAsia" w:ascii="宋体" w:hAnsi="宋体" w:eastAsia="宋体" w:cs="宋体"/>
          <w:color w:val="auto"/>
          <w:highlight w:val="none"/>
        </w:rPr>
        <w:t>1.8 转让</w:t>
      </w:r>
      <w:bookmarkEnd w:id="123"/>
    </w:p>
    <w:p w14:paraId="162A0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37CC35E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4" w:name="_Toc30802"/>
      <w:r>
        <w:rPr>
          <w:rFonts w:hint="eastAsia" w:ascii="宋体" w:hAnsi="宋体" w:eastAsia="宋体" w:cs="宋体"/>
          <w:color w:val="auto"/>
          <w:highlight w:val="none"/>
        </w:rPr>
        <w:t>1.9 严禁贿赂</w:t>
      </w:r>
      <w:bookmarkEnd w:id="124"/>
    </w:p>
    <w:p w14:paraId="7B351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1EECDF8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5" w:name="_Toc9359"/>
      <w:r>
        <w:rPr>
          <w:rFonts w:hint="eastAsia" w:ascii="宋体" w:hAnsi="宋体" w:eastAsia="宋体" w:cs="宋体"/>
          <w:color w:val="auto"/>
          <w:highlight w:val="none"/>
        </w:rPr>
        <w:t>1.10 化石、文物</w:t>
      </w:r>
      <w:bookmarkEnd w:id="125"/>
    </w:p>
    <w:p w14:paraId="00215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E12CD2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14:paraId="06B34F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专利技术</w:t>
      </w:r>
    </w:p>
    <w:p w14:paraId="0AC527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51E7E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14:paraId="25B656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14:paraId="6FBDC4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6" w:name="_Toc8296"/>
      <w:r>
        <w:rPr>
          <w:rFonts w:hint="eastAsia" w:ascii="宋体" w:hAnsi="宋体" w:eastAsia="宋体" w:cs="宋体"/>
          <w:color w:val="auto"/>
          <w:highlight w:val="none"/>
        </w:rPr>
        <w:t>1.12 图纸和文件的保密</w:t>
      </w:r>
      <w:bookmarkEnd w:id="126"/>
    </w:p>
    <w:p w14:paraId="61F1F9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14:paraId="0AA696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承包人提供的文件，未经承包人同意，发包人和监理人不得为合同以外的目的泄露给他人或公开发表与引用。</w:t>
      </w:r>
    </w:p>
    <w:p w14:paraId="11B60628">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27" w:name="_Toc14047"/>
      <w:bookmarkStart w:id="128" w:name="_Toc122424434"/>
      <w:bookmarkStart w:id="129" w:name="_Toc122424185"/>
      <w:r>
        <w:rPr>
          <w:rFonts w:hint="eastAsia" w:ascii="宋体" w:hAnsi="宋体" w:eastAsia="宋体" w:cs="宋体"/>
          <w:color w:val="auto"/>
          <w:highlight w:val="none"/>
        </w:rPr>
        <w:t>2. 发包人义务</w:t>
      </w:r>
      <w:bookmarkEnd w:id="127"/>
      <w:bookmarkEnd w:id="128"/>
      <w:bookmarkEnd w:id="129"/>
    </w:p>
    <w:p w14:paraId="1DD2F6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0" w:name="_Toc29283"/>
      <w:r>
        <w:rPr>
          <w:rFonts w:hint="eastAsia" w:ascii="宋体" w:hAnsi="宋体" w:eastAsia="宋体" w:cs="宋体"/>
          <w:color w:val="auto"/>
          <w:highlight w:val="none"/>
        </w:rPr>
        <w:t>2.1 遵守法律</w:t>
      </w:r>
      <w:bookmarkEnd w:id="130"/>
    </w:p>
    <w:p w14:paraId="6AE9F4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448B3D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1" w:name="_Toc11340"/>
      <w:r>
        <w:rPr>
          <w:rFonts w:hint="eastAsia" w:ascii="宋体" w:hAnsi="宋体" w:eastAsia="宋体" w:cs="宋体"/>
          <w:color w:val="auto"/>
          <w:highlight w:val="none"/>
        </w:rPr>
        <w:t>2.2 发出开工通知</w:t>
      </w:r>
      <w:bookmarkEnd w:id="131"/>
    </w:p>
    <w:p w14:paraId="3EAF46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14:paraId="0B8C9E6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2" w:name="_Toc15775"/>
      <w:r>
        <w:rPr>
          <w:rFonts w:hint="eastAsia" w:ascii="宋体" w:hAnsi="宋体" w:eastAsia="宋体" w:cs="宋体"/>
          <w:color w:val="auto"/>
          <w:highlight w:val="none"/>
        </w:rPr>
        <w:t>2.3 提供施工场地</w:t>
      </w:r>
      <w:bookmarkEnd w:id="132"/>
    </w:p>
    <w:p w14:paraId="1718A3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发包人应按专用合同条款约定向承包人提供施工场地，以及施工场地内地下管线和地下设施等有关资料，并保证资料的真实、准确、完整。</w:t>
      </w:r>
    </w:p>
    <w:p w14:paraId="7D6073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3" w:name="_Toc32559"/>
      <w:r>
        <w:rPr>
          <w:rFonts w:hint="eastAsia" w:ascii="宋体" w:hAnsi="宋体" w:eastAsia="宋体" w:cs="宋体"/>
          <w:color w:val="auto"/>
          <w:highlight w:val="none"/>
        </w:rPr>
        <w:t>2.4 协助承包人办理证件和批件</w:t>
      </w:r>
      <w:bookmarkEnd w:id="133"/>
    </w:p>
    <w:p w14:paraId="164B43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408AE14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4" w:name="_Toc467"/>
      <w:r>
        <w:rPr>
          <w:rFonts w:hint="eastAsia" w:ascii="宋体" w:hAnsi="宋体" w:eastAsia="宋体" w:cs="宋体"/>
          <w:color w:val="auto"/>
          <w:highlight w:val="none"/>
        </w:rPr>
        <w:t>2.5 组织设计交底</w:t>
      </w:r>
      <w:bookmarkEnd w:id="134"/>
    </w:p>
    <w:p w14:paraId="60C768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12A2AC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5" w:name="_Toc27676"/>
      <w:r>
        <w:rPr>
          <w:rFonts w:hint="eastAsia" w:ascii="宋体" w:hAnsi="宋体" w:eastAsia="宋体" w:cs="宋体"/>
          <w:color w:val="auto"/>
          <w:highlight w:val="none"/>
        </w:rPr>
        <w:t>2.6 支付合同价款</w:t>
      </w:r>
      <w:bookmarkEnd w:id="135"/>
    </w:p>
    <w:p w14:paraId="15062B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284F75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6" w:name="_Toc15895"/>
      <w:r>
        <w:rPr>
          <w:rFonts w:hint="eastAsia" w:ascii="宋体" w:hAnsi="宋体" w:eastAsia="宋体" w:cs="宋体"/>
          <w:color w:val="auto"/>
          <w:highlight w:val="none"/>
        </w:rPr>
        <w:t>2.7 组织竣工验收</w:t>
      </w:r>
      <w:bookmarkEnd w:id="136"/>
    </w:p>
    <w:p w14:paraId="107D9E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发包人应按合同约定及时组织竣工验收。</w:t>
      </w:r>
    </w:p>
    <w:p w14:paraId="2F5EEF7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7" w:name="_Toc8017"/>
      <w:r>
        <w:rPr>
          <w:rFonts w:hint="eastAsia" w:ascii="宋体" w:hAnsi="宋体" w:eastAsia="宋体" w:cs="宋体"/>
          <w:color w:val="auto"/>
          <w:highlight w:val="none"/>
        </w:rPr>
        <w:t>2.8 其他义务</w:t>
      </w:r>
      <w:bookmarkEnd w:id="137"/>
    </w:p>
    <w:p w14:paraId="24C21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发包人应履行合同约定的其他义务。</w:t>
      </w:r>
    </w:p>
    <w:p w14:paraId="114B962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38" w:name="_Toc122424435"/>
      <w:bookmarkStart w:id="139" w:name="_Toc6416"/>
      <w:bookmarkStart w:id="140" w:name="_Toc122424186"/>
      <w:r>
        <w:rPr>
          <w:rFonts w:hint="eastAsia" w:ascii="宋体" w:hAnsi="宋体" w:eastAsia="宋体" w:cs="宋体"/>
          <w:color w:val="auto"/>
          <w:highlight w:val="none"/>
        </w:rPr>
        <w:t>3. 监理人</w:t>
      </w:r>
      <w:bookmarkEnd w:id="138"/>
      <w:bookmarkEnd w:id="139"/>
      <w:bookmarkEnd w:id="140"/>
    </w:p>
    <w:p w14:paraId="0EB657A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1" w:name="_Toc10941"/>
      <w:r>
        <w:rPr>
          <w:rFonts w:hint="eastAsia" w:ascii="宋体" w:hAnsi="宋体" w:eastAsia="宋体" w:cs="宋体"/>
          <w:color w:val="auto"/>
          <w:highlight w:val="none"/>
        </w:rPr>
        <w:t>3.1 监理人的职责和权力</w:t>
      </w:r>
      <w:bookmarkEnd w:id="141"/>
    </w:p>
    <w:p w14:paraId="557CC1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监理人受发包人委托，享有合同约定的权力。监理人在行使某项权力前需要经发包人事先批准而通用合同条款没有指明的，应在专用合同条款中指明。</w:t>
      </w:r>
    </w:p>
    <w:p w14:paraId="794871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14:paraId="4B9290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2020176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2" w:name="_Toc13155"/>
      <w:r>
        <w:rPr>
          <w:rFonts w:hint="eastAsia" w:ascii="宋体" w:hAnsi="宋体" w:eastAsia="宋体" w:cs="宋体"/>
          <w:color w:val="auto"/>
          <w:highlight w:val="none"/>
        </w:rPr>
        <w:t>3.2 总监理工程师</w:t>
      </w:r>
      <w:bookmarkEnd w:id="142"/>
    </w:p>
    <w:p w14:paraId="4347B2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06034A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 监理人员</w:t>
      </w:r>
    </w:p>
    <w:p w14:paraId="02D374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87FA85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DC53F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14:paraId="48D5E5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14:paraId="3B0AA55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3" w:name="_Toc16098"/>
      <w:r>
        <w:rPr>
          <w:rFonts w:hint="eastAsia" w:ascii="宋体" w:hAnsi="宋体" w:eastAsia="宋体" w:cs="宋体"/>
          <w:color w:val="auto"/>
          <w:highlight w:val="none"/>
        </w:rPr>
        <w:t>3.4 监理人的指示</w:t>
      </w:r>
      <w:bookmarkEnd w:id="143"/>
    </w:p>
    <w:p w14:paraId="623F36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5DC20A8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14:paraId="063BCE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59520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14:paraId="2B3EA6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14:paraId="18F12F1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4" w:name="_Toc22256"/>
      <w:r>
        <w:rPr>
          <w:rFonts w:hint="eastAsia" w:ascii="宋体" w:hAnsi="宋体" w:eastAsia="宋体" w:cs="宋体"/>
          <w:color w:val="auto"/>
          <w:highlight w:val="none"/>
        </w:rPr>
        <w:t>3.5 商定或确定</w:t>
      </w:r>
      <w:bookmarkEnd w:id="144"/>
    </w:p>
    <w:p w14:paraId="063368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0BA524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894A4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45" w:name="_Toc122424187"/>
      <w:bookmarkStart w:id="146" w:name="_Toc2069"/>
      <w:bookmarkStart w:id="147" w:name="_Toc122424436"/>
      <w:r>
        <w:rPr>
          <w:rFonts w:hint="eastAsia" w:ascii="宋体" w:hAnsi="宋体" w:eastAsia="宋体" w:cs="宋体"/>
          <w:color w:val="auto"/>
          <w:highlight w:val="none"/>
        </w:rPr>
        <w:t>4. 承包人</w:t>
      </w:r>
      <w:bookmarkEnd w:id="145"/>
      <w:bookmarkEnd w:id="146"/>
      <w:bookmarkEnd w:id="147"/>
    </w:p>
    <w:p w14:paraId="5729F53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8" w:name="_Toc20588"/>
      <w:r>
        <w:rPr>
          <w:rFonts w:hint="eastAsia" w:ascii="宋体" w:hAnsi="宋体" w:eastAsia="宋体" w:cs="宋体"/>
          <w:color w:val="auto"/>
          <w:highlight w:val="none"/>
        </w:rPr>
        <w:t>4.1 承包人的一般义务</w:t>
      </w:r>
      <w:bookmarkEnd w:id="148"/>
    </w:p>
    <w:p w14:paraId="3CB960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14:paraId="017A8B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05B819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14:paraId="4963EB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7293A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14:paraId="52255B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F9575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14:paraId="5EE94F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23AFF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14:paraId="39F810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14:paraId="6B7E4E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14:paraId="49F0E0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14:paraId="48986E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14:paraId="0B4698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271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14:paraId="34DEA5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5D9C6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14:paraId="654D7B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工程接收证书颁发前，承包人应负责照管和维护工程。工程接收证书颁发时尚有部分未竣工工程的，承包人还应负责该未竣工工程的照管和维护工作，直至竣工后移交给发包人为止。</w:t>
      </w:r>
    </w:p>
    <w:p w14:paraId="649433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其他义务</w:t>
      </w:r>
    </w:p>
    <w:p w14:paraId="10162D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承包人应履行合同约定的其他义务。</w:t>
      </w:r>
    </w:p>
    <w:p w14:paraId="046E452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9" w:name="_Toc19718"/>
      <w:r>
        <w:rPr>
          <w:rFonts w:hint="eastAsia" w:ascii="宋体" w:hAnsi="宋体" w:eastAsia="宋体" w:cs="宋体"/>
          <w:color w:val="auto"/>
          <w:highlight w:val="none"/>
        </w:rPr>
        <w:t>4.2 履约担保</w:t>
      </w:r>
      <w:bookmarkEnd w:id="149"/>
    </w:p>
    <w:p w14:paraId="641056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承包人应保证其履约担保在发包人颁发工程接收证书前一直有效。发包人应在工程接收证书颁发后28天内把履约担保退还给承包人。</w:t>
      </w:r>
    </w:p>
    <w:p w14:paraId="64034F0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0" w:name="_Toc23431"/>
      <w:r>
        <w:rPr>
          <w:rFonts w:hint="eastAsia" w:ascii="宋体" w:hAnsi="宋体" w:eastAsia="宋体" w:cs="宋体"/>
          <w:color w:val="auto"/>
          <w:highlight w:val="none"/>
        </w:rPr>
        <w:t>4.3 分包</w:t>
      </w:r>
      <w:bookmarkEnd w:id="150"/>
    </w:p>
    <w:p w14:paraId="7C62F3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14:paraId="413A17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14:paraId="2D50DD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14:paraId="351AAA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14:paraId="0499B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14:paraId="1E02B9F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1" w:name="_Toc21376"/>
      <w:r>
        <w:rPr>
          <w:rFonts w:hint="eastAsia" w:ascii="宋体" w:hAnsi="宋体" w:eastAsia="宋体" w:cs="宋体"/>
          <w:color w:val="auto"/>
          <w:highlight w:val="none"/>
        </w:rPr>
        <w:t>4.4 联合体</w:t>
      </w:r>
      <w:bookmarkEnd w:id="151"/>
    </w:p>
    <w:p w14:paraId="20EDB6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14:paraId="6F19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14:paraId="4E2EF3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14:paraId="432F5BE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165587B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DC661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3BE03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14:paraId="17D057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14:paraId="56622A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2" w:name="_Toc538"/>
      <w:r>
        <w:rPr>
          <w:rFonts w:hint="eastAsia" w:ascii="宋体" w:hAnsi="宋体" w:eastAsia="宋体" w:cs="宋体"/>
          <w:color w:val="auto"/>
          <w:highlight w:val="none"/>
        </w:rPr>
        <w:t>4.6 承包人人员的管理</w:t>
      </w:r>
      <w:bookmarkEnd w:id="152"/>
    </w:p>
    <w:p w14:paraId="2DD9D6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74207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14:paraId="1ED493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14:paraId="471EBC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14:paraId="603ED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14:paraId="3034DA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14:paraId="2160AD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14:paraId="23D7AA9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3" w:name="_Toc31168"/>
      <w:r>
        <w:rPr>
          <w:rFonts w:hint="eastAsia" w:ascii="宋体" w:hAnsi="宋体" w:eastAsia="宋体" w:cs="宋体"/>
          <w:color w:val="auto"/>
          <w:highlight w:val="none"/>
        </w:rPr>
        <w:t>4.7 撤换承包人项目经理和其他人员</w:t>
      </w:r>
      <w:bookmarkEnd w:id="153"/>
    </w:p>
    <w:p w14:paraId="035EE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6D4BE5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4" w:name="_Toc6851"/>
      <w:r>
        <w:rPr>
          <w:rFonts w:hint="eastAsia" w:ascii="宋体" w:hAnsi="宋体" w:eastAsia="宋体" w:cs="宋体"/>
          <w:color w:val="auto"/>
          <w:highlight w:val="none"/>
        </w:rPr>
        <w:t>4.8 保障承包人人员的合法权益</w:t>
      </w:r>
      <w:bookmarkEnd w:id="154"/>
    </w:p>
    <w:p w14:paraId="73F99C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14:paraId="2D30E3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72E16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71080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462A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14:paraId="232C0A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14:paraId="679945E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5" w:name="_Toc25993"/>
      <w:r>
        <w:rPr>
          <w:rFonts w:hint="eastAsia" w:ascii="宋体" w:hAnsi="宋体" w:eastAsia="宋体" w:cs="宋体"/>
          <w:color w:val="auto"/>
          <w:highlight w:val="none"/>
        </w:rPr>
        <w:t>4.9 工程价款应专款专用</w:t>
      </w:r>
      <w:bookmarkEnd w:id="155"/>
    </w:p>
    <w:p w14:paraId="127951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76CE47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6" w:name="_Toc27321"/>
      <w:r>
        <w:rPr>
          <w:rFonts w:hint="eastAsia" w:ascii="宋体" w:hAnsi="宋体" w:eastAsia="宋体" w:cs="宋体"/>
          <w:color w:val="auto"/>
          <w:highlight w:val="none"/>
        </w:rPr>
        <w:t>4.10 承包人现场查勘</w:t>
      </w:r>
      <w:bookmarkEnd w:id="156"/>
    </w:p>
    <w:p w14:paraId="2C38BB4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14:paraId="34FDA6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4EFAB9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7" w:name="_Toc7633"/>
      <w:r>
        <w:rPr>
          <w:rFonts w:hint="eastAsia" w:ascii="宋体" w:hAnsi="宋体" w:eastAsia="宋体" w:cs="宋体"/>
          <w:color w:val="auto"/>
          <w:highlight w:val="none"/>
        </w:rPr>
        <w:t>4.11 不利物质条件</w:t>
      </w:r>
      <w:bookmarkEnd w:id="157"/>
    </w:p>
    <w:p w14:paraId="622708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520E78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679EAA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58" w:name="_Toc122424188"/>
      <w:bookmarkStart w:id="159" w:name="_Toc122424437"/>
      <w:r>
        <w:rPr>
          <w:rFonts w:hint="eastAsia" w:ascii="宋体" w:hAnsi="宋体" w:eastAsia="宋体" w:cs="宋体"/>
          <w:color w:val="auto"/>
          <w:highlight w:val="none"/>
        </w:rPr>
        <w:t>5. 材料和工程设备</w:t>
      </w:r>
      <w:bookmarkEnd w:id="158"/>
      <w:bookmarkEnd w:id="159"/>
    </w:p>
    <w:p w14:paraId="2A11A0C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0" w:name="_Toc17580"/>
      <w:r>
        <w:rPr>
          <w:rFonts w:hint="eastAsia" w:ascii="宋体" w:hAnsi="宋体" w:eastAsia="宋体" w:cs="宋体"/>
          <w:color w:val="auto"/>
          <w:highlight w:val="none"/>
        </w:rPr>
        <w:t>5.1 承包人提供的材料和工程设备</w:t>
      </w:r>
      <w:bookmarkEnd w:id="160"/>
    </w:p>
    <w:p w14:paraId="789F7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5.1.1 除专用合同条款另有约定外，承包人提供的材料和工程设备均由承包人负责采购、运输和保管。承包人应对其采购的材料和工程设备负责。</w:t>
      </w:r>
    </w:p>
    <w:p w14:paraId="4454D2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535C9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7D667C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1" w:name="_Toc26086"/>
      <w:r>
        <w:rPr>
          <w:rFonts w:hint="eastAsia" w:ascii="宋体" w:hAnsi="宋体" w:eastAsia="宋体" w:cs="宋体"/>
          <w:color w:val="auto"/>
          <w:highlight w:val="none"/>
        </w:rPr>
        <w:t>5.2 发包人提供的材料和工程设备</w:t>
      </w:r>
      <w:bookmarkEnd w:id="161"/>
    </w:p>
    <w:p w14:paraId="13E72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14:paraId="155F991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14:paraId="05AC6F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7669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14:paraId="6F9C00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14:paraId="2A5A04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69F7DD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2" w:name="_Toc25028"/>
      <w:r>
        <w:rPr>
          <w:rFonts w:hint="eastAsia" w:ascii="宋体" w:hAnsi="宋体" w:eastAsia="宋体" w:cs="宋体"/>
          <w:color w:val="auto"/>
          <w:highlight w:val="none"/>
        </w:rPr>
        <w:t>5.3 材料和工程设备专用于合同工程</w:t>
      </w:r>
      <w:bookmarkEnd w:id="162"/>
    </w:p>
    <w:p w14:paraId="05D38E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14:paraId="514328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625D60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3" w:name="_Toc14583"/>
      <w:r>
        <w:rPr>
          <w:rFonts w:hint="eastAsia" w:ascii="宋体" w:hAnsi="宋体" w:eastAsia="宋体" w:cs="宋体"/>
          <w:color w:val="auto"/>
          <w:highlight w:val="none"/>
        </w:rPr>
        <w:t>5.4 禁止使用不合格的材料和工程设备</w:t>
      </w:r>
      <w:bookmarkEnd w:id="163"/>
    </w:p>
    <w:p w14:paraId="251AFF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507830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14:paraId="020B97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14:paraId="5CD08D8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4" w:name="_Toc22183"/>
      <w:bookmarkStart w:id="165" w:name="_Toc122424438"/>
      <w:bookmarkStart w:id="166" w:name="_Toc122424189"/>
      <w:r>
        <w:rPr>
          <w:rFonts w:hint="eastAsia" w:ascii="宋体" w:hAnsi="宋体" w:eastAsia="宋体" w:cs="宋体"/>
          <w:color w:val="auto"/>
          <w:highlight w:val="none"/>
        </w:rPr>
        <w:t>6. 施工设备和临时设施</w:t>
      </w:r>
      <w:bookmarkEnd w:id="164"/>
      <w:bookmarkEnd w:id="165"/>
      <w:bookmarkEnd w:id="166"/>
    </w:p>
    <w:p w14:paraId="6ACCE8F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7" w:name="_Toc18606"/>
      <w:r>
        <w:rPr>
          <w:rFonts w:hint="eastAsia" w:ascii="宋体" w:hAnsi="宋体" w:eastAsia="宋体" w:cs="宋体"/>
          <w:color w:val="auto"/>
          <w:highlight w:val="none"/>
        </w:rPr>
        <w:t>6.1 承包人提供的施工设备和临时设施</w:t>
      </w:r>
      <w:bookmarkEnd w:id="167"/>
    </w:p>
    <w:p w14:paraId="612836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F3927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14:paraId="4C72682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8" w:name="_Toc12933"/>
      <w:r>
        <w:rPr>
          <w:rFonts w:hint="eastAsia" w:ascii="宋体" w:hAnsi="宋体" w:eastAsia="宋体" w:cs="宋体"/>
          <w:color w:val="auto"/>
          <w:highlight w:val="none"/>
        </w:rPr>
        <w:t>6.2 发包人提供的施工设备和临时设施</w:t>
      </w:r>
      <w:bookmarkEnd w:id="168"/>
    </w:p>
    <w:p w14:paraId="1D3F53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1BD06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9" w:name="_Toc4522"/>
      <w:r>
        <w:rPr>
          <w:rFonts w:hint="eastAsia" w:ascii="宋体" w:hAnsi="宋体" w:eastAsia="宋体" w:cs="宋体"/>
          <w:color w:val="auto"/>
          <w:highlight w:val="none"/>
        </w:rPr>
        <w:t>6.3 要求承包人增加或更换施工设备</w:t>
      </w:r>
      <w:bookmarkEnd w:id="169"/>
    </w:p>
    <w:p w14:paraId="477E9E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252230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0" w:name="_Toc18668"/>
      <w:r>
        <w:rPr>
          <w:rFonts w:hint="eastAsia" w:ascii="宋体" w:hAnsi="宋体" w:eastAsia="宋体" w:cs="宋体"/>
          <w:color w:val="auto"/>
          <w:highlight w:val="none"/>
        </w:rPr>
        <w:t>6.4 施工设备和临时设施专用于合同工程</w:t>
      </w:r>
      <w:bookmarkEnd w:id="170"/>
    </w:p>
    <w:p w14:paraId="1D04F6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219C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14:paraId="61F0E38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1" w:name="_Toc122424190"/>
      <w:bookmarkStart w:id="172" w:name="_Toc25865"/>
      <w:bookmarkStart w:id="173" w:name="_Toc122424439"/>
      <w:r>
        <w:rPr>
          <w:rFonts w:hint="eastAsia" w:ascii="宋体" w:hAnsi="宋体" w:eastAsia="宋体" w:cs="宋体"/>
          <w:color w:val="auto"/>
          <w:highlight w:val="none"/>
        </w:rPr>
        <w:t>7. 交通运输</w:t>
      </w:r>
      <w:bookmarkEnd w:id="171"/>
      <w:bookmarkEnd w:id="172"/>
      <w:bookmarkEnd w:id="173"/>
    </w:p>
    <w:p w14:paraId="4F5346D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4" w:name="_Toc19258"/>
      <w:r>
        <w:rPr>
          <w:rFonts w:hint="eastAsia" w:ascii="宋体" w:hAnsi="宋体" w:eastAsia="宋体" w:cs="宋体"/>
          <w:color w:val="auto"/>
          <w:highlight w:val="none"/>
        </w:rPr>
        <w:t>7.1 道路通行权和场外设施</w:t>
      </w:r>
      <w:bookmarkEnd w:id="174"/>
    </w:p>
    <w:p w14:paraId="00C190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F7EBA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5" w:name="_Toc10364"/>
      <w:r>
        <w:rPr>
          <w:rFonts w:hint="eastAsia" w:ascii="宋体" w:hAnsi="宋体" w:eastAsia="宋体" w:cs="宋体"/>
          <w:color w:val="auto"/>
          <w:highlight w:val="none"/>
        </w:rPr>
        <w:t>7.2 场内施工道路</w:t>
      </w:r>
      <w:bookmarkEnd w:id="175"/>
    </w:p>
    <w:p w14:paraId="240F92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除专用合同条款另有约定外，承包人应负责修建、维修、养护和管理施工所需的临时道路和交通设施，包括维修、养护和管理发包人提供的道路和交通设施，并承担相应费用。</w:t>
      </w:r>
    </w:p>
    <w:p w14:paraId="0BB27F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除专用合同条款另有约定外，承包人修建的临时道路和交通设施应免费提供发包人和监理人使用。</w:t>
      </w:r>
    </w:p>
    <w:p w14:paraId="4C0873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6" w:name="_Toc25319"/>
      <w:r>
        <w:rPr>
          <w:rFonts w:hint="eastAsia" w:ascii="宋体" w:hAnsi="宋体" w:eastAsia="宋体" w:cs="宋体"/>
          <w:color w:val="auto"/>
          <w:highlight w:val="none"/>
        </w:rPr>
        <w:t>7.3 场外交通</w:t>
      </w:r>
      <w:bookmarkEnd w:id="176"/>
    </w:p>
    <w:p w14:paraId="19ECE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14:paraId="26762D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14:paraId="58E9048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7.4 超大件和超重件的运输</w:t>
      </w:r>
    </w:p>
    <w:p w14:paraId="3F6187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B5D9F0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7" w:name="_Toc31442"/>
      <w:r>
        <w:rPr>
          <w:rFonts w:hint="eastAsia" w:ascii="宋体" w:hAnsi="宋体" w:eastAsia="宋体" w:cs="宋体"/>
          <w:color w:val="auto"/>
          <w:highlight w:val="none"/>
        </w:rPr>
        <w:t>7.5 道路和桥梁的损坏责任</w:t>
      </w:r>
      <w:bookmarkEnd w:id="177"/>
    </w:p>
    <w:p w14:paraId="6FF306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7955DF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8" w:name="_Toc15978"/>
      <w:r>
        <w:rPr>
          <w:rFonts w:hint="eastAsia" w:ascii="宋体" w:hAnsi="宋体" w:eastAsia="宋体" w:cs="宋体"/>
          <w:color w:val="auto"/>
          <w:highlight w:val="none"/>
        </w:rPr>
        <w:t>7.6 水路和航空运输</w:t>
      </w:r>
      <w:bookmarkEnd w:id="178"/>
    </w:p>
    <w:p w14:paraId="6CF0C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14F3900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9" w:name="_Toc6195"/>
      <w:bookmarkStart w:id="180" w:name="_Toc122424191"/>
      <w:bookmarkStart w:id="181" w:name="_Toc122424440"/>
      <w:r>
        <w:rPr>
          <w:rFonts w:hint="eastAsia" w:ascii="宋体" w:hAnsi="宋体" w:eastAsia="宋体" w:cs="宋体"/>
          <w:color w:val="auto"/>
          <w:highlight w:val="none"/>
        </w:rPr>
        <w:t>8. 测量放线</w:t>
      </w:r>
      <w:bookmarkEnd w:id="179"/>
      <w:bookmarkEnd w:id="180"/>
      <w:bookmarkEnd w:id="181"/>
    </w:p>
    <w:p w14:paraId="4285415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2" w:name="_Toc17175"/>
      <w:r>
        <w:rPr>
          <w:rFonts w:hint="eastAsia" w:ascii="宋体" w:hAnsi="宋体" w:eastAsia="宋体" w:cs="宋体"/>
          <w:color w:val="auto"/>
          <w:highlight w:val="none"/>
        </w:rPr>
        <w:t>8.1 施工控制网</w:t>
      </w:r>
      <w:bookmarkEnd w:id="182"/>
    </w:p>
    <w:p w14:paraId="036D13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487C7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102EE25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3" w:name="_Toc26593"/>
      <w:r>
        <w:rPr>
          <w:rFonts w:hint="eastAsia" w:ascii="宋体" w:hAnsi="宋体" w:eastAsia="宋体" w:cs="宋体"/>
          <w:color w:val="auto"/>
          <w:highlight w:val="none"/>
        </w:rPr>
        <w:t>8.2 施工测量</w:t>
      </w:r>
      <w:bookmarkEnd w:id="183"/>
    </w:p>
    <w:p w14:paraId="540056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14:paraId="70DB8E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14:paraId="1A04ACF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4" w:name="_Toc24208"/>
      <w:r>
        <w:rPr>
          <w:rFonts w:hint="eastAsia" w:ascii="宋体" w:hAnsi="宋体" w:eastAsia="宋体" w:cs="宋体"/>
          <w:color w:val="auto"/>
          <w:highlight w:val="none"/>
        </w:rPr>
        <w:t>8.3 基准资料错误的责任</w:t>
      </w:r>
      <w:bookmarkEnd w:id="184"/>
    </w:p>
    <w:p w14:paraId="096364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02800B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5" w:name="_Toc2830"/>
      <w:r>
        <w:rPr>
          <w:rFonts w:hint="eastAsia" w:ascii="宋体" w:hAnsi="宋体" w:eastAsia="宋体" w:cs="宋体"/>
          <w:color w:val="auto"/>
          <w:highlight w:val="none"/>
        </w:rPr>
        <w:t>8.4 监理人使用施工控制网</w:t>
      </w:r>
      <w:bookmarkEnd w:id="185"/>
    </w:p>
    <w:p w14:paraId="3C130A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69C73C5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6" w:name="_Toc122424441"/>
      <w:bookmarkStart w:id="187" w:name="_Toc122424192"/>
      <w:bookmarkStart w:id="188" w:name="_Toc21731"/>
      <w:r>
        <w:rPr>
          <w:rFonts w:hint="eastAsia" w:ascii="宋体" w:hAnsi="宋体" w:eastAsia="宋体" w:cs="宋体"/>
          <w:color w:val="auto"/>
          <w:highlight w:val="none"/>
        </w:rPr>
        <w:t>9. 施工安全、治安保卫和环境保护</w:t>
      </w:r>
      <w:bookmarkEnd w:id="186"/>
      <w:bookmarkEnd w:id="187"/>
      <w:bookmarkEnd w:id="188"/>
    </w:p>
    <w:p w14:paraId="3D3C032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9" w:name="_Toc18091"/>
      <w:r>
        <w:rPr>
          <w:rFonts w:hint="eastAsia" w:ascii="宋体" w:hAnsi="宋体" w:eastAsia="宋体" w:cs="宋体"/>
          <w:color w:val="auto"/>
          <w:highlight w:val="none"/>
        </w:rPr>
        <w:t>9.1 发包人的施工安全责任</w:t>
      </w:r>
      <w:bookmarkEnd w:id="189"/>
    </w:p>
    <w:p w14:paraId="5F54E2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发包人应按合同约定履行安全职责，授权监理人按合同约定的安全工作内容监督、检查承包人安全工作的实施，组织承包人和有关单位进行安全检查。</w:t>
      </w:r>
    </w:p>
    <w:p w14:paraId="13DEB8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14:paraId="2607B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14:paraId="30AF85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14:paraId="7413AE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14:paraId="58F1747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0" w:name="_Toc3052"/>
      <w:r>
        <w:rPr>
          <w:rFonts w:hint="eastAsia" w:ascii="宋体" w:hAnsi="宋体" w:eastAsia="宋体" w:cs="宋体"/>
          <w:color w:val="auto"/>
          <w:highlight w:val="none"/>
        </w:rPr>
        <w:t>9.2 承包人的施工安全责任</w:t>
      </w:r>
      <w:bookmarkEnd w:id="190"/>
    </w:p>
    <w:p w14:paraId="346428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39F6B6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14:paraId="3D103D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14:paraId="40D72B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354FC1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204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14:paraId="21D00B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14:paraId="220E5D4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1" w:name="_Toc4874"/>
      <w:r>
        <w:rPr>
          <w:rFonts w:hint="eastAsia" w:ascii="宋体" w:hAnsi="宋体" w:eastAsia="宋体" w:cs="宋体"/>
          <w:color w:val="auto"/>
          <w:highlight w:val="none"/>
        </w:rPr>
        <w:t>9.3 治安保卫</w:t>
      </w:r>
      <w:bookmarkEnd w:id="191"/>
    </w:p>
    <w:p w14:paraId="4DEB64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14:paraId="2AB8CB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14:paraId="0D853F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ABB8A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2" w:name="_Toc17658"/>
      <w:r>
        <w:rPr>
          <w:rFonts w:hint="eastAsia" w:ascii="宋体" w:hAnsi="宋体" w:eastAsia="宋体" w:cs="宋体"/>
          <w:color w:val="auto"/>
          <w:highlight w:val="none"/>
        </w:rPr>
        <w:t>9.4 环境保护</w:t>
      </w:r>
      <w:bookmarkEnd w:id="192"/>
    </w:p>
    <w:p w14:paraId="3C5E3E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14:paraId="2E710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14:paraId="7C7BFC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C4BE8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14:paraId="4B8446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14:paraId="52468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14:paraId="4B9A41E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3" w:name="_Toc13694"/>
      <w:r>
        <w:rPr>
          <w:rFonts w:hint="eastAsia" w:ascii="宋体" w:hAnsi="宋体" w:eastAsia="宋体" w:cs="宋体"/>
          <w:color w:val="auto"/>
          <w:highlight w:val="none"/>
        </w:rPr>
        <w:t>9.5 事故处理</w:t>
      </w:r>
      <w:bookmarkEnd w:id="193"/>
    </w:p>
    <w:p w14:paraId="35E6EE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83DCDF">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4" w:name="_Toc31845"/>
      <w:bookmarkStart w:id="195" w:name="_Toc122424193"/>
      <w:bookmarkStart w:id="196" w:name="_Toc122424442"/>
      <w:r>
        <w:rPr>
          <w:rFonts w:hint="eastAsia" w:ascii="宋体" w:hAnsi="宋体" w:eastAsia="宋体" w:cs="宋体"/>
          <w:color w:val="auto"/>
          <w:highlight w:val="none"/>
        </w:rPr>
        <w:t>10. 进度计划</w:t>
      </w:r>
      <w:bookmarkEnd w:id="194"/>
      <w:bookmarkEnd w:id="195"/>
      <w:bookmarkEnd w:id="196"/>
    </w:p>
    <w:p w14:paraId="0809C87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7" w:name="_Toc7174"/>
      <w:r>
        <w:rPr>
          <w:rFonts w:hint="eastAsia" w:ascii="宋体" w:hAnsi="宋体" w:eastAsia="宋体" w:cs="宋体"/>
          <w:color w:val="auto"/>
          <w:highlight w:val="none"/>
        </w:rPr>
        <w:t>10.1 合同进度计划</w:t>
      </w:r>
      <w:bookmarkEnd w:id="197"/>
    </w:p>
    <w:p w14:paraId="7374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9A27D9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8" w:name="_Toc26389"/>
      <w:r>
        <w:rPr>
          <w:rFonts w:hint="eastAsia" w:ascii="宋体" w:hAnsi="宋体" w:eastAsia="宋体" w:cs="宋体"/>
          <w:color w:val="auto"/>
          <w:highlight w:val="none"/>
        </w:rPr>
        <w:t>10.2 合同进度计划的修订</w:t>
      </w:r>
      <w:bookmarkEnd w:id="198"/>
    </w:p>
    <w:p w14:paraId="57DE05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6C409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9" w:name="_Toc13126"/>
      <w:bookmarkStart w:id="200" w:name="_Toc122424443"/>
      <w:bookmarkStart w:id="201" w:name="_Toc122424194"/>
      <w:r>
        <w:rPr>
          <w:rFonts w:hint="eastAsia" w:ascii="宋体" w:hAnsi="宋体" w:eastAsia="宋体" w:cs="宋体"/>
          <w:color w:val="auto"/>
          <w:highlight w:val="none"/>
        </w:rPr>
        <w:t>11. 开工和竣工</w:t>
      </w:r>
      <w:bookmarkEnd w:id="199"/>
      <w:bookmarkEnd w:id="200"/>
      <w:bookmarkEnd w:id="201"/>
    </w:p>
    <w:p w14:paraId="6522B83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2" w:name="_Toc1292"/>
      <w:r>
        <w:rPr>
          <w:rFonts w:hint="eastAsia" w:ascii="宋体" w:hAnsi="宋体" w:eastAsia="宋体" w:cs="宋体"/>
          <w:color w:val="auto"/>
          <w:highlight w:val="none"/>
        </w:rPr>
        <w:t>11.1 开工</w:t>
      </w:r>
      <w:bookmarkEnd w:id="202"/>
    </w:p>
    <w:p w14:paraId="70E342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C6329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5C99D8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3" w:name="_Toc29021"/>
      <w:r>
        <w:rPr>
          <w:rFonts w:hint="eastAsia" w:ascii="宋体" w:hAnsi="宋体" w:eastAsia="宋体" w:cs="宋体"/>
          <w:color w:val="auto"/>
          <w:highlight w:val="none"/>
        </w:rPr>
        <w:t>11.2 竣工</w:t>
      </w:r>
      <w:bookmarkEnd w:id="203"/>
    </w:p>
    <w:p w14:paraId="70B372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承包人应在第1.1.4.3目约定的期限内完成合同工程。实际竣工日期在接收证书中写明。</w:t>
      </w:r>
    </w:p>
    <w:p w14:paraId="5E842B4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4" w:name="_Toc14703"/>
      <w:r>
        <w:rPr>
          <w:rFonts w:hint="eastAsia" w:ascii="宋体" w:hAnsi="宋体" w:eastAsia="宋体" w:cs="宋体"/>
          <w:color w:val="auto"/>
          <w:highlight w:val="none"/>
        </w:rPr>
        <w:t>11.3 发包人的工期延误</w:t>
      </w:r>
      <w:bookmarkEnd w:id="204"/>
    </w:p>
    <w:p w14:paraId="5CCA30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2E6581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14:paraId="099E8B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14:paraId="08ED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14:paraId="676E0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14:paraId="08041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14:paraId="58FE38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14:paraId="79C2B0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14:paraId="1B50630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5" w:name="_Toc25691"/>
      <w:r>
        <w:rPr>
          <w:rFonts w:hint="eastAsia" w:ascii="宋体" w:hAnsi="宋体" w:eastAsia="宋体" w:cs="宋体"/>
          <w:color w:val="auto"/>
          <w:highlight w:val="none"/>
        </w:rPr>
        <w:t>11.4 异常恶劣的气候条件</w:t>
      </w:r>
      <w:bookmarkEnd w:id="205"/>
    </w:p>
    <w:p w14:paraId="78427B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由于出现专用合同条款规定的异常恶劣气候的条件导致工期延误的，承包人有权要求发包人延长工期。</w:t>
      </w:r>
    </w:p>
    <w:p w14:paraId="1C0BE6D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6" w:name="_Toc7073"/>
      <w:r>
        <w:rPr>
          <w:rFonts w:hint="eastAsia" w:ascii="宋体" w:hAnsi="宋体" w:eastAsia="宋体" w:cs="宋体"/>
          <w:color w:val="auto"/>
          <w:highlight w:val="none"/>
        </w:rPr>
        <w:t>11.5 承包人的工期延误</w:t>
      </w:r>
      <w:bookmarkEnd w:id="206"/>
    </w:p>
    <w:p w14:paraId="57C121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99784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7" w:name="_Toc18781"/>
      <w:r>
        <w:rPr>
          <w:rFonts w:hint="eastAsia" w:ascii="宋体" w:hAnsi="宋体" w:eastAsia="宋体" w:cs="宋体"/>
          <w:color w:val="auto"/>
          <w:highlight w:val="none"/>
        </w:rPr>
        <w:t>11.6 工期提前</w:t>
      </w:r>
      <w:bookmarkEnd w:id="207"/>
    </w:p>
    <w:p w14:paraId="7358DB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6A3EB3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08" w:name="_Toc4718"/>
      <w:bookmarkStart w:id="209" w:name="_Toc122424444"/>
      <w:bookmarkStart w:id="210" w:name="_Toc122424195"/>
      <w:r>
        <w:rPr>
          <w:rFonts w:hint="eastAsia" w:ascii="宋体" w:hAnsi="宋体" w:eastAsia="宋体" w:cs="宋体"/>
          <w:color w:val="auto"/>
          <w:highlight w:val="none"/>
        </w:rPr>
        <w:t>12. 暂停施工</w:t>
      </w:r>
      <w:bookmarkEnd w:id="208"/>
      <w:bookmarkEnd w:id="209"/>
      <w:bookmarkEnd w:id="210"/>
    </w:p>
    <w:p w14:paraId="3DC0A59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1" w:name="_Toc6557"/>
      <w:r>
        <w:rPr>
          <w:rFonts w:hint="eastAsia" w:ascii="宋体" w:hAnsi="宋体" w:eastAsia="宋体" w:cs="宋体"/>
          <w:color w:val="auto"/>
          <w:highlight w:val="none"/>
        </w:rPr>
        <w:t>12.1 承包人暂停施工的责任</w:t>
      </w:r>
      <w:bookmarkEnd w:id="211"/>
    </w:p>
    <w:p w14:paraId="5E35B5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1EB9CD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14:paraId="35EA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14:paraId="09C8F7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14:paraId="4C5D33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14:paraId="569456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14:paraId="1B7764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2" w:name="_Toc4441"/>
      <w:r>
        <w:rPr>
          <w:rFonts w:hint="eastAsia" w:ascii="宋体" w:hAnsi="宋体" w:eastAsia="宋体" w:cs="宋体"/>
          <w:color w:val="auto"/>
          <w:highlight w:val="none"/>
        </w:rPr>
        <w:t>12.2 发包人暂停施工的责任</w:t>
      </w:r>
      <w:bookmarkEnd w:id="212"/>
    </w:p>
    <w:p w14:paraId="442565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w:t>
      </w:r>
    </w:p>
    <w:p w14:paraId="1B418B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3" w:name="_Toc9467"/>
      <w:r>
        <w:rPr>
          <w:rFonts w:hint="eastAsia" w:ascii="宋体" w:hAnsi="宋体" w:eastAsia="宋体" w:cs="宋体"/>
          <w:color w:val="auto"/>
          <w:highlight w:val="none"/>
        </w:rPr>
        <w:t>12.3 监理人暂停施工指示</w:t>
      </w:r>
      <w:bookmarkEnd w:id="213"/>
    </w:p>
    <w:p w14:paraId="72F1B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488A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CAFCC3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4" w:name="_Toc20870"/>
      <w:r>
        <w:rPr>
          <w:rFonts w:hint="eastAsia" w:ascii="宋体" w:hAnsi="宋体" w:eastAsia="宋体" w:cs="宋体"/>
          <w:color w:val="auto"/>
          <w:highlight w:val="none"/>
        </w:rPr>
        <w:t>12.4 暂停施工后的复工</w:t>
      </w:r>
      <w:bookmarkEnd w:id="214"/>
    </w:p>
    <w:p w14:paraId="72DEE6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C91C1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64D732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5" w:name="_Toc19907"/>
      <w:r>
        <w:rPr>
          <w:rFonts w:hint="eastAsia" w:ascii="宋体" w:hAnsi="宋体" w:eastAsia="宋体" w:cs="宋体"/>
          <w:color w:val="auto"/>
          <w:highlight w:val="none"/>
        </w:rPr>
        <w:t>12.5 暂停施工持续56天以上</w:t>
      </w:r>
      <w:bookmarkEnd w:id="215"/>
    </w:p>
    <w:p w14:paraId="7F6A09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DCEE3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由于承包人责任引起的暂停施工，如承包人在收到监理人暂停施工指示后56天内不认真采取有效的复工措施，造成工期延误，可视为承包人违约，应按第22.1款的规定办理。</w:t>
      </w:r>
    </w:p>
    <w:p w14:paraId="49DB6B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16" w:name="_Toc122424196"/>
      <w:bookmarkStart w:id="217" w:name="_Toc122424445"/>
      <w:bookmarkStart w:id="218" w:name="_Toc27358"/>
      <w:r>
        <w:rPr>
          <w:rFonts w:hint="eastAsia" w:ascii="宋体" w:hAnsi="宋体" w:eastAsia="宋体" w:cs="宋体"/>
          <w:color w:val="auto"/>
          <w:highlight w:val="none"/>
        </w:rPr>
        <w:t>13. 工程质量</w:t>
      </w:r>
      <w:bookmarkEnd w:id="216"/>
      <w:bookmarkEnd w:id="217"/>
      <w:bookmarkEnd w:id="218"/>
    </w:p>
    <w:p w14:paraId="7AC6EA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9" w:name="_Toc22468"/>
      <w:r>
        <w:rPr>
          <w:rFonts w:hint="eastAsia" w:ascii="宋体" w:hAnsi="宋体" w:eastAsia="宋体" w:cs="宋体"/>
          <w:color w:val="auto"/>
          <w:highlight w:val="none"/>
        </w:rPr>
        <w:t>13.1 工程质量要求</w:t>
      </w:r>
      <w:bookmarkEnd w:id="219"/>
    </w:p>
    <w:p w14:paraId="6C0890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14:paraId="6851D4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14:paraId="1F5F13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14:paraId="6F7699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0" w:name="_Toc5979"/>
      <w:r>
        <w:rPr>
          <w:rFonts w:hint="eastAsia" w:ascii="宋体" w:hAnsi="宋体" w:eastAsia="宋体" w:cs="宋体"/>
          <w:color w:val="auto"/>
          <w:highlight w:val="none"/>
        </w:rPr>
        <w:t>13.2 承包人的质量管理</w:t>
      </w:r>
      <w:bookmarkEnd w:id="220"/>
    </w:p>
    <w:p w14:paraId="414745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E83E1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14:paraId="51F1CF0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1" w:name="_Toc3312"/>
      <w:r>
        <w:rPr>
          <w:rFonts w:hint="eastAsia" w:ascii="宋体" w:hAnsi="宋体" w:eastAsia="宋体" w:cs="宋体"/>
          <w:color w:val="auto"/>
          <w:highlight w:val="none"/>
        </w:rPr>
        <w:t>13.3 承包人的质量检查</w:t>
      </w:r>
      <w:bookmarkEnd w:id="221"/>
    </w:p>
    <w:p w14:paraId="2AD426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0B567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2" w:name="_Toc31128"/>
      <w:r>
        <w:rPr>
          <w:rFonts w:hint="eastAsia" w:ascii="宋体" w:hAnsi="宋体" w:eastAsia="宋体" w:cs="宋体"/>
          <w:color w:val="auto"/>
          <w:highlight w:val="none"/>
        </w:rPr>
        <w:t>13.4 监理人的质量检查</w:t>
      </w:r>
      <w:bookmarkEnd w:id="222"/>
    </w:p>
    <w:p w14:paraId="2FF61A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E26CC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3" w:name="_Toc19479"/>
      <w:r>
        <w:rPr>
          <w:rFonts w:hint="eastAsia" w:ascii="宋体" w:hAnsi="宋体" w:eastAsia="宋体" w:cs="宋体"/>
          <w:color w:val="auto"/>
          <w:highlight w:val="none"/>
        </w:rPr>
        <w:t>13.5 工程隐蔽部位覆盖前的检查</w:t>
      </w:r>
      <w:bookmarkEnd w:id="223"/>
    </w:p>
    <w:p w14:paraId="6389F3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14:paraId="144524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58BC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14:paraId="2C451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6A70F1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14:paraId="2BE845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5DB8C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14:paraId="2CA9E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398960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4" w:name="_Toc18725"/>
      <w:r>
        <w:rPr>
          <w:rFonts w:hint="eastAsia" w:ascii="宋体" w:hAnsi="宋体" w:eastAsia="宋体" w:cs="宋体"/>
          <w:color w:val="auto"/>
          <w:highlight w:val="none"/>
        </w:rPr>
        <w:t>13.6 清除不合格工程</w:t>
      </w:r>
      <w:bookmarkEnd w:id="224"/>
    </w:p>
    <w:p w14:paraId="78BFF9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F8D2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14:paraId="492C3DD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5" w:name="_Toc122424446"/>
      <w:bookmarkStart w:id="226" w:name="_Toc122424197"/>
      <w:bookmarkStart w:id="227" w:name="_Toc31367"/>
      <w:r>
        <w:rPr>
          <w:rFonts w:hint="eastAsia" w:ascii="宋体" w:hAnsi="宋体" w:eastAsia="宋体" w:cs="宋体"/>
          <w:color w:val="auto"/>
          <w:highlight w:val="none"/>
        </w:rPr>
        <w:t>14. 试验和检验</w:t>
      </w:r>
      <w:bookmarkEnd w:id="225"/>
      <w:bookmarkEnd w:id="226"/>
      <w:bookmarkEnd w:id="227"/>
    </w:p>
    <w:p w14:paraId="1C997D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8" w:name="_Toc6699"/>
      <w:r>
        <w:rPr>
          <w:rFonts w:hint="eastAsia" w:ascii="宋体" w:hAnsi="宋体" w:eastAsia="宋体" w:cs="宋体"/>
          <w:color w:val="auto"/>
          <w:highlight w:val="none"/>
        </w:rPr>
        <w:t>14.1 材料、工程设备和工程的试验和检验</w:t>
      </w:r>
      <w:bookmarkEnd w:id="228"/>
    </w:p>
    <w:p w14:paraId="692645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5518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14:paraId="3CE529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DE5806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9" w:name="_Toc22418"/>
      <w:r>
        <w:rPr>
          <w:rFonts w:hint="eastAsia" w:ascii="宋体" w:hAnsi="宋体" w:eastAsia="宋体" w:cs="宋体"/>
          <w:color w:val="auto"/>
          <w:highlight w:val="none"/>
        </w:rPr>
        <w:t>14.2 现场材料试验</w:t>
      </w:r>
      <w:bookmarkEnd w:id="229"/>
    </w:p>
    <w:p w14:paraId="16FA81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14:paraId="60EC7C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14:paraId="3251CC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0" w:name="_Toc25433"/>
      <w:r>
        <w:rPr>
          <w:rFonts w:hint="eastAsia" w:ascii="宋体" w:hAnsi="宋体" w:eastAsia="宋体" w:cs="宋体"/>
          <w:color w:val="auto"/>
          <w:highlight w:val="none"/>
        </w:rPr>
        <w:t>14.3 现场工艺试验</w:t>
      </w:r>
      <w:bookmarkEnd w:id="230"/>
    </w:p>
    <w:p w14:paraId="68A989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2E2DBC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31" w:name="_Toc26945"/>
      <w:bookmarkStart w:id="232" w:name="_Toc122424447"/>
      <w:bookmarkStart w:id="233" w:name="_Toc122424198"/>
      <w:r>
        <w:rPr>
          <w:rFonts w:hint="eastAsia" w:ascii="宋体" w:hAnsi="宋体" w:eastAsia="宋体" w:cs="宋体"/>
          <w:color w:val="auto"/>
          <w:highlight w:val="none"/>
        </w:rPr>
        <w:t>15. 变更</w:t>
      </w:r>
      <w:bookmarkEnd w:id="231"/>
      <w:bookmarkEnd w:id="232"/>
      <w:bookmarkEnd w:id="233"/>
    </w:p>
    <w:p w14:paraId="2626B62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4" w:name="_Toc15425"/>
      <w:r>
        <w:rPr>
          <w:rFonts w:hint="eastAsia" w:ascii="宋体" w:hAnsi="宋体" w:eastAsia="宋体" w:cs="宋体"/>
          <w:color w:val="auto"/>
          <w:highlight w:val="none"/>
        </w:rPr>
        <w:t>15.1 变更的范围和内容</w:t>
      </w:r>
      <w:bookmarkEnd w:id="234"/>
    </w:p>
    <w:p w14:paraId="5CE7C8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除专用合同条款另有约定外，在履行合同中发生以下情形之一，应按照本条规定进行变更。</w:t>
      </w:r>
    </w:p>
    <w:p w14:paraId="2ED7E8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（1）取消合同中任何一项工作，但被取消的工作不能转由发包人或其他人实施；</w:t>
      </w:r>
    </w:p>
    <w:p w14:paraId="7205C5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（2）改变合同中任何一项工作的质量或其他特性；</w:t>
      </w:r>
    </w:p>
    <w:p w14:paraId="28FD97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14:paraId="7BF221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14:paraId="68BF6A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14:paraId="4CD3F2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5" w:name="_Toc13258"/>
      <w:r>
        <w:rPr>
          <w:rFonts w:hint="eastAsia" w:ascii="宋体" w:hAnsi="宋体" w:eastAsia="宋体" w:cs="宋体"/>
          <w:color w:val="auto"/>
          <w:highlight w:val="none"/>
        </w:rPr>
        <w:t>15.2 变更权</w:t>
      </w:r>
      <w:bookmarkEnd w:id="235"/>
    </w:p>
    <w:p w14:paraId="35F97E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14:paraId="0964B45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6" w:name="_Toc24454"/>
      <w:r>
        <w:rPr>
          <w:rFonts w:hint="eastAsia" w:ascii="宋体" w:hAnsi="宋体" w:eastAsia="宋体" w:cs="宋体"/>
          <w:color w:val="auto"/>
          <w:highlight w:val="none"/>
        </w:rPr>
        <w:t>15.3 变更程序</w:t>
      </w:r>
      <w:bookmarkEnd w:id="236"/>
    </w:p>
    <w:p w14:paraId="4096C9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14:paraId="5199B9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B5EF1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14:paraId="1C7053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51DF4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328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14:paraId="0DCACB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749B8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14:paraId="543049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14:paraId="6BF929C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14:paraId="0C116D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14:paraId="267E49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14:paraId="1992BBB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7" w:name="_Toc14717"/>
      <w:r>
        <w:rPr>
          <w:rFonts w:hint="eastAsia" w:ascii="宋体" w:hAnsi="宋体" w:eastAsia="宋体" w:cs="宋体"/>
          <w:color w:val="auto"/>
          <w:highlight w:val="none"/>
        </w:rPr>
        <w:t>15.4 变更的估价原则</w:t>
      </w:r>
      <w:bookmarkEnd w:id="237"/>
    </w:p>
    <w:p w14:paraId="4CB9C0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0F75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14:paraId="3469DC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14:paraId="23F7EA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14:paraId="269AB58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8" w:name="_Toc6025"/>
      <w:r>
        <w:rPr>
          <w:rFonts w:hint="eastAsia" w:ascii="宋体" w:hAnsi="宋体" w:eastAsia="宋体" w:cs="宋体"/>
          <w:color w:val="auto"/>
          <w:highlight w:val="none"/>
        </w:rPr>
        <w:t>15.5 承包人的合理化建议</w:t>
      </w:r>
      <w:bookmarkEnd w:id="238"/>
    </w:p>
    <w:p w14:paraId="3C70EA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82EE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14:paraId="4ECC13D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9" w:name="_Toc28479"/>
      <w:r>
        <w:rPr>
          <w:rFonts w:hint="eastAsia" w:ascii="宋体" w:hAnsi="宋体" w:eastAsia="宋体" w:cs="宋体"/>
          <w:color w:val="auto"/>
          <w:highlight w:val="none"/>
        </w:rPr>
        <w:t>15.6 暂列金额</w:t>
      </w:r>
      <w:bookmarkEnd w:id="239"/>
    </w:p>
    <w:p w14:paraId="6A1D73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2C500AF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0" w:name="_Toc12668"/>
      <w:r>
        <w:rPr>
          <w:rFonts w:hint="eastAsia" w:ascii="宋体" w:hAnsi="宋体" w:eastAsia="宋体" w:cs="宋体"/>
          <w:color w:val="auto"/>
          <w:highlight w:val="none"/>
        </w:rPr>
        <w:t>15.7 计日工</w:t>
      </w:r>
      <w:bookmarkEnd w:id="240"/>
    </w:p>
    <w:p w14:paraId="40E2D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15.7.1 发包人认为有必要时，由监理人通知承包人以计日工方式实施变更的零星工作。其价款按列入已标价工程量清单中的计日工计价子目及其单价进行计算。</w:t>
      </w:r>
    </w:p>
    <w:p w14:paraId="7AB67A2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14:paraId="07F4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14:paraId="75389B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14:paraId="6913CE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14:paraId="1725D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14:paraId="1FF41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14:paraId="0EABBB4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14:paraId="3F1AD62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1" w:name="_Toc29143"/>
      <w:r>
        <w:rPr>
          <w:rFonts w:hint="eastAsia" w:ascii="宋体" w:hAnsi="宋体" w:eastAsia="宋体" w:cs="宋体"/>
          <w:color w:val="auto"/>
          <w:highlight w:val="none"/>
        </w:rPr>
        <w:t>15.8 暂估价</w:t>
      </w:r>
      <w:bookmarkEnd w:id="241"/>
    </w:p>
    <w:p w14:paraId="624F21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93D9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20166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F65284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42" w:name="_Toc122424448"/>
      <w:bookmarkStart w:id="243" w:name="_Toc12800"/>
      <w:bookmarkStart w:id="244" w:name="_Toc122424199"/>
      <w:r>
        <w:rPr>
          <w:rFonts w:hint="eastAsia" w:ascii="宋体" w:hAnsi="宋体" w:eastAsia="宋体" w:cs="宋体"/>
          <w:color w:val="auto"/>
          <w:highlight w:val="none"/>
        </w:rPr>
        <w:t>16. 价格调整</w:t>
      </w:r>
      <w:bookmarkEnd w:id="242"/>
      <w:bookmarkEnd w:id="243"/>
      <w:bookmarkEnd w:id="244"/>
    </w:p>
    <w:p w14:paraId="60D6F6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5" w:name="_Toc27279"/>
      <w:r>
        <w:rPr>
          <w:rFonts w:hint="eastAsia" w:ascii="宋体" w:hAnsi="宋体" w:eastAsia="宋体" w:cs="宋体"/>
          <w:color w:val="auto"/>
          <w:highlight w:val="none"/>
        </w:rPr>
        <w:t>16.1 物价波动引起的价格调整</w:t>
      </w:r>
      <w:bookmarkEnd w:id="245"/>
    </w:p>
    <w:p w14:paraId="4F9423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除专用合同条款另有约定外，因物价波动引起的价格调整按照本款约定处理。</w:t>
      </w:r>
    </w:p>
    <w:p w14:paraId="2C4D6D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14:paraId="6D4FF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14:paraId="4E6BD8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492F5D5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position w:val="-34"/>
          <w:sz w:val="24"/>
          <w:highlight w:val="none"/>
        </w:rPr>
        <w:object>
          <v:shape id="_x0000_i1025" o:spt="75" type="#_x0000_t75" style="height:40.5pt;width:306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40F95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14:paraId="22B862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E4663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定值权重（即不调部分的权重）；</w:t>
      </w:r>
    </w:p>
    <w:p w14:paraId="592077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B1; B2 ;B3·····Bn -- 各可调因子的变值权重（即可调部分的权重）为各可调因子在投标函投标总报价中所占的比例；</w:t>
      </w:r>
    </w:p>
    <w:p w14:paraId="77682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Ft1 ;Ft2 ;Ft3·····Ftn -- 各可调因子的现行价格指数，指第17.3.3项、第17.5.2项和第17.6.2项约定的付款证书相关周期最后一天的前42天的各可调因子的价格指数；</w:t>
      </w:r>
    </w:p>
    <w:p w14:paraId="20EE38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Fo1; Fo2; Fo3·····Fon -- 各可调因子的基本价格指数，指基准日期的各可调因子的价格指数。</w:t>
      </w:r>
    </w:p>
    <w:p w14:paraId="53BE14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4291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14:paraId="6FC48C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06C897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14:paraId="3F1C27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14:paraId="620B31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14:paraId="768F6E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E0F90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14:paraId="4D8555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250F1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6" w:name="_Toc8116"/>
      <w:r>
        <w:rPr>
          <w:rFonts w:hint="eastAsia" w:ascii="宋体" w:hAnsi="宋体" w:eastAsia="宋体" w:cs="宋体"/>
          <w:color w:val="auto"/>
          <w:highlight w:val="none"/>
        </w:rPr>
        <w:t>16.2 法律变化引起的价格调整</w:t>
      </w:r>
      <w:bookmarkEnd w:id="246"/>
    </w:p>
    <w:p w14:paraId="51E7AA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0D0CEF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47" w:name="_Toc122424449"/>
      <w:bookmarkStart w:id="248" w:name="_Toc17915"/>
      <w:bookmarkStart w:id="249" w:name="_Toc122424200"/>
      <w:r>
        <w:rPr>
          <w:rFonts w:hint="eastAsia" w:ascii="宋体" w:hAnsi="宋体" w:eastAsia="宋体" w:cs="宋体"/>
          <w:color w:val="auto"/>
          <w:highlight w:val="none"/>
        </w:rPr>
        <w:t>17. 计量与支付</w:t>
      </w:r>
      <w:bookmarkEnd w:id="247"/>
      <w:bookmarkEnd w:id="248"/>
      <w:bookmarkEnd w:id="249"/>
    </w:p>
    <w:p w14:paraId="3BA000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0" w:name="_Toc7023"/>
      <w:r>
        <w:rPr>
          <w:rFonts w:hint="eastAsia" w:ascii="宋体" w:hAnsi="宋体" w:eastAsia="宋体" w:cs="宋体"/>
          <w:color w:val="auto"/>
          <w:highlight w:val="none"/>
        </w:rPr>
        <w:t>17.1 计量</w:t>
      </w:r>
      <w:bookmarkEnd w:id="250"/>
    </w:p>
    <w:p w14:paraId="07C1ED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14:paraId="39F609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31D015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14:paraId="679C73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工程量清单中的工程量计算规则应按有关国家标准、行业标准的规定，并在合同中约定执行。</w:t>
      </w:r>
    </w:p>
    <w:p w14:paraId="2826D1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14:paraId="62832F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4626A0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14:paraId="62081B8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14:paraId="2CB31D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14:paraId="2508E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00C6E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14:paraId="252755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D933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F8627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17.1.5 总价子目的计量</w:t>
      </w:r>
    </w:p>
    <w:p w14:paraId="7AED0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除专用合同条款另有约定外，总价子目的分解和计量按照下述约定进行。</w:t>
      </w:r>
    </w:p>
    <w:p w14:paraId="3AD34A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14:paraId="264899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78BBA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14:paraId="7253C9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14:paraId="0143B37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1" w:name="_Toc13801"/>
      <w:r>
        <w:rPr>
          <w:rFonts w:hint="eastAsia" w:ascii="宋体" w:hAnsi="宋体" w:eastAsia="宋体" w:cs="宋体"/>
          <w:color w:val="auto"/>
          <w:highlight w:val="none"/>
        </w:rPr>
        <w:t>17.2 预付款</w:t>
      </w:r>
      <w:bookmarkEnd w:id="251"/>
    </w:p>
    <w:p w14:paraId="0FA74D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545A55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32B246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w:t>
      </w:r>
    </w:p>
    <w:p w14:paraId="6EAADB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BB35C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14:paraId="3B4763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15EFF8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2" w:name="_Toc31468"/>
      <w:r>
        <w:rPr>
          <w:rFonts w:hint="eastAsia" w:ascii="宋体" w:hAnsi="宋体" w:eastAsia="宋体" w:cs="宋体"/>
          <w:color w:val="auto"/>
          <w:highlight w:val="none"/>
        </w:rPr>
        <w:t>17.3 工程进度付款</w:t>
      </w:r>
      <w:bookmarkEnd w:id="252"/>
    </w:p>
    <w:p w14:paraId="78EDC5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14:paraId="5B5169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6275F8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14:paraId="089A74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1DEE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14:paraId="762DD1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14:paraId="59B0B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14:paraId="5AC3CB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14:paraId="3BF81F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14:paraId="062A5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14:paraId="59E1B0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14:paraId="035DC3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C9725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14:paraId="29CFD3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14:paraId="2E757F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14:paraId="687EDB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14:paraId="2B6C3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F42DF8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3" w:name="_Toc32700"/>
      <w:r>
        <w:rPr>
          <w:rFonts w:hint="eastAsia" w:ascii="宋体" w:hAnsi="宋体" w:eastAsia="宋体" w:cs="宋体"/>
          <w:color w:val="auto"/>
          <w:highlight w:val="none"/>
        </w:rPr>
        <w:t>17.4 质量保证金</w:t>
      </w:r>
      <w:bookmarkEnd w:id="253"/>
    </w:p>
    <w:p w14:paraId="5461F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E279D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9A458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ABFBAC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4" w:name="_Toc564"/>
      <w:r>
        <w:rPr>
          <w:rFonts w:hint="eastAsia" w:ascii="宋体" w:hAnsi="宋体" w:eastAsia="宋体" w:cs="宋体"/>
          <w:color w:val="auto"/>
          <w:highlight w:val="none"/>
        </w:rPr>
        <w:t>17.5 竣工结算</w:t>
      </w:r>
      <w:bookmarkEnd w:id="254"/>
    </w:p>
    <w:p w14:paraId="1895413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竣工付款申请单</w:t>
      </w:r>
    </w:p>
    <w:p w14:paraId="0C46B9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B3FFB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（2）监理人对竣工付款申请单有异议的，有权要求承包人进行修正和提供补充资料。经监理人和承包人协商后，由承包人向监理人提交修正后的竣工付款申请单。</w:t>
      </w:r>
    </w:p>
    <w:p w14:paraId="3A5FE7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竣工付款证书及支付时间</w:t>
      </w:r>
    </w:p>
    <w:p w14:paraId="11C3E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69907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（2）发包人应在监理人出具竣工付款证书后的14天内，将应支付款支付给承包人。发包人不按期支付的，按第17.3.3（2）目的约定，将逾期付款违约金支付给承包人。</w:t>
      </w:r>
    </w:p>
    <w:p w14:paraId="2030D3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（3）承包人对发包人签认的竣工付款证书有异议的，发包人可出具竣工付款申请单中承包人已同意部分的临时付款证书。存在争议的部分，按第24条的约定办理。</w:t>
      </w:r>
    </w:p>
    <w:p w14:paraId="30C16E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（4）竣工付款涉及政府投资资金的，按第17.3.3（４）目的约定办理。</w:t>
      </w:r>
    </w:p>
    <w:p w14:paraId="23E659B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5" w:name="_Toc25285"/>
      <w:r>
        <w:rPr>
          <w:rFonts w:hint="eastAsia" w:ascii="宋体" w:hAnsi="宋体" w:eastAsia="宋体" w:cs="宋体"/>
          <w:color w:val="auto"/>
          <w:highlight w:val="none"/>
        </w:rPr>
        <w:t>17.6 最终结清</w:t>
      </w:r>
      <w:bookmarkEnd w:id="255"/>
    </w:p>
    <w:p w14:paraId="70C196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14:paraId="4658B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（1）缺陷责任期终止证书签发后，承包人可按专用合同条款约定的份数和期限向监理人提交最终结清申请单，并提供相关证明材料。</w:t>
      </w:r>
    </w:p>
    <w:p w14:paraId="75C6DE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14:paraId="432648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14:paraId="7020D6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6DB3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14:paraId="136DA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14:paraId="02872C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14:paraId="4B41E21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56" w:name="_Toc30994"/>
      <w:bookmarkStart w:id="257" w:name="_Toc122424201"/>
      <w:bookmarkStart w:id="258" w:name="_Toc122424450"/>
      <w:r>
        <w:rPr>
          <w:rFonts w:hint="eastAsia" w:ascii="宋体" w:hAnsi="宋体" w:eastAsia="宋体" w:cs="宋体"/>
          <w:color w:val="auto"/>
          <w:highlight w:val="none"/>
        </w:rPr>
        <w:t>18. 竣工验收</w:t>
      </w:r>
      <w:bookmarkEnd w:id="256"/>
      <w:bookmarkEnd w:id="257"/>
      <w:bookmarkEnd w:id="258"/>
    </w:p>
    <w:p w14:paraId="268440B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9" w:name="_Toc32352"/>
      <w:r>
        <w:rPr>
          <w:rFonts w:hint="eastAsia" w:ascii="宋体" w:hAnsi="宋体" w:eastAsia="宋体" w:cs="宋体"/>
          <w:color w:val="auto"/>
          <w:highlight w:val="none"/>
        </w:rPr>
        <w:t>18.1 竣工验收的含义</w:t>
      </w:r>
      <w:bookmarkEnd w:id="259"/>
    </w:p>
    <w:p w14:paraId="75A3F3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18.1.1 竣工验收指承包人完成了全部合同工作后，发包人按合同要求进行的验收。</w:t>
      </w:r>
    </w:p>
    <w:p w14:paraId="1259C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18.1.2 国家验收是政府有关部门根据法律、规范、规程和政策要求，针对发包人全面组织实施的整个工程正式交付投运前的验收。</w:t>
      </w:r>
    </w:p>
    <w:p w14:paraId="40BCE69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C981EA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0" w:name="_Toc1350"/>
      <w:r>
        <w:rPr>
          <w:rFonts w:hint="eastAsia" w:ascii="宋体" w:hAnsi="宋体" w:eastAsia="宋体" w:cs="宋体"/>
          <w:color w:val="auto"/>
          <w:highlight w:val="none"/>
        </w:rPr>
        <w:t>18.2 竣工验收申请报告</w:t>
      </w:r>
      <w:bookmarkEnd w:id="260"/>
    </w:p>
    <w:p w14:paraId="0F4E8F3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当工程具备以下条件时，承包人即可向监理人报送竣工验收申请报告：</w:t>
      </w:r>
    </w:p>
    <w:p w14:paraId="4319EE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10818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（2）已按合同约定的内容和份数备齐了符合要求的竣工资料； </w:t>
      </w:r>
    </w:p>
    <w:p w14:paraId="26DF8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（3）已按监理人的要求编制了在缺陷责任期内完成的尾工（甩项）工程和缺陷修补工作清单以及相应施工计划；</w:t>
      </w:r>
    </w:p>
    <w:p w14:paraId="0844D2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（4）监理人要求在竣工验收前应完成的其他工作；</w:t>
      </w:r>
    </w:p>
    <w:p w14:paraId="6F6C7D9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（5）监理人要求提交的竣工验收资料清单。</w:t>
      </w:r>
    </w:p>
    <w:p w14:paraId="682422D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1" w:name="_Toc7634"/>
      <w:r>
        <w:rPr>
          <w:rFonts w:hint="eastAsia" w:ascii="宋体" w:hAnsi="宋体" w:eastAsia="宋体" w:cs="宋体"/>
          <w:color w:val="auto"/>
          <w:highlight w:val="none"/>
        </w:rPr>
        <w:t>18.3 验收</w:t>
      </w:r>
      <w:bookmarkEnd w:id="261"/>
    </w:p>
    <w:p w14:paraId="6E545B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监理人收到承包人按第18.2款约定提交的竣工验收申请报告后，应审查申请报告的各项内容，并按以下不同情况进行处理。</w:t>
      </w:r>
    </w:p>
    <w:p w14:paraId="0830F6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EC1B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 监理人审查后认为已具备竣工验收条件的，应在收到竣工验收申请报告后的28天内提请发包人进行工程验收。</w:t>
      </w:r>
    </w:p>
    <w:p w14:paraId="241639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3103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B423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18.3.5 除专用合同条款另有约定外，经验收合格工程的实际竣工日期，以提交竣工验收申请报告的日期为准，并在工程接收证书中写明。</w:t>
      </w:r>
    </w:p>
    <w:p w14:paraId="54F897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4536A4F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2" w:name="_Toc14179"/>
      <w:r>
        <w:rPr>
          <w:rFonts w:hint="eastAsia" w:ascii="宋体" w:hAnsi="宋体" w:eastAsia="宋体" w:cs="宋体"/>
          <w:color w:val="auto"/>
          <w:highlight w:val="none"/>
        </w:rPr>
        <w:t>18.4 单位工程验收</w:t>
      </w:r>
      <w:bookmarkEnd w:id="262"/>
    </w:p>
    <w:p w14:paraId="1F85B1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DAAA4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 发包人在全部工程竣工前，使用已接收的单位工程导致承包人费用增加的，发包人应承担由此增加的费用和（或）工期延误，并支付承包人合理利润。</w:t>
      </w:r>
    </w:p>
    <w:p w14:paraId="7E4A36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3" w:name="_Toc16446"/>
      <w:r>
        <w:rPr>
          <w:rFonts w:hint="eastAsia" w:ascii="宋体" w:hAnsi="宋体" w:eastAsia="宋体" w:cs="宋体"/>
          <w:color w:val="auto"/>
          <w:highlight w:val="none"/>
        </w:rPr>
        <w:t>18.5 施工期运行</w:t>
      </w:r>
      <w:bookmarkEnd w:id="263"/>
    </w:p>
    <w:p w14:paraId="6BF4D8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23197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 在施工期运行中发现工程或工程设备损坏或存在缺陷的，由承包人按第19.2款约定进行修复。</w:t>
      </w:r>
    </w:p>
    <w:p w14:paraId="54A435A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4" w:name="_Toc26484"/>
      <w:r>
        <w:rPr>
          <w:rFonts w:hint="eastAsia" w:ascii="宋体" w:hAnsi="宋体" w:eastAsia="宋体" w:cs="宋体"/>
          <w:color w:val="auto"/>
          <w:highlight w:val="none"/>
        </w:rPr>
        <w:t>18.6 试运行</w:t>
      </w:r>
      <w:bookmarkEnd w:id="264"/>
    </w:p>
    <w:p w14:paraId="0D409D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 除专用合同条款另有约定外，承包人应按专用合同条款约定进行工程及工程设备试运行，负责提供试运行所需的人员、器材和必要的条件，并承担全部试运行费用。</w:t>
      </w:r>
    </w:p>
    <w:p w14:paraId="6E15E4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306CC8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5" w:name="_Toc9520"/>
      <w:r>
        <w:rPr>
          <w:rFonts w:hint="eastAsia" w:ascii="宋体" w:hAnsi="宋体" w:eastAsia="宋体" w:cs="宋体"/>
          <w:color w:val="auto"/>
          <w:highlight w:val="none"/>
        </w:rPr>
        <w:t>18.7 竣工清场</w:t>
      </w:r>
      <w:bookmarkEnd w:id="265"/>
    </w:p>
    <w:p w14:paraId="3354AA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 除合同另有约定外，工程接收证书颁发后，承包人应按以下要求对施工场地进行清理，直至监理人检验合格为止。竣工清场费用由承包人承担。</w:t>
      </w:r>
    </w:p>
    <w:p w14:paraId="1EF6D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（1）施工场地内残留的垃圾已全部清除出场；</w:t>
      </w:r>
    </w:p>
    <w:p w14:paraId="7E5DE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（2）临时工程已拆除，场地已按合同要求进行清理、平整或复原；</w:t>
      </w:r>
    </w:p>
    <w:p w14:paraId="6B9C2D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（3）按合同约定应撤离的承包人设备和剩余的材料，包括废弃的施工设备和材料，已按计划撤离施工场地；</w:t>
      </w:r>
    </w:p>
    <w:p w14:paraId="1B9EB9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（4）工程建筑物周边及其附近道路、河道的施工堆积物，已按监理人指示全部清理；</w:t>
      </w:r>
    </w:p>
    <w:p w14:paraId="349DC5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（5）监理人指示的其他场地清理工作已全部完成。</w:t>
      </w:r>
    </w:p>
    <w:p w14:paraId="2FD925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 承包人未按监理人的要求恢复临时占地，或者场地清理未达到合同约定的，发包人有权委托其他人恢复或清理，所发生的金额从拟支付给承包人的款项中扣除。</w:t>
      </w:r>
    </w:p>
    <w:p w14:paraId="73131C5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6" w:name="_Toc10196"/>
      <w:r>
        <w:rPr>
          <w:rFonts w:hint="eastAsia" w:ascii="宋体" w:hAnsi="宋体" w:eastAsia="宋体" w:cs="宋体"/>
          <w:color w:val="auto"/>
          <w:highlight w:val="none"/>
        </w:rPr>
        <w:t>18.8 施工队伍的撤离</w:t>
      </w:r>
      <w:bookmarkEnd w:id="266"/>
    </w:p>
    <w:p w14:paraId="411D3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71720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67" w:name="_Toc122424451"/>
      <w:bookmarkStart w:id="268" w:name="_Toc10892"/>
      <w:bookmarkStart w:id="269" w:name="_Toc122424202"/>
      <w:r>
        <w:rPr>
          <w:rFonts w:hint="eastAsia" w:ascii="宋体" w:hAnsi="宋体" w:eastAsia="宋体" w:cs="宋体"/>
          <w:color w:val="auto"/>
          <w:highlight w:val="none"/>
        </w:rPr>
        <w:t>19. 缺陷责任与保修责任</w:t>
      </w:r>
      <w:bookmarkEnd w:id="267"/>
      <w:bookmarkEnd w:id="268"/>
      <w:bookmarkEnd w:id="269"/>
    </w:p>
    <w:p w14:paraId="045D89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0" w:name="_Toc2029"/>
      <w:r>
        <w:rPr>
          <w:rFonts w:hint="eastAsia" w:ascii="宋体" w:hAnsi="宋体" w:eastAsia="宋体" w:cs="宋体"/>
          <w:color w:val="auto"/>
          <w:highlight w:val="none"/>
        </w:rPr>
        <w:t>19.1 缺陷责任期的起算时间</w:t>
      </w:r>
      <w:bookmarkEnd w:id="270"/>
    </w:p>
    <w:p w14:paraId="3135EA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缺陷责任期自实际竣工日期起计算。在全部工程竣工验收前，已经发包人提前验收的单位工程，其缺陷责任期的起算日期相应提前。</w:t>
      </w:r>
    </w:p>
    <w:p w14:paraId="79F708E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1" w:name="_Toc28384"/>
      <w:r>
        <w:rPr>
          <w:rFonts w:hint="eastAsia" w:ascii="宋体" w:hAnsi="宋体" w:eastAsia="宋体" w:cs="宋体"/>
          <w:color w:val="auto"/>
          <w:highlight w:val="none"/>
        </w:rPr>
        <w:t>19.2 缺陷责任</w:t>
      </w:r>
      <w:bookmarkEnd w:id="271"/>
    </w:p>
    <w:p w14:paraId="4C4730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14:paraId="10402C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F9540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C4BB1C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14:paraId="133F5C9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2" w:name="_Toc28081"/>
      <w:r>
        <w:rPr>
          <w:rFonts w:hint="eastAsia" w:ascii="宋体" w:hAnsi="宋体" w:eastAsia="宋体" w:cs="宋体"/>
          <w:color w:val="auto"/>
          <w:highlight w:val="none"/>
        </w:rPr>
        <w:t>19.3 缺陷责任期的延长</w:t>
      </w:r>
      <w:bookmarkEnd w:id="272"/>
    </w:p>
    <w:p w14:paraId="6AEC63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12B85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3" w:name="_Toc882"/>
      <w:r>
        <w:rPr>
          <w:rFonts w:hint="eastAsia" w:ascii="宋体" w:hAnsi="宋体" w:eastAsia="宋体" w:cs="宋体"/>
          <w:color w:val="auto"/>
          <w:highlight w:val="none"/>
        </w:rPr>
        <w:t>19.4 进一步试验和试运行</w:t>
      </w:r>
      <w:bookmarkEnd w:id="273"/>
    </w:p>
    <w:p w14:paraId="71DC02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6BD5FFE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4" w:name="_Toc17413"/>
      <w:r>
        <w:rPr>
          <w:rFonts w:hint="eastAsia" w:ascii="宋体" w:hAnsi="宋体" w:eastAsia="宋体" w:cs="宋体"/>
          <w:color w:val="auto"/>
          <w:highlight w:val="none"/>
        </w:rPr>
        <w:t>19.5 承包人的进入权</w:t>
      </w:r>
      <w:bookmarkEnd w:id="274"/>
    </w:p>
    <w:p w14:paraId="4E0DC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3D425E5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5" w:name="_Toc4985"/>
      <w:r>
        <w:rPr>
          <w:rFonts w:hint="eastAsia" w:ascii="宋体" w:hAnsi="宋体" w:eastAsia="宋体" w:cs="宋体"/>
          <w:color w:val="auto"/>
          <w:highlight w:val="none"/>
        </w:rPr>
        <w:t>19.6 缺陷责任期终止证书</w:t>
      </w:r>
      <w:bookmarkEnd w:id="275"/>
    </w:p>
    <w:p w14:paraId="45DF83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在第1.1.4.5目约定的缺陷责任期，包括根据第19.3款延长的期限终止后14天内，由监理人向承包人出具经发包人签认的缺陷责任期终止证书，并退还剩余的质量保证金。</w:t>
      </w:r>
    </w:p>
    <w:p w14:paraId="335073B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6" w:name="_Toc28036"/>
      <w:r>
        <w:rPr>
          <w:rFonts w:hint="eastAsia" w:ascii="宋体" w:hAnsi="宋体" w:eastAsia="宋体" w:cs="宋体"/>
          <w:color w:val="auto"/>
          <w:highlight w:val="none"/>
        </w:rPr>
        <w:t>19.7 保修责任</w:t>
      </w:r>
      <w:bookmarkEnd w:id="276"/>
    </w:p>
    <w:p w14:paraId="32E946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8F832E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77" w:name="_Toc122424452"/>
      <w:bookmarkStart w:id="278" w:name="_Toc122424203"/>
      <w:bookmarkStart w:id="279" w:name="_Toc21090"/>
      <w:r>
        <w:rPr>
          <w:rFonts w:hint="eastAsia" w:ascii="宋体" w:hAnsi="宋体" w:eastAsia="宋体" w:cs="宋体"/>
          <w:color w:val="auto"/>
          <w:highlight w:val="none"/>
        </w:rPr>
        <w:t>20. 保险</w:t>
      </w:r>
      <w:bookmarkEnd w:id="277"/>
      <w:bookmarkEnd w:id="278"/>
      <w:bookmarkEnd w:id="279"/>
    </w:p>
    <w:p w14:paraId="622F66B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0" w:name="_Toc9782"/>
      <w:r>
        <w:rPr>
          <w:rFonts w:hint="eastAsia" w:ascii="宋体" w:hAnsi="宋体" w:eastAsia="宋体" w:cs="宋体"/>
          <w:color w:val="auto"/>
          <w:highlight w:val="none"/>
        </w:rPr>
        <w:t>20.1 工程保险</w:t>
      </w:r>
      <w:bookmarkEnd w:id="280"/>
    </w:p>
    <w:p w14:paraId="14280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D57F3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1" w:name="_Toc20764"/>
      <w:r>
        <w:rPr>
          <w:rFonts w:hint="eastAsia" w:ascii="宋体" w:hAnsi="宋体" w:eastAsia="宋体" w:cs="宋体"/>
          <w:color w:val="auto"/>
          <w:highlight w:val="none"/>
        </w:rPr>
        <w:t>20.2 人员工伤事故的保险</w:t>
      </w:r>
      <w:bookmarkEnd w:id="281"/>
    </w:p>
    <w:p w14:paraId="1E34B9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14:paraId="522711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14:paraId="3074CF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14:paraId="4702A7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14:paraId="7EA3F9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2" w:name="_Toc5176"/>
      <w:r>
        <w:rPr>
          <w:rFonts w:hint="eastAsia" w:ascii="宋体" w:hAnsi="宋体" w:eastAsia="宋体" w:cs="宋体"/>
          <w:color w:val="auto"/>
          <w:highlight w:val="none"/>
        </w:rPr>
        <w:t>20.3 人身意外伤害险</w:t>
      </w:r>
      <w:bookmarkEnd w:id="282"/>
    </w:p>
    <w:p w14:paraId="4F05DB7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14:paraId="54843D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14:paraId="4BAD1A3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3" w:name="_Toc6828"/>
      <w:r>
        <w:rPr>
          <w:rFonts w:hint="eastAsia" w:ascii="宋体" w:hAnsi="宋体" w:eastAsia="宋体" w:cs="宋体"/>
          <w:color w:val="auto"/>
          <w:highlight w:val="none"/>
        </w:rPr>
        <w:t>20.4 第三者责任险</w:t>
      </w:r>
      <w:bookmarkEnd w:id="283"/>
    </w:p>
    <w:p w14:paraId="382683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DEDF5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14:paraId="2F4355E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4" w:name="_Toc1637"/>
      <w:r>
        <w:rPr>
          <w:rFonts w:hint="eastAsia" w:ascii="宋体" w:hAnsi="宋体" w:eastAsia="宋体" w:cs="宋体"/>
          <w:color w:val="auto"/>
          <w:highlight w:val="none"/>
        </w:rPr>
        <w:t>20.5 其他保险</w:t>
      </w:r>
      <w:bookmarkEnd w:id="284"/>
    </w:p>
    <w:p w14:paraId="5CF1C2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3571B3C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5" w:name="_Toc15017"/>
      <w:r>
        <w:rPr>
          <w:rFonts w:hint="eastAsia" w:ascii="宋体" w:hAnsi="宋体" w:eastAsia="宋体" w:cs="宋体"/>
          <w:color w:val="auto"/>
          <w:highlight w:val="none"/>
        </w:rPr>
        <w:t>20.6 对各项保险的一般要求</w:t>
      </w:r>
      <w:bookmarkEnd w:id="285"/>
    </w:p>
    <w:p w14:paraId="708D78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0FFD9A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6F0E9D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14:paraId="65F1CA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23487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14:paraId="41FA50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260DCF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14:paraId="01F5DD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保险金不足以补偿损失的，应由承包人和（或）发包人按合同约定负责补偿。</w:t>
      </w:r>
    </w:p>
    <w:p w14:paraId="280CA0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14:paraId="5E5375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14:paraId="57E563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14:paraId="3AC94C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14:paraId="3DB157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4417B72E">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6" w:name="_Toc122424453"/>
      <w:bookmarkStart w:id="287" w:name="_Toc6526"/>
      <w:bookmarkStart w:id="288" w:name="_Toc122424204"/>
      <w:r>
        <w:rPr>
          <w:rFonts w:hint="eastAsia" w:ascii="宋体" w:hAnsi="宋体" w:eastAsia="宋体" w:cs="宋体"/>
          <w:color w:val="auto"/>
          <w:highlight w:val="none"/>
        </w:rPr>
        <w:t>21. 不可抗力</w:t>
      </w:r>
      <w:bookmarkEnd w:id="286"/>
      <w:bookmarkEnd w:id="287"/>
      <w:bookmarkEnd w:id="288"/>
    </w:p>
    <w:p w14:paraId="26BFEDE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9" w:name="_Toc9293"/>
      <w:r>
        <w:rPr>
          <w:rFonts w:hint="eastAsia" w:ascii="宋体" w:hAnsi="宋体" w:eastAsia="宋体" w:cs="宋体"/>
          <w:color w:val="auto"/>
          <w:highlight w:val="none"/>
        </w:rPr>
        <w:t>21.1 不可抗力的确认</w:t>
      </w:r>
      <w:bookmarkEnd w:id="289"/>
    </w:p>
    <w:p w14:paraId="7FDDBA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C2AE8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997301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0" w:name="_Toc32615"/>
      <w:r>
        <w:rPr>
          <w:rFonts w:hint="eastAsia" w:ascii="宋体" w:hAnsi="宋体" w:eastAsia="宋体" w:cs="宋体"/>
          <w:color w:val="auto"/>
          <w:highlight w:val="none"/>
        </w:rPr>
        <w:t>21.2 不可抗力的通知</w:t>
      </w:r>
      <w:bookmarkEnd w:id="290"/>
    </w:p>
    <w:p w14:paraId="31DFAC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0C4D5C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2BA9104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1" w:name="_Toc26419"/>
      <w:r>
        <w:rPr>
          <w:rFonts w:hint="eastAsia" w:ascii="宋体" w:hAnsi="宋体" w:eastAsia="宋体" w:cs="宋体"/>
          <w:color w:val="auto"/>
          <w:highlight w:val="none"/>
        </w:rPr>
        <w:t>21.3 不可抗力后果及其处理</w:t>
      </w:r>
      <w:bookmarkEnd w:id="291"/>
    </w:p>
    <w:p w14:paraId="63790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14:paraId="2C8CF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C9E0C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14:paraId="20A7EC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14:paraId="162F63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14:paraId="5EDA2B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14:paraId="5F86E2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14:paraId="7EEBF7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14:paraId="487AAA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77CA31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14:paraId="086A20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241F2E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14:paraId="0B7A30A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4FC30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2" w:name="_Toc122424205"/>
      <w:bookmarkStart w:id="293" w:name="_Toc16752"/>
      <w:bookmarkStart w:id="294" w:name="_Toc122424454"/>
      <w:r>
        <w:rPr>
          <w:rFonts w:hint="eastAsia" w:ascii="宋体" w:hAnsi="宋体" w:eastAsia="宋体" w:cs="宋体"/>
          <w:color w:val="auto"/>
          <w:highlight w:val="none"/>
        </w:rPr>
        <w:t>22. 违约</w:t>
      </w:r>
      <w:bookmarkEnd w:id="292"/>
      <w:bookmarkEnd w:id="293"/>
      <w:bookmarkEnd w:id="294"/>
    </w:p>
    <w:p w14:paraId="7062D5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5" w:name="_Toc18184"/>
      <w:r>
        <w:rPr>
          <w:rFonts w:hint="eastAsia" w:ascii="宋体" w:hAnsi="宋体" w:eastAsia="宋体" w:cs="宋体"/>
          <w:color w:val="auto"/>
          <w:highlight w:val="none"/>
        </w:rPr>
        <w:t>22.1 承包人违约</w:t>
      </w:r>
      <w:bookmarkEnd w:id="295"/>
    </w:p>
    <w:p w14:paraId="4AB708D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14:paraId="4BC065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73CA36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14:paraId="32C657E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14:paraId="78543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14:paraId="09B467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14:paraId="1BDC0B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（5）承包人在缺陷责任期内，未能对工程接收证书所列的缺陷清单的内容或缺陷责任期内发生的缺陷进行修复，而又拒绝按监理人指示再进行修补；</w:t>
      </w:r>
    </w:p>
    <w:p w14:paraId="1AF1BC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14:paraId="45785D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14:paraId="41FF8C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14:paraId="3E873A5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14:paraId="377FB1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14:paraId="2BC3D5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14:paraId="29E58C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14:paraId="21F635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34B6D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14:paraId="13F47E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14:paraId="7F1AD21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14:paraId="29DAD4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14:paraId="2CCB07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14:paraId="60A803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14:paraId="716A29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14:paraId="697D72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69CC7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14:paraId="021A69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DB807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6" w:name="_Toc24004"/>
      <w:r>
        <w:rPr>
          <w:rFonts w:hint="eastAsia" w:ascii="宋体" w:hAnsi="宋体" w:eastAsia="宋体" w:cs="宋体"/>
          <w:color w:val="auto"/>
          <w:highlight w:val="none"/>
        </w:rPr>
        <w:t>22.2 发包人违约</w:t>
      </w:r>
      <w:bookmarkEnd w:id="296"/>
    </w:p>
    <w:p w14:paraId="2DB79D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14:paraId="0EB1FD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30B54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14:paraId="628982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14:paraId="4CAD89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14:paraId="2D262C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14:paraId="42B712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14:paraId="60F6E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14:paraId="45A05D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F0F10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14:paraId="61AAFC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（1）发生第22.2.1（4）目的违约情况时，承包人可书面通知发包人解除合同。   </w:t>
      </w:r>
    </w:p>
    <w:p w14:paraId="1A8EE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7E9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14:paraId="660699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1F7C57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14:paraId="26EEEB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14:paraId="7CA8C36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14:paraId="53862A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14:paraId="193C3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14:paraId="1D2909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14:paraId="37D6F2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0FF8F2F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14:paraId="3BFE38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42F76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7" w:name="_Toc13746"/>
      <w:r>
        <w:rPr>
          <w:rFonts w:hint="eastAsia" w:ascii="宋体" w:hAnsi="宋体" w:eastAsia="宋体" w:cs="宋体"/>
          <w:color w:val="auto"/>
          <w:highlight w:val="none"/>
        </w:rPr>
        <w:t>22.3 第三人造成的违约</w:t>
      </w:r>
      <w:bookmarkEnd w:id="297"/>
    </w:p>
    <w:p w14:paraId="418803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1BCF29B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8" w:name="_Toc24948"/>
      <w:bookmarkStart w:id="299" w:name="_Toc122424206"/>
      <w:bookmarkStart w:id="300" w:name="_Toc122424455"/>
      <w:r>
        <w:rPr>
          <w:rFonts w:hint="eastAsia" w:ascii="宋体" w:hAnsi="宋体" w:eastAsia="宋体" w:cs="宋体"/>
          <w:color w:val="auto"/>
          <w:highlight w:val="none"/>
        </w:rPr>
        <w:t>23. 索赔</w:t>
      </w:r>
      <w:bookmarkEnd w:id="298"/>
      <w:bookmarkEnd w:id="299"/>
      <w:bookmarkEnd w:id="300"/>
    </w:p>
    <w:p w14:paraId="729F901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1" w:name="_Toc27577"/>
      <w:r>
        <w:rPr>
          <w:rFonts w:hint="eastAsia" w:ascii="宋体" w:hAnsi="宋体" w:eastAsia="宋体" w:cs="宋体"/>
          <w:color w:val="auto"/>
          <w:highlight w:val="none"/>
        </w:rPr>
        <w:t>23.1 承包人索赔的提出</w:t>
      </w:r>
      <w:bookmarkEnd w:id="301"/>
    </w:p>
    <w:p w14:paraId="5B4D9C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14:paraId="2093CE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611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045635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14:paraId="243EB6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14:paraId="2D77D9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2" w:name="_Toc27579"/>
      <w:r>
        <w:rPr>
          <w:rFonts w:hint="eastAsia" w:ascii="宋体" w:hAnsi="宋体" w:eastAsia="宋体" w:cs="宋体"/>
          <w:color w:val="auto"/>
          <w:highlight w:val="none"/>
        </w:rPr>
        <w:t>23.2 承包人索赔处理程序</w:t>
      </w:r>
      <w:bookmarkEnd w:id="302"/>
    </w:p>
    <w:p w14:paraId="4189A3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14:paraId="7CCE1FF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14:paraId="055D42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14:paraId="37906B1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3" w:name="_Toc30968"/>
      <w:r>
        <w:rPr>
          <w:rFonts w:hint="eastAsia" w:ascii="宋体" w:hAnsi="宋体" w:eastAsia="宋体" w:cs="宋体"/>
          <w:color w:val="auto"/>
          <w:highlight w:val="none"/>
        </w:rPr>
        <w:t>23.3 承包人提出索赔的期限</w:t>
      </w:r>
      <w:bookmarkEnd w:id="303"/>
    </w:p>
    <w:p w14:paraId="1918EC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承包人按第17.5款的约定接受了竣工付款证书后，应被认为已无权再提出在合同工程接收证书颁发前所发生的任何索赔。</w:t>
      </w:r>
    </w:p>
    <w:p w14:paraId="175E61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23.3.2 承包人按第17.6款的约定提交的最终结清申请单中，只限于提出工程接收证书颁发后发生的索赔。提出索赔的期限自接受最终结清证书时终止。 </w:t>
      </w:r>
    </w:p>
    <w:p w14:paraId="1D6334D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4" w:name="_Toc11364"/>
      <w:r>
        <w:rPr>
          <w:rFonts w:hint="eastAsia" w:ascii="宋体" w:hAnsi="宋体" w:eastAsia="宋体" w:cs="宋体"/>
          <w:color w:val="auto"/>
          <w:highlight w:val="none"/>
        </w:rPr>
        <w:t>23.4 发包人的索赔</w:t>
      </w:r>
      <w:bookmarkEnd w:id="304"/>
    </w:p>
    <w:p w14:paraId="413EB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D763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F1A43D4">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05" w:name="_Toc122424207"/>
      <w:bookmarkStart w:id="306" w:name="_Toc14309"/>
      <w:bookmarkStart w:id="307" w:name="_Toc122424456"/>
      <w:r>
        <w:rPr>
          <w:rFonts w:hint="eastAsia" w:ascii="宋体" w:hAnsi="宋体" w:eastAsia="宋体" w:cs="宋体"/>
          <w:color w:val="auto"/>
          <w:highlight w:val="none"/>
        </w:rPr>
        <w:t>24. 争议的解决</w:t>
      </w:r>
      <w:bookmarkEnd w:id="305"/>
      <w:bookmarkEnd w:id="306"/>
      <w:bookmarkEnd w:id="307"/>
    </w:p>
    <w:p w14:paraId="297E66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8" w:name="_Toc16006"/>
      <w:r>
        <w:rPr>
          <w:rFonts w:hint="eastAsia" w:ascii="宋体" w:hAnsi="宋体" w:eastAsia="宋体" w:cs="宋体"/>
          <w:color w:val="auto"/>
          <w:highlight w:val="none"/>
        </w:rPr>
        <w:t>24.1 争议的解决方式</w:t>
      </w:r>
      <w:bookmarkEnd w:id="308"/>
    </w:p>
    <w:p w14:paraId="762ACC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FB359D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14:paraId="2CA137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29747A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9" w:name="_Toc8167"/>
      <w:r>
        <w:rPr>
          <w:rFonts w:hint="eastAsia" w:ascii="宋体" w:hAnsi="宋体" w:eastAsia="宋体" w:cs="宋体"/>
          <w:color w:val="auto"/>
          <w:highlight w:val="none"/>
        </w:rPr>
        <w:t>24.2 友好解决</w:t>
      </w:r>
      <w:bookmarkEnd w:id="309"/>
    </w:p>
    <w:p w14:paraId="415790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1190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10" w:name="_Toc2540"/>
      <w:r>
        <w:rPr>
          <w:rFonts w:hint="eastAsia" w:ascii="宋体" w:hAnsi="宋体" w:eastAsia="宋体" w:cs="宋体"/>
          <w:color w:val="auto"/>
          <w:highlight w:val="none"/>
        </w:rPr>
        <w:t>24.3 争议评审</w:t>
      </w:r>
      <w:bookmarkEnd w:id="310"/>
    </w:p>
    <w:p w14:paraId="469038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14:paraId="31536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3BB313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14:paraId="15F83F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D74EA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D9163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14:paraId="35150D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Start w:id="311" w:name="_Toc15755"/>
      <w:bookmarkStart w:id="312" w:name="_Toc394929412"/>
      <w:bookmarkStart w:id="313" w:name="_Toc517163146"/>
      <w:bookmarkStart w:id="314" w:name="_Toc514759026"/>
      <w:bookmarkStart w:id="315" w:name="_Toc511595187"/>
      <w:bookmarkStart w:id="316" w:name="_Toc508779703"/>
    </w:p>
    <w:p w14:paraId="66E1D25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4D577B7">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FB72A5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710C0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EDC2CD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07A2A4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9D0DDD5">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2BBC6D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959549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733E7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6A2C79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FE437CB">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074CF1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DF583D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3A3B72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53853">
      <w:pPr>
        <w:pStyle w:val="4"/>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第二节  专用合同条款</w:t>
      </w:r>
      <w:bookmarkEnd w:id="311"/>
      <w:bookmarkEnd w:id="312"/>
      <w:bookmarkEnd w:id="313"/>
      <w:bookmarkEnd w:id="314"/>
      <w:bookmarkEnd w:id="315"/>
      <w:bookmarkEnd w:id="316"/>
    </w:p>
    <w:p w14:paraId="72C7ECB5">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32"/>
          <w:szCs w:val="32"/>
          <w:highlight w:val="none"/>
        </w:rPr>
      </w:pPr>
      <w:bookmarkStart w:id="317" w:name="_Toc122424458"/>
      <w:bookmarkStart w:id="318" w:name="_Toc26847"/>
      <w:bookmarkStart w:id="319" w:name="_Toc122424209"/>
      <w:bookmarkStart w:id="320" w:name="_Toc25648"/>
      <w:r>
        <w:rPr>
          <w:rFonts w:hint="eastAsia" w:ascii="宋体" w:hAnsi="宋体" w:eastAsia="宋体" w:cs="宋体"/>
          <w:b/>
          <w:bCs/>
          <w:color w:val="auto"/>
          <w:sz w:val="32"/>
          <w:szCs w:val="32"/>
          <w:highlight w:val="none"/>
        </w:rPr>
        <w:t>A.公路工程专用合同条款</w:t>
      </w:r>
      <w:bookmarkEnd w:id="317"/>
      <w:bookmarkEnd w:id="318"/>
      <w:bookmarkEnd w:id="319"/>
      <w:bookmarkEnd w:id="320"/>
    </w:p>
    <w:p w14:paraId="7C85188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1" w:name="_Toc122424210"/>
      <w:bookmarkStart w:id="322" w:name="_Toc11744"/>
      <w:bookmarkStart w:id="323" w:name="_Toc122424459"/>
      <w:r>
        <w:rPr>
          <w:rFonts w:hint="eastAsia" w:ascii="宋体" w:hAnsi="宋体" w:eastAsia="宋体" w:cs="宋体"/>
          <w:b/>
          <w:bCs/>
          <w:color w:val="auto"/>
          <w:sz w:val="32"/>
          <w:szCs w:val="32"/>
          <w:highlight w:val="none"/>
        </w:rPr>
        <w:t>1.一般约定</w:t>
      </w:r>
      <w:bookmarkEnd w:id="321"/>
      <w:bookmarkEnd w:id="322"/>
      <w:bookmarkEnd w:id="323"/>
    </w:p>
    <w:p w14:paraId="2780B9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4" w:name="_Toc32051"/>
      <w:r>
        <w:rPr>
          <w:rFonts w:hint="eastAsia" w:ascii="宋体" w:hAnsi="宋体" w:eastAsia="宋体" w:cs="宋体"/>
          <w:b/>
          <w:bCs/>
          <w:color w:val="auto"/>
          <w:sz w:val="28"/>
          <w:szCs w:val="28"/>
          <w:highlight w:val="none"/>
        </w:rPr>
        <w:t>1.1词语定义</w:t>
      </w:r>
      <w:bookmarkEnd w:id="324"/>
    </w:p>
    <w:p w14:paraId="010BA67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1.1.1 合同</w:t>
      </w:r>
    </w:p>
    <w:p w14:paraId="6E9CB7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1.1.1.6 目细化为：</w:t>
      </w:r>
    </w:p>
    <w:p w14:paraId="38D5B6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技术规范：指本合同所约定的技术标准和要求，是合同文件的组成部分。通用合同条款中“技术标准和要求”一词具有相同含义。</w:t>
      </w:r>
    </w:p>
    <w:p w14:paraId="768BE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1.1.1.8 目细化为：</w:t>
      </w:r>
    </w:p>
    <w:p w14:paraId="7D216CD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BB1F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1.1.1.10 目：</w:t>
      </w:r>
    </w:p>
    <w:p w14:paraId="550FCC7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1.1.1.10 补遗书：指发出招标文件之后由招标人向已取得招标文件的投标人发出的、编号的对招标文件所作的澄清、修改书。</w:t>
      </w:r>
    </w:p>
    <w:p w14:paraId="3FAC6F1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1.1.2合同当事人和人员</w:t>
      </w:r>
    </w:p>
    <w:p w14:paraId="52A5D27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1.1.2.8 目：</w:t>
      </w:r>
    </w:p>
    <w:p w14:paraId="429A47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1.1.2.8 承包人项目总工：指由承包人书面委派常驻现场负责管理本合同工程的总工程师或技术总负责人。</w:t>
      </w:r>
    </w:p>
    <w:p w14:paraId="4308C0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1.1.3工程和设备</w:t>
      </w:r>
    </w:p>
    <w:p w14:paraId="22C93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1.1.3.4 目细化为：</w:t>
      </w:r>
    </w:p>
    <w:p w14:paraId="7E2C4D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单位工程：指在建设项目中，根据签订的合同，具有独立施工条件的工程。第 1.1.3.10 目细化为：</w:t>
      </w:r>
    </w:p>
    <w:p w14:paraId="4016DE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永久占地：指为实施本合同工程而需要的一切永久占用的土地，包括公路两侧路权范围内的用地。</w:t>
      </w:r>
    </w:p>
    <w:p w14:paraId="00B57B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1.1.3.11 目细化为：</w:t>
      </w:r>
    </w:p>
    <w:p w14:paraId="730C7D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临时占地：指为实施本合同工程而需要的一切临时占用的土地，包括施工所用的临时支线、便道、便桥和现场的临时出入通道，以及生产（办公）、生活等临时设施用地等。</w:t>
      </w:r>
    </w:p>
    <w:p w14:paraId="30E8DB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1.1.3.12 目、第 1.1.3.13 目：</w:t>
      </w:r>
    </w:p>
    <w:p w14:paraId="26EB85C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1.1.3.12分部工程：指在单位工程中，按结构部位、路段长度及施工特点或施工任务划分的若干个工程。</w:t>
      </w:r>
    </w:p>
    <w:p w14:paraId="7320A2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1.1.3.13分项工程：指在分部工程中，按不同的施工方法、材料、工序及路段长度等划分的若干个工程。</w:t>
      </w:r>
    </w:p>
    <w:p w14:paraId="16270F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1.1.6 其他</w:t>
      </w:r>
    </w:p>
    <w:p w14:paraId="3FA50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1.1.6.2 目～第 1.1.6.9 目：</w:t>
      </w:r>
    </w:p>
    <w:p w14:paraId="513AF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1.1.6.2竣工验收：指《公路工程竣（交）工验收办法》中的竣工验收。通用合同条款中“国家验收”一词具有相同含义。</w:t>
      </w:r>
    </w:p>
    <w:p w14:paraId="1AED29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1.1.6.3交工：指《公路工程竣（交）工验收办法》中的交工。通用合同条款中“竣工”一词具有相同含义。</w:t>
      </w:r>
    </w:p>
    <w:p w14:paraId="068C0C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1.1.6.4交工验收：指《公路工程竣（交）工验收办法》中的交工验收。通用合同条款中“竣工验收”一词具有相同含义。</w:t>
      </w:r>
    </w:p>
    <w:p w14:paraId="732955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1.1.6.5交工验收证书：指《公路工程竣（交）工验收办法》中的交工验收证书。通用合同条款中“工程接收证书”一词具有相同含义。</w:t>
      </w:r>
    </w:p>
    <w:p w14:paraId="317230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1.1.6.6转包：指承包人违反法律和不履行合同规定的责任和义务，将中标工程全部委托或以专业分包的名义将中标工程肢解后全部委托给其他施工企业施工的行为。</w:t>
      </w:r>
    </w:p>
    <w:p w14:paraId="0AD815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302497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75196B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1.1.6.9雇用民工：指承包人与具有相应劳动能力的自然人签订劳动合同，由承包人统一组织管理，从事分项工程施工或配套工程施工的行为。</w:t>
      </w:r>
    </w:p>
    <w:p w14:paraId="5A576B9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5" w:name="_Toc6501"/>
      <w:r>
        <w:rPr>
          <w:rFonts w:hint="eastAsia" w:ascii="宋体" w:hAnsi="宋体" w:eastAsia="宋体" w:cs="宋体"/>
          <w:b/>
          <w:bCs/>
          <w:color w:val="auto"/>
          <w:sz w:val="28"/>
          <w:szCs w:val="28"/>
          <w:highlight w:val="none"/>
        </w:rPr>
        <w:t>1.4合同文件的优先顺序</w:t>
      </w:r>
      <w:bookmarkEnd w:id="325"/>
    </w:p>
    <w:p w14:paraId="6D9597C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2CD665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组成合同的各项文件应互相解释，互为说明。除项目专用合同条款另有约定外，解释合同文件的优先顺序如下：</w:t>
      </w:r>
    </w:p>
    <w:p w14:paraId="6DBF05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（1）合同协议书及各种合同附件（含评标期间和合同谈判过程中的澄清文件和补充资料）；</w:t>
      </w:r>
    </w:p>
    <w:p w14:paraId="4CEBA6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w:t>
      </w:r>
    </w:p>
    <w:p w14:paraId="657731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及投标函附录</w:t>
      </w:r>
      <w:r>
        <w:rPr>
          <w:rFonts w:hint="eastAsia" w:ascii="宋体" w:hAnsi="宋体" w:cs="宋体"/>
          <w:color w:val="auto"/>
          <w:highlight w:val="none"/>
          <w:lang w:val="en-US" w:eastAsia="zh-CN"/>
        </w:rPr>
        <w:t>(响应函）</w:t>
      </w:r>
      <w:r>
        <w:rPr>
          <w:rFonts w:hint="eastAsia" w:ascii="宋体" w:hAnsi="宋体" w:eastAsia="宋体" w:cs="宋体"/>
          <w:color w:val="auto"/>
          <w:highlight w:val="none"/>
        </w:rPr>
        <w:t>；</w:t>
      </w:r>
    </w:p>
    <w:p w14:paraId="2DA9C6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（4）项目专用合同条款；</w:t>
      </w:r>
    </w:p>
    <w:p w14:paraId="586F1C7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（5）公路工程专用合同条款；</w:t>
      </w:r>
    </w:p>
    <w:p w14:paraId="72B154E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（6）通用合同条款；</w:t>
      </w:r>
    </w:p>
    <w:p w14:paraId="7661CCE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（7）工程量清单计量规则；</w:t>
      </w:r>
    </w:p>
    <w:p w14:paraId="2AF2F95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（8）技术规范；</w:t>
      </w:r>
    </w:p>
    <w:p w14:paraId="310148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（9）图纸；</w:t>
      </w:r>
    </w:p>
    <w:p w14:paraId="04ACB4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（10）已标价工程量清单；</w:t>
      </w:r>
    </w:p>
    <w:p w14:paraId="1B82F2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（11）承包人有关人员、设备投入的承诺及投标（响应）文件中的施工组织设计；</w:t>
      </w:r>
    </w:p>
    <w:p w14:paraId="5CB5A9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（12）其他合同文件。</w:t>
      </w:r>
    </w:p>
    <w:p w14:paraId="5DFF3DA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6" w:name="_Toc14018"/>
      <w:r>
        <w:rPr>
          <w:rFonts w:hint="eastAsia" w:ascii="宋体" w:hAnsi="宋体" w:eastAsia="宋体" w:cs="宋体"/>
          <w:b/>
          <w:bCs/>
          <w:color w:val="auto"/>
          <w:sz w:val="28"/>
          <w:szCs w:val="28"/>
          <w:highlight w:val="none"/>
        </w:rPr>
        <w:t>1.5合同协议书</w:t>
      </w:r>
      <w:bookmarkEnd w:id="326"/>
    </w:p>
    <w:p w14:paraId="0766A6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7D38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制备本合同文件的费用由发包人承担。在合同协议书签订并生效之前，投标函和中标通知书将对双方具有约束力。</w:t>
      </w:r>
    </w:p>
    <w:p w14:paraId="239C663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7" w:name="_Toc6014"/>
      <w:r>
        <w:rPr>
          <w:rFonts w:hint="eastAsia" w:ascii="宋体" w:hAnsi="宋体" w:eastAsia="宋体" w:cs="宋体"/>
          <w:b/>
          <w:bCs/>
          <w:color w:val="auto"/>
          <w:sz w:val="28"/>
          <w:szCs w:val="28"/>
          <w:highlight w:val="none"/>
        </w:rPr>
        <w:t>1.6图纸和承包人文件</w:t>
      </w:r>
      <w:bookmarkEnd w:id="327"/>
    </w:p>
    <w:p w14:paraId="54FBF74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1.6.1图纸的提供</w:t>
      </w:r>
    </w:p>
    <w:p w14:paraId="28458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52218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4A19CEF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1.6.2承包人提供的文件</w:t>
      </w:r>
    </w:p>
    <w:p w14:paraId="27215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70086D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有下列情形之一的，承包人应免费向监理人提交相关部分工程的施工图纸 3 份， 并附必要的计算书、技术资料，或施工工艺图、设备安装图及安装设备的使用和维护手册各 2 份供监理人批准。</w:t>
      </w:r>
    </w:p>
    <w:p w14:paraId="681295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（1）为使第 1.6.1 项所述的施工图纸适合于经施工测量后的纵、横断面；</w:t>
      </w:r>
    </w:p>
    <w:p w14:paraId="1454621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（2）为使第 1.6.1 项所述的施工图纸适合于现场具体地形；</w:t>
      </w:r>
    </w:p>
    <w:p w14:paraId="4E360F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（3）为使第 1.6.1 项所述的施工图纸适合于因尺寸与位置变化而引起局部变更；</w:t>
      </w:r>
    </w:p>
    <w:p w14:paraId="08CB43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（4）由于合同要求与施工需要。</w:t>
      </w:r>
    </w:p>
    <w:p w14:paraId="3F972F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47BFC85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1.6.4 图纸的错误</w:t>
      </w:r>
    </w:p>
    <w:p w14:paraId="15A3CB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195E69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F1A79F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8" w:name="_Toc24253"/>
      <w:r>
        <w:rPr>
          <w:rFonts w:hint="eastAsia" w:ascii="宋体" w:hAnsi="宋体" w:eastAsia="宋体" w:cs="宋体"/>
          <w:b/>
          <w:bCs/>
          <w:color w:val="auto"/>
          <w:sz w:val="28"/>
          <w:szCs w:val="28"/>
          <w:highlight w:val="none"/>
        </w:rPr>
        <w:t>1.9 严禁贿赂</w:t>
      </w:r>
      <w:bookmarkEnd w:id="328"/>
    </w:p>
    <w:p w14:paraId="7AB6378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AD5A16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DE765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9" w:name="_Toc122424460"/>
      <w:bookmarkStart w:id="330" w:name="_Toc20696"/>
      <w:bookmarkStart w:id="331" w:name="_Toc122424211"/>
      <w:r>
        <w:rPr>
          <w:rFonts w:hint="eastAsia" w:ascii="宋体" w:hAnsi="宋体" w:eastAsia="宋体" w:cs="宋体"/>
          <w:b/>
          <w:bCs/>
          <w:color w:val="auto"/>
          <w:sz w:val="32"/>
          <w:szCs w:val="32"/>
          <w:highlight w:val="none"/>
        </w:rPr>
        <w:t>2.发包人义务</w:t>
      </w:r>
      <w:bookmarkEnd w:id="329"/>
      <w:bookmarkEnd w:id="330"/>
      <w:bookmarkEnd w:id="331"/>
    </w:p>
    <w:p w14:paraId="0F22D06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2" w:name="_Toc22133"/>
      <w:r>
        <w:rPr>
          <w:rFonts w:hint="eastAsia" w:ascii="宋体" w:hAnsi="宋体" w:eastAsia="宋体" w:cs="宋体"/>
          <w:b/>
          <w:bCs/>
          <w:color w:val="auto"/>
          <w:sz w:val="28"/>
          <w:szCs w:val="28"/>
          <w:highlight w:val="none"/>
        </w:rPr>
        <w:t>2.3 提供施工场地</w:t>
      </w:r>
      <w:bookmarkEnd w:id="332"/>
    </w:p>
    <w:p w14:paraId="0F884F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753D5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发包人负责办理永久占地的征用及与之有关的拆迁赔偿手续并承担相关费用。承包人在按第 10 条规定提交施工进度计划的同时，应向监理人提交一份按施工先后次</w:t>
      </w:r>
    </w:p>
    <w:p w14:paraId="57B7E4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43105D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99EC19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3" w:name="_Toc122424212"/>
      <w:bookmarkStart w:id="334" w:name="_Toc122424461"/>
      <w:bookmarkStart w:id="335" w:name="_Toc22405"/>
      <w:r>
        <w:rPr>
          <w:rFonts w:hint="eastAsia" w:ascii="宋体" w:hAnsi="宋体" w:eastAsia="宋体" w:cs="宋体"/>
          <w:b/>
          <w:bCs/>
          <w:color w:val="auto"/>
          <w:sz w:val="32"/>
          <w:szCs w:val="32"/>
          <w:highlight w:val="none"/>
        </w:rPr>
        <w:t>3.监理人</w:t>
      </w:r>
      <w:bookmarkEnd w:id="333"/>
      <w:bookmarkEnd w:id="334"/>
      <w:bookmarkEnd w:id="335"/>
    </w:p>
    <w:p w14:paraId="7EF3F1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6" w:name="_Toc28048"/>
      <w:r>
        <w:rPr>
          <w:rFonts w:hint="eastAsia" w:ascii="宋体" w:hAnsi="宋体" w:eastAsia="宋体" w:cs="宋体"/>
          <w:b/>
          <w:bCs/>
          <w:color w:val="auto"/>
          <w:sz w:val="28"/>
          <w:szCs w:val="28"/>
          <w:highlight w:val="none"/>
        </w:rPr>
        <w:t>3.1监理人的职责和权力</w:t>
      </w:r>
      <w:bookmarkEnd w:id="336"/>
    </w:p>
    <w:p w14:paraId="1CD885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3.1.1 项补充：</w:t>
      </w:r>
    </w:p>
    <w:p w14:paraId="3BF82D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监理人在行使下列权力前需要经发包人事先批准：</w:t>
      </w:r>
    </w:p>
    <w:p w14:paraId="78CEEC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（1）根据第 4.3 款，同意分包本工程的某些非关键性工作或者适合专业化队伍施工的专项工程；</w:t>
      </w:r>
    </w:p>
    <w:p w14:paraId="14CF26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（2）确定第 4.11 款下产生的费用增加额；</w:t>
      </w:r>
    </w:p>
    <w:p w14:paraId="22F42D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 11.1 款、第 12.3 款、第 12.4 款发布开工通知、暂停施工指示或复工通知；</w:t>
      </w:r>
    </w:p>
    <w:p w14:paraId="38FE91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（4）决定第 11.3 款、第 11.4 款下的工期延长；</w:t>
      </w:r>
    </w:p>
    <w:p w14:paraId="2C2D271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（5）审查批准技术方案或设计的变更；</w:t>
      </w:r>
    </w:p>
    <w:p w14:paraId="07CFD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（6）根据第 15.3 款发出的变更指示，其单项工程变更或累计变更涉及的金额超过了项目专用合同条款数据表中规定的金额；</w:t>
      </w:r>
    </w:p>
    <w:p w14:paraId="00F0A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（7）确定第 15.4 款下变更工作的单价；</w:t>
      </w:r>
    </w:p>
    <w:p w14:paraId="76F7C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（8）按照第 15.6 款决定有关暂列金额的使用；</w:t>
      </w:r>
    </w:p>
    <w:p w14:paraId="5666A86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（9）确定第 15.8 款下的暂估价金额；</w:t>
      </w:r>
    </w:p>
    <w:p w14:paraId="10C865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（10）确定第 23.1 款下的索赔额。</w:t>
      </w:r>
    </w:p>
    <w:p w14:paraId="71990D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39ABE4C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7" w:name="_Toc13038"/>
      <w:r>
        <w:rPr>
          <w:rFonts w:hint="eastAsia" w:ascii="宋体" w:hAnsi="宋体" w:eastAsia="宋体" w:cs="宋体"/>
          <w:b/>
          <w:bCs/>
          <w:color w:val="auto"/>
          <w:sz w:val="28"/>
          <w:szCs w:val="28"/>
          <w:highlight w:val="none"/>
        </w:rPr>
        <w:t>3.5 商定或确定</w:t>
      </w:r>
      <w:bookmarkEnd w:id="337"/>
    </w:p>
    <w:p w14:paraId="0B97880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3.5.1 项补充：</w:t>
      </w:r>
    </w:p>
    <w:p w14:paraId="31D9815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如果这项商定或确定导致费用增加和（或）工期延长，或者涉及确定变更工程的价格，则总监理工程师在发出通知前，应征得发包人的同意。</w:t>
      </w:r>
    </w:p>
    <w:p w14:paraId="10BE506E">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8" w:name="_Toc4806"/>
      <w:bookmarkStart w:id="339" w:name="_Toc122424462"/>
      <w:bookmarkStart w:id="340" w:name="_Toc122424213"/>
      <w:r>
        <w:rPr>
          <w:rFonts w:hint="eastAsia" w:ascii="宋体" w:hAnsi="宋体" w:eastAsia="宋体" w:cs="宋体"/>
          <w:b/>
          <w:bCs/>
          <w:color w:val="auto"/>
          <w:sz w:val="32"/>
          <w:szCs w:val="32"/>
          <w:highlight w:val="none"/>
        </w:rPr>
        <w:t>4.承包人</w:t>
      </w:r>
      <w:bookmarkEnd w:id="338"/>
      <w:bookmarkEnd w:id="339"/>
      <w:bookmarkEnd w:id="340"/>
    </w:p>
    <w:p w14:paraId="4AED7C1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1" w:name="_Toc20501"/>
      <w:r>
        <w:rPr>
          <w:rFonts w:hint="eastAsia" w:ascii="宋体" w:hAnsi="宋体" w:eastAsia="宋体" w:cs="宋体"/>
          <w:b/>
          <w:bCs/>
          <w:color w:val="auto"/>
          <w:sz w:val="28"/>
          <w:szCs w:val="28"/>
          <w:highlight w:val="none"/>
        </w:rPr>
        <w:t>4.1承包人的一般义务</w:t>
      </w:r>
      <w:bookmarkEnd w:id="341"/>
    </w:p>
    <w:p w14:paraId="1D5F64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4.1.9工程的维护和照管</w:t>
      </w:r>
    </w:p>
    <w:p w14:paraId="5B1F88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3CA1574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ECCA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6392AC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4.1.10其他义务</w:t>
      </w:r>
    </w:p>
    <w:p w14:paraId="5AFBA38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6139BA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（1）临时占地由承包人向当地政府土地管理部门申请，并办理租用手续，承包人按有关规定直接支付其费用，发包人对此将予以协调。</w:t>
      </w:r>
    </w:p>
    <w:p w14:paraId="3D7857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551905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05D7FE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E4336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hint="eastAsia" w:ascii="宋体" w:hAnsi="宋体" w:eastAsia="宋体" w:cs="宋体"/>
          <w:color w:val="auto"/>
          <w:highlight w:val="none"/>
          <w:lang w:val="en-US" w:eastAsia="zh-CN"/>
        </w:rPr>
        <w:t xml:space="preserve">  </w:t>
      </w:r>
    </w:p>
    <w:p w14:paraId="1169A2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963FC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工资支付表应如实记录支付单位、支付时间、支付对象、支付数额、支付对象的身份证号和签字等信息。民工花名册和工资支付表应报监理人备查。</w:t>
      </w:r>
    </w:p>
    <w:p w14:paraId="5ECFA7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D84FEB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1B34DC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（6）承包人应履行项目专用合同条款约定的其他义务。</w:t>
      </w:r>
    </w:p>
    <w:p w14:paraId="2037D2B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2" w:name="_Toc31637"/>
      <w:r>
        <w:rPr>
          <w:rFonts w:hint="eastAsia" w:ascii="宋体" w:hAnsi="宋体" w:eastAsia="宋体" w:cs="宋体"/>
          <w:b/>
          <w:bCs/>
          <w:color w:val="auto"/>
          <w:sz w:val="28"/>
          <w:szCs w:val="28"/>
          <w:highlight w:val="none"/>
        </w:rPr>
        <w:t>4.2履约保证金</w:t>
      </w:r>
      <w:bookmarkEnd w:id="342"/>
    </w:p>
    <w:p w14:paraId="160532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84592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承包人应保证其履约保证金在发包人签发交工验收证书且承包人按照合同约定缴纳质量保证金前一直有效。发包人应在收到承包人缴纳的质量保证金后 28 天内将履约保证金退还给承包人。</w:t>
      </w:r>
    </w:p>
    <w:p w14:paraId="557ADA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6F1734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3" w:name="_Toc8441"/>
      <w:r>
        <w:rPr>
          <w:rFonts w:hint="eastAsia" w:ascii="宋体" w:hAnsi="宋体" w:eastAsia="宋体" w:cs="宋体"/>
          <w:b/>
          <w:bCs/>
          <w:color w:val="auto"/>
          <w:sz w:val="28"/>
          <w:szCs w:val="28"/>
          <w:highlight w:val="none"/>
        </w:rPr>
        <w:t>4.3分包</w:t>
      </w:r>
      <w:bookmarkEnd w:id="343"/>
    </w:p>
    <w:p w14:paraId="377551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4.3.2 项～第 4.3.4 项细化为：</w:t>
      </w:r>
    </w:p>
    <w:p w14:paraId="6C224D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4.3.2承包人不得将工程关键性工作分包给第三人。经发包人同意，承包人可将工程的其他部分或工作分包给第三人。分包包括专业分包和劳务分包。</w:t>
      </w:r>
    </w:p>
    <w:p w14:paraId="3BEB8E8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4.3.3专业分包</w:t>
      </w:r>
    </w:p>
    <w:p w14:paraId="0E17DD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在工程施工过程中，承包人进行专业分包必须遵守以下规定：</w:t>
      </w:r>
    </w:p>
    <w:p w14:paraId="3AD24A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4105E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（2）专业分包人的资格能力（含安全生产能力）应与其分包工程的标准和规模相适应，且应当具备如下条件：</w:t>
      </w:r>
    </w:p>
    <w:p w14:paraId="25DB1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a.具有经工商登记的法人资格；</w:t>
      </w:r>
    </w:p>
    <w:p w14:paraId="27B799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b.具有从事类似工程经验的管理与技术人员；</w:t>
      </w:r>
    </w:p>
    <w:p w14:paraId="7E240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c.具有（自有或租赁）分包工程所需的施工设备。</w:t>
      </w:r>
    </w:p>
    <w:p w14:paraId="53D604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承包人应向监理人提交专业分包人的资格能力证明材料，经监理人审查并报发包人批准后，可以将相应专业工程分包给该专业分包人。</w:t>
      </w:r>
    </w:p>
    <w:p w14:paraId="4BC2AF1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（3）专业分包工程不得再次分包。</w:t>
      </w:r>
    </w:p>
    <w:p w14:paraId="4205033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BBC980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2EB0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D2CA7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40A46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CA43D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17B2D5E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4.3.4劳务分包</w:t>
      </w:r>
    </w:p>
    <w:p w14:paraId="2759CA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在工程施工过程中，承包人进行劳务分包必须遵守以下规定：</w:t>
      </w:r>
    </w:p>
    <w:p w14:paraId="4A1EAC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（1）劳务分包人应具有施工劳务资质。</w:t>
      </w:r>
    </w:p>
    <w:p w14:paraId="608C2C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A197D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8F254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（4）承包人应当对劳务分包人员进行安全培训和管理，劳务分包人不得将其分包的劳务作业再次分包。</w:t>
      </w:r>
    </w:p>
    <w:p w14:paraId="1372FFD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78B5CF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4.3.6 项、第 4.3.7 项：</w:t>
      </w:r>
    </w:p>
    <w:p w14:paraId="42D8EF1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4.3.6发包人对承包人与分包人之间的法律与经济纠纷不承担任何责任和义务。</w:t>
      </w:r>
    </w:p>
    <w:p w14:paraId="25ED04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4.3.7本项目的各项分包工作均应遵守《公路工程施工分包管理办法》的有关规定。</w:t>
      </w:r>
    </w:p>
    <w:p w14:paraId="222BF94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4" w:name="_Toc660"/>
      <w:r>
        <w:rPr>
          <w:rFonts w:hint="eastAsia" w:ascii="宋体" w:hAnsi="宋体" w:eastAsia="宋体" w:cs="宋体"/>
          <w:b/>
          <w:bCs/>
          <w:color w:val="auto"/>
          <w:sz w:val="28"/>
          <w:szCs w:val="28"/>
          <w:highlight w:val="none"/>
        </w:rPr>
        <w:t>4.4联合体</w:t>
      </w:r>
      <w:bookmarkEnd w:id="344"/>
    </w:p>
    <w:p w14:paraId="32B0FF8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4.4.4 项：</w:t>
      </w:r>
    </w:p>
    <w:p w14:paraId="56A7E3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4.4.4 未经发包人事先同意，联合体的组成与结构不得变动。</w:t>
      </w:r>
    </w:p>
    <w:p w14:paraId="6AEFD60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5" w:name="_Toc19492"/>
      <w:r>
        <w:rPr>
          <w:rFonts w:hint="eastAsia" w:ascii="宋体" w:hAnsi="宋体" w:eastAsia="宋体" w:cs="宋体"/>
          <w:b/>
          <w:bCs/>
          <w:color w:val="auto"/>
          <w:sz w:val="28"/>
          <w:szCs w:val="28"/>
          <w:highlight w:val="none"/>
        </w:rPr>
        <w:t>4.6承包人人员的管理</w:t>
      </w:r>
      <w:bookmarkEnd w:id="345"/>
    </w:p>
    <w:p w14:paraId="7DF1E0D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4.6.3 项细化为：</w:t>
      </w:r>
    </w:p>
    <w:p w14:paraId="575B26D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2F6521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4.6.5 项：</w:t>
      </w:r>
    </w:p>
    <w:p w14:paraId="29DBD9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EE506E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6" w:name="_Toc14658"/>
      <w:r>
        <w:rPr>
          <w:rFonts w:hint="eastAsia" w:ascii="宋体" w:hAnsi="宋体" w:eastAsia="宋体" w:cs="宋体"/>
          <w:b/>
          <w:bCs/>
          <w:color w:val="auto"/>
          <w:sz w:val="28"/>
          <w:szCs w:val="28"/>
          <w:highlight w:val="none"/>
        </w:rPr>
        <w:t>4.7撤换承包人项目经理和其他人员</w:t>
      </w:r>
      <w:bookmarkEnd w:id="346"/>
    </w:p>
    <w:p w14:paraId="58EBAC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r>
        <w:rPr>
          <w:rFonts w:hint="eastAsia" w:ascii="宋体" w:hAnsi="宋体" w:eastAsia="宋体" w:cs="宋体"/>
          <w:color w:val="auto"/>
          <w:highlight w:val="none"/>
          <w:u w:val="single"/>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1C1B18C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4.7.1关于项目经理每月在施工现场的时间要求：</w:t>
      </w:r>
      <w:r>
        <w:rPr>
          <w:rFonts w:hint="eastAsia" w:ascii="宋体" w:hAnsi="宋体" w:cs="宋体"/>
          <w:color w:val="auto"/>
          <w:szCs w:val="21"/>
          <w:highlight w:val="none"/>
          <w:u w:val="single"/>
        </w:rPr>
        <w:t>每月</w:t>
      </w:r>
      <w:r>
        <w:rPr>
          <w:rFonts w:hint="eastAsia" w:ascii="宋体" w:hAnsi="宋体" w:cs="宋体"/>
          <w:color w:val="auto"/>
          <w:szCs w:val="21"/>
          <w:highlight w:val="none"/>
          <w:u w:val="single"/>
          <w:lang w:val="en-US" w:eastAsia="zh-CN"/>
        </w:rPr>
        <w:t>不少于</w:t>
      </w:r>
      <w:r>
        <w:rPr>
          <w:rFonts w:hint="eastAsia" w:ascii="宋体" w:hAnsi="宋体" w:cs="宋体"/>
          <w:color w:val="auto"/>
          <w:szCs w:val="21"/>
          <w:highlight w:val="none"/>
          <w:u w:val="single"/>
        </w:rPr>
        <w:t>22天</w:t>
      </w:r>
      <w:r>
        <w:rPr>
          <w:rFonts w:hint="eastAsia" w:ascii="宋体" w:hAnsi="宋体" w:cs="宋体"/>
          <w:color w:val="auto"/>
          <w:szCs w:val="21"/>
          <w:highlight w:val="none"/>
        </w:rPr>
        <w:t>____。</w:t>
      </w:r>
    </w:p>
    <w:p w14:paraId="1BD4AB58">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4.7.2承包人未提交劳动合同，以及没有为项目经理缴纳社会保险证明的违约责任：</w:t>
      </w:r>
      <w:r>
        <w:rPr>
          <w:rFonts w:hint="eastAsia" w:ascii="宋体" w:hAnsi="宋体" w:cs="宋体"/>
          <w:color w:val="auto"/>
          <w:szCs w:val="21"/>
          <w:highlight w:val="none"/>
          <w:u w:val="single"/>
        </w:rPr>
        <w:t>必须提交，否则不能担任本工程项目经理。</w:t>
      </w:r>
    </w:p>
    <w:p w14:paraId="54DEF175">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4.7.3项目经理未经批准，擅自离开施工现场的违约责任：未经发包人同意或正当理由，项目经理擅自离岗的，视为承包人违约，发包人有权处违约金</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w:t>
      </w:r>
      <w:r>
        <w:rPr>
          <w:rFonts w:hint="eastAsia" w:ascii="宋体" w:hAnsi="宋体" w:cs="宋体"/>
          <w:color w:val="auto"/>
          <w:szCs w:val="21"/>
          <w:highlight w:val="none"/>
        </w:rPr>
        <w:t>元/人•次(人民币)。</w:t>
      </w:r>
    </w:p>
    <w:p w14:paraId="73BFC683">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4.7.4承包人擅自更换项目经理的违约责任：承包人项目经理必须与承包人投标时所承诺的人员一致，并在</w:t>
      </w:r>
      <w:r>
        <w:rPr>
          <w:rFonts w:hint="eastAsia" w:ascii="宋体" w:hAnsi="宋体" w:cs="宋体"/>
          <w:color w:val="auto"/>
          <w:szCs w:val="21"/>
          <w:highlight w:val="none"/>
          <w:u w:val="single"/>
        </w:rPr>
        <w:t>（开工日期）</w:t>
      </w:r>
      <w:r>
        <w:rPr>
          <w:rFonts w:hint="eastAsia" w:ascii="宋体" w:hAnsi="宋体" w:cs="宋体"/>
          <w:color w:val="auto"/>
          <w:szCs w:val="21"/>
          <w:highlight w:val="none"/>
        </w:rPr>
        <w:t>前到任。在监理人向承包人颁发</w:t>
      </w:r>
      <w:r>
        <w:rPr>
          <w:rFonts w:hint="eastAsia" w:ascii="宋体" w:hAnsi="宋体" w:cs="宋体"/>
          <w:color w:val="auto"/>
          <w:szCs w:val="21"/>
          <w:highlight w:val="none"/>
          <w:u w:val="single"/>
        </w:rPr>
        <w:t>（竣工证明材料名称）</w:t>
      </w:r>
      <w:r>
        <w:rPr>
          <w:rFonts w:hint="eastAsia" w:ascii="宋体" w:hAnsi="宋体" w:cs="宋体"/>
          <w:color w:val="auto"/>
          <w:szCs w:val="21"/>
          <w:highlight w:val="none"/>
        </w:rPr>
        <w:t>前，项目经理不得同时兼任其他任何项目的项目经理。未经发包人书面同意，承包人擅自更换项目经理的视为违约、违约金处</w:t>
      </w:r>
      <w:r>
        <w:rPr>
          <w:rFonts w:hint="eastAsia" w:ascii="宋体" w:hAnsi="宋体" w:cs="宋体"/>
          <w:color w:val="auto"/>
          <w:szCs w:val="21"/>
          <w:highlight w:val="none"/>
          <w:u w:val="single"/>
        </w:rPr>
        <w:t>合同价款的1%</w:t>
      </w:r>
      <w:r>
        <w:rPr>
          <w:rFonts w:hint="eastAsia" w:ascii="宋体" w:hAnsi="宋体" w:cs="宋体"/>
          <w:color w:val="auto"/>
          <w:szCs w:val="21"/>
          <w:highlight w:val="none"/>
        </w:rPr>
        <w:t>。</w:t>
      </w:r>
    </w:p>
    <w:p w14:paraId="7A3912E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4.7.5承包人无正当理由拒绝更换项目经理的违约责任：承包人项目经理因不称职，发包人要求调换而未及时调换的，视为承包人违约，必须向发包人交纳处罚金</w:t>
      </w:r>
      <w:r>
        <w:rPr>
          <w:rFonts w:hint="eastAsia" w:ascii="宋体" w:hAnsi="宋体" w:cs="宋体"/>
          <w:color w:val="auto"/>
          <w:szCs w:val="21"/>
          <w:highlight w:val="none"/>
          <w:u w:val="single"/>
        </w:rPr>
        <w:t>10000</w:t>
      </w:r>
      <w:r>
        <w:rPr>
          <w:rFonts w:hint="eastAsia" w:ascii="宋体" w:hAnsi="宋体" w:cs="宋体"/>
          <w:color w:val="auto"/>
          <w:szCs w:val="21"/>
          <w:highlight w:val="none"/>
        </w:rPr>
        <w:t>元/人•次(人民币)。</w:t>
      </w:r>
    </w:p>
    <w:p w14:paraId="4467F91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4.7.6承包人人员</w:t>
      </w:r>
    </w:p>
    <w:p w14:paraId="62ABADEC">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4.7.6.1 承包人提交项目管理机构及施工现场管理人员安排报告的期限：</w:t>
      </w:r>
      <w:r>
        <w:rPr>
          <w:rFonts w:hint="eastAsia" w:ascii="宋体" w:hAnsi="宋体" w:cs="宋体"/>
          <w:color w:val="auto"/>
          <w:szCs w:val="21"/>
          <w:highlight w:val="none"/>
          <w:u w:val="single"/>
        </w:rPr>
        <w:t>开工前7天</w:t>
      </w:r>
      <w:r>
        <w:rPr>
          <w:rFonts w:hint="eastAsia" w:ascii="宋体" w:hAnsi="宋体" w:cs="宋体"/>
          <w:color w:val="auto"/>
          <w:szCs w:val="21"/>
          <w:highlight w:val="none"/>
        </w:rPr>
        <w:t>。</w:t>
      </w:r>
    </w:p>
    <w:p w14:paraId="58E1EA8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4.7.6.2 承包人无正当理由拒绝撤换主要施工管理人员的违约责任：承包人主要施工管理人员因不称职，发包人要求调换而无正当理由拒绝撤换或未及时调换的，视为承包人违约，必须向发包人交纳处罚金，处罚标准：总工</w:t>
      </w:r>
      <w:r>
        <w:rPr>
          <w:rFonts w:hint="eastAsia" w:ascii="宋体" w:hAnsi="宋体" w:cs="宋体"/>
          <w:color w:val="auto"/>
          <w:szCs w:val="21"/>
          <w:highlight w:val="none"/>
          <w:u w:val="single"/>
        </w:rPr>
        <w:t>5000</w:t>
      </w:r>
      <w:r>
        <w:rPr>
          <w:rFonts w:hint="eastAsia" w:ascii="宋体" w:hAnsi="宋体" w:cs="宋体"/>
          <w:color w:val="auto"/>
          <w:szCs w:val="21"/>
          <w:highlight w:val="none"/>
        </w:rPr>
        <w:t>元/人•次(人民币)；专业工程师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000</w:t>
      </w:r>
      <w:r>
        <w:rPr>
          <w:rFonts w:hint="eastAsia" w:ascii="宋体" w:hAnsi="宋体" w:cs="宋体"/>
          <w:color w:val="auto"/>
          <w:szCs w:val="21"/>
          <w:highlight w:val="none"/>
        </w:rPr>
        <w:t>元/人•次(人民币)。</w:t>
      </w:r>
    </w:p>
    <w:p w14:paraId="216BA890">
      <w:pPr>
        <w:wordWrap w:val="0"/>
        <w:topLinePunct/>
        <w:adjustRightIn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4.7.6.3 承包人主要施工管理人员离开施工现场的批准要求：</w:t>
      </w:r>
      <w:r>
        <w:rPr>
          <w:rFonts w:hint="eastAsia" w:ascii="宋体" w:hAnsi="宋体" w:cs="宋体"/>
          <w:color w:val="auto"/>
          <w:szCs w:val="21"/>
          <w:highlight w:val="none"/>
          <w:u w:val="single"/>
        </w:rPr>
        <w:t>报总监办同意后再报业主代表批准</w:t>
      </w:r>
      <w:r>
        <w:rPr>
          <w:rFonts w:hint="eastAsia" w:ascii="宋体" w:hAnsi="宋体" w:cs="宋体"/>
          <w:color w:val="auto"/>
          <w:szCs w:val="21"/>
          <w:highlight w:val="none"/>
        </w:rPr>
        <w:t>。</w:t>
      </w:r>
    </w:p>
    <w:p w14:paraId="02138770">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4.7.6.4承包人擅自更换主要施工管理人员的违约责任：总工、专业工程师未经发包人书面同意不准擅自更换，擅自更换总工处</w:t>
      </w:r>
      <w:r>
        <w:rPr>
          <w:rFonts w:hint="eastAsia" w:ascii="宋体" w:hAnsi="宋体" w:cs="宋体"/>
          <w:color w:val="auto"/>
          <w:szCs w:val="21"/>
          <w:highlight w:val="none"/>
          <w:u w:val="single"/>
        </w:rPr>
        <w:t>合同价款0.5%</w:t>
      </w:r>
      <w:r>
        <w:rPr>
          <w:rFonts w:hint="eastAsia" w:ascii="宋体" w:hAnsi="宋体" w:cs="宋体"/>
          <w:color w:val="auto"/>
          <w:szCs w:val="21"/>
          <w:highlight w:val="none"/>
        </w:rPr>
        <w:t>违约金；擅自更换专业工程师处</w:t>
      </w:r>
      <w:r>
        <w:rPr>
          <w:rFonts w:hint="eastAsia" w:ascii="宋体" w:hAnsi="宋体" w:cs="宋体"/>
          <w:color w:val="auto"/>
          <w:szCs w:val="21"/>
          <w:highlight w:val="none"/>
          <w:u w:val="single"/>
        </w:rPr>
        <w:t>合同价款1‰</w:t>
      </w:r>
      <w:r>
        <w:rPr>
          <w:rFonts w:hint="eastAsia" w:ascii="宋体" w:hAnsi="宋体" w:cs="宋体"/>
          <w:color w:val="auto"/>
          <w:szCs w:val="21"/>
          <w:highlight w:val="none"/>
        </w:rPr>
        <w:t>违约金。</w:t>
      </w:r>
    </w:p>
    <w:p w14:paraId="5606F3F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4.7.6.5承包人主要施工管理人员擅自离开施工现场的违约责任：未经发包人同意，总工擅自离岗的，视为承包人违约，发包人有权处违约金</w:t>
      </w:r>
      <w:r>
        <w:rPr>
          <w:rFonts w:hint="eastAsia" w:ascii="宋体" w:hAnsi="宋体" w:cs="宋体"/>
          <w:color w:val="auto"/>
          <w:szCs w:val="21"/>
          <w:highlight w:val="none"/>
          <w:u w:val="single"/>
        </w:rPr>
        <w:t>1000</w:t>
      </w:r>
      <w:r>
        <w:rPr>
          <w:rFonts w:hint="eastAsia" w:ascii="宋体" w:hAnsi="宋体" w:cs="宋体"/>
          <w:color w:val="auto"/>
          <w:szCs w:val="21"/>
          <w:highlight w:val="none"/>
        </w:rPr>
        <w:t>元/人•次(人民币)；未经发包人同意，专业工程师擅自离岗的，视为承包人违约，发包人有权处违约金</w:t>
      </w:r>
      <w:r>
        <w:rPr>
          <w:rFonts w:hint="eastAsia" w:ascii="宋体" w:hAnsi="宋体" w:cs="宋体"/>
          <w:color w:val="auto"/>
          <w:szCs w:val="21"/>
          <w:highlight w:val="none"/>
          <w:u w:val="single"/>
        </w:rPr>
        <w:t>500</w:t>
      </w:r>
      <w:r>
        <w:rPr>
          <w:rFonts w:hint="eastAsia" w:ascii="宋体" w:hAnsi="宋体" w:cs="宋体"/>
          <w:color w:val="auto"/>
          <w:szCs w:val="21"/>
          <w:highlight w:val="none"/>
        </w:rPr>
        <w:t>元/人•次(人民币)。</w:t>
      </w:r>
    </w:p>
    <w:p w14:paraId="37C7D3C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49DFC1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7" w:name="_Toc5548"/>
      <w:r>
        <w:rPr>
          <w:rFonts w:hint="eastAsia" w:ascii="宋体" w:hAnsi="宋体" w:eastAsia="宋体" w:cs="宋体"/>
          <w:b/>
          <w:bCs/>
          <w:color w:val="auto"/>
          <w:sz w:val="28"/>
          <w:szCs w:val="28"/>
          <w:highlight w:val="none"/>
        </w:rPr>
        <w:t>4.9工程价款应专款专用</w:t>
      </w:r>
      <w:bookmarkEnd w:id="347"/>
    </w:p>
    <w:p w14:paraId="3BE1E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0B325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009946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8" w:name="_Toc20880"/>
      <w:r>
        <w:rPr>
          <w:rFonts w:hint="eastAsia" w:ascii="宋体" w:hAnsi="宋体" w:eastAsia="宋体" w:cs="宋体"/>
          <w:b/>
          <w:bCs/>
          <w:color w:val="auto"/>
          <w:sz w:val="28"/>
          <w:szCs w:val="28"/>
          <w:highlight w:val="none"/>
        </w:rPr>
        <w:t>4.10承包人现场查勘</w:t>
      </w:r>
      <w:bookmarkEnd w:id="348"/>
    </w:p>
    <w:p w14:paraId="7EB300B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4.10.1 项细化为：</w:t>
      </w:r>
      <w:r>
        <w:rPr>
          <w:rFonts w:hint="eastAsia" w:ascii="宋体" w:hAnsi="宋体" w:eastAsia="宋体" w:cs="宋体"/>
          <w:b/>
          <w:bCs/>
          <w:color w:val="auto"/>
          <w:sz w:val="28"/>
          <w:szCs w:val="28"/>
          <w:highlight w:val="none"/>
          <w:vertAlign w:val="superscript"/>
        </w:rPr>
        <w:footnoteReference w:id="0"/>
      </w:r>
    </w:p>
    <w:p w14:paraId="1D38485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79413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9" w:name="_Toc13611"/>
      <w:r>
        <w:rPr>
          <w:rFonts w:hint="eastAsia" w:ascii="宋体" w:hAnsi="宋体" w:eastAsia="宋体" w:cs="宋体"/>
          <w:b/>
          <w:bCs/>
          <w:color w:val="auto"/>
          <w:sz w:val="28"/>
          <w:szCs w:val="28"/>
          <w:highlight w:val="none"/>
        </w:rPr>
        <w:t>4.11不利物质条件</w:t>
      </w:r>
      <w:bookmarkEnd w:id="349"/>
    </w:p>
    <w:p w14:paraId="746BBE1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4.11.2 项细化为：</w:t>
      </w:r>
    </w:p>
    <w:p w14:paraId="23F23A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75BEA8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4.11.3 项：</w:t>
      </w:r>
    </w:p>
    <w:p w14:paraId="0DD58A4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4.11.3可预见的不利物质条件</w:t>
      </w:r>
    </w:p>
    <w:p w14:paraId="41B90E7A">
      <w:pPr>
        <w:pageBreakBefore w:val="0"/>
        <w:numPr>
          <w:ilvl w:val="0"/>
          <w:numId w:val="6"/>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14:paraId="227FF3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（2）对于项目专用合同条款未明确指出，但是在不利物质条件发生之前，监理人已经指示承包人有可能发生，但承包人未能及时采取有效措施，而导致的损失和后果均由承包人承担。</w:t>
      </w:r>
    </w:p>
    <w:p w14:paraId="0B1CB3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补充第 4.12 款、第 4.13 款：</w:t>
      </w:r>
    </w:p>
    <w:p w14:paraId="12C1FBA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0" w:name="_Toc25718"/>
      <w:r>
        <w:rPr>
          <w:rFonts w:hint="eastAsia" w:ascii="宋体" w:hAnsi="宋体" w:eastAsia="宋体" w:cs="宋体"/>
          <w:b/>
          <w:bCs/>
          <w:color w:val="auto"/>
          <w:sz w:val="28"/>
          <w:szCs w:val="28"/>
          <w:highlight w:val="none"/>
        </w:rPr>
        <w:t>4.12投标文件的完备性</w:t>
      </w:r>
      <w:bookmarkEnd w:id="350"/>
    </w:p>
    <w:p w14:paraId="7D5FA5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B763D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1" w:name="_Toc10357"/>
      <w:r>
        <w:rPr>
          <w:rFonts w:hint="eastAsia" w:ascii="宋体" w:hAnsi="宋体" w:eastAsia="宋体" w:cs="宋体"/>
          <w:b/>
          <w:bCs/>
          <w:color w:val="auto"/>
          <w:sz w:val="28"/>
          <w:szCs w:val="28"/>
          <w:highlight w:val="none"/>
        </w:rPr>
        <w:t>4.13开展党建工作要求</w:t>
      </w:r>
      <w:bookmarkEnd w:id="351"/>
    </w:p>
    <w:p w14:paraId="6D6330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644EE2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DB964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2" w:name="_Toc122424214"/>
      <w:bookmarkStart w:id="353" w:name="_Toc1605"/>
      <w:bookmarkStart w:id="354" w:name="_Toc122424463"/>
      <w:r>
        <w:rPr>
          <w:rFonts w:hint="eastAsia" w:ascii="宋体" w:hAnsi="宋体" w:eastAsia="宋体" w:cs="宋体"/>
          <w:b/>
          <w:bCs/>
          <w:color w:val="auto"/>
          <w:sz w:val="32"/>
          <w:szCs w:val="32"/>
          <w:highlight w:val="none"/>
        </w:rPr>
        <w:t>5.材料和工程设备</w:t>
      </w:r>
      <w:bookmarkEnd w:id="352"/>
      <w:bookmarkEnd w:id="353"/>
      <w:bookmarkEnd w:id="354"/>
    </w:p>
    <w:p w14:paraId="6261CD3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5" w:name="_Toc20766"/>
      <w:r>
        <w:rPr>
          <w:rFonts w:hint="eastAsia" w:ascii="宋体" w:hAnsi="宋体" w:eastAsia="宋体" w:cs="宋体"/>
          <w:b/>
          <w:bCs/>
          <w:color w:val="auto"/>
          <w:sz w:val="28"/>
          <w:szCs w:val="28"/>
          <w:highlight w:val="none"/>
        </w:rPr>
        <w:t>5.2 发包人提供的材料和工程设备</w:t>
      </w:r>
      <w:bookmarkEnd w:id="355"/>
    </w:p>
    <w:p w14:paraId="6BF94CE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5.2.3 项补充：</w:t>
      </w:r>
    </w:p>
    <w:p w14:paraId="2F919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611B5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6" w:name="_Toc122424464"/>
      <w:bookmarkStart w:id="357" w:name="_Toc122424215"/>
      <w:bookmarkStart w:id="358" w:name="_Toc24228"/>
      <w:r>
        <w:rPr>
          <w:rFonts w:hint="eastAsia" w:ascii="宋体" w:hAnsi="宋体" w:eastAsia="宋体" w:cs="宋体"/>
          <w:b/>
          <w:bCs/>
          <w:color w:val="auto"/>
          <w:sz w:val="32"/>
          <w:szCs w:val="32"/>
          <w:highlight w:val="none"/>
        </w:rPr>
        <w:t>6.施工设备和临时设施</w:t>
      </w:r>
      <w:bookmarkEnd w:id="356"/>
      <w:bookmarkEnd w:id="357"/>
      <w:bookmarkEnd w:id="358"/>
    </w:p>
    <w:p w14:paraId="11BF465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9" w:name="_Toc23309"/>
      <w:r>
        <w:rPr>
          <w:rFonts w:hint="eastAsia" w:ascii="宋体" w:hAnsi="宋体" w:eastAsia="宋体" w:cs="宋体"/>
          <w:b/>
          <w:bCs/>
          <w:color w:val="auto"/>
          <w:sz w:val="28"/>
          <w:szCs w:val="28"/>
          <w:highlight w:val="none"/>
        </w:rPr>
        <w:t>6.1承包人提供的施工设备和临时设施</w:t>
      </w:r>
      <w:bookmarkEnd w:id="359"/>
    </w:p>
    <w:p w14:paraId="46FE50E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6.1.2 项约定为：</w:t>
      </w:r>
    </w:p>
    <w:p w14:paraId="04A0F73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承包人应自行承担修建临时设施的费用，需要临时占地的，应由承包人按第4.1.10 项（1）目的规定办理。</w:t>
      </w:r>
    </w:p>
    <w:p w14:paraId="1A49AE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0" w:name="_Toc26966"/>
      <w:r>
        <w:rPr>
          <w:rFonts w:hint="eastAsia" w:ascii="宋体" w:hAnsi="宋体" w:eastAsia="宋体" w:cs="宋体"/>
          <w:b/>
          <w:bCs/>
          <w:color w:val="auto"/>
          <w:sz w:val="28"/>
          <w:szCs w:val="28"/>
          <w:highlight w:val="none"/>
        </w:rPr>
        <w:t>6.3 要求承包人增加或更换施工设备</w:t>
      </w:r>
      <w:bookmarkEnd w:id="360"/>
    </w:p>
    <w:p w14:paraId="25FA20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D95DD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EA101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1" w:name="_Toc122424216"/>
      <w:bookmarkStart w:id="362" w:name="_Toc122424465"/>
      <w:bookmarkStart w:id="363" w:name="_Toc7330"/>
      <w:r>
        <w:rPr>
          <w:rFonts w:hint="eastAsia" w:ascii="宋体" w:hAnsi="宋体" w:eastAsia="宋体" w:cs="宋体"/>
          <w:b/>
          <w:bCs/>
          <w:color w:val="auto"/>
          <w:sz w:val="32"/>
          <w:szCs w:val="32"/>
          <w:highlight w:val="none"/>
        </w:rPr>
        <w:t>7.交通运输</w:t>
      </w:r>
      <w:bookmarkEnd w:id="361"/>
      <w:bookmarkEnd w:id="362"/>
      <w:bookmarkEnd w:id="363"/>
    </w:p>
    <w:p w14:paraId="3A477BE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4" w:name="_Toc28212"/>
      <w:r>
        <w:rPr>
          <w:rFonts w:hint="eastAsia" w:ascii="宋体" w:hAnsi="宋体" w:eastAsia="宋体" w:cs="宋体"/>
          <w:b/>
          <w:bCs/>
          <w:color w:val="auto"/>
          <w:sz w:val="28"/>
          <w:szCs w:val="28"/>
          <w:highlight w:val="none"/>
        </w:rPr>
        <w:t>7.1道路通行权和场外设施</w:t>
      </w:r>
      <w:bookmarkEnd w:id="364"/>
    </w:p>
    <w:p w14:paraId="5412499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16115A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785CD515">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本款补充</w:t>
      </w:r>
      <w:r>
        <w:rPr>
          <w:rFonts w:hint="eastAsia" w:ascii="宋体" w:hAnsi="宋体" w:eastAsia="宋体" w:cs="宋体"/>
          <w:color w:val="auto"/>
          <w:szCs w:val="21"/>
          <w:highlight w:val="none"/>
        </w:rPr>
        <w:t>：</w:t>
      </w:r>
    </w:p>
    <w:p w14:paraId="34923639">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旧路改建工程项目</w:t>
      </w:r>
    </w:p>
    <w:p w14:paraId="01D53964">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(I)</w:t>
      </w:r>
      <w:r>
        <w:rPr>
          <w:rFonts w:hint="eastAsia" w:ascii="宋体" w:hAnsi="宋体" w:eastAsia="宋体" w:cs="宋体"/>
          <w:color w:val="auto"/>
          <w:szCs w:val="21"/>
          <w:highlight w:val="none"/>
        </w:rPr>
        <w:t>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047B5EC">
      <w:pPr>
        <w:numPr>
          <w:ilvl w:val="0"/>
          <w:numId w:val="0"/>
        </w:numPr>
        <w:wordWrap w:val="0"/>
        <w:topLinePunct/>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II</w:t>
      </w:r>
      <w:r>
        <w:rPr>
          <w:rFonts w:hint="eastAsia" w:ascii="宋体" w:hAnsi="宋体" w:eastAsia="宋体" w:cs="宋体"/>
          <w:color w:val="auto"/>
          <w:szCs w:val="21"/>
          <w:highlight w:val="none"/>
        </w:rPr>
        <w:t>)不得在道路上堆放材料或占道施工影响交通。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路基、路面施工应避免出现晴天扬尘，雨天打滑影响安全与交通和影响群众生活、生产的现象。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维持交通的路基施工应保证表面平整，保证通畅。</w:t>
      </w:r>
    </w:p>
    <w:p w14:paraId="1B19CB11">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5" w:name="_Toc122424217"/>
      <w:bookmarkStart w:id="366" w:name="_Toc122424466"/>
      <w:bookmarkStart w:id="367" w:name="_Toc25933"/>
      <w:r>
        <w:rPr>
          <w:rFonts w:hint="eastAsia" w:ascii="宋体" w:hAnsi="宋体" w:eastAsia="宋体" w:cs="宋体"/>
          <w:b/>
          <w:bCs/>
          <w:color w:val="auto"/>
          <w:sz w:val="32"/>
          <w:szCs w:val="32"/>
          <w:highlight w:val="none"/>
        </w:rPr>
        <w:t>8.测量放线</w:t>
      </w:r>
      <w:bookmarkEnd w:id="365"/>
      <w:bookmarkEnd w:id="366"/>
      <w:bookmarkEnd w:id="367"/>
    </w:p>
    <w:p w14:paraId="7FB6B2D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8" w:name="_Toc29191"/>
      <w:r>
        <w:rPr>
          <w:rFonts w:hint="eastAsia" w:ascii="宋体" w:hAnsi="宋体" w:eastAsia="宋体" w:cs="宋体"/>
          <w:b/>
          <w:bCs/>
          <w:color w:val="auto"/>
          <w:sz w:val="28"/>
          <w:szCs w:val="28"/>
          <w:highlight w:val="none"/>
        </w:rPr>
        <w:t>8.4 监理人使用施工控制网</w:t>
      </w:r>
      <w:bookmarkEnd w:id="368"/>
    </w:p>
    <w:p w14:paraId="54E336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69CC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经监理人批准，其他相关承包人也可免费使用施工控制网。</w:t>
      </w:r>
    </w:p>
    <w:p w14:paraId="0AC814F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9" w:name="_Toc122424218"/>
      <w:bookmarkStart w:id="370" w:name="_Toc122424467"/>
      <w:bookmarkStart w:id="371" w:name="_Toc5499"/>
      <w:r>
        <w:rPr>
          <w:rFonts w:hint="eastAsia" w:ascii="宋体" w:hAnsi="宋体" w:eastAsia="宋体" w:cs="宋体"/>
          <w:b/>
          <w:bCs/>
          <w:color w:val="auto"/>
          <w:sz w:val="32"/>
          <w:szCs w:val="32"/>
          <w:highlight w:val="none"/>
        </w:rPr>
        <w:t>9.施工安全、治安保卫和环境保护</w:t>
      </w:r>
      <w:bookmarkEnd w:id="369"/>
      <w:bookmarkEnd w:id="370"/>
      <w:bookmarkEnd w:id="371"/>
    </w:p>
    <w:p w14:paraId="489EBAB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2" w:name="_Toc12070"/>
      <w:r>
        <w:rPr>
          <w:rFonts w:hint="eastAsia" w:ascii="宋体" w:hAnsi="宋体" w:eastAsia="宋体" w:cs="宋体"/>
          <w:b/>
          <w:bCs/>
          <w:color w:val="auto"/>
          <w:sz w:val="28"/>
          <w:szCs w:val="28"/>
          <w:highlight w:val="none"/>
        </w:rPr>
        <w:t>9.2承包人的施工安全责任</w:t>
      </w:r>
      <w:bookmarkEnd w:id="372"/>
    </w:p>
    <w:p w14:paraId="23B947F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9.2.1 项细化为：</w:t>
      </w:r>
    </w:p>
    <w:p w14:paraId="1D9610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B632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5682B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本项目需要编制专项施工方案的工程包括但不限于以下内容：</w:t>
      </w:r>
    </w:p>
    <w:p w14:paraId="5399BA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（1）不良地质条件下有潜在危险性的土方、石方开挖；</w:t>
      </w:r>
    </w:p>
    <w:p w14:paraId="2E838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（2）滑坡和高边坡处理；</w:t>
      </w:r>
    </w:p>
    <w:p w14:paraId="127F110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（3）桩基础、挡墙基础、深水基础及围堰工程；</w:t>
      </w:r>
    </w:p>
    <w:p w14:paraId="6AAE98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（4）桥梁工程中的梁、拱、柱等构件施工等；</w:t>
      </w:r>
    </w:p>
    <w:p w14:paraId="4938DAE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（5）隧道工程中的不良地质隧道、高瓦斯隧道等；</w:t>
      </w:r>
    </w:p>
    <w:p w14:paraId="4638236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（6）水上工程中的打桩船作业、施工船作业、外海孤岛作业、边通航边施工 作业等；</w:t>
      </w:r>
    </w:p>
    <w:p w14:paraId="0215C44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（7）水下工程中的水下焊接、混凝土浇筑、爆破工程等；</w:t>
      </w:r>
    </w:p>
    <w:p w14:paraId="1306FF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（8）爆破工程；</w:t>
      </w:r>
    </w:p>
    <w:p w14:paraId="6F1211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（9）大型临时工程中的大型支架、模板、便桥的架设与拆除；桥梁、码头的加固与拆除；</w:t>
      </w:r>
    </w:p>
    <w:p w14:paraId="04ED50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（10）其他危险性较大的工程。</w:t>
      </w:r>
    </w:p>
    <w:p w14:paraId="0E89944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监理人和发包人在检查中发现有安全问题或有违反安全管理规章制度的情况时，可视为承包人违约，应按第 22.1 款的规定办理。</w:t>
      </w:r>
    </w:p>
    <w:p w14:paraId="1EECBA35">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9.2.5 项细化为：</w:t>
      </w:r>
    </w:p>
    <w:p w14:paraId="5796AE7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7AB4924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9.2.8 项~第 9.2.11 项：</w:t>
      </w:r>
    </w:p>
    <w:p w14:paraId="2043BCC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9.2.8承包人应充分关注和保障所有在现场工作的人员的安全，采取以下有效措施，使现场和本合同工程的实施保持有条不紊，以免使上述人员的安全受到威胁。</w:t>
      </w:r>
    </w:p>
    <w:p w14:paraId="521AE1A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（1）按《公路水运工程安全生产监督管理办法》规定的最低数量和资质条件配备专职安全生产管理人员；</w:t>
      </w:r>
    </w:p>
    <w:p w14:paraId="6DB329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39BFDE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（3）所有施工机具设备和高空作业设备均应定期检查，并有安全员的签字记录；</w:t>
      </w:r>
    </w:p>
    <w:p w14:paraId="7E842D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（4）根据本合同各单位工程的施工特点，严格执行《公路水运工程安全生产监督管理办法》《公路工程施工安全技术规范》等有关规定。</w:t>
      </w:r>
    </w:p>
    <w:p w14:paraId="378318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632D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9.2.10在通航水域施工时，承包人应与当地主管部门取得联系，设置必要的导航标志，及时发布航行通告，确保施工水域安全。</w:t>
      </w:r>
    </w:p>
    <w:p w14:paraId="4464EB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F2E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3" w:name="_Toc29507"/>
      <w:r>
        <w:rPr>
          <w:rFonts w:hint="eastAsia" w:ascii="宋体" w:hAnsi="宋体" w:eastAsia="宋体" w:cs="宋体"/>
          <w:b/>
          <w:bCs/>
          <w:color w:val="auto"/>
          <w:sz w:val="28"/>
          <w:szCs w:val="28"/>
          <w:highlight w:val="none"/>
        </w:rPr>
        <w:t>9.4 环境保护</w:t>
      </w:r>
      <w:bookmarkEnd w:id="373"/>
    </w:p>
    <w:p w14:paraId="61D7131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9.4.7 项~第 9.4.11 项：</w:t>
      </w:r>
    </w:p>
    <w:p w14:paraId="4EA0941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9.4.7承包人应切实执行技术规范中有关环境保护方面的条款和规定。</w:t>
      </w:r>
    </w:p>
    <w:p w14:paraId="3FCE0D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3898B4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（2）对于公路施工中粉尘污染的主要污染源――灰土拌和、施工车辆和筑路机械运行及运输产生的扬尘，应采取有效措施减轻其对施工现场的大气污染，保护人民健康，如：</w:t>
      </w:r>
    </w:p>
    <w:p w14:paraId="743535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a.拌和设备应有较好的密封，或有防尘设备。</w:t>
      </w:r>
    </w:p>
    <w:p w14:paraId="1A12EB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b.施工通道、沥青混凝土拌和站及灰土拌和站应经常进行洒水降尘。</w:t>
      </w:r>
    </w:p>
    <w:p w14:paraId="5C50DDF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c.路面施工应注意保持水分，以免扬尘。</w:t>
      </w:r>
    </w:p>
    <w:p w14:paraId="52CB96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d.隧道出渣和桥梁钻孔灌注桩施工时排出的泥浆要进行妥善处理，严禁向河流或农田排放。</w:t>
      </w:r>
    </w:p>
    <w:p w14:paraId="6C1985A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（3）采取可靠措施保证原有交通的正常通行，维持沿线村镇的居民饮水、农田灌溉、生产生活用电及通信等管线的正常使用。</w:t>
      </w:r>
    </w:p>
    <w:p w14:paraId="590743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1F55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9.4.9在施工期间，承包人应随时保持现场整洁，施工设备和材料、工程设备应整齐妥善存放和储存，废料与垃圾及不再需要的临时设施应及时从现场清除、拆除并运走。</w:t>
      </w:r>
    </w:p>
    <w:p w14:paraId="41CA346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E0B844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240DA8A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4" w:name="_Toc122424468"/>
      <w:bookmarkStart w:id="375" w:name="_Toc23551"/>
      <w:bookmarkStart w:id="376" w:name="_Toc122424219"/>
      <w:r>
        <w:rPr>
          <w:rFonts w:hint="eastAsia" w:ascii="宋体" w:hAnsi="宋体" w:eastAsia="宋体" w:cs="宋体"/>
          <w:b/>
          <w:bCs/>
          <w:color w:val="auto"/>
          <w:sz w:val="32"/>
          <w:szCs w:val="32"/>
          <w:highlight w:val="none"/>
        </w:rPr>
        <w:t>10.进度计划</w:t>
      </w:r>
      <w:bookmarkEnd w:id="374"/>
      <w:bookmarkEnd w:id="375"/>
      <w:bookmarkEnd w:id="376"/>
    </w:p>
    <w:p w14:paraId="7CD2EEE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7" w:name="_Toc2371"/>
      <w:r>
        <w:rPr>
          <w:rFonts w:hint="eastAsia" w:ascii="宋体" w:hAnsi="宋体" w:eastAsia="宋体" w:cs="宋体"/>
          <w:b/>
          <w:bCs/>
          <w:color w:val="auto"/>
          <w:sz w:val="28"/>
          <w:szCs w:val="28"/>
          <w:highlight w:val="none"/>
        </w:rPr>
        <w:t>10.1合同进度计划</w:t>
      </w:r>
      <w:bookmarkEnd w:id="377"/>
    </w:p>
    <w:p w14:paraId="56EDC4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E8AF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承包人编制施工方案说明的内容见项目专用合同条款。</w:t>
      </w:r>
    </w:p>
    <w:p w14:paraId="1192883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承包人向监理人报送施工进度计划和施工方案说明的期限：签订合同协议书后28 天之内。</w:t>
      </w:r>
    </w:p>
    <w:p w14:paraId="40FCC8C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 14 天内对承包人施工进度计划和施工方案说明予以批复或提出修改意见。</w:t>
      </w:r>
    </w:p>
    <w:p w14:paraId="1CF39DB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合同进度计划应按照关键线路网络图和主要工作横道图两种形式分别编绘，并应包括每月预计完成的工作量和形象进度。</w:t>
      </w:r>
    </w:p>
    <w:p w14:paraId="468B31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8" w:name="_Toc30457"/>
      <w:r>
        <w:rPr>
          <w:rFonts w:hint="eastAsia" w:ascii="宋体" w:hAnsi="宋体" w:eastAsia="宋体" w:cs="宋体"/>
          <w:b/>
          <w:bCs/>
          <w:color w:val="auto"/>
          <w:sz w:val="28"/>
          <w:szCs w:val="28"/>
          <w:highlight w:val="none"/>
        </w:rPr>
        <w:t>10.2合同进度计划的修订</w:t>
      </w:r>
      <w:bookmarkEnd w:id="378"/>
    </w:p>
    <w:p w14:paraId="786CA4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A00B74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承包人提交合同进度计划修订申请报告，并附有关措施和相关资料的期限：实际进度发生滞后的当月 25 日前。</w:t>
      </w:r>
    </w:p>
    <w:p w14:paraId="59E54BB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监理人批复修订合同进度计划的期限：收到修订合同进度计划后 14 天内。</w:t>
      </w:r>
    </w:p>
    <w:p w14:paraId="694F57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10.3 款、第 10.4 款：</w:t>
      </w:r>
    </w:p>
    <w:p w14:paraId="03A3550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9" w:name="_Toc2437"/>
      <w:r>
        <w:rPr>
          <w:rFonts w:hint="eastAsia" w:ascii="宋体" w:hAnsi="宋体" w:eastAsia="宋体" w:cs="宋体"/>
          <w:b/>
          <w:bCs/>
          <w:color w:val="auto"/>
          <w:sz w:val="28"/>
          <w:szCs w:val="28"/>
          <w:highlight w:val="none"/>
        </w:rPr>
        <w:t>10.3年度施工计划</w:t>
      </w:r>
      <w:bookmarkEnd w:id="379"/>
    </w:p>
    <w:p w14:paraId="760FE8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月底前，根据已同意的合同进度计划或其修订的计划，向监理人提交</w:t>
      </w:r>
      <w:r>
        <w:rPr>
          <w:rFonts w:hint="eastAsia" w:ascii="宋体" w:hAnsi="宋体" w:cs="宋体"/>
          <w:color w:val="auto"/>
          <w:highlight w:val="none"/>
          <w:lang w:val="en-US" w:eastAsia="zh-CN"/>
        </w:rPr>
        <w:t>2</w:t>
      </w:r>
      <w:r>
        <w:rPr>
          <w:rFonts w:hint="eastAsia" w:ascii="宋体" w:hAnsi="宋体" w:eastAsia="宋体" w:cs="宋体"/>
          <w:color w:val="auto"/>
          <w:highlight w:val="none"/>
        </w:rPr>
        <w:t>份格式和内容符合监理人合理规定的下一年度的施工计划，以供审查。该计划应包括本年度估计完成的和下一年度预计完成的分项工程数量和工作量，以及为实施此计划将采取的措施。</w:t>
      </w:r>
    </w:p>
    <w:p w14:paraId="5520676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0" w:name="_Toc19021"/>
      <w:r>
        <w:rPr>
          <w:rFonts w:hint="eastAsia" w:ascii="宋体" w:hAnsi="宋体" w:eastAsia="宋体" w:cs="宋体"/>
          <w:b/>
          <w:bCs/>
          <w:color w:val="auto"/>
          <w:sz w:val="28"/>
          <w:szCs w:val="28"/>
          <w:highlight w:val="none"/>
        </w:rPr>
        <w:t>10.4合同用款计划</w:t>
      </w:r>
      <w:bookmarkEnd w:id="380"/>
    </w:p>
    <w:p w14:paraId="1C022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41B684C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81" w:name="_Toc122424220"/>
      <w:bookmarkStart w:id="382" w:name="_Toc15458"/>
      <w:bookmarkStart w:id="383" w:name="_Toc122424469"/>
      <w:r>
        <w:rPr>
          <w:rFonts w:hint="eastAsia" w:ascii="宋体" w:hAnsi="宋体" w:eastAsia="宋体" w:cs="宋体"/>
          <w:b/>
          <w:bCs/>
          <w:color w:val="auto"/>
          <w:sz w:val="32"/>
          <w:szCs w:val="32"/>
          <w:highlight w:val="none"/>
        </w:rPr>
        <w:t>11.开工和交工</w:t>
      </w:r>
      <w:bookmarkEnd w:id="381"/>
      <w:bookmarkEnd w:id="382"/>
      <w:bookmarkEnd w:id="383"/>
    </w:p>
    <w:p w14:paraId="178BA60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4" w:name="_Toc12235"/>
      <w:r>
        <w:rPr>
          <w:rFonts w:hint="eastAsia" w:ascii="宋体" w:hAnsi="宋体" w:eastAsia="宋体" w:cs="宋体"/>
          <w:b/>
          <w:bCs/>
          <w:color w:val="auto"/>
          <w:sz w:val="28"/>
          <w:szCs w:val="28"/>
          <w:highlight w:val="none"/>
        </w:rPr>
        <w:t>11.1开工</w:t>
      </w:r>
      <w:bookmarkEnd w:id="384"/>
    </w:p>
    <w:p w14:paraId="52073B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11.1.2 项补充：</w:t>
      </w:r>
    </w:p>
    <w:p w14:paraId="7B3D6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承包人应在分部工程开工前 14 天向监理人提交分部工程开工报审表，若承包人的开工准备、工作计划和质量控制方法是可接受的且已获得批准，则经监理人书面同意，分部工程才能开工。</w:t>
      </w:r>
    </w:p>
    <w:p w14:paraId="1548CD9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5" w:name="_Toc965"/>
      <w:r>
        <w:rPr>
          <w:rFonts w:hint="eastAsia" w:ascii="宋体" w:hAnsi="宋体" w:eastAsia="宋体" w:cs="宋体"/>
          <w:b/>
          <w:bCs/>
          <w:color w:val="auto"/>
          <w:sz w:val="28"/>
          <w:szCs w:val="28"/>
          <w:highlight w:val="none"/>
        </w:rPr>
        <w:t>11.3发包人的工期延误</w:t>
      </w:r>
      <w:bookmarkEnd w:id="385"/>
    </w:p>
    <w:p w14:paraId="5717EF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07C5D4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即使由于上述原因造成工期延误，如果受影响的工程并非处在工程施工进度网络计划的关键线路上，则承包人无权要求延长总工期。</w:t>
      </w:r>
    </w:p>
    <w:p w14:paraId="6C77A0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6" w:name="_Toc7080"/>
      <w:r>
        <w:rPr>
          <w:rFonts w:hint="eastAsia" w:ascii="宋体" w:hAnsi="宋体" w:eastAsia="宋体" w:cs="宋体"/>
          <w:b/>
          <w:bCs/>
          <w:color w:val="auto"/>
          <w:sz w:val="28"/>
          <w:szCs w:val="28"/>
          <w:highlight w:val="none"/>
        </w:rPr>
        <w:t>11.4异常恶劣的气候条件</w:t>
      </w:r>
      <w:bookmarkEnd w:id="386"/>
    </w:p>
    <w:p w14:paraId="0A8D9A9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97481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异常气候是指项目所在地 30 年以上一遇的罕见气候现象（包括温度、降水、降雪、风等）。异常恶劣的气候条件在项目专用合同条款中作具体约定。</w:t>
      </w:r>
    </w:p>
    <w:p w14:paraId="10BC03A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7" w:name="_Toc32058"/>
      <w:r>
        <w:rPr>
          <w:rFonts w:hint="eastAsia" w:ascii="宋体" w:hAnsi="宋体" w:eastAsia="宋体" w:cs="宋体"/>
          <w:b/>
          <w:bCs/>
          <w:color w:val="auto"/>
          <w:sz w:val="28"/>
          <w:szCs w:val="28"/>
          <w:highlight w:val="none"/>
        </w:rPr>
        <w:t>11.5承包人的工期延误</w:t>
      </w:r>
      <w:bookmarkEnd w:id="387"/>
    </w:p>
    <w:p w14:paraId="466E260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3E871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DFD34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79DC64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由于承包人原因造成工期延误，承包人应支付逾期交工违约金。逾期交工违约金的计算方法在项目专用合同条款数据表中约定，时间自预定的交工日期起到交工验收证书为：每逾期一天支付1000元人民币（在项目专用合同条款中约定），时间自预定的竣工日期起到工程接收证书中写明的实际竣工日期止（扣除已批准的延长工期），按天计算。逾期竣工违约金累计金额最高不超过签约合同价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%。发包人可以从应付或到期应付给承包人的任何款项中或采用其他方法扣除此违约金。</w:t>
      </w:r>
    </w:p>
    <w:p w14:paraId="5EFDD0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（4）承包人支付逾期交工违约金，不免除承包人完成工程及修补缺陷的义务。</w:t>
      </w:r>
    </w:p>
    <w:p w14:paraId="202678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92BD0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8" w:name="_Toc28353"/>
      <w:r>
        <w:rPr>
          <w:rFonts w:hint="eastAsia" w:ascii="宋体" w:hAnsi="宋体" w:eastAsia="宋体" w:cs="宋体"/>
          <w:b/>
          <w:bCs/>
          <w:color w:val="auto"/>
          <w:sz w:val="28"/>
          <w:szCs w:val="28"/>
          <w:highlight w:val="none"/>
        </w:rPr>
        <w:t>11.6工期提前</w:t>
      </w:r>
      <w:bookmarkEnd w:id="388"/>
    </w:p>
    <w:p w14:paraId="4B2A90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0E24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发包人不得随意要求承包人提前交工，承包人也不得随意提出提前交工的建议。如遇特殊情况，确需将工期提前的，发包人和承包人必须采取有效措施，确保工程质量。</w:t>
      </w:r>
    </w:p>
    <w:p w14:paraId="17E224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10AC5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11.7 款：</w:t>
      </w:r>
    </w:p>
    <w:p w14:paraId="5FF2075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9" w:name="_Toc24998"/>
      <w:r>
        <w:rPr>
          <w:rFonts w:hint="eastAsia" w:ascii="宋体" w:hAnsi="宋体" w:eastAsia="宋体" w:cs="宋体"/>
          <w:b/>
          <w:bCs/>
          <w:color w:val="auto"/>
          <w:sz w:val="28"/>
          <w:szCs w:val="28"/>
          <w:highlight w:val="none"/>
        </w:rPr>
        <w:t>11.7工作时间的限制</w:t>
      </w:r>
      <w:bookmarkEnd w:id="389"/>
    </w:p>
    <w:p w14:paraId="171C45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承包人在夜间或国家规定的节假日进行永久工程的施工，应向监理人报告，以便监理人履行监理职责和义务。</w:t>
      </w:r>
    </w:p>
    <w:p w14:paraId="2FCB7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但是，为了抢救生命或保护财产，或为了工程的安全、质量而不可避免地短暂作业，则不必事先向监理人报告。但承包人应在事后立即向监理人报告。</w:t>
      </w:r>
    </w:p>
    <w:p w14:paraId="05E60D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本款规定不适用于习惯上或施工本身要求实行连续生产的作业。</w:t>
      </w:r>
    </w:p>
    <w:p w14:paraId="2BCBFD3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0" w:name="_Toc122424221"/>
      <w:bookmarkStart w:id="391" w:name="_Toc122424470"/>
      <w:bookmarkStart w:id="392" w:name="_Toc21499"/>
      <w:r>
        <w:rPr>
          <w:rFonts w:hint="eastAsia" w:ascii="宋体" w:hAnsi="宋体" w:eastAsia="宋体" w:cs="宋体"/>
          <w:b/>
          <w:bCs/>
          <w:color w:val="auto"/>
          <w:sz w:val="32"/>
          <w:szCs w:val="32"/>
          <w:highlight w:val="none"/>
        </w:rPr>
        <w:t>12.暂停施工</w:t>
      </w:r>
      <w:bookmarkEnd w:id="390"/>
      <w:bookmarkEnd w:id="391"/>
      <w:bookmarkEnd w:id="392"/>
    </w:p>
    <w:p w14:paraId="29BB19B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3" w:name="_Toc30626"/>
      <w:r>
        <w:rPr>
          <w:rFonts w:hint="eastAsia" w:ascii="宋体" w:hAnsi="宋体" w:eastAsia="宋体" w:cs="宋体"/>
          <w:b/>
          <w:bCs/>
          <w:color w:val="auto"/>
          <w:sz w:val="28"/>
          <w:szCs w:val="28"/>
          <w:highlight w:val="none"/>
        </w:rPr>
        <w:t>12.1承包人暂停施工的责任</w:t>
      </w:r>
      <w:bookmarkEnd w:id="393"/>
    </w:p>
    <w:p w14:paraId="54A2F49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本款第（5）项细化为：</w:t>
      </w:r>
    </w:p>
    <w:p w14:paraId="766734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（5）现场气候条件导致的必要停工（第 11.4 款约定的异常恶劣的气候条件除外）；</w:t>
      </w:r>
    </w:p>
    <w:p w14:paraId="297A2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（6）项目专用合同条款可能约定的由承包人承担的其他暂停施工。</w:t>
      </w:r>
    </w:p>
    <w:p w14:paraId="7A431EF2">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4" w:name="_Toc122424222"/>
      <w:bookmarkStart w:id="395" w:name="_Toc18857"/>
      <w:bookmarkStart w:id="396" w:name="_Toc122424471"/>
      <w:r>
        <w:rPr>
          <w:rFonts w:hint="eastAsia" w:ascii="宋体" w:hAnsi="宋体" w:eastAsia="宋体" w:cs="宋体"/>
          <w:b/>
          <w:bCs/>
          <w:color w:val="auto"/>
          <w:sz w:val="32"/>
          <w:szCs w:val="32"/>
          <w:highlight w:val="none"/>
        </w:rPr>
        <w:t>13.工程质量</w:t>
      </w:r>
      <w:bookmarkEnd w:id="394"/>
      <w:bookmarkEnd w:id="395"/>
      <w:bookmarkEnd w:id="396"/>
    </w:p>
    <w:p w14:paraId="0E65F8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7" w:name="_Toc16161"/>
      <w:r>
        <w:rPr>
          <w:rFonts w:hint="eastAsia" w:ascii="宋体" w:hAnsi="宋体" w:eastAsia="宋体" w:cs="宋体"/>
          <w:b/>
          <w:bCs/>
          <w:color w:val="auto"/>
          <w:sz w:val="28"/>
          <w:szCs w:val="28"/>
          <w:highlight w:val="none"/>
        </w:rPr>
        <w:t>13.1工程质量要求</w:t>
      </w:r>
      <w:bookmarkEnd w:id="397"/>
    </w:p>
    <w:p w14:paraId="486327F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13.1.1 项约定为：</w:t>
      </w:r>
    </w:p>
    <w:p w14:paraId="25C7F8EB">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工程质量验收按技术规范及《公路工程质量检验评定标准》执行。</w:t>
      </w:r>
    </w:p>
    <w:p w14:paraId="0557DFB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本款补充第 13.1.4 项、第 13.1.5 项：</w:t>
      </w:r>
    </w:p>
    <w:p w14:paraId="68E9D1A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13.1.4发包人和承包人应严格遵守《关于严格落实公路工程质量责任制的若干意见》的相关规定，认真执行工程质量责任登记制度并按要求填写工程质量责任登记表。</w:t>
      </w:r>
    </w:p>
    <w:p w14:paraId="2E8E5C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13.1.5本项目严格执行质量责任追究制度。质量事故处理实行“四不放过”原则： 事故原因调查不清不放过；事故责任者没有受到教育不放过；没有防范措施不放过； 相关责任人没受到处理不放过。</w:t>
      </w:r>
    </w:p>
    <w:p w14:paraId="39F0922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8" w:name="_Toc23702"/>
      <w:r>
        <w:rPr>
          <w:rFonts w:hint="eastAsia" w:ascii="宋体" w:hAnsi="宋体" w:eastAsia="宋体" w:cs="宋体"/>
          <w:b/>
          <w:bCs/>
          <w:color w:val="auto"/>
          <w:sz w:val="28"/>
          <w:szCs w:val="28"/>
          <w:highlight w:val="none"/>
        </w:rPr>
        <w:t>13.2承包人的质量管理</w:t>
      </w:r>
      <w:bookmarkEnd w:id="398"/>
    </w:p>
    <w:p w14:paraId="493616E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13.2.1 项补充：</w:t>
      </w:r>
    </w:p>
    <w:p w14:paraId="72C661D0">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承包人提交工程质量保证措施文件的期限：签订合同协议书后 28 天之内。</w:t>
      </w:r>
    </w:p>
    <w:p w14:paraId="24F5C21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本款补充第 13.2.3 项~第 13.2.10 项：</w:t>
      </w:r>
    </w:p>
    <w:p w14:paraId="1E5373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13.2.3公路工程</w:t>
      </w:r>
      <w:r>
        <w:rPr>
          <w:rFonts w:hint="eastAsia" w:ascii="宋体" w:hAnsi="宋体" w:eastAsia="宋体" w:cs="宋体"/>
          <w:color w:val="auto"/>
          <w:highlight w:val="none"/>
          <w:lang w:val="en-US" w:eastAsia="zh-CN"/>
        </w:rPr>
        <w:t>实行</w:t>
      </w:r>
      <w:r>
        <w:rPr>
          <w:rFonts w:hint="eastAsia" w:ascii="宋体" w:hAnsi="宋体" w:eastAsia="宋体" w:cs="宋体"/>
          <w:color w:val="auto"/>
          <w:highlight w:val="none"/>
        </w:rPr>
        <w:t>质量责任终身制。承包人应当书面明确相应的项目负责人和质量负责人。承包人的相关人员按照国家法律法规和有关规定在工程合理使用年限内承担相应的质量责任。</w:t>
      </w:r>
    </w:p>
    <w:p w14:paraId="4EDD12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422643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13.2.5承包人对工程施工质量负责，应当按合同约定设立现场质量管理机构、配备工程技术人员和质量管理人员，落实工程施工质量责任制。</w:t>
      </w:r>
    </w:p>
    <w:p w14:paraId="75512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A98B6B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13.2.7承包人应当加强施工过程质量控制，并形成完整、可追溯的施工质量管理资料，主体工程的隐蔽部位施工还应当保留影像资料</w:t>
      </w:r>
      <w:r>
        <w:rPr>
          <w:rFonts w:hint="eastAsia" w:ascii="宋体" w:hAnsi="宋体" w:cs="宋体"/>
          <w:color w:val="auto"/>
          <w:highlight w:val="none"/>
          <w:lang w:eastAsia="zh-CN"/>
        </w:rPr>
        <w:t>，</w:t>
      </w:r>
      <w:r>
        <w:rPr>
          <w:rFonts w:hint="eastAsia"/>
          <w:color w:val="auto"/>
          <w:highlight w:val="none"/>
          <w:lang w:eastAsia="zh-CN"/>
        </w:rPr>
        <w:t>否则发包人有权采取方式对隐蔽工程进行实体检测，检测不合格返工处理，并</w:t>
      </w:r>
      <w:r>
        <w:rPr>
          <w:rFonts w:hint="eastAsia"/>
          <w:color w:val="auto"/>
          <w:highlight w:val="none"/>
          <w:lang w:val="en-US" w:eastAsia="zh-CN"/>
        </w:rPr>
        <w:t>由承包人</w:t>
      </w:r>
      <w:r>
        <w:rPr>
          <w:rFonts w:hint="eastAsia"/>
          <w:color w:val="auto"/>
          <w:highlight w:val="none"/>
          <w:lang w:eastAsia="zh-CN"/>
        </w:rPr>
        <w:t>承担由此发生的费用</w:t>
      </w:r>
      <w:r>
        <w:rPr>
          <w:rFonts w:hint="eastAsia" w:ascii="宋体" w:hAnsi="宋体" w:eastAsia="宋体" w:cs="宋体"/>
          <w:color w:val="auto"/>
          <w:highlight w:val="none"/>
        </w:rPr>
        <w:t>。对施工中出现的质量问题或者验收不合格的工程，应当负责返工处理；对在保修范围和保修期限内发生质量问题的工程，应当履行保修义务。</w:t>
      </w:r>
    </w:p>
    <w:p w14:paraId="5A4DB8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4CF1D2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13.2.9承包人应当依法规范分包行为，并对承担的工程质量负总责，分包单位对分包合同范围内的工程质量负责。</w:t>
      </w:r>
    </w:p>
    <w:p w14:paraId="223298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13.2.10承包人驻工程现场机构应在现场驻地和重要的分部、分项工程施工现场设置明显的工程质量责任登记表公示牌。</w:t>
      </w:r>
    </w:p>
    <w:p w14:paraId="66C7FA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9" w:name="_Toc12254"/>
      <w:r>
        <w:rPr>
          <w:rFonts w:hint="eastAsia" w:ascii="宋体" w:hAnsi="宋体" w:eastAsia="宋体" w:cs="宋体"/>
          <w:b/>
          <w:bCs/>
          <w:color w:val="auto"/>
          <w:sz w:val="28"/>
          <w:szCs w:val="28"/>
          <w:highlight w:val="none"/>
        </w:rPr>
        <w:t>13.4监理人的质量检查</w:t>
      </w:r>
      <w:bookmarkEnd w:id="399"/>
    </w:p>
    <w:p w14:paraId="5B0520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84097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监理人及其委派的检验人员，应能进入工程现场，以及材料或工程设备的制造、加工或制配的车间和场所，包括不属于承包人的车间或场所进行检查，承包人应为此提供便利和协助。</w:t>
      </w:r>
    </w:p>
    <w:p w14:paraId="4AD2E9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D591B5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0" w:name="_Toc19260"/>
      <w:r>
        <w:rPr>
          <w:rFonts w:hint="eastAsia" w:ascii="宋体" w:hAnsi="宋体" w:eastAsia="宋体" w:cs="宋体"/>
          <w:b/>
          <w:bCs/>
          <w:color w:val="auto"/>
          <w:sz w:val="28"/>
          <w:szCs w:val="28"/>
          <w:highlight w:val="none"/>
        </w:rPr>
        <w:t>13.5工程隐蔽部位覆盖前的检查</w:t>
      </w:r>
      <w:bookmarkEnd w:id="400"/>
    </w:p>
    <w:p w14:paraId="0DCD50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13.5.1 项补充：</w:t>
      </w:r>
    </w:p>
    <w:p w14:paraId="71B40D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E2F0A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1" w:name="_Toc12524"/>
      <w:r>
        <w:rPr>
          <w:rFonts w:hint="eastAsia" w:ascii="宋体" w:hAnsi="宋体" w:eastAsia="宋体" w:cs="宋体"/>
          <w:b/>
          <w:bCs/>
          <w:color w:val="auto"/>
          <w:sz w:val="28"/>
          <w:szCs w:val="28"/>
          <w:highlight w:val="none"/>
        </w:rPr>
        <w:t>13.6清除不合格工程</w:t>
      </w:r>
      <w:bookmarkEnd w:id="401"/>
    </w:p>
    <w:p w14:paraId="423257B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13.6.1 项细化为：</w:t>
      </w:r>
    </w:p>
    <w:p w14:paraId="2DC6C0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23653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（2）如果承包人未在规定时间内执行监理人的指示，发包人有权雇用他人执行，由此增加的费用和（或）工期延误由承包人承担。</w:t>
      </w:r>
    </w:p>
    <w:p w14:paraId="7C9C9589">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2" w:name="_Toc122424472"/>
      <w:bookmarkStart w:id="403" w:name="_Toc122424223"/>
      <w:bookmarkStart w:id="404" w:name="_Toc12844"/>
      <w:r>
        <w:rPr>
          <w:rFonts w:hint="eastAsia" w:ascii="宋体" w:hAnsi="宋体" w:eastAsia="宋体" w:cs="宋体"/>
          <w:b/>
          <w:bCs/>
          <w:color w:val="auto"/>
          <w:sz w:val="32"/>
          <w:szCs w:val="32"/>
          <w:highlight w:val="none"/>
        </w:rPr>
        <w:t>14.试验和检验</w:t>
      </w:r>
      <w:bookmarkEnd w:id="402"/>
      <w:bookmarkEnd w:id="403"/>
      <w:bookmarkEnd w:id="404"/>
    </w:p>
    <w:p w14:paraId="5A5B4F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14.4 款：</w:t>
      </w:r>
    </w:p>
    <w:p w14:paraId="7A9784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5" w:name="_Toc19052"/>
      <w:r>
        <w:rPr>
          <w:rFonts w:hint="eastAsia" w:ascii="宋体" w:hAnsi="宋体" w:eastAsia="宋体" w:cs="宋体"/>
          <w:b/>
          <w:bCs/>
          <w:color w:val="auto"/>
          <w:sz w:val="28"/>
          <w:szCs w:val="28"/>
          <w:highlight w:val="none"/>
        </w:rPr>
        <w:t>14.4试验和检验费用</w:t>
      </w:r>
      <w:bookmarkEnd w:id="405"/>
    </w:p>
    <w:p w14:paraId="45B7A3C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（1）承包人应负责提供合同和技术规范规定的试验和检验所需的全部样品，并承担其费用。</w:t>
      </w:r>
    </w:p>
    <w:p w14:paraId="599D9D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（2）在合同中明确规定的试验和检验，包括无须在工程量清单中单独列项和已在工程量清单中单独列项的试验和检验，其试验和检验的费用由承包人承担。</w:t>
      </w:r>
    </w:p>
    <w:p w14:paraId="78814E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EA033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6" w:name="_Toc122424224"/>
      <w:bookmarkStart w:id="407" w:name="_Toc122424473"/>
      <w:bookmarkStart w:id="408" w:name="_Toc21724"/>
      <w:r>
        <w:rPr>
          <w:rFonts w:hint="eastAsia" w:ascii="宋体" w:hAnsi="宋体" w:eastAsia="宋体" w:cs="宋体"/>
          <w:b/>
          <w:bCs/>
          <w:color w:val="auto"/>
          <w:sz w:val="32"/>
          <w:szCs w:val="32"/>
          <w:highlight w:val="none"/>
        </w:rPr>
        <w:t>15.变更</w:t>
      </w:r>
      <w:bookmarkEnd w:id="406"/>
      <w:bookmarkEnd w:id="407"/>
      <w:bookmarkEnd w:id="408"/>
    </w:p>
    <w:p w14:paraId="430D428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9" w:name="_Toc1645"/>
      <w:r>
        <w:rPr>
          <w:rFonts w:hint="eastAsia" w:ascii="宋体" w:hAnsi="宋体" w:eastAsia="宋体" w:cs="宋体"/>
          <w:b/>
          <w:bCs/>
          <w:color w:val="auto"/>
          <w:sz w:val="28"/>
          <w:szCs w:val="28"/>
          <w:highlight w:val="none"/>
        </w:rPr>
        <w:t>15.1变更的范围和内容</w:t>
      </w:r>
      <w:bookmarkEnd w:id="409"/>
    </w:p>
    <w:p w14:paraId="4F3D54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本款第（1）项细化为：</w:t>
      </w:r>
    </w:p>
    <w:p w14:paraId="063C9FB2">
      <w:pPr>
        <w:pageBreakBefore w:val="0"/>
        <w:numPr>
          <w:ilvl w:val="0"/>
          <w:numId w:val="7"/>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取消合同中任何一项工作，但被取消的工作不能转由发包人或其他人实施，由于承包人违约造成的情况除外；</w:t>
      </w:r>
    </w:p>
    <w:p w14:paraId="042443A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本款第（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）项细化为：</w:t>
      </w:r>
    </w:p>
    <w:p w14:paraId="7E9EC54A">
      <w:pPr>
        <w:pageBreakBefore w:val="0"/>
        <w:numPr>
          <w:ilvl w:val="0"/>
          <w:numId w:val="7"/>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设计缺失、遗漏、差错等原因，增加、改变合同中任何一项工作的质量或其他特性；</w:t>
      </w:r>
    </w:p>
    <w:p w14:paraId="0C80852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0" w:name="_Toc24522"/>
      <w:r>
        <w:rPr>
          <w:rFonts w:hint="eastAsia" w:ascii="宋体" w:hAnsi="宋体" w:eastAsia="宋体" w:cs="宋体"/>
          <w:b/>
          <w:bCs/>
          <w:color w:val="auto"/>
          <w:sz w:val="28"/>
          <w:szCs w:val="28"/>
          <w:highlight w:val="none"/>
        </w:rPr>
        <w:t>15.3变更程序</w:t>
      </w:r>
      <w:bookmarkEnd w:id="410"/>
    </w:p>
    <w:p w14:paraId="32BE79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15.3.4 项：</w:t>
      </w:r>
    </w:p>
    <w:p w14:paraId="7C8A5F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本款补充第15.3.4项：</w:t>
      </w:r>
    </w:p>
    <w:p w14:paraId="253D5CD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15.3.4设计变更程序应执行《公路工程设计变更管理办法》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财政部门及发包人规定</w:t>
      </w:r>
      <w:r>
        <w:rPr>
          <w:rFonts w:hint="eastAsia" w:ascii="宋体" w:hAnsi="宋体" w:eastAsia="宋体" w:cs="宋体"/>
          <w:color w:val="auto"/>
          <w:highlight w:val="none"/>
        </w:rPr>
        <w:t>等相关文件的相关规定。</w:t>
      </w:r>
    </w:p>
    <w:p w14:paraId="06479B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1" w:name="_Toc10101"/>
      <w:r>
        <w:rPr>
          <w:rFonts w:hint="eastAsia" w:ascii="宋体" w:hAnsi="宋体" w:eastAsia="宋体" w:cs="宋体"/>
          <w:b/>
          <w:bCs/>
          <w:color w:val="auto"/>
          <w:sz w:val="28"/>
          <w:szCs w:val="28"/>
          <w:highlight w:val="none"/>
        </w:rPr>
        <w:t>15.4变更的估价原则</w:t>
      </w:r>
      <w:bookmarkEnd w:id="411"/>
    </w:p>
    <w:p w14:paraId="60586C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AE798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除项目专用合同条款另有约定外，因变更引起的价格调整按照本款约定处理。</w:t>
      </w:r>
    </w:p>
    <w:p w14:paraId="41C1A5BB">
      <w:pPr>
        <w:wordWrap w:val="0"/>
        <w:topLinePunct/>
        <w:adjustRightInd w:val="0"/>
        <w:spacing w:line="360" w:lineRule="auto"/>
        <w:ind w:firstLine="420"/>
        <w:rPr>
          <w:rFonts w:ascii="宋体" w:hAnsi="宋体" w:cs="宋体"/>
          <w:color w:val="auto"/>
          <w:szCs w:val="21"/>
          <w:highlight w:val="none"/>
        </w:rPr>
      </w:pPr>
      <w:bookmarkStart w:id="412" w:name="_Toc15193"/>
      <w:r>
        <w:rPr>
          <w:rFonts w:hint="eastAsia" w:ascii="宋体" w:hAnsi="宋体" w:cs="宋体"/>
          <w:color w:val="auto"/>
          <w:szCs w:val="21"/>
          <w:highlight w:val="none"/>
        </w:rPr>
        <w:t>15.4.1如果取消某项工作，则该项工作的总额价不予以支付；</w:t>
      </w:r>
    </w:p>
    <w:p w14:paraId="3A9DEEB4">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49010C4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71A2868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7FD0F0E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p w14:paraId="7A9507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15.5承包人的合理化建议</w:t>
      </w:r>
      <w:bookmarkEnd w:id="412"/>
    </w:p>
    <w:p w14:paraId="43C10D3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15.5.2 项约定为：</w:t>
      </w:r>
    </w:p>
    <w:p w14:paraId="3CFB650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承包人提出的合理化建议缩短了工期，发包人按第 11.6 款的规定给予奖励。</w:t>
      </w:r>
    </w:p>
    <w:p w14:paraId="350EFA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承包人提出的合理化建议降低了合同价格或者提高了工程经济效益的，发包人按项目专用合同条款数据表中规定的金额给予奖励。</w:t>
      </w:r>
    </w:p>
    <w:p w14:paraId="626D9EC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3" w:name="_Toc19567"/>
      <w:r>
        <w:rPr>
          <w:rFonts w:hint="eastAsia" w:ascii="宋体" w:hAnsi="宋体" w:eastAsia="宋体" w:cs="宋体"/>
          <w:b/>
          <w:bCs/>
          <w:color w:val="auto"/>
          <w:sz w:val="28"/>
          <w:szCs w:val="28"/>
          <w:highlight w:val="none"/>
        </w:rPr>
        <w:t>15.6暂列金额</w:t>
      </w:r>
      <w:bookmarkEnd w:id="413"/>
    </w:p>
    <w:p w14:paraId="447A67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4D389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15.6.1暂列金额应由监理人报发包人批准后指令全部或部分地使用，或者根本不予动用。</w:t>
      </w:r>
    </w:p>
    <w:p w14:paraId="579D81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AB920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15.6.3当监理人提出要求时，承包人应提供有关暂列金额支出的所有报价单、发票、凭证和账单或收据，除非该工作是根据已标价工程量清单列明的单价或总额价进行的估价。</w:t>
      </w:r>
    </w:p>
    <w:p w14:paraId="519F66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4" w:name="_Toc122424474"/>
      <w:bookmarkStart w:id="415" w:name="_Toc122424225"/>
      <w:bookmarkStart w:id="416" w:name="_Toc19095"/>
      <w:bookmarkStart w:id="417" w:name="_Toc13524"/>
      <w:r>
        <w:rPr>
          <w:rFonts w:hint="eastAsia" w:ascii="宋体" w:hAnsi="宋体" w:eastAsia="宋体" w:cs="宋体"/>
          <w:b/>
          <w:bCs/>
          <w:color w:val="auto"/>
          <w:sz w:val="32"/>
          <w:szCs w:val="32"/>
          <w:highlight w:val="none"/>
        </w:rPr>
        <w:t>16.价格调整</w:t>
      </w:r>
      <w:bookmarkEnd w:id="414"/>
      <w:bookmarkEnd w:id="415"/>
      <w:bookmarkEnd w:id="416"/>
    </w:p>
    <w:p w14:paraId="402D932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16.1物价波动引起的价格调整</w:t>
      </w:r>
      <w:bookmarkEnd w:id="417"/>
    </w:p>
    <w:p w14:paraId="0CB80A10">
      <w:pPr>
        <w:wordWrap w:val="0"/>
        <w:topLinePunct/>
        <w:adjustRightInd w:val="0"/>
        <w:spacing w:line="360" w:lineRule="auto"/>
        <w:ind w:firstLine="420"/>
        <w:rPr>
          <w:rFonts w:hint="eastAsia" w:ascii="宋体" w:hAnsi="宋体" w:eastAsia="宋体" w:cs="宋体"/>
          <w:color w:val="auto"/>
          <w:highlight w:val="none"/>
        </w:rPr>
      </w:pPr>
      <w:r>
        <w:rPr>
          <w:rFonts w:hint="eastAsia" w:ascii="宋体" w:hAnsi="宋体" w:cs="宋体"/>
          <w:color w:val="auto"/>
          <w:highlight w:val="none"/>
        </w:rPr>
        <w:t>本项目合同期内不调价。</w:t>
      </w:r>
    </w:p>
    <w:p w14:paraId="71515237">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8" w:name="_Toc122424226"/>
      <w:bookmarkStart w:id="419" w:name="_Toc7475"/>
      <w:bookmarkStart w:id="420" w:name="_Toc122424475"/>
      <w:r>
        <w:rPr>
          <w:rFonts w:hint="eastAsia" w:ascii="宋体" w:hAnsi="宋体" w:eastAsia="宋体" w:cs="宋体"/>
          <w:b/>
          <w:bCs/>
          <w:color w:val="auto"/>
          <w:sz w:val="32"/>
          <w:szCs w:val="32"/>
          <w:highlight w:val="none"/>
        </w:rPr>
        <w:t>17.计量与支付</w:t>
      </w:r>
      <w:bookmarkEnd w:id="418"/>
      <w:bookmarkEnd w:id="419"/>
      <w:bookmarkEnd w:id="420"/>
    </w:p>
    <w:p w14:paraId="4CC10F7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1" w:name="_Toc12101"/>
      <w:r>
        <w:rPr>
          <w:rFonts w:hint="eastAsia" w:ascii="宋体" w:hAnsi="宋体" w:eastAsia="宋体" w:cs="宋体"/>
          <w:b/>
          <w:bCs/>
          <w:color w:val="auto"/>
          <w:sz w:val="28"/>
          <w:szCs w:val="28"/>
          <w:highlight w:val="none"/>
        </w:rPr>
        <w:t>17.1计量</w:t>
      </w:r>
      <w:bookmarkEnd w:id="421"/>
    </w:p>
    <w:p w14:paraId="4D5420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17.1.2 计量方法</w:t>
      </w:r>
    </w:p>
    <w:p w14:paraId="0F2151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31210B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工程的计量应以净值为准，除非项目专用合同条款另有约定。工程量清单中各个子目的具体计量方法按本合同文件工程量清单计量规则中的规定执行。</w:t>
      </w:r>
    </w:p>
    <w:p w14:paraId="27D1A0C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17.1.4单价子目的计量</w:t>
      </w:r>
    </w:p>
    <w:p w14:paraId="51BB8A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6CD190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（7）承包人未在已标价工程量清单中填入单价或总额价的工程子目，将被认为其已包含在本合同的其他子目的单价和总额价中，发包人将不另行支付。</w:t>
      </w:r>
    </w:p>
    <w:p w14:paraId="501DE08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17.1.5总价子目的计量</w:t>
      </w:r>
    </w:p>
    <w:p w14:paraId="26B3F3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7D7611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本项目工程量清单中要求承包人以“总额”方式报价的子目，各子目的支付原则和支付进度按项目专用合同条款的规定执行。</w:t>
      </w:r>
    </w:p>
    <w:p w14:paraId="65A0117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2" w:name="_Toc5679"/>
      <w:r>
        <w:rPr>
          <w:rFonts w:hint="eastAsia" w:ascii="宋体" w:hAnsi="宋体" w:eastAsia="宋体" w:cs="宋体"/>
          <w:b/>
          <w:bCs/>
          <w:color w:val="auto"/>
          <w:sz w:val="28"/>
          <w:szCs w:val="28"/>
          <w:highlight w:val="none"/>
        </w:rPr>
        <w:t>17.2预付款</w:t>
      </w:r>
      <w:bookmarkEnd w:id="422"/>
    </w:p>
    <w:p w14:paraId="09C0B76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17.2.1预付款</w:t>
      </w:r>
    </w:p>
    <w:p w14:paraId="681D67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本项约定为：预付款包括开工预付款和材料、设备预付款。具体额度和预付办法如下：</w:t>
      </w:r>
    </w:p>
    <w:p w14:paraId="18013E3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（1）开工预付款的金额在项目专用合同条款数据表中约定。在承包人签订了合同协议书且承包人承诺的主要设备进场后，监理人应在当期进度付款证书中向承包人支付开工预付款。</w:t>
      </w:r>
    </w:p>
    <w:p w14:paraId="546466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承包人不得将该预付款用于与本工程无关的支出，监理人有权监督承包人对该项费用的使用，如经查实承包人滥用开工预付款，发包人有权立即向银行索赔履约保证金，并解除合同。</w:t>
      </w:r>
    </w:p>
    <w:p w14:paraId="54F0BC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（2）材料、设备预付款按项目专用合同条款数据表中所列主要材料、设备单据费用（进口的材料、设备为到岸价，国内采购的为出厂价或销售价，地方材料为堆场价）的百分比支付。其预付条件为：</w:t>
      </w:r>
    </w:p>
    <w:p w14:paraId="114440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a.材料、设备符合规范要求并经监理人认可；</w:t>
      </w:r>
    </w:p>
    <w:p w14:paraId="228962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b.承包人已出具材料、设备费用凭证或支付单据；</w:t>
      </w:r>
    </w:p>
    <w:p w14:paraId="439DC6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c.材料、设备已在现场交货，且存储良好，监理人认为材料、设备的存储方法符合要求。</w:t>
      </w:r>
    </w:p>
    <w:p w14:paraId="35D39F7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则监理人应将此项金额作为材料、设备预付款计入下一次的进度付款证书中。在预计交工前 3 个月，将不再支付材料、设备预付款。</w:t>
      </w:r>
    </w:p>
    <w:p w14:paraId="0FCBB670">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17.2.2预付款保函</w:t>
      </w:r>
    </w:p>
    <w:p w14:paraId="11641D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0AC1B9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w:t>
      </w:r>
      <w:r>
        <w:rPr>
          <w:rFonts w:hint="eastAsia" w:ascii="宋体" w:hAnsi="宋体" w:cs="宋体"/>
          <w:color w:val="auto"/>
          <w:highlight w:val="none"/>
          <w:u w:val="single"/>
          <w:lang w:val="en-US" w:eastAsia="zh-CN"/>
        </w:rPr>
        <w:t>在</w:t>
      </w:r>
      <w:r>
        <w:rPr>
          <w:rFonts w:hint="eastAsia" w:ascii="宋体" w:hAnsi="宋体" w:eastAsia="宋体" w:cs="宋体"/>
          <w:color w:val="auto"/>
          <w:sz w:val="21"/>
          <w:szCs w:val="21"/>
          <w:highlight w:val="none"/>
          <w:u w:val="single"/>
          <w:lang w:val="zh-CN" w:eastAsia="zh-CN" w:bidi="zh-CN"/>
        </w:rPr>
        <w:t>合同签订后5个工作日之内</w:t>
      </w:r>
      <w:r>
        <w:rPr>
          <w:rFonts w:hint="eastAsia" w:ascii="宋体" w:hAnsi="宋体" w:eastAsia="宋体" w:cs="宋体"/>
          <w:color w:val="auto"/>
          <w:highlight w:val="none"/>
        </w:rPr>
        <w:t>向发包人提交预付款保函。发包人向承包人支付的预付款，应按照本合同第 17.2.1 项规定使用，承包人提交的履约保证金对预付款的正常使用承担保证责任。</w:t>
      </w:r>
    </w:p>
    <w:p w14:paraId="4D1EA79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17.2.3预付款的扣回与还清</w:t>
      </w:r>
    </w:p>
    <w:p w14:paraId="2949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13885D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（1）开工预付款在进度付款证书的累计金额未达到签约合同价的30%之前不予扣回，在达到签约合同价30%之后，开始按工程进度以固定比例（即每完成签约合同价的 1%，扣回开工预付款的 2%）分期从各月的进度付款证书中扣回，全部金额在进度付款证书的累计金额达到签约合同价的 80%时扣完。</w:t>
      </w:r>
    </w:p>
    <w:p w14:paraId="0CE677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（2）当材料、设备已用于或安装在永久工程之中时，材料、设备预付款应从进度付款证书中扣回，扣回期不超过 3 个月。已经支付材料、设备预付款的材料、设备的所有权应属于发包人。</w:t>
      </w:r>
    </w:p>
    <w:p w14:paraId="47B2BE8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3" w:name="_Toc19967"/>
      <w:r>
        <w:rPr>
          <w:rFonts w:hint="eastAsia" w:ascii="宋体" w:hAnsi="宋体" w:eastAsia="宋体" w:cs="宋体"/>
          <w:b/>
          <w:bCs/>
          <w:color w:val="auto"/>
          <w:sz w:val="28"/>
          <w:szCs w:val="28"/>
          <w:highlight w:val="none"/>
        </w:rPr>
        <w:t>17.3工程进度付款</w:t>
      </w:r>
      <w:bookmarkEnd w:id="423"/>
    </w:p>
    <w:p w14:paraId="74D8E38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17.3.3 进度付款证书和支付时间</w:t>
      </w:r>
    </w:p>
    <w:p w14:paraId="09A72D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本项（1）目补充：</w:t>
      </w:r>
    </w:p>
    <w:p w14:paraId="7CC1CE2A">
      <w:pPr>
        <w:pageBreakBefore w:val="0"/>
        <w:numPr>
          <w:ilvl w:val="0"/>
          <w:numId w:val="0"/>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①甲方根据工程需要和工程进度情况，可支付至合同总价款的80%；②工程竣工验收达到合格质量要求后，支付至工程合同总价款的90%；③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④3%工程质量保证金，待工程质量保修期满后返还。本工程质量保质期为1年。在工程质量保质期内，若存在质量缺陷的，由乙方负责保修，费用由乙方负责，工程质量保质期从甲方验收合格后开始计算。</w:t>
      </w:r>
    </w:p>
    <w:p w14:paraId="0BB08DFF">
      <w:pPr>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注：每次付款前需承包人开具等额增值税发票，申请付款前需提供发票原件方可付款。</w:t>
      </w:r>
    </w:p>
    <w:p w14:paraId="4021511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05D9B5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发包人应在监理人收到进度付款申请单且承包人提交了合格的增值税发票后的 28 天内，将进度应付款支付给承包人。</w:t>
      </w:r>
    </w:p>
    <w:p w14:paraId="0BDC93D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527DF3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17.3.5 项：</w:t>
      </w:r>
    </w:p>
    <w:p w14:paraId="4F6CB4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17.3.5 农民工工资保证金</w:t>
      </w:r>
    </w:p>
    <w:p w14:paraId="3A94F8EE">
      <w:pPr>
        <w:pStyle w:val="46"/>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（1）为确保施工过程中农民工工资实时、足额发放到位，承包人应按照项目专用合同条款约定的时间和金额缴存农民工工资保证金。</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注：如是以工代赈的项目，每个项目按照不低于项目总造价20%的比例发放劳务报酬(其中脱贫劳动力劳务报酬不低于50%，具备条件的可提高劳务报酬资金占比）具体以政府文件为主</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w:t>
      </w:r>
    </w:p>
    <w:p w14:paraId="7B1956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在领取中标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通知书之日起10天内足额将农民工工资保障金转入相关部门设立的农民工工资保障金专用帐户。一旦其出现拖欠工程款导致无法按时足额支付农民工工资时，可由交通行政主管部门从工资保障金中先予列支。</w:t>
      </w:r>
    </w:p>
    <w:p w14:paraId="672530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（3）农民工工资保证金的扣留条件、返还时间按照项目专用合同条款的约定执行。</w:t>
      </w:r>
    </w:p>
    <w:p w14:paraId="733738C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4" w:name="_Toc21777"/>
      <w:r>
        <w:rPr>
          <w:rFonts w:hint="eastAsia" w:ascii="宋体" w:hAnsi="宋体" w:eastAsia="宋体" w:cs="宋体"/>
          <w:b/>
          <w:bCs/>
          <w:color w:val="auto"/>
          <w:sz w:val="28"/>
          <w:szCs w:val="28"/>
          <w:highlight w:val="none"/>
        </w:rPr>
        <w:t>17.4质量保证金</w:t>
      </w:r>
      <w:bookmarkEnd w:id="424"/>
    </w:p>
    <w:p w14:paraId="24D635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17.4.1 项、第 17.4.2 项细化为：</w:t>
      </w:r>
    </w:p>
    <w:p w14:paraId="5A26F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6746F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质量保证金采用现金、支票形式提交的，发包人应在项目专用合同条款数据表中明确是否计付利息以及利息的计算方式。 </w:t>
      </w:r>
    </w:p>
    <w:p w14:paraId="69094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D9C83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5" w:name="_Toc6086"/>
      <w:r>
        <w:rPr>
          <w:rFonts w:hint="eastAsia" w:ascii="宋体" w:hAnsi="宋体" w:eastAsia="宋体" w:cs="宋体"/>
          <w:b/>
          <w:bCs/>
          <w:color w:val="auto"/>
          <w:sz w:val="28"/>
          <w:szCs w:val="28"/>
          <w:highlight w:val="none"/>
        </w:rPr>
        <w:t>17.5交工结算</w:t>
      </w:r>
      <w:bookmarkEnd w:id="425"/>
    </w:p>
    <w:p w14:paraId="6ABD6B8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17.5.1交工付款申请单</w:t>
      </w:r>
    </w:p>
    <w:p w14:paraId="4A8CF2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52B13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承包人向监理人提交交工付款申请单（包括相关证明材料）的份数在项目专用合同条款数据表中约定；期限：交工验收证书签发后 42 天内。</w:t>
      </w:r>
    </w:p>
    <w:p w14:paraId="2F1B1A8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17.5.2交工付款证书及支付时间</w:t>
      </w:r>
    </w:p>
    <w:p w14:paraId="011743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829D6A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发包人应在监理人出具交工付款证书且承包人提交了合格的增值税发票后的 14 天内，将应支付款支付给承包人。发包人不按期支付的，按第 17.3.3（2）目的约定，将逾期付款违约金支付给承包人。</w:t>
      </w:r>
    </w:p>
    <w:p w14:paraId="6E8A6A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6" w:name="_Toc23963"/>
      <w:r>
        <w:rPr>
          <w:rFonts w:hint="eastAsia" w:ascii="宋体" w:hAnsi="宋体" w:eastAsia="宋体" w:cs="宋体"/>
          <w:b/>
          <w:bCs/>
          <w:color w:val="auto"/>
          <w:sz w:val="28"/>
          <w:szCs w:val="28"/>
          <w:highlight w:val="none"/>
        </w:rPr>
        <w:t>17.6最终结清</w:t>
      </w:r>
      <w:bookmarkEnd w:id="426"/>
    </w:p>
    <w:p w14:paraId="4AC35F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17.6.1最终结清申请单</w:t>
      </w:r>
    </w:p>
    <w:p w14:paraId="660227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683520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承包人向监理人提交最终结清申请单（包括相关证明材料）的份数在项目专用合同条款数据表中约定；期限：缺陷责任期终止证书签发后 28 天内。</w:t>
      </w:r>
    </w:p>
    <w:p w14:paraId="2CCA9CF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最终结清申请单中的总金额应认为是代表了根据合同规定应付给承包人的全部款项的最后结算。</w:t>
      </w:r>
    </w:p>
    <w:p w14:paraId="40C2050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17.6.2最终结清证书和支付时间</w:t>
      </w:r>
    </w:p>
    <w:p w14:paraId="27F268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0B3F44">
      <w:pPr>
        <w:pageBreakBefore w:val="0"/>
        <w:numPr>
          <w:ilvl w:val="0"/>
          <w:numId w:val="7"/>
        </w:numPr>
        <w:kinsoku/>
        <w:wordWrap/>
        <w:overflowPunct/>
        <w:topLinePunct w:val="0"/>
        <w:autoSpaceDE/>
        <w:autoSpaceDN/>
        <w:bidi w:val="0"/>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发包人应在监理人出具最终结清证书且承包人提交了合格的增值税发票后的 14 天内，将应支付款支付给承包人。发包人不按期支付的，按第 17.3.3（2） 目的约定，将逾期付款违约金支付给承包人。</w:t>
      </w:r>
    </w:p>
    <w:p w14:paraId="5F9A7E7C">
      <w:pPr>
        <w:pageBreakBefore w:val="0"/>
        <w:numPr>
          <w:ilvl w:val="0"/>
          <w:numId w:val="0"/>
        </w:numPr>
        <w:kinsoku/>
        <w:wordWrap/>
        <w:overflowPunct/>
        <w:topLinePunct w:val="0"/>
        <w:autoSpaceDE/>
        <w:autoSpaceDN/>
        <w:bidi w:val="0"/>
        <w:spacing w:line="360" w:lineRule="auto"/>
        <w:ind w:left="480"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注：</w:t>
      </w:r>
      <w:r>
        <w:rPr>
          <w:rFonts w:hint="eastAsia" w:ascii="宋体" w:hAnsi="宋体" w:eastAsia="宋体" w:cs="宋体"/>
          <w:color w:val="auto"/>
          <w:highlight w:val="none"/>
        </w:rPr>
        <w:t>最终结算费用以</w:t>
      </w:r>
      <w:r>
        <w:rPr>
          <w:rFonts w:hint="eastAsia" w:ascii="宋体" w:hAnsi="宋体" w:cs="宋体"/>
          <w:color w:val="auto"/>
          <w:highlight w:val="none"/>
          <w:lang w:val="en-US" w:eastAsia="zh-CN"/>
        </w:rPr>
        <w:t>上思县</w:t>
      </w:r>
      <w:r>
        <w:rPr>
          <w:rFonts w:hint="eastAsia" w:ascii="宋体" w:hAnsi="宋体" w:eastAsia="宋体" w:cs="宋体"/>
          <w:color w:val="auto"/>
          <w:highlight w:val="none"/>
        </w:rPr>
        <w:t>财政投资评审为准。</w:t>
      </w:r>
    </w:p>
    <w:p w14:paraId="212C0F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27" w:name="_Toc24882"/>
      <w:bookmarkStart w:id="428" w:name="_Toc122424476"/>
      <w:bookmarkStart w:id="429" w:name="_Toc122424227"/>
      <w:r>
        <w:rPr>
          <w:rFonts w:hint="eastAsia" w:ascii="宋体" w:hAnsi="宋体" w:eastAsia="宋体" w:cs="宋体"/>
          <w:b/>
          <w:bCs/>
          <w:color w:val="auto"/>
          <w:sz w:val="32"/>
          <w:szCs w:val="32"/>
          <w:highlight w:val="none"/>
        </w:rPr>
        <w:t>18.交工验收</w:t>
      </w:r>
      <w:bookmarkEnd w:id="427"/>
      <w:bookmarkEnd w:id="428"/>
      <w:bookmarkEnd w:id="429"/>
    </w:p>
    <w:p w14:paraId="72AC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0" w:name="_Toc6744"/>
      <w:r>
        <w:rPr>
          <w:rFonts w:hint="eastAsia" w:ascii="宋体" w:hAnsi="宋体" w:eastAsia="宋体" w:cs="宋体"/>
          <w:b/>
          <w:bCs/>
          <w:color w:val="auto"/>
          <w:sz w:val="28"/>
          <w:szCs w:val="28"/>
          <w:highlight w:val="none"/>
        </w:rPr>
        <w:t>18.2交工验收申请报告</w:t>
      </w:r>
      <w:bookmarkEnd w:id="430"/>
    </w:p>
    <w:p w14:paraId="607265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本款第（2）项约定为：</w:t>
      </w:r>
    </w:p>
    <w:p w14:paraId="629D9B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竣工资料的内容：承包人应按照《公路工程竣（交）工验收办法》和相关规定编制竣工资料。</w:t>
      </w:r>
    </w:p>
    <w:p w14:paraId="6DD4B1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竣工资料的份数在项目专用合同条款数据表中约定。</w:t>
      </w:r>
    </w:p>
    <w:p w14:paraId="223EC2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1" w:name="_Toc6549"/>
      <w:r>
        <w:rPr>
          <w:rFonts w:hint="eastAsia" w:ascii="宋体" w:hAnsi="宋体" w:eastAsia="宋体" w:cs="宋体"/>
          <w:b/>
          <w:bCs/>
          <w:color w:val="auto"/>
          <w:sz w:val="28"/>
          <w:szCs w:val="28"/>
          <w:highlight w:val="none"/>
        </w:rPr>
        <w:t>18.3验收</w:t>
      </w:r>
      <w:bookmarkEnd w:id="431"/>
    </w:p>
    <w:p w14:paraId="344A710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18.3.2 项补充：</w:t>
      </w:r>
    </w:p>
    <w:p w14:paraId="0677048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BD80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18.3.5 项约定为：</w:t>
      </w:r>
    </w:p>
    <w:p w14:paraId="113322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经验收合格工程的实际交工日期，以最终提交交工验收申请报告的日期为准， 并在交工验收证书中写明。</w:t>
      </w:r>
    </w:p>
    <w:p w14:paraId="617F6A0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18.3.7 项：</w:t>
      </w:r>
    </w:p>
    <w:p w14:paraId="0358D28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组织办理交工验收和签发交工验收证书的费用由发包人承担。但按照第 18.3.4项规定达不到合格标准的交工验收费用由承包人承担。</w:t>
      </w:r>
    </w:p>
    <w:p w14:paraId="315768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18.9 款：</w:t>
      </w:r>
    </w:p>
    <w:p w14:paraId="560DE91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2" w:name="_Toc30848"/>
      <w:r>
        <w:rPr>
          <w:rFonts w:hint="eastAsia" w:ascii="宋体" w:hAnsi="宋体" w:eastAsia="宋体" w:cs="宋体"/>
          <w:b/>
          <w:bCs/>
          <w:color w:val="auto"/>
          <w:sz w:val="28"/>
          <w:szCs w:val="28"/>
          <w:highlight w:val="none"/>
        </w:rPr>
        <w:t>18.9 竣工文件</w:t>
      </w:r>
      <w:bookmarkEnd w:id="432"/>
    </w:p>
    <w:p w14:paraId="4132D1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承包人应按照《公路工程竣（交）工验收办法》的相关规定，在缺陷责任期内为竣工验收补充竣工资料，并在签发缺陷责任期终止证书之前提交。</w:t>
      </w:r>
    </w:p>
    <w:p w14:paraId="1ED0E77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3" w:name="_Toc28618"/>
      <w:bookmarkStart w:id="434" w:name="_Toc122424228"/>
      <w:bookmarkStart w:id="435" w:name="_Toc122424477"/>
      <w:r>
        <w:rPr>
          <w:rFonts w:hint="eastAsia" w:ascii="宋体" w:hAnsi="宋体" w:eastAsia="宋体" w:cs="宋体"/>
          <w:b/>
          <w:bCs/>
          <w:color w:val="auto"/>
          <w:sz w:val="32"/>
          <w:szCs w:val="32"/>
          <w:highlight w:val="none"/>
        </w:rPr>
        <w:t>19.缺陷责任与保修责任</w:t>
      </w:r>
      <w:bookmarkEnd w:id="433"/>
      <w:bookmarkEnd w:id="434"/>
      <w:bookmarkEnd w:id="435"/>
    </w:p>
    <w:p w14:paraId="281510E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19.2.2 项补充：</w:t>
      </w:r>
    </w:p>
    <w:p w14:paraId="53B808E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在缺陷责任期内，承包人应尽快完成在交工验收证书中写明的未完成工作，并完成对本工程缺陷的修复或监理人指令的修补工作。</w:t>
      </w:r>
    </w:p>
    <w:p w14:paraId="28426DF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6" w:name="_Toc4092"/>
      <w:r>
        <w:rPr>
          <w:rFonts w:hint="eastAsia" w:ascii="宋体" w:hAnsi="宋体" w:eastAsia="宋体" w:cs="宋体"/>
          <w:b/>
          <w:bCs/>
          <w:color w:val="auto"/>
          <w:sz w:val="28"/>
          <w:szCs w:val="28"/>
          <w:highlight w:val="none"/>
        </w:rPr>
        <w:t>19.5 承包人的进入权</w:t>
      </w:r>
      <w:bookmarkEnd w:id="436"/>
    </w:p>
    <w:p w14:paraId="7371BF2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8177C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承包人在缺陷修复施工过程中，应服从管养单位的有关安全管理规定，由于承包人自身原因造成的人员伤亡、设备和材料的损毁及罚款等责任由承包人自负。</w:t>
      </w:r>
    </w:p>
    <w:p w14:paraId="31CED2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7" w:name="_Toc5798"/>
      <w:r>
        <w:rPr>
          <w:rFonts w:hint="eastAsia" w:ascii="宋体" w:hAnsi="宋体" w:eastAsia="宋体" w:cs="宋体"/>
          <w:b/>
          <w:bCs/>
          <w:color w:val="auto"/>
          <w:sz w:val="28"/>
          <w:szCs w:val="28"/>
          <w:highlight w:val="none"/>
        </w:rPr>
        <w:t>19.7保修责任</w:t>
      </w:r>
      <w:bookmarkEnd w:id="437"/>
    </w:p>
    <w:p w14:paraId="21527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50A7320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09C455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（2）在全部工程交工验收前，已经发包人提前验收的单位工程，其保修期的起算日期相应提前。</w:t>
      </w:r>
    </w:p>
    <w:p w14:paraId="0ED1B1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（3）工程保修期终止后 28 天内，监理人签发保修期终止证书。</w:t>
      </w:r>
    </w:p>
    <w:p w14:paraId="00CA1E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3EBC2D5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8" w:name="_Toc122424478"/>
      <w:bookmarkStart w:id="439" w:name="_Toc8342"/>
      <w:bookmarkStart w:id="440" w:name="_Toc122424229"/>
      <w:r>
        <w:rPr>
          <w:rFonts w:hint="eastAsia" w:ascii="宋体" w:hAnsi="宋体" w:eastAsia="宋体" w:cs="宋体"/>
          <w:b/>
          <w:bCs/>
          <w:color w:val="auto"/>
          <w:sz w:val="32"/>
          <w:szCs w:val="32"/>
          <w:highlight w:val="none"/>
        </w:rPr>
        <w:t>20.保险</w:t>
      </w:r>
      <w:bookmarkEnd w:id="438"/>
      <w:bookmarkEnd w:id="439"/>
      <w:bookmarkEnd w:id="440"/>
    </w:p>
    <w:p w14:paraId="04079D5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1" w:name="_Toc28143"/>
      <w:r>
        <w:rPr>
          <w:rFonts w:hint="eastAsia" w:ascii="宋体" w:hAnsi="宋体" w:eastAsia="宋体" w:cs="宋体"/>
          <w:b/>
          <w:bCs/>
          <w:color w:val="auto"/>
          <w:sz w:val="28"/>
          <w:szCs w:val="28"/>
          <w:highlight w:val="none"/>
        </w:rPr>
        <w:t>20.1工程保险</w:t>
      </w:r>
      <w:bookmarkEnd w:id="441"/>
    </w:p>
    <w:p w14:paraId="683C508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07D5AF1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建筑工程一切险的投保内容：为本合同工程的永久工程、临时工程和设备及已运至施工工地用于永久工程的材料和设备所投的保险。</w:t>
      </w:r>
    </w:p>
    <w:p w14:paraId="55F0867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保险金额：工程量清单第 100 章（不含建筑工程一切险及第三者责任险的保险费）至第 700 章的合计金额。</w:t>
      </w:r>
    </w:p>
    <w:p w14:paraId="30C99D0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保险费率：在项目专用合同条款数据表中约定。</w:t>
      </w:r>
    </w:p>
    <w:p w14:paraId="243400A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保险期限：开工日起直至本合同工程签发缺陷责任期终止证书止（即合同工期＋缺陷责任期）。</w:t>
      </w:r>
    </w:p>
    <w:p w14:paraId="1CA36F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建筑工程一切险费用已包含在各细目单价中，发包人不单独支付。</w:t>
      </w:r>
    </w:p>
    <w:p w14:paraId="639E333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2" w:name="_Toc13719"/>
      <w:r>
        <w:rPr>
          <w:rFonts w:hint="eastAsia" w:ascii="宋体" w:hAnsi="宋体" w:eastAsia="宋体" w:cs="宋体"/>
          <w:b/>
          <w:bCs/>
          <w:color w:val="auto"/>
          <w:sz w:val="28"/>
          <w:szCs w:val="28"/>
          <w:highlight w:val="none"/>
        </w:rPr>
        <w:t>20.4第三者责任险</w:t>
      </w:r>
      <w:bookmarkEnd w:id="442"/>
    </w:p>
    <w:p w14:paraId="758697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20.4.2 项补充：</w:t>
      </w:r>
    </w:p>
    <w:p w14:paraId="57B7E5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第三者责任险的保险费由承包人报价时列入工程量清单第 100 章内。发包人在接到保险单后，将按照保险单的费用直接向承包人支付。</w:t>
      </w:r>
    </w:p>
    <w:p w14:paraId="7326F34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3" w:name="_Toc15357"/>
      <w:r>
        <w:rPr>
          <w:rFonts w:hint="eastAsia" w:ascii="宋体" w:hAnsi="宋体" w:eastAsia="宋体" w:cs="宋体"/>
          <w:b/>
          <w:bCs/>
          <w:color w:val="auto"/>
          <w:sz w:val="28"/>
          <w:szCs w:val="28"/>
          <w:highlight w:val="none"/>
        </w:rPr>
        <w:t>20.5其他保险</w:t>
      </w:r>
      <w:bookmarkEnd w:id="443"/>
    </w:p>
    <w:p w14:paraId="7C2EC2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764B8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承包人应为其施工设备等办理保险，其投保金额应足以现场重置。办理本款保险的一切费用均由承包人承担，并包括在工程量清单的单价及总额价中，发包人不单独支付。</w:t>
      </w:r>
    </w:p>
    <w:p w14:paraId="51769A9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4" w:name="_Toc2908"/>
      <w:r>
        <w:rPr>
          <w:rFonts w:hint="eastAsia" w:ascii="宋体" w:hAnsi="宋体" w:eastAsia="宋体" w:cs="宋体"/>
          <w:b/>
          <w:bCs/>
          <w:color w:val="auto"/>
          <w:sz w:val="28"/>
          <w:szCs w:val="28"/>
          <w:highlight w:val="none"/>
        </w:rPr>
        <w:t>20.6对各项保险的一般要求</w:t>
      </w:r>
      <w:bookmarkEnd w:id="444"/>
    </w:p>
    <w:p w14:paraId="794A21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20.6.1保险凭证</w:t>
      </w:r>
    </w:p>
    <w:p w14:paraId="325D94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09EC99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承包人向发包人提交各项保险生效的证据和保险单副本的期限：开工后 56 天内。</w:t>
      </w:r>
    </w:p>
    <w:p w14:paraId="037DF6E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20.6.3持续保险</w:t>
      </w:r>
    </w:p>
    <w:p w14:paraId="3E0DC3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1C834E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在整个合同期内，承包人应按合同条款规定保证足够的保险额。</w:t>
      </w:r>
    </w:p>
    <w:p w14:paraId="050127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20.6.4保险金不足的补偿</w:t>
      </w:r>
    </w:p>
    <w:p w14:paraId="312759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10CF42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保险金不足以补偿损失的（包括免赔额和超过赔偿限额的部分），应由承包人和（或）发包人按合同约定负责补偿。</w:t>
      </w:r>
    </w:p>
    <w:p w14:paraId="0C61122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20.6.5未按约定投保的补救</w:t>
      </w:r>
    </w:p>
    <w:p w14:paraId="5CCF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13D2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AB87AD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5" w:name="_Toc122424230"/>
      <w:bookmarkStart w:id="446" w:name="_Toc122424479"/>
      <w:bookmarkStart w:id="447" w:name="_Toc17781"/>
      <w:r>
        <w:rPr>
          <w:rFonts w:hint="eastAsia" w:ascii="宋体" w:hAnsi="宋体" w:eastAsia="宋体" w:cs="宋体"/>
          <w:b/>
          <w:bCs/>
          <w:color w:val="auto"/>
          <w:sz w:val="32"/>
          <w:szCs w:val="32"/>
          <w:highlight w:val="none"/>
        </w:rPr>
        <w:t>21.不可抗力</w:t>
      </w:r>
      <w:bookmarkEnd w:id="445"/>
      <w:bookmarkEnd w:id="446"/>
      <w:bookmarkEnd w:id="447"/>
    </w:p>
    <w:p w14:paraId="26A4518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8" w:name="_Toc28344"/>
      <w:r>
        <w:rPr>
          <w:rFonts w:hint="eastAsia" w:ascii="宋体" w:hAnsi="宋体" w:eastAsia="宋体" w:cs="宋体"/>
          <w:b/>
          <w:bCs/>
          <w:color w:val="auto"/>
          <w:sz w:val="28"/>
          <w:szCs w:val="28"/>
          <w:highlight w:val="none"/>
        </w:rPr>
        <w:t>21.1不可抗力的确认</w:t>
      </w:r>
      <w:bookmarkEnd w:id="448"/>
    </w:p>
    <w:p w14:paraId="0645ADE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21.1.1 项细化为：</w:t>
      </w:r>
    </w:p>
    <w:p w14:paraId="4B2A08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不可抗力是指承包人和发包人在订立合同时不可预见，在工程施工过程中不可避免发生并不能克服的自然灾害和社会性突发事件。包括但不限于：</w:t>
      </w:r>
    </w:p>
    <w:p w14:paraId="40FA1E5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（1）地震、海啸、火山爆发、泥石流、暴雨（雪）、台风、龙卷风、水灾等自然灾害；</w:t>
      </w:r>
    </w:p>
    <w:p w14:paraId="700506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（2）战争、骚乱、暴动，但纯属承包人或其分包人派遣与雇用的人员由于本 合同工程施工原因引起者除外；</w:t>
      </w:r>
    </w:p>
    <w:p w14:paraId="62796E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（3）核反应、辐射或放射性污染；</w:t>
      </w:r>
    </w:p>
    <w:p w14:paraId="788DA2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（4）空中飞行物体坠落或非发包人或承包人责任造成的爆炸、火灾；</w:t>
      </w:r>
    </w:p>
    <w:p w14:paraId="07C1F73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（5）瘟疫；</w:t>
      </w:r>
    </w:p>
    <w:p w14:paraId="6E9543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（6）项目专用合同条款约定的其他情形。</w:t>
      </w:r>
    </w:p>
    <w:p w14:paraId="08284A3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9" w:name="_Toc15289"/>
      <w:r>
        <w:rPr>
          <w:rFonts w:hint="eastAsia" w:ascii="宋体" w:hAnsi="宋体" w:eastAsia="宋体" w:cs="宋体"/>
          <w:b/>
          <w:bCs/>
          <w:color w:val="auto"/>
          <w:sz w:val="28"/>
          <w:szCs w:val="28"/>
          <w:highlight w:val="none"/>
        </w:rPr>
        <w:t>21.3 不可抗力后果及其处理</w:t>
      </w:r>
      <w:bookmarkEnd w:id="449"/>
    </w:p>
    <w:p w14:paraId="52058C1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21.3.4 因不可抗力解除合同</w:t>
      </w:r>
    </w:p>
    <w:p w14:paraId="757C64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ECEB8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50A7C2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0" w:name="_Toc122424480"/>
      <w:bookmarkStart w:id="451" w:name="_Toc19467"/>
      <w:bookmarkStart w:id="452" w:name="_Toc122424231"/>
      <w:r>
        <w:rPr>
          <w:rFonts w:hint="eastAsia" w:ascii="宋体" w:hAnsi="宋体" w:eastAsia="宋体" w:cs="宋体"/>
          <w:b/>
          <w:bCs/>
          <w:color w:val="auto"/>
          <w:sz w:val="32"/>
          <w:szCs w:val="32"/>
          <w:highlight w:val="none"/>
        </w:rPr>
        <w:t>22.违约</w:t>
      </w:r>
      <w:bookmarkEnd w:id="450"/>
      <w:bookmarkEnd w:id="451"/>
      <w:bookmarkEnd w:id="452"/>
    </w:p>
    <w:p w14:paraId="35B2AF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3" w:name="_Toc4"/>
      <w:r>
        <w:rPr>
          <w:rFonts w:hint="eastAsia" w:ascii="宋体" w:hAnsi="宋体" w:eastAsia="宋体" w:cs="宋体"/>
          <w:b/>
          <w:bCs/>
          <w:color w:val="auto"/>
          <w:sz w:val="28"/>
          <w:szCs w:val="28"/>
          <w:highlight w:val="none"/>
        </w:rPr>
        <w:t>22.1承包人违约</w:t>
      </w:r>
      <w:bookmarkEnd w:id="453"/>
    </w:p>
    <w:p w14:paraId="5F8E926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22.1.1承包人违约的情形</w:t>
      </w:r>
    </w:p>
    <w:p w14:paraId="390EF2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16F5A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 5.3 款或第 6.4 款的约定，未经监理人批准，私自将已按合同约定进入施工场地的施工设备、临时设施、材料或工程设备撤离施工场地；</w:t>
      </w:r>
    </w:p>
    <w:p w14:paraId="6EBAE8B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本项（7）目细化为：</w:t>
      </w:r>
    </w:p>
    <w:p w14:paraId="323E7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（7）承包人未能按期开工；</w:t>
      </w:r>
    </w:p>
    <w:p w14:paraId="5214541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（8）承包人违反第 4.6 款或第 6.3 款的规定，未按承诺或未按监理人的要求及时配备称职的主要管理人员、技术骨干或关键施工设备；</w:t>
      </w:r>
    </w:p>
    <w:p w14:paraId="19FA8B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（9）经监理人和发包人检查，发现承包人有安全问题或有违反安全管理规章制度的情况；</w:t>
      </w:r>
    </w:p>
    <w:p w14:paraId="6111CEC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（10）承包人不按合同约定履行义务的其他情况。</w:t>
      </w:r>
    </w:p>
    <w:p w14:paraId="77EA30A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22.1.2对承包人违约的处理</w:t>
      </w:r>
    </w:p>
    <w:p w14:paraId="03F310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52EE96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6916A41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4" w:name="_Toc5245"/>
      <w:r>
        <w:rPr>
          <w:rFonts w:hint="eastAsia" w:ascii="宋体" w:hAnsi="宋体" w:eastAsia="宋体" w:cs="宋体"/>
          <w:b/>
          <w:bCs/>
          <w:color w:val="auto"/>
          <w:sz w:val="28"/>
          <w:szCs w:val="28"/>
          <w:highlight w:val="none"/>
        </w:rPr>
        <w:t>22.2发包人违约</w:t>
      </w:r>
      <w:bookmarkEnd w:id="454"/>
    </w:p>
    <w:p w14:paraId="3E5E2AA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22.2.1发包人违约的情形</w:t>
      </w:r>
    </w:p>
    <w:p w14:paraId="53C6947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本项（5）目细化为：</w:t>
      </w:r>
    </w:p>
    <w:p w14:paraId="2D5BAE6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（5）发包人无正当理由不按时返还履约保证金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rPr>
        <w:t>、质量保证金或农民工工资保证金的；</w:t>
      </w:r>
    </w:p>
    <w:p w14:paraId="5A6E03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（6）发包人不履行合同约定其他义务的。</w:t>
      </w:r>
    </w:p>
    <w:p w14:paraId="5CDFF2E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22.2.4 解除合同后的付款</w:t>
      </w:r>
    </w:p>
    <w:p w14:paraId="5AD63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2445FF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（2）承包人为该工程施工订购并已付款的材料、工程设备和其他物品的金额。发包人付款后，该材料、工程设备和其他物品归发包人所有；</w:t>
      </w:r>
    </w:p>
    <w:p w14:paraId="6AD56FB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5" w:name="_Toc122424481"/>
      <w:bookmarkStart w:id="456" w:name="_Toc26706"/>
      <w:bookmarkStart w:id="457" w:name="_Toc122424232"/>
      <w:r>
        <w:rPr>
          <w:rFonts w:hint="eastAsia" w:ascii="宋体" w:hAnsi="宋体" w:eastAsia="宋体" w:cs="宋体"/>
          <w:b/>
          <w:bCs/>
          <w:color w:val="auto"/>
          <w:sz w:val="32"/>
          <w:szCs w:val="32"/>
          <w:highlight w:val="none"/>
        </w:rPr>
        <w:t>23.索赔</w:t>
      </w:r>
      <w:bookmarkEnd w:id="455"/>
      <w:bookmarkEnd w:id="456"/>
      <w:bookmarkEnd w:id="457"/>
    </w:p>
    <w:p w14:paraId="3740670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8" w:name="_Toc4552"/>
      <w:r>
        <w:rPr>
          <w:rFonts w:hint="eastAsia" w:ascii="宋体" w:hAnsi="宋体" w:eastAsia="宋体" w:cs="宋体"/>
          <w:b/>
          <w:bCs/>
          <w:color w:val="auto"/>
          <w:sz w:val="28"/>
          <w:szCs w:val="28"/>
          <w:highlight w:val="none"/>
        </w:rPr>
        <w:t>23.1承包人索赔的提出</w:t>
      </w:r>
      <w:bookmarkEnd w:id="458"/>
    </w:p>
    <w:p w14:paraId="3BCA17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本款第（4）项细化为：</w:t>
      </w:r>
    </w:p>
    <w:p w14:paraId="0B2D18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 28 天内，承包人应向监理人递交最终索赔通知书，说明最终要求索赔的追加付款金额和（或）延长的工期，并附必要的记录和证明材料。</w:t>
      </w:r>
    </w:p>
    <w:p w14:paraId="5AB9EB4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9" w:name="_Toc23671"/>
      <w:r>
        <w:rPr>
          <w:rFonts w:hint="eastAsia" w:ascii="宋体" w:hAnsi="宋体" w:eastAsia="宋体" w:cs="宋体"/>
          <w:b/>
          <w:bCs/>
          <w:color w:val="auto"/>
          <w:sz w:val="28"/>
          <w:szCs w:val="28"/>
          <w:highlight w:val="none"/>
        </w:rPr>
        <w:t>23.2承包人索赔处理程序</w:t>
      </w:r>
      <w:bookmarkEnd w:id="459"/>
    </w:p>
    <w:p w14:paraId="4B4C40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本款第（2）项细化为：</w:t>
      </w:r>
    </w:p>
    <w:p w14:paraId="6AE7997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36AB204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60" w:name="_Toc122424482"/>
      <w:bookmarkStart w:id="461" w:name="_Toc17764"/>
      <w:bookmarkStart w:id="462" w:name="_Toc122424233"/>
      <w:r>
        <w:rPr>
          <w:rFonts w:hint="eastAsia" w:ascii="宋体" w:hAnsi="宋体" w:eastAsia="宋体" w:cs="宋体"/>
          <w:b/>
          <w:bCs/>
          <w:color w:val="auto"/>
          <w:sz w:val="32"/>
          <w:szCs w:val="32"/>
          <w:highlight w:val="none"/>
        </w:rPr>
        <w:t>24.争议的解决</w:t>
      </w:r>
      <w:bookmarkEnd w:id="460"/>
      <w:bookmarkEnd w:id="461"/>
      <w:bookmarkEnd w:id="462"/>
    </w:p>
    <w:p w14:paraId="19B5843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3" w:name="_Toc5407"/>
      <w:r>
        <w:rPr>
          <w:rFonts w:hint="eastAsia" w:ascii="宋体" w:hAnsi="宋体" w:eastAsia="宋体" w:cs="宋体"/>
          <w:b/>
          <w:bCs/>
          <w:color w:val="auto"/>
          <w:sz w:val="28"/>
          <w:szCs w:val="28"/>
          <w:highlight w:val="none"/>
        </w:rPr>
        <w:t>24.3争议评审</w:t>
      </w:r>
      <w:bookmarkEnd w:id="463"/>
    </w:p>
    <w:p w14:paraId="4F02F7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24.3.1 项补充：</w:t>
      </w:r>
    </w:p>
    <w:p w14:paraId="7FE392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2C593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24.4 款、第 24.5 款（适用于采用仲裁方式最终解决争议的项目）：</w:t>
      </w:r>
    </w:p>
    <w:p w14:paraId="406E6BD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4" w:name="_Toc5661"/>
      <w:r>
        <w:rPr>
          <w:rFonts w:hint="eastAsia" w:ascii="宋体" w:hAnsi="宋体" w:eastAsia="宋体" w:cs="宋体"/>
          <w:b/>
          <w:bCs/>
          <w:color w:val="auto"/>
          <w:sz w:val="28"/>
          <w:szCs w:val="28"/>
          <w:highlight w:val="none"/>
        </w:rPr>
        <w:t>24.4仲裁</w:t>
      </w:r>
      <w:bookmarkEnd w:id="464"/>
    </w:p>
    <w:p w14:paraId="2DE59935">
      <w:pPr>
        <w:pageBreakBefore w:val="0"/>
        <w:numPr>
          <w:ilvl w:val="0"/>
          <w:numId w:val="8"/>
        </w:numPr>
        <w:kinsoku/>
        <w:wordWrap/>
        <w:overflowPunct/>
        <w:topLinePunct w:val="0"/>
        <w:autoSpaceDE/>
        <w:autoSpaceDN/>
        <w:bidi w:val="0"/>
        <w:spacing w:line="360" w:lineRule="auto"/>
        <w:ind w:left="210" w:leftChars="100" w:firstLine="268" w:firstLineChars="128"/>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对于未能友好解决或未能通过争议评审解决的争议，发包人或承包人任一方均有权提交给第 </w:t>
      </w:r>
    </w:p>
    <w:p w14:paraId="4ADEA6EB">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24.1 款约定的仲裁委员会仲裁。</w:t>
      </w:r>
    </w:p>
    <w:p w14:paraId="2D84D45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6E7D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（3）仲裁裁决是终局性的并对发包人和承包人双方具有约束力。</w:t>
      </w:r>
    </w:p>
    <w:p w14:paraId="08C60D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（4）全部仲裁费用应由败诉方承担；或按仲裁委员会裁决的比例分担。</w:t>
      </w:r>
    </w:p>
    <w:p w14:paraId="76048DC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5" w:name="_Toc21379"/>
      <w:r>
        <w:rPr>
          <w:rFonts w:hint="eastAsia" w:ascii="宋体" w:hAnsi="宋体" w:eastAsia="宋体" w:cs="宋体"/>
          <w:b/>
          <w:bCs/>
          <w:color w:val="auto"/>
          <w:sz w:val="28"/>
          <w:szCs w:val="28"/>
          <w:highlight w:val="none"/>
        </w:rPr>
        <w:t>24.5仲裁的执行</w:t>
      </w:r>
      <w:bookmarkEnd w:id="465"/>
    </w:p>
    <w:p w14:paraId="37119060">
      <w:pPr>
        <w:pageBreakBefore w:val="0"/>
        <w:numPr>
          <w:ilvl w:val="0"/>
          <w:numId w:val="9"/>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任何一方不履行仲裁机构的裁决的，对方可以向有管辖权的人民法院申请执行。</w:t>
      </w:r>
    </w:p>
    <w:p w14:paraId="50C1D67F">
      <w:pPr>
        <w:pageBreakBefore w:val="0"/>
        <w:numPr>
          <w:ilvl w:val="0"/>
          <w:numId w:val="9"/>
        </w:numPr>
        <w:kinsoku/>
        <w:wordWrap/>
        <w:overflowPunct/>
        <w:topLinePunct w:val="0"/>
        <w:autoSpaceDE/>
        <w:autoSpaceDN/>
        <w:bidi w:val="0"/>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ascii="宋体" w:hAnsi="宋体" w:eastAsia="宋体" w:cs="宋体"/>
          <w:color w:val="auto"/>
          <w:kern w:val="0"/>
          <w:highlight w:val="none"/>
        </w:rPr>
        <w:t xml:space="preserve"> </w:t>
      </w:r>
    </w:p>
    <w:p w14:paraId="22F5729B">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9CA0D7">
      <w:pPr>
        <w:pStyle w:val="3"/>
        <w:adjustRightInd w:val="0"/>
        <w:snapToGri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7EFA513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说</w:t>
      </w:r>
      <w:r>
        <w:rPr>
          <w:rFonts w:hint="eastAsia" w:ascii="宋体" w:hAnsi="宋体" w:eastAsia="宋体" w:cs="宋体"/>
          <w:color w:val="auto"/>
          <w:highlight w:val="none"/>
        </w:rPr>
        <w:tab/>
      </w:r>
      <w:r>
        <w:rPr>
          <w:rFonts w:hint="eastAsia" w:ascii="宋体" w:hAnsi="宋体" w:eastAsia="宋体" w:cs="宋体"/>
          <w:color w:val="auto"/>
          <w:highlight w:val="none"/>
        </w:rPr>
        <w:t>明：</w:t>
      </w:r>
    </w:p>
    <w:p w14:paraId="353388D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1.采购人在编制项目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109E4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2.项目专用合同条款的编号应与通用合同条款和公路工程专用合同条款一致。</w:t>
      </w:r>
    </w:p>
    <w:p w14:paraId="32CEBAA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3.项目专用合同条款可对下列内容进行补充和细化：</w:t>
      </w:r>
    </w:p>
    <w:p w14:paraId="6AA7E90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（1）“通用合同条款”中明确指出“专用合同条款”可对“通用合同条款”进行修改</w:t>
      </w:r>
    </w:p>
    <w:p w14:paraId="2463C7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的内容（在“通用合同条款”中用“应按合同约定”“应按专用合同条款约定”“除合同另有约定外”“除专用合同条款另有约定外”“在专用合同条款中约定”等多种文字形式表达）；</w:t>
      </w:r>
    </w:p>
    <w:p w14:paraId="44A1845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43765DFD">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其他需要补充、细化的内容。</w:t>
      </w:r>
    </w:p>
    <w:p w14:paraId="52D1A509">
      <w:pPr>
        <w:pStyle w:val="4"/>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66" w:name="_Toc122424484"/>
      <w:bookmarkStart w:id="467" w:name="_Toc122424235"/>
      <w:bookmarkStart w:id="468" w:name="_Toc24603"/>
      <w:r>
        <w:rPr>
          <w:rFonts w:hint="eastAsia" w:ascii="宋体" w:hAnsi="宋体" w:eastAsia="宋体" w:cs="宋体"/>
          <w:color w:val="auto"/>
          <w:highlight w:val="none"/>
        </w:rPr>
        <w:t>项目专用合同条款数据表</w:t>
      </w:r>
      <w:bookmarkEnd w:id="466"/>
      <w:bookmarkEnd w:id="467"/>
      <w:bookmarkEnd w:id="468"/>
    </w:p>
    <w:p w14:paraId="5822AE05">
      <w:pPr>
        <w:spacing w:line="360" w:lineRule="auto"/>
        <w:ind w:firstLine="480"/>
        <w:rPr>
          <w:rFonts w:hint="eastAsia" w:ascii="宋体" w:hAnsi="宋体" w:eastAsia="宋体" w:cs="宋体"/>
          <w:color w:val="auto"/>
          <w:highlight w:val="none"/>
        </w:rPr>
      </w:pPr>
    </w:p>
    <w:p w14:paraId="3D835A55">
      <w:pPr>
        <w:spacing w:line="360" w:lineRule="auto"/>
        <w:ind w:firstLine="480"/>
        <w:rPr>
          <w:rFonts w:hint="eastAsia" w:ascii="宋体" w:hAnsi="宋体" w:eastAsia="宋体" w:cs="宋体"/>
          <w:color w:val="auto"/>
          <w:highlight w:val="none"/>
        </w:rPr>
      </w:pPr>
      <w:bookmarkStart w:id="469" w:name="_Toc20394"/>
      <w:bookmarkStart w:id="470" w:name="_Toc122424485"/>
      <w:bookmarkStart w:id="471" w:name="_Toc122424236"/>
      <w:bookmarkStart w:id="472" w:name="_Toc19149"/>
      <w:r>
        <w:rPr>
          <w:rFonts w:hint="eastAsia" w:ascii="宋体" w:hAnsi="宋体" w:eastAsia="宋体" w:cs="宋体"/>
          <w:color w:val="auto"/>
          <w:highlight w:val="none"/>
        </w:rPr>
        <w:t>说明：本数据表是项目专用合同条款中适用于本项目的信息和数据的归纳与提示， 是项目专用合同条款的组成部分。编写磋商文件的单位应仔细校核，不使数据出现差错或不一致。</w:t>
      </w:r>
    </w:p>
    <w:p w14:paraId="10E8BB4F">
      <w:pPr>
        <w:pStyle w:val="18"/>
        <w:rPr>
          <w:rFonts w:hint="eastAsia" w:ascii="宋体" w:hAnsi="宋体" w:eastAsia="宋体" w:cs="宋体"/>
          <w:color w:val="auto"/>
          <w:highlight w:val="none"/>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F1C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noWrap w:val="0"/>
            <w:vAlign w:val="center"/>
          </w:tcPr>
          <w:p w14:paraId="67AB1D3A">
            <w:pPr>
              <w:pStyle w:val="39"/>
              <w:spacing w:before="90" w:line="250" w:lineRule="exact"/>
              <w:ind w:left="83" w:right="7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111" w:type="dxa"/>
            <w:noWrap w:val="0"/>
            <w:vAlign w:val="center"/>
          </w:tcPr>
          <w:p w14:paraId="63E74C70">
            <w:pPr>
              <w:pStyle w:val="39"/>
              <w:spacing w:before="90" w:line="250" w:lineRule="exact"/>
              <w:ind w:left="84" w:right="7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条目号</w:t>
            </w:r>
          </w:p>
        </w:tc>
        <w:tc>
          <w:tcPr>
            <w:tcW w:w="7305" w:type="dxa"/>
            <w:noWrap w:val="0"/>
            <w:vAlign w:val="center"/>
          </w:tcPr>
          <w:p w14:paraId="48AB210B">
            <w:pPr>
              <w:pStyle w:val="39"/>
              <w:spacing w:before="90" w:line="250" w:lineRule="exact"/>
              <w:ind w:left="3106" w:right="309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信息或数据</w:t>
            </w:r>
          </w:p>
        </w:tc>
      </w:tr>
      <w:tr w14:paraId="18B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noWrap w:val="0"/>
            <w:vAlign w:val="center"/>
          </w:tcPr>
          <w:p w14:paraId="78C18521">
            <w:pPr>
              <w:pStyle w:val="39"/>
              <w:spacing w:before="11"/>
              <w:rPr>
                <w:rFonts w:hint="eastAsia" w:ascii="宋体" w:hAnsi="宋体" w:eastAsia="宋体" w:cs="宋体"/>
                <w:color w:val="auto"/>
                <w:highlight w:val="none"/>
              </w:rPr>
            </w:pPr>
          </w:p>
          <w:p w14:paraId="7E597371">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11" w:type="dxa"/>
            <w:noWrap w:val="0"/>
            <w:vAlign w:val="center"/>
          </w:tcPr>
          <w:p w14:paraId="299426A9">
            <w:pPr>
              <w:pStyle w:val="39"/>
              <w:spacing w:before="11"/>
              <w:rPr>
                <w:rFonts w:hint="eastAsia" w:ascii="宋体" w:hAnsi="宋体" w:eastAsia="宋体" w:cs="宋体"/>
                <w:color w:val="auto"/>
                <w:highlight w:val="none"/>
              </w:rPr>
            </w:pPr>
          </w:p>
          <w:p w14:paraId="60DA8077">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1.1.2.2</w:t>
            </w:r>
          </w:p>
        </w:tc>
        <w:tc>
          <w:tcPr>
            <w:tcW w:w="7305" w:type="dxa"/>
            <w:noWrap w:val="0"/>
            <w:vAlign w:val="center"/>
          </w:tcPr>
          <w:p w14:paraId="4D4E7F8A">
            <w:pPr>
              <w:pStyle w:val="39"/>
              <w:spacing w:before="89"/>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 包 人：</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 xml:space="preserve">  </w:t>
            </w:r>
          </w:p>
          <w:p w14:paraId="66E4FD36">
            <w:pPr>
              <w:pStyle w:val="39"/>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kern w:val="2"/>
                <w:sz w:val="21"/>
                <w:szCs w:val="21"/>
                <w:highlight w:val="none"/>
                <w:u w:val="single"/>
                <w:lang w:eastAsia="zh-CN"/>
              </w:rPr>
              <w:t xml:space="preserve">  </w:t>
            </w:r>
            <w:r>
              <w:rPr>
                <w:rFonts w:hint="eastAsia" w:ascii="宋体" w:hAnsi="宋体" w:eastAsia="宋体" w:cs="宋体"/>
                <w:color w:val="auto"/>
                <w:sz w:val="21"/>
                <w:highlight w:val="none"/>
                <w:u w:val="single"/>
                <w:lang w:eastAsia="zh-CN"/>
              </w:rPr>
              <w:tab/>
            </w:r>
          </w:p>
          <w:p w14:paraId="76796447">
            <w:pPr>
              <w:pStyle w:val="39"/>
              <w:tabs>
                <w:tab w:val="left" w:pos="979"/>
                <w:tab w:val="left" w:pos="3394"/>
              </w:tabs>
              <w:spacing w:before="91" w:line="250" w:lineRule="exact"/>
              <w:ind w:left="34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w:t>
            </w:r>
            <w:r>
              <w:rPr>
                <w:rFonts w:hint="eastAsia" w:ascii="宋体" w:hAnsi="宋体" w:eastAsia="宋体" w:cs="宋体"/>
                <w:color w:val="auto"/>
                <w:spacing w:val="-3"/>
                <w:sz w:val="21"/>
                <w:highlight w:val="none"/>
              </w:rPr>
              <w:t>政</w:t>
            </w:r>
            <w:r>
              <w:rPr>
                <w:rFonts w:hint="eastAsia" w:ascii="宋体" w:hAnsi="宋体" w:eastAsia="宋体" w:cs="宋体"/>
                <w:color w:val="auto"/>
                <w:sz w:val="21"/>
                <w:highlight w:val="none"/>
              </w:rPr>
              <w:t>编</w:t>
            </w:r>
            <w:r>
              <w:rPr>
                <w:rFonts w:hint="eastAsia" w:ascii="宋体" w:hAnsi="宋体" w:eastAsia="宋体" w:cs="宋体"/>
                <w:color w:val="auto"/>
                <w:spacing w:val="-3"/>
                <w:sz w:val="21"/>
                <w:highlight w:val="none"/>
              </w:rPr>
              <w:t>码</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kern w:val="2"/>
                <w:sz w:val="21"/>
                <w:szCs w:val="21"/>
                <w:highlight w:val="none"/>
                <w:u w:val="single"/>
              </w:rPr>
              <w:t xml:space="preserve">         </w:t>
            </w:r>
          </w:p>
        </w:tc>
      </w:tr>
      <w:tr w14:paraId="528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629" w:type="dxa"/>
            <w:noWrap w:val="0"/>
            <w:vAlign w:val="center"/>
          </w:tcPr>
          <w:p w14:paraId="381AE73D">
            <w:pPr>
              <w:pStyle w:val="39"/>
              <w:spacing w:before="1"/>
              <w:rPr>
                <w:rFonts w:hint="eastAsia" w:ascii="宋体" w:hAnsi="宋体" w:eastAsia="宋体" w:cs="宋体"/>
                <w:color w:val="auto"/>
                <w:sz w:val="23"/>
                <w:highlight w:val="none"/>
              </w:rPr>
            </w:pPr>
          </w:p>
          <w:p w14:paraId="1D0DF89A">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111" w:type="dxa"/>
            <w:noWrap w:val="0"/>
            <w:vAlign w:val="center"/>
          </w:tcPr>
          <w:p w14:paraId="5A28AA6C">
            <w:pPr>
              <w:pStyle w:val="39"/>
              <w:spacing w:before="1"/>
              <w:rPr>
                <w:rFonts w:hint="eastAsia" w:ascii="宋体" w:hAnsi="宋体" w:eastAsia="宋体" w:cs="宋体"/>
                <w:color w:val="auto"/>
                <w:sz w:val="23"/>
                <w:highlight w:val="none"/>
              </w:rPr>
            </w:pPr>
          </w:p>
          <w:p w14:paraId="12E10323">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1.1.2.6</w:t>
            </w:r>
          </w:p>
        </w:tc>
        <w:tc>
          <w:tcPr>
            <w:tcW w:w="7305" w:type="dxa"/>
            <w:noWrap w:val="0"/>
            <w:vAlign w:val="center"/>
          </w:tcPr>
          <w:p w14:paraId="61AF8B26">
            <w:pPr>
              <w:pStyle w:val="39"/>
              <w:spacing w:before="92"/>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监 理 人：</w:t>
            </w:r>
            <w:r>
              <w:rPr>
                <w:rFonts w:hint="eastAsia" w:ascii="宋体" w:hAnsi="宋体" w:eastAsia="宋体" w:cs="宋体"/>
                <w:color w:val="auto"/>
                <w:sz w:val="21"/>
                <w:szCs w:val="21"/>
                <w:highlight w:val="none"/>
                <w:lang w:eastAsia="zh-CN"/>
              </w:rPr>
              <w:t>待定</w:t>
            </w:r>
          </w:p>
          <w:p w14:paraId="60A8040F">
            <w:pPr>
              <w:pStyle w:val="39"/>
              <w:tabs>
                <w:tab w:val="left" w:pos="979"/>
                <w:tab w:val="left" w:pos="339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lang w:eastAsia="zh-CN"/>
              </w:rPr>
              <w:tab/>
            </w:r>
          </w:p>
          <w:p w14:paraId="6B55D477">
            <w:pPr>
              <w:pStyle w:val="39"/>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邮</w:t>
            </w:r>
            <w:r>
              <w:rPr>
                <w:rFonts w:hint="eastAsia" w:ascii="宋体" w:hAnsi="宋体" w:eastAsia="宋体" w:cs="宋体"/>
                <w:color w:val="auto"/>
                <w:spacing w:val="-3"/>
                <w:sz w:val="21"/>
                <w:highlight w:val="none"/>
                <w:lang w:eastAsia="zh-CN"/>
              </w:rPr>
              <w:t>政</w:t>
            </w:r>
            <w:r>
              <w:rPr>
                <w:rFonts w:hint="eastAsia" w:ascii="宋体" w:hAnsi="宋体" w:eastAsia="宋体" w:cs="宋体"/>
                <w:color w:val="auto"/>
                <w:sz w:val="21"/>
                <w:highlight w:val="none"/>
                <w:lang w:eastAsia="zh-CN"/>
              </w:rPr>
              <w:t>编</w:t>
            </w:r>
            <w:r>
              <w:rPr>
                <w:rFonts w:hint="eastAsia" w:ascii="宋体" w:hAnsi="宋体" w:eastAsia="宋体" w:cs="宋体"/>
                <w:color w:val="auto"/>
                <w:spacing w:val="-3"/>
                <w:sz w:val="21"/>
                <w:highlight w:val="none"/>
                <w:lang w:eastAsia="zh-CN"/>
              </w:rPr>
              <w:t>码</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u w:val="single"/>
                <w:lang w:eastAsia="zh-CN"/>
              </w:rPr>
              <w:t xml:space="preserve">                   </w:t>
            </w:r>
          </w:p>
        </w:tc>
      </w:tr>
      <w:tr w14:paraId="106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noWrap w:val="0"/>
            <w:vAlign w:val="center"/>
          </w:tcPr>
          <w:p w14:paraId="0AEBCF5A">
            <w:pPr>
              <w:pStyle w:val="39"/>
              <w:spacing w:before="113"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1111" w:type="dxa"/>
            <w:noWrap w:val="0"/>
            <w:vAlign w:val="center"/>
          </w:tcPr>
          <w:p w14:paraId="16C38AB1">
            <w:pPr>
              <w:pStyle w:val="39"/>
              <w:spacing w:before="113" w:line="226"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1.1.4.5</w:t>
            </w:r>
          </w:p>
        </w:tc>
        <w:tc>
          <w:tcPr>
            <w:tcW w:w="7305" w:type="dxa"/>
            <w:noWrap w:val="0"/>
            <w:vAlign w:val="center"/>
          </w:tcPr>
          <w:p w14:paraId="34BFA046">
            <w:pPr>
              <w:pStyle w:val="39"/>
              <w:tabs>
                <w:tab w:val="left" w:pos="4025"/>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缺陷</w:t>
            </w:r>
            <w:r>
              <w:rPr>
                <w:rFonts w:hint="eastAsia" w:ascii="宋体" w:hAnsi="宋体" w:eastAsia="宋体" w:cs="宋体"/>
                <w:color w:val="auto"/>
                <w:spacing w:val="-3"/>
                <w:sz w:val="21"/>
                <w:highlight w:val="none"/>
                <w:lang w:eastAsia="zh-CN"/>
              </w:rPr>
              <w:t>责</w:t>
            </w:r>
            <w:r>
              <w:rPr>
                <w:rFonts w:hint="eastAsia" w:ascii="宋体" w:hAnsi="宋体" w:eastAsia="宋体" w:cs="宋体"/>
                <w:color w:val="auto"/>
                <w:sz w:val="21"/>
                <w:highlight w:val="none"/>
                <w:lang w:eastAsia="zh-CN"/>
              </w:rPr>
              <w:t>任</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自</w:t>
            </w:r>
            <w:r>
              <w:rPr>
                <w:rFonts w:hint="eastAsia" w:ascii="宋体" w:hAnsi="宋体" w:eastAsia="宋体" w:cs="宋体"/>
                <w:color w:val="auto"/>
                <w:sz w:val="21"/>
                <w:highlight w:val="none"/>
                <w:lang w:eastAsia="zh-CN"/>
              </w:rPr>
              <w:t>实</w:t>
            </w:r>
            <w:r>
              <w:rPr>
                <w:rFonts w:hint="eastAsia" w:ascii="宋体" w:hAnsi="宋体" w:eastAsia="宋体" w:cs="宋体"/>
                <w:color w:val="auto"/>
                <w:spacing w:val="-3"/>
                <w:sz w:val="21"/>
                <w:highlight w:val="none"/>
                <w:lang w:eastAsia="zh-CN"/>
              </w:rPr>
              <w:t>际</w:t>
            </w:r>
            <w:r>
              <w:rPr>
                <w:rFonts w:hint="eastAsia" w:ascii="宋体" w:hAnsi="宋体" w:eastAsia="宋体" w:cs="宋体"/>
                <w:color w:val="auto"/>
                <w:sz w:val="21"/>
                <w:highlight w:val="none"/>
                <w:lang w:eastAsia="zh-CN"/>
              </w:rPr>
              <w:t>交</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日期</w:t>
            </w:r>
            <w:r>
              <w:rPr>
                <w:rFonts w:hint="eastAsia" w:ascii="宋体" w:hAnsi="宋体" w:eastAsia="宋体" w:cs="宋体"/>
                <w:color w:val="auto"/>
                <w:spacing w:val="-3"/>
                <w:sz w:val="21"/>
                <w:highlight w:val="none"/>
                <w:lang w:eastAsia="zh-CN"/>
              </w:rPr>
              <w:t>起</w:t>
            </w:r>
            <w:r>
              <w:rPr>
                <w:rFonts w:hint="eastAsia" w:ascii="宋体" w:hAnsi="宋体" w:eastAsia="宋体" w:cs="宋体"/>
                <w:color w:val="auto"/>
                <w:sz w:val="21"/>
                <w:highlight w:val="none"/>
                <w:lang w:eastAsia="zh-CN"/>
              </w:rPr>
              <w:t>计</w:t>
            </w:r>
            <w:r>
              <w:rPr>
                <w:rFonts w:hint="eastAsia" w:ascii="宋体" w:hAnsi="宋体" w:eastAsia="宋体" w:cs="宋体"/>
                <w:color w:val="auto"/>
                <w:spacing w:val="-3"/>
                <w:sz w:val="21"/>
                <w:highlight w:val="none"/>
                <w:lang w:eastAsia="zh-CN"/>
              </w:rPr>
              <w:t>算</w:t>
            </w:r>
            <w:r>
              <w:rPr>
                <w:rFonts w:hint="eastAsia" w:ascii="宋体" w:hAnsi="宋体" w:eastAsia="宋体" w:cs="宋体"/>
                <w:color w:val="auto"/>
                <w:spacing w:val="-3"/>
                <w:sz w:val="21"/>
                <w:highlight w:val="none"/>
                <w:u w:val="single"/>
                <w:lang w:eastAsia="zh-CN"/>
              </w:rPr>
              <w:t>1</w:t>
            </w:r>
            <w:r>
              <w:rPr>
                <w:rFonts w:hint="eastAsia" w:ascii="宋体" w:hAnsi="宋体" w:eastAsia="宋体" w:cs="宋体"/>
                <w:color w:val="auto"/>
                <w:spacing w:val="-3"/>
                <w:sz w:val="21"/>
                <w:highlight w:val="none"/>
                <w:lang w:eastAsia="zh-CN"/>
              </w:rPr>
              <w:t>年</w:t>
            </w:r>
          </w:p>
        </w:tc>
      </w:tr>
      <w:tr w14:paraId="545D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3BD223BB">
            <w:pPr>
              <w:pStyle w:val="39"/>
              <w:spacing w:before="11"/>
              <w:rPr>
                <w:rFonts w:hint="eastAsia" w:ascii="宋体" w:hAnsi="宋体" w:eastAsia="宋体" w:cs="宋体"/>
                <w:color w:val="auto"/>
                <w:highlight w:val="none"/>
                <w:lang w:eastAsia="zh-CN"/>
              </w:rPr>
            </w:pPr>
          </w:p>
          <w:p w14:paraId="659FDFC1">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p>
        </w:tc>
        <w:tc>
          <w:tcPr>
            <w:tcW w:w="1111" w:type="dxa"/>
            <w:noWrap w:val="0"/>
            <w:vAlign w:val="center"/>
          </w:tcPr>
          <w:p w14:paraId="6106DA8A">
            <w:pPr>
              <w:pStyle w:val="39"/>
              <w:spacing w:before="11"/>
              <w:rPr>
                <w:rFonts w:hint="eastAsia" w:ascii="宋体" w:hAnsi="宋体" w:eastAsia="宋体" w:cs="宋体"/>
                <w:color w:val="auto"/>
                <w:highlight w:val="none"/>
              </w:rPr>
            </w:pPr>
          </w:p>
          <w:p w14:paraId="28F3F658">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1.6.3</w:t>
            </w:r>
          </w:p>
        </w:tc>
        <w:tc>
          <w:tcPr>
            <w:tcW w:w="7305" w:type="dxa"/>
            <w:noWrap w:val="0"/>
            <w:vAlign w:val="center"/>
          </w:tcPr>
          <w:p w14:paraId="0DC9243B">
            <w:pPr>
              <w:pStyle w:val="39"/>
              <w:tabs>
                <w:tab w:val="left" w:pos="1893"/>
              </w:tabs>
              <w:spacing w:before="12" w:line="360" w:lineRule="exact"/>
              <w:ind w:left="107" w:right="91" w:firstLine="24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图纸</w:t>
            </w:r>
            <w:r>
              <w:rPr>
                <w:rFonts w:hint="eastAsia" w:ascii="宋体" w:hAnsi="宋体" w:eastAsia="宋体" w:cs="宋体"/>
                <w:color w:val="auto"/>
                <w:spacing w:val="-3"/>
                <w:sz w:val="21"/>
                <w:highlight w:val="none"/>
                <w:lang w:eastAsia="zh-CN"/>
              </w:rPr>
              <w:t>需</w:t>
            </w:r>
            <w:r>
              <w:rPr>
                <w:rFonts w:hint="eastAsia" w:ascii="宋体" w:hAnsi="宋体" w:eastAsia="宋体" w:cs="宋体"/>
                <w:color w:val="auto"/>
                <w:sz w:val="21"/>
                <w:highlight w:val="none"/>
                <w:lang w:eastAsia="zh-CN"/>
              </w:rPr>
              <w:t>要</w:t>
            </w:r>
            <w:r>
              <w:rPr>
                <w:rFonts w:hint="eastAsia" w:ascii="宋体" w:hAnsi="宋体" w:eastAsia="宋体" w:cs="宋体"/>
                <w:color w:val="auto"/>
                <w:spacing w:val="-3"/>
                <w:sz w:val="21"/>
                <w:highlight w:val="none"/>
                <w:lang w:eastAsia="zh-CN"/>
              </w:rPr>
              <w:t>修</w:t>
            </w:r>
            <w:r>
              <w:rPr>
                <w:rFonts w:hint="eastAsia" w:ascii="宋体" w:hAnsi="宋体" w:eastAsia="宋体" w:cs="宋体"/>
                <w:color w:val="auto"/>
                <w:sz w:val="21"/>
                <w:highlight w:val="none"/>
                <w:lang w:eastAsia="zh-CN"/>
              </w:rPr>
              <w:t>改</w:t>
            </w:r>
            <w:r>
              <w:rPr>
                <w:rFonts w:hint="eastAsia" w:ascii="宋体" w:hAnsi="宋体" w:eastAsia="宋体" w:cs="宋体"/>
                <w:color w:val="auto"/>
                <w:spacing w:val="-3"/>
                <w:sz w:val="21"/>
                <w:highlight w:val="none"/>
                <w:lang w:eastAsia="zh-CN"/>
              </w:rPr>
              <w:t>和</w:t>
            </w:r>
            <w:r>
              <w:rPr>
                <w:rFonts w:hint="eastAsia" w:ascii="宋体" w:hAnsi="宋体" w:eastAsia="宋体" w:cs="宋体"/>
                <w:color w:val="auto"/>
                <w:sz w:val="21"/>
                <w:highlight w:val="none"/>
                <w:lang w:eastAsia="zh-CN"/>
              </w:rPr>
              <w:t>补</w:t>
            </w:r>
            <w:r>
              <w:rPr>
                <w:rFonts w:hint="eastAsia" w:ascii="宋体" w:hAnsi="宋体" w:eastAsia="宋体" w:cs="宋体"/>
                <w:color w:val="auto"/>
                <w:spacing w:val="-3"/>
                <w:sz w:val="21"/>
                <w:highlight w:val="none"/>
                <w:lang w:eastAsia="zh-CN"/>
              </w:rPr>
              <w:t>充</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应由</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取</w:t>
            </w:r>
            <w:r>
              <w:rPr>
                <w:rFonts w:hint="eastAsia" w:ascii="宋体" w:hAnsi="宋体" w:eastAsia="宋体" w:cs="宋体"/>
                <w:color w:val="auto"/>
                <w:spacing w:val="-3"/>
                <w:sz w:val="21"/>
                <w:highlight w:val="none"/>
                <w:lang w:eastAsia="zh-CN"/>
              </w:rPr>
              <w:t>得</w:t>
            </w:r>
            <w:r>
              <w:rPr>
                <w:rFonts w:hint="eastAsia" w:ascii="宋体" w:hAnsi="宋体" w:eastAsia="宋体" w:cs="宋体"/>
                <w:color w:val="auto"/>
                <w:sz w:val="21"/>
                <w:highlight w:val="none"/>
                <w:lang w:eastAsia="zh-CN"/>
              </w:rPr>
              <w:t>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同</w:t>
            </w:r>
            <w:r>
              <w:rPr>
                <w:rFonts w:hint="eastAsia" w:ascii="宋体" w:hAnsi="宋体" w:eastAsia="宋体" w:cs="宋体"/>
                <w:color w:val="auto"/>
                <w:sz w:val="21"/>
                <w:highlight w:val="none"/>
                <w:lang w:eastAsia="zh-CN"/>
              </w:rPr>
              <w:t>意后</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在</w:t>
            </w:r>
            <w:r>
              <w:rPr>
                <w:rFonts w:hint="eastAsia" w:ascii="宋体" w:hAnsi="宋体" w:eastAsia="宋体" w:cs="宋体"/>
                <w:color w:val="auto"/>
                <w:spacing w:val="-3"/>
                <w:sz w:val="21"/>
                <w:highlight w:val="none"/>
                <w:lang w:eastAsia="zh-CN"/>
              </w:rPr>
              <w:t>该</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程</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工程</w:t>
            </w:r>
            <w:r>
              <w:rPr>
                <w:rFonts w:hint="eastAsia" w:ascii="宋体" w:hAnsi="宋体" w:eastAsia="宋体" w:cs="宋体"/>
                <w:color w:val="auto"/>
                <w:sz w:val="21"/>
                <w:highlight w:val="none"/>
                <w:lang w:eastAsia="zh-CN"/>
              </w:rPr>
              <w:t>相应部</w:t>
            </w:r>
            <w:r>
              <w:rPr>
                <w:rFonts w:hint="eastAsia" w:ascii="宋体" w:hAnsi="宋体" w:eastAsia="宋体" w:cs="宋体"/>
                <w:color w:val="auto"/>
                <w:spacing w:val="-3"/>
                <w:sz w:val="21"/>
                <w:highlight w:val="none"/>
                <w:lang w:eastAsia="zh-CN"/>
              </w:rPr>
              <w:t>位</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前</w:t>
            </w:r>
            <w:r>
              <w:rPr>
                <w:rFonts w:hint="eastAsia" w:ascii="宋体" w:hAnsi="宋体" w:eastAsia="宋体" w:cs="宋体"/>
                <w:color w:val="auto"/>
                <w:sz w:val="21"/>
                <w:highlight w:val="none"/>
                <w:u w:val="single"/>
                <w:lang w:val="en-US" w:eastAsia="zh-CN"/>
              </w:rPr>
              <w:t xml:space="preserve">  14  </w:t>
            </w:r>
            <w:r>
              <w:rPr>
                <w:rFonts w:hint="eastAsia" w:ascii="宋体" w:hAnsi="宋体" w:eastAsia="宋体" w:cs="宋体"/>
                <w:color w:val="auto"/>
                <w:sz w:val="21"/>
                <w:highlight w:val="none"/>
                <w:lang w:eastAsia="zh-CN"/>
              </w:rPr>
              <w:t>天</w:t>
            </w:r>
            <w:r>
              <w:rPr>
                <w:rFonts w:hint="eastAsia" w:ascii="宋体" w:hAnsi="宋体" w:eastAsia="宋体" w:cs="宋体"/>
                <w:color w:val="auto"/>
                <w:spacing w:val="-3"/>
                <w:sz w:val="21"/>
                <w:highlight w:val="none"/>
                <w:lang w:eastAsia="zh-CN"/>
              </w:rPr>
              <w:t>签发</w:t>
            </w:r>
            <w:r>
              <w:rPr>
                <w:rFonts w:hint="eastAsia" w:ascii="宋体" w:hAnsi="宋体" w:eastAsia="宋体" w:cs="宋体"/>
                <w:color w:val="auto"/>
                <w:sz w:val="21"/>
                <w:highlight w:val="none"/>
                <w:lang w:eastAsia="zh-CN"/>
              </w:rPr>
              <w:t>图纸修改图给承包人</w:t>
            </w:r>
          </w:p>
        </w:tc>
      </w:tr>
      <w:tr w14:paraId="6EF7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noWrap w:val="0"/>
            <w:vAlign w:val="center"/>
          </w:tcPr>
          <w:p w14:paraId="150A93F5">
            <w:pPr>
              <w:pStyle w:val="39"/>
              <w:rPr>
                <w:rFonts w:hint="eastAsia" w:ascii="宋体" w:hAnsi="宋体" w:eastAsia="宋体" w:cs="宋体"/>
                <w:color w:val="auto"/>
                <w:highlight w:val="none"/>
                <w:lang w:eastAsia="zh-CN"/>
              </w:rPr>
            </w:pPr>
          </w:p>
          <w:p w14:paraId="3476170C">
            <w:pPr>
              <w:pStyle w:val="39"/>
              <w:spacing w:before="17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p>
        </w:tc>
        <w:tc>
          <w:tcPr>
            <w:tcW w:w="1111" w:type="dxa"/>
            <w:noWrap w:val="0"/>
            <w:vAlign w:val="center"/>
          </w:tcPr>
          <w:p w14:paraId="11D68D07">
            <w:pPr>
              <w:pStyle w:val="39"/>
              <w:rPr>
                <w:rFonts w:hint="eastAsia" w:ascii="宋体" w:hAnsi="宋体" w:eastAsia="宋体" w:cs="宋体"/>
                <w:color w:val="auto"/>
                <w:highlight w:val="none"/>
              </w:rPr>
            </w:pPr>
          </w:p>
          <w:p w14:paraId="3D1D027B">
            <w:pPr>
              <w:pStyle w:val="39"/>
              <w:spacing w:before="17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p>
        </w:tc>
        <w:tc>
          <w:tcPr>
            <w:tcW w:w="7305" w:type="dxa"/>
            <w:noWrap w:val="0"/>
            <w:vAlign w:val="center"/>
          </w:tcPr>
          <w:p w14:paraId="725900F4">
            <w:pPr>
              <w:spacing w:line="3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　　　</w:t>
            </w:r>
          </w:p>
          <w:p w14:paraId="291BFEE1">
            <w:pPr>
              <w:pStyle w:val="39"/>
              <w:spacing w:before="1" w:line="360" w:lineRule="atLeast"/>
              <w:ind w:left="107" w:right="83" w:firstLine="225"/>
              <w:rPr>
                <w:rFonts w:hint="eastAsia" w:ascii="宋体" w:hAnsi="宋体" w:eastAsia="宋体" w:cs="宋体"/>
                <w:color w:val="auto"/>
                <w:sz w:val="21"/>
                <w:highlight w:val="none"/>
                <w:lang w:eastAsia="zh-CN"/>
              </w:rPr>
            </w:pPr>
            <w:r>
              <w:rPr>
                <w:rFonts w:hint="eastAsia" w:ascii="宋体" w:hAnsi="宋体" w:cs="宋体"/>
                <w:color w:val="auto"/>
                <w:sz w:val="21"/>
                <w:szCs w:val="21"/>
                <w:highlight w:val="none"/>
              </w:rPr>
              <w:t>（6）根据第 15.3 款发出的变更指示，无论其单项工程变更涉及的金额或累计涉及的金额为多少。</w:t>
            </w:r>
          </w:p>
        </w:tc>
      </w:tr>
      <w:tr w14:paraId="1BAE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6BF6ADA9">
            <w:pPr>
              <w:pStyle w:val="39"/>
              <w:spacing w:before="11"/>
              <w:rPr>
                <w:rFonts w:hint="eastAsia" w:ascii="宋体" w:hAnsi="宋体" w:eastAsia="宋体" w:cs="宋体"/>
                <w:color w:val="auto"/>
                <w:highlight w:val="none"/>
                <w:lang w:eastAsia="zh-CN"/>
              </w:rPr>
            </w:pPr>
          </w:p>
          <w:p w14:paraId="554A42DB">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p>
        </w:tc>
        <w:tc>
          <w:tcPr>
            <w:tcW w:w="1111" w:type="dxa"/>
            <w:noWrap w:val="0"/>
            <w:vAlign w:val="center"/>
          </w:tcPr>
          <w:p w14:paraId="1E709B74">
            <w:pPr>
              <w:pStyle w:val="39"/>
              <w:spacing w:before="11"/>
              <w:rPr>
                <w:rFonts w:hint="eastAsia" w:ascii="宋体" w:hAnsi="宋体" w:eastAsia="宋体" w:cs="宋体"/>
                <w:color w:val="auto"/>
                <w:highlight w:val="none"/>
              </w:rPr>
            </w:pPr>
          </w:p>
          <w:p w14:paraId="004260E1">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5.2.1</w:t>
            </w:r>
          </w:p>
        </w:tc>
        <w:tc>
          <w:tcPr>
            <w:tcW w:w="7305" w:type="dxa"/>
            <w:noWrap w:val="0"/>
            <w:vAlign w:val="center"/>
          </w:tcPr>
          <w:p w14:paraId="2D5326EC">
            <w:pPr>
              <w:pStyle w:val="39"/>
              <w:tabs>
                <w:tab w:val="left" w:pos="444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材</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u w:val="non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3E7B7CF1">
            <w:pPr>
              <w:pStyle w:val="39"/>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材</w:t>
            </w:r>
            <w:r>
              <w:rPr>
                <w:rFonts w:hint="eastAsia" w:ascii="宋体" w:hAnsi="宋体" w:eastAsia="宋体" w:cs="宋体"/>
                <w:color w:val="auto"/>
                <w:sz w:val="21"/>
                <w:highlight w:val="none"/>
                <w:lang w:eastAsia="zh-CN"/>
              </w:rPr>
              <w:t>料或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备</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w:t>
            </w:r>
            <w:r>
              <w:rPr>
                <w:rFonts w:hint="eastAsia" w:ascii="宋体" w:hAnsi="宋体" w:eastAsia="宋体" w:cs="宋体"/>
                <w:color w:val="auto"/>
                <w:spacing w:val="-3"/>
                <w:sz w:val="21"/>
                <w:highlight w:val="none"/>
                <w:lang w:eastAsia="zh-CN"/>
              </w:rPr>
              <w:t>定</w:t>
            </w:r>
            <w:r>
              <w:rPr>
                <w:rFonts w:hint="eastAsia" w:ascii="宋体" w:hAnsi="宋体" w:eastAsia="宋体" w:cs="宋体"/>
                <w:color w:val="auto"/>
                <w:sz w:val="21"/>
                <w:highlight w:val="none"/>
                <w:lang w:eastAsia="zh-CN"/>
              </w:rPr>
              <w:t>如下：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773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noWrap w:val="0"/>
            <w:vAlign w:val="center"/>
          </w:tcPr>
          <w:p w14:paraId="67969255">
            <w:pPr>
              <w:pStyle w:val="39"/>
              <w:spacing w:before="11"/>
              <w:rPr>
                <w:rFonts w:hint="eastAsia" w:ascii="宋体" w:hAnsi="宋体" w:eastAsia="宋体" w:cs="宋体"/>
                <w:color w:val="auto"/>
                <w:highlight w:val="none"/>
                <w:lang w:eastAsia="zh-CN"/>
              </w:rPr>
            </w:pPr>
          </w:p>
          <w:p w14:paraId="05DCEB03">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p>
        </w:tc>
        <w:tc>
          <w:tcPr>
            <w:tcW w:w="1111" w:type="dxa"/>
            <w:noWrap w:val="0"/>
            <w:vAlign w:val="center"/>
          </w:tcPr>
          <w:p w14:paraId="604C90BC">
            <w:pPr>
              <w:pStyle w:val="39"/>
              <w:spacing w:before="11"/>
              <w:rPr>
                <w:rFonts w:hint="eastAsia" w:ascii="宋体" w:hAnsi="宋体" w:eastAsia="宋体" w:cs="宋体"/>
                <w:color w:val="auto"/>
                <w:highlight w:val="none"/>
              </w:rPr>
            </w:pPr>
          </w:p>
          <w:p w14:paraId="465602C8">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6.2</w:t>
            </w:r>
          </w:p>
        </w:tc>
        <w:tc>
          <w:tcPr>
            <w:tcW w:w="7305" w:type="dxa"/>
            <w:noWrap w:val="0"/>
            <w:vAlign w:val="center"/>
          </w:tcPr>
          <w:p w14:paraId="7D86D7AC">
            <w:pPr>
              <w:pStyle w:val="39"/>
              <w:tabs>
                <w:tab w:val="left" w:pos="486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和临</w:t>
            </w:r>
            <w:r>
              <w:rPr>
                <w:rFonts w:hint="eastAsia" w:ascii="宋体" w:hAnsi="宋体" w:eastAsia="宋体" w:cs="宋体"/>
                <w:color w:val="auto"/>
                <w:spacing w:val="-3"/>
                <w:sz w:val="21"/>
                <w:highlight w:val="none"/>
                <w:lang w:eastAsia="zh-CN"/>
              </w:rPr>
              <w:t>时</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05383D9D">
            <w:pPr>
              <w:pStyle w:val="39"/>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临</w:t>
            </w:r>
            <w:r>
              <w:rPr>
                <w:rFonts w:hint="eastAsia" w:ascii="宋体" w:hAnsi="宋体" w:eastAsia="宋体" w:cs="宋体"/>
                <w:color w:val="auto"/>
                <w:sz w:val="21"/>
                <w:highlight w:val="none"/>
                <w:lang w:eastAsia="zh-CN"/>
              </w:rPr>
              <w:t>时</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规定</w:t>
            </w:r>
            <w:r>
              <w:rPr>
                <w:rFonts w:hint="eastAsia" w:ascii="宋体" w:hAnsi="宋体" w:eastAsia="宋体" w:cs="宋体"/>
                <w:color w:val="auto"/>
                <w:spacing w:val="-3"/>
                <w:sz w:val="21"/>
                <w:highlight w:val="none"/>
                <w:lang w:eastAsia="zh-CN"/>
              </w:rPr>
              <w:t>如</w:t>
            </w:r>
            <w:r>
              <w:rPr>
                <w:rFonts w:hint="eastAsia" w:ascii="宋体" w:hAnsi="宋体" w:eastAsia="宋体" w:cs="宋体"/>
                <w:color w:val="auto"/>
                <w:sz w:val="21"/>
                <w:highlight w:val="none"/>
                <w:lang w:eastAsia="zh-CN"/>
              </w:rPr>
              <w:t>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5AC2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noWrap w:val="0"/>
            <w:vAlign w:val="center"/>
          </w:tcPr>
          <w:p w14:paraId="6FF064D0">
            <w:pPr>
              <w:pStyle w:val="39"/>
              <w:spacing w:before="1"/>
              <w:rPr>
                <w:rFonts w:hint="eastAsia" w:ascii="宋体" w:hAnsi="宋体" w:eastAsia="宋体" w:cs="宋体"/>
                <w:color w:val="auto"/>
                <w:sz w:val="23"/>
                <w:highlight w:val="none"/>
                <w:lang w:eastAsia="zh-CN"/>
              </w:rPr>
            </w:pPr>
          </w:p>
          <w:p w14:paraId="75696628">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w:t>
            </w:r>
          </w:p>
        </w:tc>
        <w:tc>
          <w:tcPr>
            <w:tcW w:w="1111" w:type="dxa"/>
            <w:noWrap w:val="0"/>
            <w:vAlign w:val="center"/>
          </w:tcPr>
          <w:p w14:paraId="7F623433">
            <w:pPr>
              <w:pStyle w:val="39"/>
              <w:spacing w:before="1"/>
              <w:rPr>
                <w:rFonts w:hint="eastAsia" w:ascii="宋体" w:hAnsi="宋体" w:eastAsia="宋体" w:cs="宋体"/>
                <w:color w:val="auto"/>
                <w:sz w:val="23"/>
                <w:highlight w:val="none"/>
              </w:rPr>
            </w:pPr>
          </w:p>
          <w:p w14:paraId="3241AC70">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8.1.1</w:t>
            </w:r>
          </w:p>
        </w:tc>
        <w:tc>
          <w:tcPr>
            <w:tcW w:w="7305" w:type="dxa"/>
            <w:noWrap w:val="0"/>
            <w:vAlign w:val="center"/>
          </w:tcPr>
          <w:p w14:paraId="60FCA7F7">
            <w:pPr>
              <w:pStyle w:val="39"/>
              <w:tabs>
                <w:tab w:val="left" w:pos="6908"/>
                <w:tab w:val="left" w:pos="7244"/>
              </w:tabs>
              <w:spacing w:before="1" w:line="360" w:lineRule="atLeast"/>
              <w:ind w:left="347" w:right="48"/>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测</w:t>
            </w:r>
            <w:r>
              <w:rPr>
                <w:rFonts w:hint="eastAsia" w:ascii="宋体" w:hAnsi="宋体" w:eastAsia="宋体" w:cs="宋体"/>
                <w:color w:val="auto"/>
                <w:spacing w:val="-3"/>
                <w:sz w:val="21"/>
                <w:highlight w:val="none"/>
                <w:lang w:eastAsia="zh-CN"/>
              </w:rPr>
              <w:t>量</w:t>
            </w:r>
            <w:r>
              <w:rPr>
                <w:rFonts w:hint="eastAsia" w:ascii="宋体" w:hAnsi="宋体" w:eastAsia="宋体" w:cs="宋体"/>
                <w:color w:val="auto"/>
                <w:sz w:val="21"/>
                <w:highlight w:val="none"/>
                <w:lang w:eastAsia="zh-CN"/>
              </w:rPr>
              <w:t>基</w:t>
            </w:r>
            <w:r>
              <w:rPr>
                <w:rFonts w:hint="eastAsia" w:ascii="宋体" w:hAnsi="宋体" w:eastAsia="宋体" w:cs="宋体"/>
                <w:color w:val="auto"/>
                <w:spacing w:val="-3"/>
                <w:sz w:val="21"/>
                <w:highlight w:val="none"/>
                <w:lang w:eastAsia="zh-CN"/>
              </w:rPr>
              <w:t>准</w:t>
            </w:r>
            <w:r>
              <w:rPr>
                <w:rFonts w:hint="eastAsia" w:ascii="宋体" w:hAnsi="宋体" w:eastAsia="宋体" w:cs="宋体"/>
                <w:color w:val="auto"/>
                <w:sz w:val="21"/>
                <w:highlight w:val="none"/>
                <w:lang w:eastAsia="zh-CN"/>
              </w:rPr>
              <w:t>点</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基准</w:t>
            </w:r>
            <w:r>
              <w:rPr>
                <w:rFonts w:hint="eastAsia" w:ascii="宋体" w:hAnsi="宋体" w:eastAsia="宋体" w:cs="宋体"/>
                <w:color w:val="auto"/>
                <w:spacing w:val="-3"/>
                <w:sz w:val="21"/>
                <w:highlight w:val="none"/>
                <w:lang w:eastAsia="zh-CN"/>
              </w:rPr>
              <w:t>线</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水</w:t>
            </w:r>
            <w:r>
              <w:rPr>
                <w:rFonts w:hint="eastAsia" w:ascii="宋体" w:hAnsi="宋体" w:eastAsia="宋体" w:cs="宋体"/>
                <w:color w:val="auto"/>
                <w:sz w:val="21"/>
                <w:highlight w:val="none"/>
                <w:lang w:eastAsia="zh-CN"/>
              </w:rPr>
              <w:t>准</w:t>
            </w:r>
            <w:r>
              <w:rPr>
                <w:rFonts w:hint="eastAsia" w:ascii="宋体" w:hAnsi="宋体" w:eastAsia="宋体" w:cs="宋体"/>
                <w:color w:val="auto"/>
                <w:spacing w:val="-3"/>
                <w:sz w:val="21"/>
                <w:highlight w:val="none"/>
                <w:lang w:eastAsia="zh-CN"/>
              </w:rPr>
              <w:t>点</w:t>
            </w:r>
            <w:r>
              <w:rPr>
                <w:rFonts w:hint="eastAsia" w:ascii="宋体" w:hAnsi="宋体" w:eastAsia="宋体" w:cs="宋体"/>
                <w:color w:val="auto"/>
                <w:sz w:val="21"/>
                <w:highlight w:val="none"/>
                <w:lang w:eastAsia="zh-CN"/>
              </w:rPr>
              <w:t>及</w:t>
            </w:r>
            <w:r>
              <w:rPr>
                <w:rFonts w:hint="eastAsia" w:ascii="宋体" w:hAnsi="宋体" w:eastAsia="宋体" w:cs="宋体"/>
                <w:color w:val="auto"/>
                <w:spacing w:val="-3"/>
                <w:sz w:val="21"/>
                <w:highlight w:val="none"/>
                <w:lang w:eastAsia="zh-CN"/>
              </w:rPr>
              <w:t>其</w:t>
            </w:r>
            <w:r>
              <w:rPr>
                <w:rFonts w:hint="eastAsia" w:ascii="宋体" w:hAnsi="宋体" w:eastAsia="宋体" w:cs="宋体"/>
                <w:color w:val="auto"/>
                <w:sz w:val="21"/>
                <w:highlight w:val="none"/>
                <w:lang w:eastAsia="zh-CN"/>
              </w:rPr>
              <w:t>书</w:t>
            </w:r>
            <w:r>
              <w:rPr>
                <w:rFonts w:hint="eastAsia" w:ascii="宋体" w:hAnsi="宋体" w:eastAsia="宋体" w:cs="宋体"/>
                <w:color w:val="auto"/>
                <w:spacing w:val="-3"/>
                <w:sz w:val="21"/>
                <w:highlight w:val="none"/>
                <w:lang w:eastAsia="zh-CN"/>
              </w:rPr>
              <w:t>面</w:t>
            </w:r>
            <w:r>
              <w:rPr>
                <w:rFonts w:hint="eastAsia" w:ascii="宋体" w:hAnsi="宋体" w:eastAsia="宋体" w:cs="宋体"/>
                <w:color w:val="auto"/>
                <w:sz w:val="21"/>
                <w:highlight w:val="none"/>
                <w:lang w:eastAsia="zh-CN"/>
              </w:rPr>
              <w:t>资料</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期</w:t>
            </w:r>
            <w:r>
              <w:rPr>
                <w:rFonts w:hint="eastAsia" w:ascii="宋体" w:hAnsi="宋体" w:eastAsia="宋体" w:cs="宋体"/>
                <w:color w:val="auto"/>
                <w:spacing w:val="-3"/>
                <w:sz w:val="21"/>
                <w:highlight w:val="none"/>
                <w:lang w:eastAsia="zh-CN"/>
              </w:rPr>
              <w:t>限</w:t>
            </w:r>
            <w:r>
              <w:rPr>
                <w:rFonts w:hint="eastAsia" w:ascii="宋体" w:hAnsi="宋体" w:eastAsia="宋体" w:cs="宋体"/>
                <w:color w:val="auto"/>
                <w:sz w:val="21"/>
                <w:highlight w:val="none"/>
                <w:lang w:eastAsia="zh-CN"/>
              </w:rPr>
              <w:t>：</w:t>
            </w:r>
            <w:r>
              <w:rPr>
                <w:rFonts w:hint="eastAsia" w:ascii="宋体" w:hAnsi="宋体" w:eastAsia="宋体" w:cs="宋体"/>
                <w:snapToGrid w:val="0"/>
                <w:color w:val="auto"/>
                <w:spacing w:val="-1"/>
                <w:sz w:val="21"/>
                <w:szCs w:val="21"/>
                <w:highlight w:val="none"/>
                <w:u w:val="single"/>
                <w:lang w:eastAsia="zh-CN"/>
              </w:rPr>
              <w:t>进场7天</w:t>
            </w:r>
            <w:r>
              <w:rPr>
                <w:rFonts w:hint="eastAsia" w:ascii="宋体" w:hAnsi="宋体" w:eastAsia="宋体" w:cs="宋体"/>
                <w:snapToGrid w:val="0"/>
                <w:color w:val="auto"/>
                <w:sz w:val="21"/>
                <w:szCs w:val="21"/>
                <w:highlight w:val="none"/>
                <w:u w:val="single"/>
                <w:lang w:eastAsia="zh-CN"/>
              </w:rPr>
              <w:t>内</w:t>
            </w:r>
            <w:r>
              <w:rPr>
                <w:rFonts w:hint="eastAsia" w:ascii="宋体" w:hAnsi="宋体" w:eastAsia="宋体" w:cs="宋体"/>
                <w:color w:val="auto"/>
                <w:sz w:val="21"/>
                <w:highlight w:val="none"/>
                <w:u w:val="single"/>
                <w:lang w:eastAsia="zh-CN"/>
              </w:rPr>
              <w:tab/>
            </w:r>
          </w:p>
          <w:p w14:paraId="4E2F6DF6">
            <w:pPr>
              <w:pStyle w:val="39"/>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控</w:t>
            </w:r>
            <w:r>
              <w:rPr>
                <w:rFonts w:hint="eastAsia" w:ascii="宋体" w:hAnsi="宋体" w:eastAsia="宋体" w:cs="宋体"/>
                <w:color w:val="auto"/>
                <w:sz w:val="21"/>
                <w:highlight w:val="none"/>
                <w:lang w:eastAsia="zh-CN"/>
              </w:rPr>
              <w:t>制</w:t>
            </w:r>
            <w:r>
              <w:rPr>
                <w:rFonts w:hint="eastAsia" w:ascii="宋体" w:hAnsi="宋体" w:eastAsia="宋体" w:cs="宋体"/>
                <w:color w:val="auto"/>
                <w:spacing w:val="-3"/>
                <w:sz w:val="21"/>
                <w:highlight w:val="none"/>
                <w:lang w:eastAsia="zh-CN"/>
              </w:rPr>
              <w:t>网</w:t>
            </w:r>
            <w:r>
              <w:rPr>
                <w:rFonts w:hint="eastAsia" w:ascii="宋体" w:hAnsi="宋体" w:eastAsia="宋体" w:cs="宋体"/>
                <w:color w:val="auto"/>
                <w:sz w:val="21"/>
                <w:highlight w:val="none"/>
                <w:lang w:eastAsia="zh-CN"/>
              </w:rPr>
              <w:t>资</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报送</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审</w:t>
            </w:r>
            <w:r>
              <w:rPr>
                <w:rFonts w:hint="eastAsia" w:ascii="宋体" w:hAnsi="宋体" w:eastAsia="宋体" w:cs="宋体"/>
                <w:color w:val="auto"/>
                <w:spacing w:val="-3"/>
                <w:sz w:val="21"/>
                <w:highlight w:val="none"/>
                <w:lang w:eastAsia="zh-CN"/>
              </w:rPr>
              <w:t>批</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kern w:val="2"/>
                <w:sz w:val="21"/>
                <w:szCs w:val="21"/>
                <w:highlight w:val="none"/>
                <w:u w:val="single"/>
                <w:lang w:eastAsia="zh-CN"/>
              </w:rPr>
              <w:t>发出开工通知后7天</w:t>
            </w:r>
            <w:r>
              <w:rPr>
                <w:rFonts w:hint="eastAsia" w:ascii="宋体" w:hAnsi="宋体" w:eastAsia="宋体" w:cs="宋体"/>
                <w:color w:val="auto"/>
                <w:sz w:val="21"/>
                <w:highlight w:val="none"/>
                <w:u w:val="single"/>
                <w:lang w:eastAsia="zh-CN"/>
              </w:rPr>
              <w:tab/>
            </w:r>
          </w:p>
        </w:tc>
      </w:tr>
      <w:tr w14:paraId="0611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noWrap w:val="0"/>
            <w:vAlign w:val="center"/>
          </w:tcPr>
          <w:p w14:paraId="76B810A9">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9</w:t>
            </w:r>
          </w:p>
        </w:tc>
        <w:tc>
          <w:tcPr>
            <w:tcW w:w="1111" w:type="dxa"/>
            <w:noWrap w:val="0"/>
            <w:vAlign w:val="center"/>
          </w:tcPr>
          <w:p w14:paraId="66A99DE4">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11.1</w:t>
            </w:r>
          </w:p>
        </w:tc>
        <w:tc>
          <w:tcPr>
            <w:tcW w:w="7305" w:type="dxa"/>
            <w:noWrap w:val="0"/>
            <w:vAlign w:val="center"/>
          </w:tcPr>
          <w:p w14:paraId="409FBE7B">
            <w:pPr>
              <w:pStyle w:val="39"/>
              <w:tabs>
                <w:tab w:val="left" w:pos="0"/>
                <w:tab w:val="left" w:pos="6908"/>
                <w:tab w:val="left" w:pos="7244"/>
              </w:tabs>
              <w:spacing w:before="1" w:line="360" w:lineRule="atLeast"/>
              <w:ind w:left="227" w:right="48" w:firstLine="119" w:firstLineChars="5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应在签订施工承包合同协议书后的5个工作日内完成进场准备，包括主要管理人员、投标文件承诺进场的机械设备、试验检测设备、项目部的办公设备、项目部的选址及上墙图表等，并具备基本的工作条件；承包人完成进场准备后的7天内开展实质性的施工工作。</w:t>
            </w:r>
          </w:p>
          <w:p w14:paraId="7912C813">
            <w:pPr>
              <w:pStyle w:val="39"/>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逾期开工违约金：</w:t>
            </w:r>
            <w:r>
              <w:rPr>
                <w:rFonts w:hint="eastAsia" w:ascii="宋体" w:hAnsi="宋体" w:eastAsia="宋体" w:cs="宋体"/>
                <w:color w:val="auto"/>
                <w:sz w:val="21"/>
                <w:highlight w:val="none"/>
                <w:u w:val="single"/>
                <w:lang w:eastAsia="zh-CN"/>
              </w:rPr>
              <w:t>5000元/天</w:t>
            </w:r>
            <w:r>
              <w:rPr>
                <w:rFonts w:hint="eastAsia" w:ascii="宋体" w:hAnsi="宋体" w:eastAsia="宋体" w:cs="宋体"/>
                <w:color w:val="auto"/>
                <w:sz w:val="21"/>
                <w:highlight w:val="none"/>
                <w:lang w:eastAsia="zh-CN"/>
              </w:rPr>
              <w:t>。</w:t>
            </w:r>
          </w:p>
        </w:tc>
      </w:tr>
      <w:tr w14:paraId="1CBF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noWrap w:val="0"/>
            <w:vAlign w:val="center"/>
          </w:tcPr>
          <w:p w14:paraId="5316BD5B">
            <w:pPr>
              <w:pStyle w:val="39"/>
              <w:spacing w:before="114"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1111" w:type="dxa"/>
            <w:noWrap w:val="0"/>
            <w:vAlign w:val="center"/>
          </w:tcPr>
          <w:p w14:paraId="0D4C8C93">
            <w:pPr>
              <w:pStyle w:val="39"/>
              <w:spacing w:before="90"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2B928B32">
            <w:pPr>
              <w:pStyle w:val="39"/>
              <w:tabs>
                <w:tab w:val="left" w:pos="2450"/>
              </w:tabs>
              <w:spacing w:before="90"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u w:val="single"/>
                <w:lang w:eastAsia="zh-CN"/>
              </w:rPr>
              <w:t>000元/天</w:t>
            </w:r>
          </w:p>
        </w:tc>
      </w:tr>
      <w:tr w14:paraId="44D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29" w:type="dxa"/>
            <w:noWrap w:val="0"/>
            <w:vAlign w:val="center"/>
          </w:tcPr>
          <w:p w14:paraId="7184411F">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w:t>
            </w:r>
          </w:p>
        </w:tc>
        <w:tc>
          <w:tcPr>
            <w:tcW w:w="1111" w:type="dxa"/>
            <w:noWrap w:val="0"/>
            <w:vAlign w:val="center"/>
          </w:tcPr>
          <w:p w14:paraId="23EBF534">
            <w:pPr>
              <w:pStyle w:val="39"/>
              <w:spacing w:before="89"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7F291093">
            <w:pPr>
              <w:pStyle w:val="39"/>
              <w:tabs>
                <w:tab w:val="left" w:pos="2868"/>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 xml:space="preserve">10 </w:t>
            </w:r>
            <w:r>
              <w:rPr>
                <w:rFonts w:hint="eastAsia" w:ascii="宋体" w:hAnsi="宋体" w:eastAsia="宋体" w:cs="宋体"/>
                <w:color w:val="auto"/>
                <w:sz w:val="21"/>
                <w:highlight w:val="none"/>
                <w:lang w:eastAsia="zh-CN"/>
              </w:rPr>
              <w:t>%签</w:t>
            </w:r>
            <w:r>
              <w:rPr>
                <w:rFonts w:hint="eastAsia" w:ascii="宋体" w:hAnsi="宋体" w:eastAsia="宋体" w:cs="宋体"/>
                <w:color w:val="auto"/>
                <w:spacing w:val="-3"/>
                <w:sz w:val="21"/>
                <w:highlight w:val="none"/>
                <w:lang w:eastAsia="zh-CN"/>
              </w:rPr>
              <w:t>约</w:t>
            </w:r>
            <w:r>
              <w:rPr>
                <w:rFonts w:hint="eastAsia" w:ascii="宋体" w:hAnsi="宋体" w:eastAsia="宋体" w:cs="宋体"/>
                <w:color w:val="auto"/>
                <w:sz w:val="21"/>
                <w:highlight w:val="none"/>
                <w:lang w:eastAsia="zh-CN"/>
              </w:rPr>
              <w:t>合</w:t>
            </w:r>
            <w:r>
              <w:rPr>
                <w:rFonts w:hint="eastAsia" w:ascii="宋体" w:hAnsi="宋体" w:eastAsia="宋体" w:cs="宋体"/>
                <w:color w:val="auto"/>
                <w:spacing w:val="-3"/>
                <w:sz w:val="21"/>
                <w:highlight w:val="none"/>
                <w:lang w:eastAsia="zh-CN"/>
              </w:rPr>
              <w:t>同价</w:t>
            </w:r>
          </w:p>
        </w:tc>
      </w:tr>
      <w:tr w14:paraId="4C6E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noWrap w:val="0"/>
            <w:vAlign w:val="center"/>
          </w:tcPr>
          <w:p w14:paraId="62EF3F8E">
            <w:pPr>
              <w:pStyle w:val="39"/>
              <w:spacing w:before="113" w:line="226" w:lineRule="exact"/>
              <w:ind w:left="78"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w:t>
            </w:r>
          </w:p>
        </w:tc>
        <w:tc>
          <w:tcPr>
            <w:tcW w:w="1111" w:type="dxa"/>
            <w:noWrap w:val="0"/>
            <w:vAlign w:val="center"/>
          </w:tcPr>
          <w:p w14:paraId="19F1F259">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3D13874E">
            <w:pPr>
              <w:pStyle w:val="39"/>
              <w:tabs>
                <w:tab w:val="left" w:pos="2450"/>
              </w:tabs>
              <w:spacing w:before="90" w:line="250" w:lineRule="exact"/>
              <w:ind w:left="347"/>
              <w:rPr>
                <w:rFonts w:hint="eastAsia" w:ascii="宋体" w:hAnsi="宋体" w:eastAsia="宋体" w:cs="宋体"/>
                <w:color w:val="auto"/>
                <w:sz w:val="21"/>
                <w:highlight w:val="none"/>
              </w:rPr>
            </w:pPr>
            <w:r>
              <w:rPr>
                <w:rFonts w:hint="eastAsia" w:ascii="宋体" w:hAnsi="宋体" w:eastAsia="宋体" w:cs="宋体"/>
                <w:color w:val="auto"/>
                <w:sz w:val="21"/>
                <w:highlight w:val="none"/>
              </w:rPr>
              <w:t>提前</w:t>
            </w:r>
            <w:r>
              <w:rPr>
                <w:rFonts w:hint="eastAsia" w:ascii="宋体" w:hAnsi="宋体" w:eastAsia="宋体" w:cs="宋体"/>
                <w:color w:val="auto"/>
                <w:spacing w:val="-3"/>
                <w:sz w:val="21"/>
                <w:highlight w:val="none"/>
              </w:rPr>
              <w:t>交</w:t>
            </w:r>
            <w:r>
              <w:rPr>
                <w:rFonts w:hint="eastAsia" w:ascii="宋体" w:hAnsi="宋体" w:eastAsia="宋体" w:cs="宋体"/>
                <w:color w:val="auto"/>
                <w:sz w:val="21"/>
                <w:highlight w:val="none"/>
              </w:rPr>
              <w:t>工</w:t>
            </w:r>
            <w:r>
              <w:rPr>
                <w:rFonts w:hint="eastAsia" w:ascii="宋体" w:hAnsi="宋体" w:eastAsia="宋体" w:cs="宋体"/>
                <w:color w:val="auto"/>
                <w:spacing w:val="-3"/>
                <w:sz w:val="21"/>
                <w:highlight w:val="none"/>
              </w:rPr>
              <w:t>的</w:t>
            </w:r>
            <w:r>
              <w:rPr>
                <w:rFonts w:hint="eastAsia" w:ascii="宋体" w:hAnsi="宋体" w:eastAsia="宋体" w:cs="宋体"/>
                <w:color w:val="auto"/>
                <w:sz w:val="21"/>
                <w:highlight w:val="none"/>
              </w:rPr>
              <w:t>奖</w:t>
            </w:r>
            <w:r>
              <w:rPr>
                <w:rFonts w:hint="eastAsia" w:ascii="宋体" w:hAnsi="宋体" w:eastAsia="宋体" w:cs="宋体"/>
                <w:color w:val="auto"/>
                <w:spacing w:val="-3"/>
                <w:sz w:val="21"/>
                <w:highlight w:val="none"/>
              </w:rPr>
              <w:t>金</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无</w:t>
            </w:r>
          </w:p>
        </w:tc>
      </w:tr>
      <w:tr w14:paraId="3114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noWrap w:val="0"/>
            <w:vAlign w:val="center"/>
          </w:tcPr>
          <w:p w14:paraId="33A6AF49">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w:t>
            </w:r>
          </w:p>
        </w:tc>
        <w:tc>
          <w:tcPr>
            <w:tcW w:w="1111" w:type="dxa"/>
            <w:noWrap w:val="0"/>
            <w:vAlign w:val="center"/>
          </w:tcPr>
          <w:p w14:paraId="4D8122B2">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755DE7EF">
            <w:pPr>
              <w:pStyle w:val="39"/>
              <w:tabs>
                <w:tab w:val="left" w:pos="2868"/>
              </w:tabs>
              <w:spacing w:before="89"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提前</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奖</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无</w:t>
            </w:r>
          </w:p>
        </w:tc>
      </w:tr>
      <w:tr w14:paraId="113D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6A7550E1">
            <w:pPr>
              <w:pStyle w:val="39"/>
              <w:spacing w:before="113" w:line="226" w:lineRule="exact"/>
              <w:ind w:left="83" w:right="74"/>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14</w:t>
            </w:r>
          </w:p>
        </w:tc>
        <w:tc>
          <w:tcPr>
            <w:tcW w:w="1111" w:type="dxa"/>
            <w:noWrap w:val="0"/>
            <w:vAlign w:val="center"/>
          </w:tcPr>
          <w:p w14:paraId="0E7EC637">
            <w:pPr>
              <w:tabs>
                <w:tab w:val="left" w:pos="1080"/>
              </w:tabs>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15.5.2</w:t>
            </w:r>
          </w:p>
        </w:tc>
        <w:tc>
          <w:tcPr>
            <w:tcW w:w="7305" w:type="dxa"/>
            <w:noWrap w:val="0"/>
            <w:vAlign w:val="center"/>
          </w:tcPr>
          <w:p w14:paraId="7F98BF40">
            <w:pPr>
              <w:tabs>
                <w:tab w:val="left" w:pos="1080"/>
              </w:tabs>
              <w:spacing w:line="300" w:lineRule="exact"/>
              <w:ind w:firstLine="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承包人提出的合理化建议降低了合同价格或者提高了工程经济效益的，发包人按所节约成本的0%给予奖励。</w:t>
            </w:r>
          </w:p>
        </w:tc>
      </w:tr>
      <w:tr w14:paraId="23A0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58ECD833">
            <w:pPr>
              <w:pStyle w:val="39"/>
              <w:spacing w:before="113" w:line="226" w:lineRule="exact"/>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w:t>
            </w:r>
          </w:p>
        </w:tc>
        <w:tc>
          <w:tcPr>
            <w:tcW w:w="1111" w:type="dxa"/>
            <w:noWrap w:val="0"/>
            <w:vAlign w:val="center"/>
          </w:tcPr>
          <w:p w14:paraId="7EFC8763">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5.4</w:t>
            </w:r>
          </w:p>
        </w:tc>
        <w:tc>
          <w:tcPr>
            <w:tcW w:w="7305" w:type="dxa"/>
            <w:noWrap w:val="0"/>
            <w:vAlign w:val="center"/>
          </w:tcPr>
          <w:p w14:paraId="7F8533ED">
            <w:pPr>
              <w:spacing w:before="253" w:line="219" w:lineRule="auto"/>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变更的估价原</w:t>
            </w:r>
            <w:r>
              <w:rPr>
                <w:rFonts w:hint="eastAsia" w:ascii="宋体" w:hAnsi="宋体" w:eastAsia="宋体" w:cs="宋体"/>
                <w:color w:val="auto"/>
                <w:szCs w:val="21"/>
                <w:highlight w:val="none"/>
              </w:rPr>
              <w:t>则：</w:t>
            </w:r>
          </w:p>
          <w:p w14:paraId="059E4CB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15.4.1如果取消某项工作，则该项工作的总额价不予以支付；</w:t>
            </w:r>
          </w:p>
          <w:p w14:paraId="6185BFD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359F6EFF">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3B7BAB2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6A52B4CE">
            <w:pPr>
              <w:wordWrap w:val="0"/>
              <w:topLinePunct/>
              <w:adjustRightInd w:val="0"/>
              <w:spacing w:line="360" w:lineRule="auto"/>
              <w:ind w:firstLine="420"/>
              <w:rPr>
                <w:rFonts w:hint="eastAsia" w:ascii="宋体" w:hAnsi="宋体" w:eastAsia="宋体" w:cs="宋体"/>
                <w:color w:val="auto"/>
                <w:spacing w:val="-2"/>
                <w:sz w:val="21"/>
                <w:szCs w:val="21"/>
                <w:highlight w:val="none"/>
                <w:lang w:eastAsia="zh-CN"/>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tc>
      </w:tr>
      <w:tr w14:paraId="42A7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629" w:type="dxa"/>
            <w:noWrap w:val="0"/>
            <w:vAlign w:val="center"/>
          </w:tcPr>
          <w:p w14:paraId="3BFEDAAF">
            <w:pPr>
              <w:pStyle w:val="39"/>
              <w:jc w:val="center"/>
              <w:rPr>
                <w:rFonts w:hint="eastAsia" w:ascii="宋体" w:hAnsi="宋体" w:eastAsia="宋体" w:cs="宋体"/>
                <w:color w:val="auto"/>
                <w:highlight w:val="none"/>
                <w:lang w:eastAsia="zh-CN"/>
              </w:rPr>
            </w:pPr>
          </w:p>
          <w:p w14:paraId="558F1B4C">
            <w:pPr>
              <w:pStyle w:val="3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1111" w:type="dxa"/>
            <w:noWrap w:val="0"/>
            <w:vAlign w:val="center"/>
          </w:tcPr>
          <w:p w14:paraId="711BF46E">
            <w:pPr>
              <w:pStyle w:val="39"/>
              <w:jc w:val="center"/>
              <w:rPr>
                <w:rFonts w:hint="eastAsia" w:ascii="宋体" w:hAnsi="宋体" w:eastAsia="宋体" w:cs="宋体"/>
                <w:color w:val="auto"/>
                <w:highlight w:val="none"/>
              </w:rPr>
            </w:pPr>
          </w:p>
          <w:p w14:paraId="220F096B">
            <w:pPr>
              <w:pStyle w:val="3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16.1</w:t>
            </w:r>
          </w:p>
        </w:tc>
        <w:tc>
          <w:tcPr>
            <w:tcW w:w="7305" w:type="dxa"/>
            <w:noWrap w:val="0"/>
            <w:vAlign w:val="center"/>
          </w:tcPr>
          <w:p w14:paraId="57F629ED">
            <w:pPr>
              <w:pStyle w:val="39"/>
              <w:tabs>
                <w:tab w:val="left" w:pos="0"/>
                <w:tab w:val="left" w:pos="6908"/>
                <w:tab w:val="left" w:pos="7244"/>
              </w:tabs>
              <w:spacing w:before="1" w:line="360" w:lineRule="atLeast"/>
              <w:ind w:right="48" w:firstLine="210" w:firstLineChars="1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合同期内不调价</w:t>
            </w:r>
            <w:r>
              <w:rPr>
                <w:rFonts w:hint="eastAsia" w:ascii="宋体" w:hAnsi="宋体" w:eastAsia="宋体" w:cs="宋体"/>
                <w:color w:val="auto"/>
                <w:sz w:val="21"/>
                <w:highlight w:val="none"/>
                <w:lang w:eastAsia="zh-CN"/>
              </w:rPr>
              <w:t>。</w:t>
            </w:r>
          </w:p>
        </w:tc>
      </w:tr>
    </w:tbl>
    <w:p w14:paraId="2A23DB2F">
      <w:pPr>
        <w:rPr>
          <w:rFonts w:hint="eastAsia" w:ascii="宋体" w:hAnsi="宋体" w:eastAsia="宋体" w:cs="宋体"/>
          <w:color w:val="auto"/>
          <w:sz w:val="18"/>
          <w:highlight w:val="none"/>
        </w:rPr>
        <w:sectPr>
          <w:footerReference r:id="rId7" w:type="default"/>
          <w:footerReference r:id="rId8" w:type="even"/>
          <w:pgSz w:w="11910" w:h="16850"/>
          <w:pgMar w:top="1480" w:right="1200" w:bottom="1040" w:left="1220" w:header="876" w:footer="853" w:gutter="0"/>
          <w:cols w:space="720" w:num="1"/>
        </w:sectPr>
      </w:pPr>
    </w:p>
    <w:p w14:paraId="30D9D5AE">
      <w:pPr>
        <w:pStyle w:val="11"/>
        <w:spacing w:before="5"/>
        <w:rPr>
          <w:rFonts w:hint="eastAsia" w:ascii="宋体" w:hAnsi="宋体" w:eastAsia="宋体" w:cs="宋体"/>
          <w:color w:val="auto"/>
          <w:sz w:val="8"/>
          <w:highlight w:val="none"/>
        </w:rPr>
      </w:pPr>
    </w:p>
    <w:tbl>
      <w:tblPr>
        <w:tblStyle w:val="2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571C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0768195">
            <w:pPr>
              <w:pStyle w:val="39"/>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noWrap w:val="0"/>
            <w:vAlign w:val="top"/>
          </w:tcPr>
          <w:p w14:paraId="642B1E46">
            <w:pPr>
              <w:pStyle w:val="39"/>
              <w:spacing w:before="90" w:line="250" w:lineRule="exact"/>
              <w:ind w:left="23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noWrap w:val="0"/>
            <w:vAlign w:val="top"/>
          </w:tcPr>
          <w:p w14:paraId="0854EEAE">
            <w:pPr>
              <w:pStyle w:val="39"/>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40A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E5EC21B">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noWrap w:val="0"/>
            <w:vAlign w:val="top"/>
          </w:tcPr>
          <w:p w14:paraId="154BE67A">
            <w:pPr>
              <w:pStyle w:val="39"/>
              <w:spacing w:before="89"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17.2.1（1）</w:t>
            </w:r>
          </w:p>
        </w:tc>
        <w:tc>
          <w:tcPr>
            <w:tcW w:w="7305" w:type="dxa"/>
            <w:noWrap w:val="0"/>
            <w:vAlign w:val="top"/>
          </w:tcPr>
          <w:p w14:paraId="12F42965">
            <w:pPr>
              <w:pStyle w:val="39"/>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开工预付款金额：签订合同后，材料进场且开始施工后支付合同总价款的30%为工程预付款</w:t>
            </w:r>
            <w:r>
              <w:rPr>
                <w:rFonts w:hint="eastAsia" w:ascii="宋体" w:hAnsi="宋体" w:eastAsia="宋体" w:cs="宋体"/>
                <w:color w:val="auto"/>
                <w:sz w:val="21"/>
                <w:szCs w:val="21"/>
                <w:highlight w:val="none"/>
                <w:lang w:eastAsia="zh-CN"/>
              </w:rPr>
              <w:t>。</w:t>
            </w:r>
          </w:p>
        </w:tc>
      </w:tr>
      <w:tr w14:paraId="10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noWrap w:val="0"/>
            <w:vAlign w:val="top"/>
          </w:tcPr>
          <w:p w14:paraId="7848740C">
            <w:pPr>
              <w:pStyle w:val="39"/>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noWrap w:val="0"/>
            <w:vAlign w:val="top"/>
          </w:tcPr>
          <w:p w14:paraId="131E4B61">
            <w:pPr>
              <w:pStyle w:val="39"/>
              <w:spacing w:before="92"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17.2.1（2）</w:t>
            </w:r>
          </w:p>
        </w:tc>
        <w:tc>
          <w:tcPr>
            <w:tcW w:w="7305" w:type="dxa"/>
            <w:noWrap w:val="0"/>
            <w:vAlign w:val="top"/>
          </w:tcPr>
          <w:p w14:paraId="2A4DF3A3">
            <w:pPr>
              <w:pStyle w:val="39"/>
              <w:tabs>
                <w:tab w:val="left" w:pos="2973"/>
              </w:tabs>
              <w:spacing w:before="92"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预</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比</w:t>
            </w:r>
            <w:r>
              <w:rPr>
                <w:rFonts w:hint="eastAsia" w:ascii="宋体" w:hAnsi="宋体" w:eastAsia="宋体" w:cs="宋体"/>
                <w:color w:val="auto"/>
                <w:sz w:val="21"/>
                <w:szCs w:val="21"/>
                <w:highlight w:val="none"/>
                <w:lang w:eastAsia="zh-CN"/>
              </w:rPr>
              <w:t>例</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pacing w:val="-3"/>
                <w:sz w:val="21"/>
                <w:szCs w:val="21"/>
                <w:highlight w:val="none"/>
                <w:lang w:eastAsia="zh-CN"/>
              </w:rPr>
              <w:t>主</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3"/>
                <w:sz w:val="21"/>
                <w:szCs w:val="21"/>
                <w:highlight w:val="none"/>
                <w:lang w:eastAsia="zh-CN"/>
              </w:rPr>
              <w:t>材</w:t>
            </w:r>
            <w:r>
              <w:rPr>
                <w:rFonts w:hint="eastAsia" w:ascii="宋体" w:hAnsi="宋体" w:eastAsia="宋体" w:cs="宋体"/>
                <w:color w:val="auto"/>
                <w:sz w:val="21"/>
                <w:szCs w:val="21"/>
                <w:highlight w:val="none"/>
                <w:lang w:eastAsia="zh-CN"/>
              </w:rPr>
              <w:t>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单</w:t>
            </w:r>
            <w:r>
              <w:rPr>
                <w:rFonts w:hint="eastAsia" w:ascii="宋体" w:hAnsi="宋体" w:eastAsia="宋体" w:cs="宋体"/>
                <w:color w:val="auto"/>
                <w:spacing w:val="-3"/>
                <w:sz w:val="21"/>
                <w:szCs w:val="21"/>
                <w:highlight w:val="none"/>
                <w:lang w:eastAsia="zh-CN"/>
              </w:rPr>
              <w:t>据</w:t>
            </w:r>
            <w:r>
              <w:rPr>
                <w:rFonts w:hint="eastAsia" w:ascii="宋体" w:hAnsi="宋体" w:eastAsia="宋体" w:cs="宋体"/>
                <w:color w:val="auto"/>
                <w:sz w:val="21"/>
                <w:szCs w:val="21"/>
                <w:highlight w:val="none"/>
                <w:lang w:eastAsia="zh-CN"/>
              </w:rPr>
              <w:t>所列</w:t>
            </w:r>
            <w:r>
              <w:rPr>
                <w:rFonts w:hint="eastAsia" w:ascii="宋体" w:hAnsi="宋体" w:eastAsia="宋体" w:cs="宋体"/>
                <w:color w:val="auto"/>
                <w:spacing w:val="-3"/>
                <w:sz w:val="21"/>
                <w:szCs w:val="21"/>
                <w:highlight w:val="none"/>
                <w:lang w:eastAsia="zh-CN"/>
              </w:rPr>
              <w:t>费</w:t>
            </w:r>
            <w:r>
              <w:rPr>
                <w:rFonts w:hint="eastAsia" w:ascii="宋体" w:hAnsi="宋体" w:eastAsia="宋体" w:cs="宋体"/>
                <w:color w:val="auto"/>
                <w:sz w:val="21"/>
                <w:szCs w:val="21"/>
                <w:highlight w:val="none"/>
                <w:lang w:eastAsia="zh-CN"/>
              </w:rPr>
              <w:t>用的</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w:t>
            </w:r>
          </w:p>
        </w:tc>
      </w:tr>
      <w:tr w14:paraId="1B33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5EABAD9">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noWrap w:val="0"/>
            <w:vAlign w:val="top"/>
          </w:tcPr>
          <w:p w14:paraId="26E6D495">
            <w:pPr>
              <w:pStyle w:val="39"/>
              <w:spacing w:before="113" w:line="226" w:lineRule="exact"/>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w:t>
            </w:r>
          </w:p>
        </w:tc>
        <w:tc>
          <w:tcPr>
            <w:tcW w:w="7305" w:type="dxa"/>
            <w:noWrap w:val="0"/>
            <w:vAlign w:val="top"/>
          </w:tcPr>
          <w:p w14:paraId="2749343B">
            <w:pPr>
              <w:pStyle w:val="39"/>
              <w:spacing w:before="89" w:line="250" w:lineRule="exact"/>
              <w:ind w:left="34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承包人在每个付款周期末向监理人提交进度付款申请单的份数：</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份</w:t>
            </w:r>
          </w:p>
        </w:tc>
      </w:tr>
      <w:tr w14:paraId="45C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0E4E1348">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noWrap w:val="0"/>
            <w:vAlign w:val="top"/>
          </w:tcPr>
          <w:p w14:paraId="0D46C2AA">
            <w:pPr>
              <w:pStyle w:val="39"/>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17.3.3（1）</w:t>
            </w:r>
          </w:p>
        </w:tc>
        <w:tc>
          <w:tcPr>
            <w:tcW w:w="7305" w:type="dxa"/>
            <w:noWrap w:val="0"/>
            <w:vAlign w:val="top"/>
          </w:tcPr>
          <w:p w14:paraId="40D1BBE4">
            <w:pPr>
              <w:pStyle w:val="39"/>
              <w:tabs>
                <w:tab w:val="left" w:pos="3079"/>
                <w:tab w:val="left" w:pos="493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进度</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pacing w:val="-3"/>
                <w:sz w:val="21"/>
                <w:szCs w:val="21"/>
                <w:highlight w:val="none"/>
                <w:lang w:eastAsia="zh-CN"/>
              </w:rPr>
              <w:t>最</w:t>
            </w:r>
            <w:r>
              <w:rPr>
                <w:rFonts w:hint="eastAsia" w:ascii="宋体" w:hAnsi="宋体" w:eastAsia="宋体" w:cs="宋体"/>
                <w:color w:val="auto"/>
                <w:sz w:val="21"/>
                <w:szCs w:val="21"/>
                <w:highlight w:val="none"/>
                <w:lang w:eastAsia="zh-CN"/>
              </w:rPr>
              <w:t>低</w:t>
            </w:r>
            <w:r>
              <w:rPr>
                <w:rFonts w:hint="eastAsia" w:ascii="宋体" w:hAnsi="宋体" w:eastAsia="宋体" w:cs="宋体"/>
                <w:color w:val="auto"/>
                <w:spacing w:val="-3"/>
                <w:sz w:val="21"/>
                <w:szCs w:val="21"/>
                <w:highlight w:val="none"/>
                <w:lang w:eastAsia="zh-CN"/>
              </w:rPr>
              <w:t>限</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2</w:t>
            </w:r>
            <w:r>
              <w:rPr>
                <w:rFonts w:hint="eastAsia" w:ascii="宋体" w:hAnsi="宋体" w:eastAsia="宋体" w:cs="宋体"/>
                <w:color w:val="auto"/>
                <w:spacing w:val="-3"/>
                <w:sz w:val="21"/>
                <w:szCs w:val="21"/>
                <w:highlight w:val="none"/>
                <w:u w:val="single"/>
                <w:lang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签</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合</w:t>
            </w:r>
            <w:r>
              <w:rPr>
                <w:rFonts w:hint="eastAsia" w:ascii="宋体" w:hAnsi="宋体" w:eastAsia="宋体" w:cs="宋体"/>
                <w:color w:val="auto"/>
                <w:sz w:val="21"/>
                <w:szCs w:val="21"/>
                <w:highlight w:val="none"/>
                <w:lang w:eastAsia="zh-CN"/>
              </w:rPr>
              <w:t>同</w:t>
            </w:r>
            <w:r>
              <w:rPr>
                <w:rFonts w:hint="eastAsia" w:ascii="宋体" w:hAnsi="宋体" w:eastAsia="宋体" w:cs="宋体"/>
                <w:color w:val="auto"/>
                <w:spacing w:val="-3"/>
                <w:sz w:val="21"/>
                <w:szCs w:val="21"/>
                <w:highlight w:val="none"/>
                <w:lang w:eastAsia="zh-CN"/>
              </w:rPr>
              <w:t>价</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eastAsia="zh-CN"/>
              </w:rPr>
              <w:t>万</w:t>
            </w:r>
            <w:r>
              <w:rPr>
                <w:rFonts w:hint="eastAsia" w:ascii="宋体" w:hAnsi="宋体" w:eastAsia="宋体" w:cs="宋体"/>
                <w:color w:val="auto"/>
                <w:sz w:val="21"/>
                <w:szCs w:val="21"/>
                <w:highlight w:val="none"/>
                <w:lang w:eastAsia="zh-CN"/>
              </w:rPr>
              <w:t>元</w:t>
            </w:r>
          </w:p>
        </w:tc>
      </w:tr>
      <w:tr w14:paraId="4811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7F0F30D1">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noWrap w:val="0"/>
            <w:vAlign w:val="top"/>
          </w:tcPr>
          <w:p w14:paraId="71BE1FC7">
            <w:pPr>
              <w:pStyle w:val="39"/>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17.3.3（2）</w:t>
            </w:r>
          </w:p>
        </w:tc>
        <w:tc>
          <w:tcPr>
            <w:tcW w:w="7305" w:type="dxa"/>
            <w:noWrap w:val="0"/>
            <w:vAlign w:val="top"/>
          </w:tcPr>
          <w:p w14:paraId="5E5BB3DA">
            <w:pPr>
              <w:pStyle w:val="39"/>
              <w:tabs>
                <w:tab w:val="left" w:pos="318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逾期</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违</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金</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利</w:t>
            </w:r>
            <w:r>
              <w:rPr>
                <w:rFonts w:hint="eastAsia" w:ascii="宋体" w:hAnsi="宋体" w:eastAsia="宋体" w:cs="宋体"/>
                <w:color w:val="auto"/>
                <w:sz w:val="21"/>
                <w:szCs w:val="21"/>
                <w:highlight w:val="none"/>
                <w:lang w:eastAsia="zh-CN"/>
              </w:rPr>
              <w:t>率</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eastAsia="zh-CN"/>
              </w:rPr>
              <w:t xml:space="preserve">0.15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天</w:t>
            </w:r>
          </w:p>
        </w:tc>
      </w:tr>
      <w:tr w14:paraId="1A9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22CB7DD">
            <w:pPr>
              <w:pStyle w:val="39"/>
              <w:spacing w:before="113" w:line="226" w:lineRule="exact"/>
              <w:ind w:left="83" w:right="74"/>
              <w:jc w:val="center"/>
              <w:rPr>
                <w:rFonts w:hint="eastAsia" w:ascii="宋体" w:hAnsi="宋体" w:eastAsia="宋体" w:cs="宋体"/>
                <w:color w:val="auto"/>
                <w:sz w:val="21"/>
                <w:szCs w:val="21"/>
                <w:highlight w:val="none"/>
                <w:lang w:eastAsia="zh-CN"/>
              </w:rPr>
            </w:pPr>
          </w:p>
          <w:p w14:paraId="6B99D624">
            <w:pPr>
              <w:pStyle w:val="39"/>
              <w:spacing w:before="113" w:line="226" w:lineRule="exact"/>
              <w:ind w:left="83" w:right="74"/>
              <w:jc w:val="center"/>
              <w:rPr>
                <w:rFonts w:hint="eastAsia" w:ascii="宋体" w:hAnsi="宋体" w:eastAsia="宋体" w:cs="宋体"/>
                <w:color w:val="auto"/>
                <w:sz w:val="21"/>
                <w:szCs w:val="21"/>
                <w:highlight w:val="none"/>
                <w:lang w:eastAsia="zh-CN"/>
              </w:rPr>
            </w:pPr>
          </w:p>
          <w:p w14:paraId="496658A9">
            <w:pPr>
              <w:pStyle w:val="39"/>
              <w:spacing w:before="113" w:line="226" w:lineRule="exact"/>
              <w:ind w:left="83" w:right="74"/>
              <w:jc w:val="center"/>
              <w:rPr>
                <w:rFonts w:hint="eastAsia" w:ascii="宋体" w:hAnsi="宋体" w:eastAsia="宋体" w:cs="宋体"/>
                <w:color w:val="auto"/>
                <w:sz w:val="21"/>
                <w:szCs w:val="21"/>
                <w:highlight w:val="none"/>
                <w:lang w:eastAsia="zh-CN"/>
              </w:rPr>
            </w:pPr>
          </w:p>
          <w:p w14:paraId="2CDC1BD8">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noWrap w:val="0"/>
            <w:vAlign w:val="center"/>
          </w:tcPr>
          <w:p w14:paraId="4069C92C">
            <w:pPr>
              <w:spacing w:line="360"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17.3.3(4)</w:t>
            </w:r>
          </w:p>
        </w:tc>
        <w:tc>
          <w:tcPr>
            <w:tcW w:w="7305" w:type="dxa"/>
            <w:noWrap w:val="0"/>
            <w:vAlign w:val="top"/>
          </w:tcPr>
          <w:p w14:paraId="2BE10390">
            <w:pPr>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 xml:space="preserve"> </w:t>
            </w:r>
          </w:p>
          <w:p w14:paraId="59D7C47B">
            <w:pPr>
              <w:pageBreakBefore w:val="0"/>
              <w:numPr>
                <w:ilvl w:val="0"/>
                <w:numId w:val="0"/>
              </w:numPr>
              <w:kinsoku/>
              <w:wordWrap/>
              <w:overflowPunct/>
              <w:topLinePunct w:val="0"/>
              <w:autoSpaceDE/>
              <w:autoSpaceDN/>
              <w:bidi w:val="0"/>
              <w:spacing w:line="360" w:lineRule="auto"/>
              <w:ind w:left="-60" w:leftChars="0" w:firstLine="480" w:firstLineChars="0"/>
              <w:textAlignment w:val="auto"/>
              <w:rPr>
                <w:rFonts w:hint="eastAsia" w:ascii="宋体" w:hAnsi="宋体" w:eastAsia="宋体" w:cs="宋体"/>
                <w:color w:val="auto"/>
                <w:sz w:val="21"/>
                <w:szCs w:val="21"/>
                <w:highlight w:val="none"/>
              </w:rPr>
            </w:pP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rPr>
              <w:t>甲方根据工程需要和工程进度情况，可支付至合同总价款的80%；</w:t>
            </w:r>
            <w:r>
              <w:rPr>
                <w:rFonts w:hint="default" w:ascii="Calibri" w:hAnsi="Calibri" w:eastAsia="宋体" w:cs="Calibri"/>
                <w:color w:val="auto"/>
                <w:sz w:val="21"/>
                <w:szCs w:val="21"/>
                <w:highlight w:val="none"/>
              </w:rPr>
              <w:t>②</w:t>
            </w:r>
            <w:r>
              <w:rPr>
                <w:rFonts w:hint="eastAsia" w:ascii="宋体" w:hAnsi="宋体" w:eastAsia="宋体" w:cs="宋体"/>
                <w:color w:val="auto"/>
                <w:sz w:val="21"/>
                <w:szCs w:val="21"/>
                <w:highlight w:val="none"/>
              </w:rPr>
              <w:t>工程竣工验收达到合格质量要求后，支付至工程合同总价款的90%；</w:t>
            </w:r>
            <w:r>
              <w:rPr>
                <w:rFonts w:hint="default" w:ascii="Calibri" w:hAnsi="Calibri" w:eastAsia="宋体" w:cs="Calibri"/>
                <w:color w:val="auto"/>
                <w:sz w:val="21"/>
                <w:szCs w:val="21"/>
                <w:highlight w:val="none"/>
              </w:rPr>
              <w:t>③</w:t>
            </w:r>
            <w:r>
              <w:rPr>
                <w:rFonts w:hint="eastAsia" w:ascii="宋体" w:hAnsi="宋体" w:eastAsia="宋体" w:cs="宋体"/>
                <w:color w:val="auto"/>
                <w:sz w:val="21"/>
                <w:szCs w:val="21"/>
                <w:highlight w:val="none"/>
              </w:rPr>
              <w:t>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w:t>
            </w:r>
            <w:r>
              <w:rPr>
                <w:rFonts w:hint="eastAsia" w:ascii="宋体" w:hAnsi="宋体" w:cs="宋体"/>
                <w:color w:val="auto"/>
                <w:sz w:val="21"/>
                <w:szCs w:val="21"/>
                <w:highlight w:val="none"/>
                <w:lang w:eastAsia="zh-CN"/>
              </w:rPr>
              <w:t>；</w:t>
            </w:r>
            <w:r>
              <w:rPr>
                <w:rFonts w:hint="eastAsia" w:ascii="微软雅黑" w:hAnsi="微软雅黑" w:eastAsia="微软雅黑" w:cs="微软雅黑"/>
                <w:color w:val="auto"/>
                <w:sz w:val="21"/>
                <w:szCs w:val="21"/>
                <w:highlight w:val="none"/>
              </w:rPr>
              <w:t>④</w:t>
            </w:r>
            <w:r>
              <w:rPr>
                <w:rFonts w:hint="eastAsia" w:ascii="宋体" w:hAnsi="宋体" w:eastAsia="宋体" w:cs="宋体"/>
                <w:color w:val="auto"/>
                <w:sz w:val="21"/>
                <w:szCs w:val="21"/>
                <w:highlight w:val="none"/>
              </w:rPr>
              <w:t>3%工程质量保证金，待工程质量保修期满后返还。本工程质量保质期为1年。在工程质量保质期内，若存在质量缺陷的，由乙方负责保修，费用由乙方负责，工程质量保质期从甲方验收合格后开始计算。</w:t>
            </w:r>
          </w:p>
          <w:p w14:paraId="1958CFF0">
            <w:pPr>
              <w:tabs>
                <w:tab w:val="left" w:pos="3193"/>
              </w:tabs>
              <w:wordWrap w:val="0"/>
              <w:topLinePunct/>
              <w:adjustRightIn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注：每次付款前需承包人开具等额增值税发票，申请付款前需提供发票原件方可付款。</w:t>
            </w:r>
            <w:r>
              <w:rPr>
                <w:rFonts w:hint="eastAsia" w:ascii="宋体" w:hAnsi="宋体" w:eastAsia="宋体" w:cs="宋体"/>
                <w:b/>
                <w:color w:val="auto"/>
                <w:sz w:val="21"/>
                <w:szCs w:val="21"/>
                <w:highlight w:val="none"/>
              </w:rPr>
              <w:tab/>
            </w:r>
          </w:p>
        </w:tc>
      </w:tr>
      <w:tr w14:paraId="0694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9" w:type="dxa"/>
            <w:noWrap w:val="0"/>
            <w:vAlign w:val="center"/>
          </w:tcPr>
          <w:p w14:paraId="1CACDFFB">
            <w:pPr>
              <w:pStyle w:val="39"/>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noWrap w:val="0"/>
            <w:vAlign w:val="center"/>
          </w:tcPr>
          <w:p w14:paraId="4802A795">
            <w:pPr>
              <w:pStyle w:val="39"/>
              <w:spacing w:before="178"/>
              <w:ind w:left="2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17.4.1</w:t>
            </w:r>
          </w:p>
        </w:tc>
        <w:tc>
          <w:tcPr>
            <w:tcW w:w="7305" w:type="dxa"/>
            <w:noWrap w:val="0"/>
            <w:vAlign w:val="top"/>
          </w:tcPr>
          <w:p w14:paraId="7C009771">
            <w:pPr>
              <w:pStyle w:val="39"/>
              <w:spacing w:before="2" w:line="355"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质量保证金限额：3%</w:t>
            </w:r>
            <w:r>
              <w:rPr>
                <w:rFonts w:hint="eastAsia" w:ascii="宋体" w:hAnsi="宋体" w:eastAsia="宋体" w:cs="宋体"/>
                <w:color w:val="auto"/>
                <w:sz w:val="21"/>
                <w:szCs w:val="21"/>
                <w:highlight w:val="none"/>
                <w:lang w:val="en-US" w:eastAsia="zh-CN"/>
              </w:rPr>
              <w:t>结算价</w:t>
            </w:r>
            <w:r>
              <w:rPr>
                <w:rFonts w:hint="eastAsia" w:ascii="宋体" w:hAnsi="宋体" w:eastAsia="宋体" w:cs="宋体"/>
                <w:color w:val="auto"/>
                <w:sz w:val="21"/>
                <w:szCs w:val="21"/>
                <w:highlight w:val="none"/>
                <w:lang w:eastAsia="zh-CN"/>
              </w:rPr>
              <w:t>。</w:t>
            </w:r>
          </w:p>
          <w:p w14:paraId="6F6C4B14">
            <w:pPr>
              <w:pStyle w:val="39"/>
              <w:spacing w:before="2" w:line="355" w:lineRule="exact"/>
              <w:ind w:firstLine="208"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质量保证金是否计</w:t>
            </w:r>
            <w:r>
              <w:rPr>
                <w:rFonts w:hint="eastAsia" w:ascii="宋体" w:hAnsi="宋体" w:eastAsia="宋体" w:cs="宋体"/>
                <w:color w:val="auto"/>
                <w:sz w:val="21"/>
                <w:szCs w:val="21"/>
                <w:highlight w:val="none"/>
              </w:rPr>
              <w:t>付利息：</w:t>
            </w:r>
          </w:p>
          <w:p w14:paraId="407951F4">
            <w:pPr>
              <w:pStyle w:val="39"/>
              <w:spacing w:before="2" w:line="355" w:lineRule="exact"/>
              <w:ind w:firstLine="206"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是，利息的计算方式：</w:t>
            </w:r>
            <w:r>
              <w:rPr>
                <w:rFonts w:hint="eastAsia" w:ascii="宋体" w:hAnsi="宋体" w:eastAsia="宋体" w:cs="宋体"/>
                <w:color w:val="auto"/>
                <w:sz w:val="21"/>
                <w:szCs w:val="21"/>
                <w:highlight w:val="none"/>
                <w:u w:val="single"/>
              </w:rPr>
              <w:t xml:space="preserve">               </w:t>
            </w:r>
          </w:p>
          <w:p w14:paraId="09DA6A9A">
            <w:pPr>
              <w:pStyle w:val="39"/>
              <w:spacing w:before="2" w:line="355" w:lineRule="exact"/>
              <w:ind w:firstLine="206"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否</w:t>
            </w:r>
          </w:p>
        </w:tc>
      </w:tr>
      <w:tr w14:paraId="21E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0C8DD6FB">
            <w:pPr>
              <w:pStyle w:val="39"/>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noWrap w:val="0"/>
            <w:vAlign w:val="top"/>
          </w:tcPr>
          <w:p w14:paraId="3FE01C2B">
            <w:pPr>
              <w:pStyle w:val="39"/>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17.5.1（1）</w:t>
            </w:r>
          </w:p>
        </w:tc>
        <w:tc>
          <w:tcPr>
            <w:tcW w:w="7305" w:type="dxa"/>
            <w:noWrap w:val="0"/>
            <w:vAlign w:val="top"/>
          </w:tcPr>
          <w:p w14:paraId="4A7AFFD6">
            <w:pPr>
              <w:pStyle w:val="39"/>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承包人向监理人提交交工付款申请单（包括相关证明材料）的份数：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w:t>
            </w:r>
          </w:p>
        </w:tc>
      </w:tr>
      <w:tr w14:paraId="76A1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29" w:type="dxa"/>
            <w:noWrap w:val="0"/>
            <w:vAlign w:val="top"/>
          </w:tcPr>
          <w:p w14:paraId="41AB827B">
            <w:pPr>
              <w:pStyle w:val="39"/>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w:t>
            </w:r>
          </w:p>
        </w:tc>
        <w:tc>
          <w:tcPr>
            <w:tcW w:w="1111" w:type="dxa"/>
            <w:noWrap w:val="0"/>
            <w:vAlign w:val="top"/>
          </w:tcPr>
          <w:p w14:paraId="645BCF27">
            <w:pPr>
              <w:pStyle w:val="39"/>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17.6.1（1）</w:t>
            </w:r>
          </w:p>
        </w:tc>
        <w:tc>
          <w:tcPr>
            <w:tcW w:w="7305" w:type="dxa"/>
            <w:noWrap w:val="0"/>
            <w:vAlign w:val="top"/>
          </w:tcPr>
          <w:p w14:paraId="3A2890D2">
            <w:pPr>
              <w:pStyle w:val="39"/>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承包人向监理人提交最终结清申请单（包括相关证明材料）的份数：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份</w:t>
            </w:r>
          </w:p>
        </w:tc>
      </w:tr>
      <w:tr w14:paraId="3300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9" w:type="dxa"/>
            <w:noWrap w:val="0"/>
            <w:vAlign w:val="top"/>
          </w:tcPr>
          <w:p w14:paraId="529AA1AE">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noWrap w:val="0"/>
            <w:vAlign w:val="top"/>
          </w:tcPr>
          <w:p w14:paraId="678AE6BA">
            <w:pPr>
              <w:pStyle w:val="39"/>
              <w:spacing w:before="90"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w:t>
            </w:r>
          </w:p>
        </w:tc>
        <w:tc>
          <w:tcPr>
            <w:tcW w:w="7305" w:type="dxa"/>
            <w:noWrap w:val="0"/>
            <w:vAlign w:val="top"/>
          </w:tcPr>
          <w:p w14:paraId="5E34E2B8">
            <w:pPr>
              <w:pStyle w:val="39"/>
              <w:tabs>
                <w:tab w:val="left" w:pos="2659"/>
              </w:tabs>
              <w:spacing w:before="90"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料</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份</w:t>
            </w:r>
            <w:r>
              <w:rPr>
                <w:rFonts w:hint="eastAsia" w:ascii="宋体" w:hAnsi="宋体" w:eastAsia="宋体" w:cs="宋体"/>
                <w:color w:val="auto"/>
                <w:spacing w:val="-3"/>
                <w:sz w:val="21"/>
                <w:szCs w:val="21"/>
                <w:highlight w:val="none"/>
              </w:rPr>
              <w:t>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份</w:t>
            </w:r>
          </w:p>
        </w:tc>
      </w:tr>
      <w:tr w14:paraId="2F48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15E578FA">
            <w:pPr>
              <w:pStyle w:val="39"/>
              <w:spacing w:before="194"/>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noWrap w:val="0"/>
            <w:vAlign w:val="top"/>
          </w:tcPr>
          <w:p w14:paraId="46F4B151">
            <w:pPr>
              <w:pStyle w:val="39"/>
              <w:spacing w:before="194"/>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w:t>
            </w:r>
          </w:p>
        </w:tc>
        <w:tc>
          <w:tcPr>
            <w:tcW w:w="7305" w:type="dxa"/>
            <w:noWrap w:val="0"/>
            <w:vAlign w:val="top"/>
          </w:tcPr>
          <w:p w14:paraId="53E8E513">
            <w:pPr>
              <w:pStyle w:val="39"/>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z w:val="21"/>
                <w:szCs w:val="21"/>
                <w:highlight w:val="none"/>
                <w:lang w:eastAsia="zh-CN"/>
              </w:rPr>
              <w:t>单位工程或工程设备是否需投入施工期运行：</w:t>
            </w:r>
            <w:r>
              <w:rPr>
                <w:rFonts w:hint="eastAsia" w:ascii="宋体" w:hAnsi="宋体" w:eastAsia="宋体" w:cs="宋体"/>
                <w:color w:val="auto"/>
                <w:sz w:val="21"/>
                <w:szCs w:val="21"/>
                <w:highlight w:val="none"/>
                <w:u w:val="single"/>
                <w:lang w:eastAsia="zh-CN"/>
              </w:rPr>
              <w:t>是</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53535033">
            <w:pPr>
              <w:pStyle w:val="39"/>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pacing w:val="17"/>
                <w:sz w:val="21"/>
                <w:szCs w:val="21"/>
                <w:highlight w:val="none"/>
                <w:lang w:eastAsia="zh-CN"/>
              </w:rPr>
              <w:t>本项目属于旧路改建，需要在施工期间维持交通畅通。</w:t>
            </w:r>
          </w:p>
        </w:tc>
      </w:tr>
      <w:tr w14:paraId="63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9" w:type="dxa"/>
            <w:noWrap w:val="0"/>
            <w:vAlign w:val="top"/>
          </w:tcPr>
          <w:p w14:paraId="4A2C0A69">
            <w:pPr>
              <w:pStyle w:val="39"/>
              <w:spacing w:before="11"/>
              <w:rPr>
                <w:rFonts w:hint="eastAsia" w:ascii="宋体" w:hAnsi="宋体" w:eastAsia="宋体" w:cs="宋体"/>
                <w:color w:val="auto"/>
                <w:sz w:val="21"/>
                <w:szCs w:val="21"/>
                <w:highlight w:val="none"/>
                <w:lang w:eastAsia="zh-CN"/>
              </w:rPr>
            </w:pPr>
          </w:p>
          <w:p w14:paraId="4CDDC789">
            <w:pPr>
              <w:pStyle w:val="39"/>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11" w:type="dxa"/>
            <w:noWrap w:val="0"/>
            <w:vAlign w:val="top"/>
          </w:tcPr>
          <w:p w14:paraId="67305C93">
            <w:pPr>
              <w:pStyle w:val="39"/>
              <w:spacing w:before="11"/>
              <w:rPr>
                <w:rFonts w:hint="eastAsia" w:ascii="宋体" w:hAnsi="宋体" w:eastAsia="宋体" w:cs="宋体"/>
                <w:color w:val="auto"/>
                <w:sz w:val="21"/>
                <w:szCs w:val="21"/>
                <w:highlight w:val="none"/>
              </w:rPr>
            </w:pPr>
          </w:p>
          <w:p w14:paraId="725B4DD2">
            <w:pPr>
              <w:pStyle w:val="39"/>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w:t>
            </w:r>
          </w:p>
        </w:tc>
        <w:tc>
          <w:tcPr>
            <w:tcW w:w="7305" w:type="dxa"/>
            <w:noWrap w:val="0"/>
            <w:vAlign w:val="top"/>
          </w:tcPr>
          <w:p w14:paraId="6F7BCB01">
            <w:pPr>
              <w:pStyle w:val="39"/>
              <w:spacing w:before="89"/>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本工程及工程设备是否进行试运行：</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15869EE4">
            <w:pPr>
              <w:pStyle w:val="39"/>
              <w:tabs>
                <w:tab w:val="left" w:pos="7244"/>
              </w:tabs>
              <w:spacing w:before="91"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如本</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程</w:t>
            </w:r>
            <w:r>
              <w:rPr>
                <w:rFonts w:hint="eastAsia" w:ascii="宋体" w:hAnsi="宋体" w:eastAsia="宋体" w:cs="宋体"/>
                <w:color w:val="auto"/>
                <w:spacing w:val="-3"/>
                <w:sz w:val="21"/>
                <w:szCs w:val="21"/>
                <w:highlight w:val="none"/>
                <w:lang w:eastAsia="zh-CN"/>
              </w:rPr>
              <w:t>及</w:t>
            </w:r>
            <w:r>
              <w:rPr>
                <w:rFonts w:hint="eastAsia" w:ascii="宋体" w:hAnsi="宋体" w:eastAsia="宋体" w:cs="宋体"/>
                <w:color w:val="auto"/>
                <w:sz w:val="21"/>
                <w:szCs w:val="21"/>
                <w:highlight w:val="none"/>
                <w:lang w:eastAsia="zh-CN"/>
              </w:rPr>
              <w:t>工</w:t>
            </w:r>
            <w:r>
              <w:rPr>
                <w:rFonts w:hint="eastAsia" w:ascii="宋体" w:hAnsi="宋体" w:eastAsia="宋体" w:cs="宋体"/>
                <w:color w:val="auto"/>
                <w:spacing w:val="-3"/>
                <w:sz w:val="21"/>
                <w:szCs w:val="21"/>
                <w:highlight w:val="none"/>
                <w:lang w:eastAsia="zh-CN"/>
              </w:rPr>
              <w:t>程</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pacing w:val="-3"/>
                <w:sz w:val="21"/>
                <w:szCs w:val="21"/>
                <w:highlight w:val="none"/>
                <w:lang w:eastAsia="zh-CN"/>
              </w:rPr>
              <w:t>要</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具</w:t>
            </w:r>
            <w:r>
              <w:rPr>
                <w:rFonts w:hint="eastAsia" w:ascii="宋体" w:hAnsi="宋体" w:eastAsia="宋体" w:cs="宋体"/>
                <w:color w:val="auto"/>
                <w:sz w:val="21"/>
                <w:szCs w:val="21"/>
                <w:highlight w:val="none"/>
                <w:lang w:eastAsia="zh-CN"/>
              </w:rPr>
              <w:t>体规</w:t>
            </w:r>
            <w:r>
              <w:rPr>
                <w:rFonts w:hint="eastAsia" w:ascii="宋体" w:hAnsi="宋体" w:eastAsia="宋体" w:cs="宋体"/>
                <w:color w:val="auto"/>
                <w:spacing w:val="-3"/>
                <w:sz w:val="21"/>
                <w:szCs w:val="21"/>
                <w:highlight w:val="none"/>
                <w:lang w:eastAsia="zh-CN"/>
              </w:rPr>
              <w:t>定</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pacing w:val="-3"/>
                <w:sz w:val="21"/>
                <w:szCs w:val="21"/>
                <w:highlight w:val="none"/>
                <w:lang w:eastAsia="zh-CN"/>
              </w:rPr>
              <w:t>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eastAsia="zh-CN"/>
              </w:rPr>
              <w:tab/>
            </w:r>
          </w:p>
        </w:tc>
      </w:tr>
      <w:tr w14:paraId="344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F40D006">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11" w:type="dxa"/>
            <w:noWrap w:val="0"/>
            <w:vAlign w:val="top"/>
          </w:tcPr>
          <w:p w14:paraId="1D6D7CEC">
            <w:pPr>
              <w:pStyle w:val="39"/>
              <w:spacing w:before="89"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19.7（1）</w:t>
            </w:r>
          </w:p>
        </w:tc>
        <w:tc>
          <w:tcPr>
            <w:tcW w:w="7305" w:type="dxa"/>
            <w:noWrap w:val="0"/>
            <w:vAlign w:val="top"/>
          </w:tcPr>
          <w:p w14:paraId="5E10123F">
            <w:pPr>
              <w:pStyle w:val="39"/>
              <w:tabs>
                <w:tab w:val="left" w:pos="3816"/>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保修</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自</w:t>
            </w:r>
            <w:r>
              <w:rPr>
                <w:rFonts w:hint="eastAsia" w:ascii="宋体" w:hAnsi="宋体" w:eastAsia="宋体" w:cs="宋体"/>
                <w:color w:val="auto"/>
                <w:sz w:val="21"/>
                <w:szCs w:val="21"/>
                <w:highlight w:val="none"/>
                <w:lang w:eastAsia="zh-CN"/>
              </w:rPr>
              <w:t>实</w:t>
            </w:r>
            <w:r>
              <w:rPr>
                <w:rFonts w:hint="eastAsia" w:ascii="宋体" w:hAnsi="宋体" w:eastAsia="宋体" w:cs="宋体"/>
                <w:color w:val="auto"/>
                <w:spacing w:val="-3"/>
                <w:sz w:val="21"/>
                <w:szCs w:val="21"/>
                <w:highlight w:val="none"/>
                <w:lang w:eastAsia="zh-CN"/>
              </w:rPr>
              <w:t>际</w:t>
            </w:r>
            <w:r>
              <w:rPr>
                <w:rFonts w:hint="eastAsia" w:ascii="宋体" w:hAnsi="宋体" w:eastAsia="宋体" w:cs="宋体"/>
                <w:color w:val="auto"/>
                <w:sz w:val="21"/>
                <w:szCs w:val="21"/>
                <w:highlight w:val="none"/>
                <w:lang w:eastAsia="zh-CN"/>
              </w:rPr>
              <w:t>交</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起计算</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pacing w:val="-3"/>
                <w:sz w:val="21"/>
                <w:szCs w:val="21"/>
                <w:highlight w:val="none"/>
                <w:lang w:eastAsia="zh-CN"/>
              </w:rPr>
              <w:t>年</w:t>
            </w:r>
          </w:p>
        </w:tc>
      </w:tr>
      <w:tr w14:paraId="5A56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19764335">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11" w:type="dxa"/>
            <w:noWrap w:val="0"/>
            <w:vAlign w:val="top"/>
          </w:tcPr>
          <w:p w14:paraId="020CEA60">
            <w:pPr>
              <w:pStyle w:val="39"/>
              <w:spacing w:before="113" w:line="226" w:lineRule="exact"/>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305" w:type="dxa"/>
            <w:noWrap w:val="0"/>
            <w:vAlign w:val="top"/>
          </w:tcPr>
          <w:p w14:paraId="447676BF">
            <w:pPr>
              <w:pStyle w:val="39"/>
              <w:tabs>
                <w:tab w:val="left" w:pos="3502"/>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建筑工程一切险的保险费率：建筑工程一切险的保险费由承包人报价时列入工程量清单100章内。</w:t>
            </w:r>
          </w:p>
        </w:tc>
      </w:tr>
      <w:tr w14:paraId="0F37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noWrap w:val="0"/>
            <w:vAlign w:val="top"/>
          </w:tcPr>
          <w:p w14:paraId="533D7D04">
            <w:pPr>
              <w:pStyle w:val="39"/>
              <w:spacing w:before="12"/>
              <w:rPr>
                <w:rFonts w:hint="eastAsia" w:ascii="宋体" w:hAnsi="宋体" w:eastAsia="宋体" w:cs="宋体"/>
                <w:color w:val="auto"/>
                <w:sz w:val="21"/>
                <w:szCs w:val="21"/>
                <w:highlight w:val="none"/>
                <w:lang w:eastAsia="zh-CN"/>
              </w:rPr>
            </w:pPr>
          </w:p>
          <w:p w14:paraId="6C136BEF">
            <w:pPr>
              <w:pStyle w:val="39"/>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11" w:type="dxa"/>
            <w:noWrap w:val="0"/>
            <w:vAlign w:val="top"/>
          </w:tcPr>
          <w:p w14:paraId="042C4A37">
            <w:pPr>
              <w:pStyle w:val="39"/>
              <w:spacing w:before="12"/>
              <w:rPr>
                <w:rFonts w:hint="eastAsia" w:ascii="宋体" w:hAnsi="宋体" w:eastAsia="宋体" w:cs="宋体"/>
                <w:color w:val="auto"/>
                <w:sz w:val="21"/>
                <w:szCs w:val="21"/>
                <w:highlight w:val="none"/>
              </w:rPr>
            </w:pPr>
          </w:p>
          <w:p w14:paraId="56698D57">
            <w:pPr>
              <w:pStyle w:val="39"/>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20.4.2</w:t>
            </w:r>
          </w:p>
        </w:tc>
        <w:tc>
          <w:tcPr>
            <w:tcW w:w="7305" w:type="dxa"/>
            <w:noWrap w:val="0"/>
            <w:vAlign w:val="top"/>
          </w:tcPr>
          <w:p w14:paraId="0AFEAAAB">
            <w:pPr>
              <w:pStyle w:val="39"/>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安全生产责任险及第三者责任险由承包人以承包人与项目法人的名义联名投保，保险费由承包人承担并支付，投标人应在所报的单价或总额价中对该保险费予以考虑，项目法人不单独进行计量与支付。</w:t>
            </w:r>
          </w:p>
          <w:p w14:paraId="27E4E841">
            <w:pPr>
              <w:pStyle w:val="39"/>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安全生产责任险及第三者责任险的最低投保金额：按工程建设地相关规定执行</w:t>
            </w:r>
          </w:p>
        </w:tc>
      </w:tr>
      <w:tr w14:paraId="03D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noWrap w:val="0"/>
            <w:vAlign w:val="top"/>
          </w:tcPr>
          <w:p w14:paraId="73CAA999">
            <w:pPr>
              <w:pStyle w:val="39"/>
              <w:spacing w:before="12"/>
              <w:rPr>
                <w:rFonts w:hint="eastAsia" w:ascii="宋体" w:hAnsi="宋体" w:eastAsia="宋体" w:cs="宋体"/>
                <w:color w:val="auto"/>
                <w:sz w:val="21"/>
                <w:szCs w:val="21"/>
                <w:highlight w:val="none"/>
                <w:lang w:eastAsia="zh-CN"/>
              </w:rPr>
            </w:pPr>
          </w:p>
          <w:p w14:paraId="601A7544">
            <w:pPr>
              <w:pStyle w:val="39"/>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11" w:type="dxa"/>
            <w:noWrap w:val="0"/>
            <w:vAlign w:val="top"/>
          </w:tcPr>
          <w:p w14:paraId="30ED888B">
            <w:pPr>
              <w:pStyle w:val="39"/>
              <w:spacing w:before="12"/>
              <w:rPr>
                <w:rFonts w:hint="eastAsia" w:ascii="宋体" w:hAnsi="宋体" w:eastAsia="宋体" w:cs="宋体"/>
                <w:color w:val="auto"/>
                <w:sz w:val="21"/>
                <w:szCs w:val="21"/>
                <w:highlight w:val="none"/>
              </w:rPr>
            </w:pPr>
          </w:p>
          <w:p w14:paraId="0FFF1C34">
            <w:pPr>
              <w:pStyle w:val="39"/>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305" w:type="dxa"/>
            <w:noWrap w:val="0"/>
            <w:vAlign w:val="top"/>
          </w:tcPr>
          <w:p w14:paraId="1D4CE737">
            <w:pPr>
              <w:pStyle w:val="39"/>
              <w:tabs>
                <w:tab w:val="left" w:pos="3900"/>
              </w:tabs>
              <w:spacing w:before="78"/>
              <w:ind w:left="32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争议</w:t>
            </w:r>
            <w:r>
              <w:rPr>
                <w:rFonts w:hint="eastAsia" w:ascii="宋体" w:hAnsi="宋体" w:eastAsia="宋体" w:cs="宋体"/>
                <w:color w:val="auto"/>
                <w:spacing w:val="-3"/>
                <w:sz w:val="21"/>
                <w:szCs w:val="21"/>
                <w:highlight w:val="none"/>
                <w:lang w:eastAsia="zh-CN"/>
              </w:rPr>
              <w:t>的</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pacing w:val="-3"/>
                <w:sz w:val="21"/>
                <w:szCs w:val="21"/>
                <w:highlight w:val="none"/>
                <w:lang w:eastAsia="zh-CN"/>
              </w:rPr>
              <w:t>终</w:t>
            </w:r>
            <w:r>
              <w:rPr>
                <w:rFonts w:hint="eastAsia" w:ascii="宋体" w:hAnsi="宋体" w:eastAsia="宋体" w:cs="宋体"/>
                <w:color w:val="auto"/>
                <w:sz w:val="21"/>
                <w:szCs w:val="21"/>
                <w:highlight w:val="none"/>
                <w:lang w:eastAsia="zh-CN"/>
              </w:rPr>
              <w:t>解</w:t>
            </w:r>
            <w:r>
              <w:rPr>
                <w:rFonts w:hint="eastAsia" w:ascii="宋体" w:hAnsi="宋体" w:eastAsia="宋体" w:cs="宋体"/>
                <w:color w:val="auto"/>
                <w:spacing w:val="-3"/>
                <w:sz w:val="21"/>
                <w:szCs w:val="21"/>
                <w:highlight w:val="none"/>
                <w:lang w:eastAsia="zh-CN"/>
              </w:rPr>
              <w:t>决</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pacing w:val="-3"/>
                <w:sz w:val="21"/>
                <w:szCs w:val="21"/>
                <w:highlight w:val="none"/>
                <w:lang w:eastAsia="zh-CN"/>
              </w:rPr>
              <w:t>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向项目所在地人民法院诉讼    </w:t>
            </w:r>
          </w:p>
          <w:p w14:paraId="7CF05E40">
            <w:pPr>
              <w:pStyle w:val="39"/>
              <w:tabs>
                <w:tab w:val="left" w:pos="3900"/>
              </w:tabs>
              <w:spacing w:before="78"/>
              <w:ind w:left="3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如采</w:t>
            </w:r>
            <w:r>
              <w:rPr>
                <w:rFonts w:hint="eastAsia" w:ascii="宋体" w:hAnsi="宋体" w:eastAsia="宋体" w:cs="宋体"/>
                <w:color w:val="auto"/>
                <w:spacing w:val="-3"/>
                <w:sz w:val="21"/>
                <w:szCs w:val="21"/>
                <w:highlight w:val="none"/>
                <w:lang w:eastAsia="zh-CN"/>
              </w:rPr>
              <w:t>用</w:t>
            </w:r>
            <w:r>
              <w:rPr>
                <w:rFonts w:hint="eastAsia" w:ascii="宋体" w:hAnsi="宋体" w:eastAsia="宋体" w:cs="宋体"/>
                <w:color w:val="auto"/>
                <w:sz w:val="21"/>
                <w:szCs w:val="21"/>
                <w:highlight w:val="none"/>
                <w:lang w:eastAsia="zh-CN"/>
              </w:rPr>
              <w:t>仲</w:t>
            </w:r>
            <w:r>
              <w:rPr>
                <w:rFonts w:hint="eastAsia" w:ascii="宋体" w:hAnsi="宋体" w:eastAsia="宋体" w:cs="宋体"/>
                <w:color w:val="auto"/>
                <w:spacing w:val="-3"/>
                <w:sz w:val="21"/>
                <w:szCs w:val="21"/>
                <w:highlight w:val="none"/>
                <w:lang w:eastAsia="zh-CN"/>
              </w:rPr>
              <w:t>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仲</w:t>
            </w:r>
            <w:r>
              <w:rPr>
                <w:rFonts w:hint="eastAsia" w:ascii="宋体" w:hAnsi="宋体" w:eastAsia="宋体" w:cs="宋体"/>
                <w:color w:val="auto"/>
                <w:sz w:val="21"/>
                <w:szCs w:val="21"/>
                <w:highlight w:val="none"/>
                <w:lang w:eastAsia="zh-CN"/>
              </w:rPr>
              <w:t>裁</w:t>
            </w:r>
            <w:r>
              <w:rPr>
                <w:rFonts w:hint="eastAsia" w:ascii="宋体" w:hAnsi="宋体" w:eastAsia="宋体" w:cs="宋体"/>
                <w:color w:val="auto"/>
                <w:spacing w:val="-3"/>
                <w:sz w:val="21"/>
                <w:szCs w:val="21"/>
                <w:highlight w:val="none"/>
                <w:lang w:eastAsia="zh-CN"/>
              </w:rPr>
              <w:t>委</w:t>
            </w:r>
            <w:r>
              <w:rPr>
                <w:rFonts w:hint="eastAsia" w:ascii="宋体" w:hAnsi="宋体" w:eastAsia="宋体" w:cs="宋体"/>
                <w:color w:val="auto"/>
                <w:sz w:val="21"/>
                <w:szCs w:val="21"/>
                <w:highlight w:val="none"/>
                <w:lang w:eastAsia="zh-CN"/>
              </w:rPr>
              <w:t>员</w:t>
            </w:r>
            <w:r>
              <w:rPr>
                <w:rFonts w:hint="eastAsia" w:ascii="宋体" w:hAnsi="宋体" w:eastAsia="宋体" w:cs="宋体"/>
                <w:color w:val="auto"/>
                <w:spacing w:val="-3"/>
                <w:sz w:val="21"/>
                <w:szCs w:val="21"/>
                <w:highlight w:val="none"/>
                <w:lang w:eastAsia="zh-CN"/>
              </w:rPr>
              <w:t>会</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防城港</w:t>
            </w:r>
            <w:r>
              <w:rPr>
                <w:rFonts w:hint="eastAsia" w:ascii="宋体" w:hAnsi="宋体" w:eastAsia="宋体" w:cs="宋体"/>
                <w:color w:val="auto"/>
                <w:sz w:val="21"/>
                <w:szCs w:val="21"/>
                <w:highlight w:val="none"/>
                <w:u w:val="single"/>
                <w:lang w:eastAsia="zh-CN"/>
              </w:rPr>
              <w:t xml:space="preserve">市仲裁委员会 </w:t>
            </w:r>
          </w:p>
        </w:tc>
      </w:tr>
    </w:tbl>
    <w:p w14:paraId="123822F1">
      <w:pPr>
        <w:tabs>
          <w:tab w:val="left" w:pos="1080"/>
        </w:tabs>
        <w:spacing w:line="28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6367601A">
      <w:pPr>
        <w:pStyle w:val="3"/>
        <w:pageBreakBefore w:val="0"/>
        <w:widowControl w:val="0"/>
        <w:kinsoku/>
        <w:wordWrap/>
        <w:overflowPunct/>
        <w:topLinePunct w:val="0"/>
        <w:autoSpaceDE/>
        <w:autoSpaceDN/>
        <w:bidi w:val="0"/>
        <w:adjustRightInd/>
        <w:spacing w:before="0" w:after="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bookmarkEnd w:id="469"/>
      <w:bookmarkEnd w:id="470"/>
      <w:bookmarkEnd w:id="471"/>
      <w:bookmarkEnd w:id="472"/>
    </w:p>
    <w:p w14:paraId="7C5328BD">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说明：本部分所列的项目专用合同条款是对“公路工程专用合同条款”中规定必须在  项目专用合同条款中明确的内容的集中，采购人编制的“项目专用合同条款” 不限于本部分所列内容。</w:t>
      </w:r>
    </w:p>
    <w:p w14:paraId="46068140">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4.1承包人的一般义务</w:t>
      </w:r>
    </w:p>
    <w:p w14:paraId="6D71ACD3">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4.1.10 其他义务</w:t>
      </w:r>
    </w:p>
    <w:p w14:paraId="28F97DE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（4）承包人应履行的其他义务：</w:t>
      </w:r>
      <w:r>
        <w:rPr>
          <w:rFonts w:hint="eastAsia" w:ascii="宋体" w:hAnsi="宋体" w:eastAsia="宋体" w:cs="宋体"/>
          <w:color w:val="auto"/>
          <w:szCs w:val="21"/>
          <w:highlight w:val="none"/>
          <w:u w:val="single"/>
        </w:rPr>
        <w:t>除项目专用合同条款另有约定外，临时占地的租地费用实行总额包干，列入工程量清单第 100 章中由承包人按总额报价。编制招标清单时，应把该项列入招标清单。</w:t>
      </w:r>
    </w:p>
    <w:p w14:paraId="22E7D57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4.6承包人人员的管理</w:t>
      </w:r>
    </w:p>
    <w:p w14:paraId="72529466">
      <w:pPr>
        <w:pageBreakBefore w:val="0"/>
        <w:widowControl w:val="0"/>
        <w:tabs>
          <w:tab w:val="left" w:pos="108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（增加）4.6.6 项目经理、总工每月驻现场的时间应不少于22天，因故需离开工地应得到业主、监理工程师的许可，否则将按第22.1款视为承包人违约。</w:t>
      </w:r>
    </w:p>
    <w:p w14:paraId="683E848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承包人安排在施工场地的主要管理人员和技术骨干人员每月驻现场的时间应不少于22天，除非经业主、监理工程师同意，否则将按第22.1款视为承包人违约。</w:t>
      </w:r>
    </w:p>
    <w:p w14:paraId="72A81C52">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4.11不利物质条件</w:t>
      </w:r>
    </w:p>
    <w:p w14:paraId="38E4131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按通用条款内容    </w:t>
      </w:r>
    </w:p>
    <w:p w14:paraId="27C220F5">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合同进度计划</w:t>
      </w:r>
    </w:p>
    <w:p w14:paraId="437B531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承包人编制施工方案的内容：</w:t>
      </w:r>
      <w:r>
        <w:rPr>
          <w:rFonts w:hint="eastAsia" w:ascii="宋体" w:hAnsi="宋体" w:eastAsia="宋体" w:cs="宋体"/>
          <w:color w:val="auto"/>
          <w:szCs w:val="21"/>
          <w:highlight w:val="none"/>
          <w:u w:val="single"/>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39394D36">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11.4异常恶劣的气候条件</w:t>
      </w:r>
    </w:p>
    <w:p w14:paraId="060DF36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异常恶劣的气候条件的范围：</w:t>
      </w:r>
      <w:r>
        <w:rPr>
          <w:rFonts w:hint="eastAsia" w:ascii="宋体" w:hAnsi="宋体" w:eastAsia="宋体" w:cs="宋体"/>
          <w:color w:val="auto"/>
          <w:szCs w:val="21"/>
          <w:highlight w:val="none"/>
          <w:u w:val="single"/>
        </w:rPr>
        <w:t>异常恶劣的气候条件，对本项目而言，指发生烈度7度（含7度）以上地震、龙卷风、施工场地受淹超过业主提供的设计图纸指明的设计洪水水位引起的延误的情况。</w:t>
      </w:r>
    </w:p>
    <w:p w14:paraId="485663FA">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12.1承包人暂停施工的责任</w:t>
      </w:r>
    </w:p>
    <w:p w14:paraId="46DDB4A0">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12.1（6）由承包人承担的其他暂停施工：</w:t>
      </w:r>
      <w:r>
        <w:rPr>
          <w:rFonts w:hint="eastAsia" w:ascii="宋体" w:hAnsi="宋体" w:eastAsia="宋体" w:cs="宋体"/>
          <w:color w:val="auto"/>
          <w:szCs w:val="21"/>
          <w:highlight w:val="none"/>
          <w:u w:val="single"/>
        </w:rPr>
        <w:t xml:space="preserve">      /          </w:t>
      </w:r>
    </w:p>
    <w:p w14:paraId="3B917340">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13.3承包人的质量检查</w:t>
      </w:r>
    </w:p>
    <w:p w14:paraId="768AEAC9">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增加内容：落实质量责任制和健全质量保证体系</w:t>
      </w:r>
    </w:p>
    <w:p w14:paraId="57CF80B9">
      <w:pPr>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(1)分项施工现场应实行标示牌管理，写明作业内容、项目质量管理责任人(施工作业管理专业工程师、试验、测量、质检工程师、总工、项目经理及监理工程师及现场监理)和质量管理举报电话； </w:t>
      </w:r>
    </w:p>
    <w:p w14:paraId="68F5925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（2）认真执行三检制度：</w:t>
      </w:r>
    </w:p>
    <w:p w14:paraId="1BF2946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施工作业管理的专业工程师在测量、试验工程师配合下完成施工自检并作施工记录（工艺及原材料使用等）；</w:t>
      </w:r>
    </w:p>
    <w:p w14:paraId="7A45389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3777B81B">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试验、测量工程师根据施工质检需要完成试验与测量作业并及时交检验结果报告专业工程师、质检工程师。</w:t>
      </w:r>
    </w:p>
    <w:p w14:paraId="2A20E628">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2D19687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(3)质量管理记录的原始记录包括作业记录、测量记录、试验记录、检验记录及验收记录，地基、基础、填挖交界碾压，墙台背回填等隐蔽工程应摄象或照相作为现场记录保存。</w:t>
      </w:r>
    </w:p>
    <w:p w14:paraId="157B6933">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(4)加强对质量通病的预防与治理，减少工程质量隐患。</w:t>
      </w:r>
    </w:p>
    <w:p w14:paraId="040F2E15">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(5)承包人应加强工程进度计划管理，努力实现均衡组织施工的目标。</w:t>
      </w:r>
    </w:p>
    <w:p w14:paraId="0F894AAF">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132DAE5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b.路面碎石材料的采备至少应与路基施工进度同步。</w:t>
      </w:r>
    </w:p>
    <w:p w14:paraId="3CB2156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(7)承包人应加强文明施工，保障道路通畅的管理</w:t>
      </w:r>
    </w:p>
    <w:p w14:paraId="1318ECF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a.承包人在施工期内应按国家、交通主管部门与公路管理机构文明施工，保障畅通的有关规定组织施工，对出现的交通堵塞无条件地采取措施进行疏通。</w:t>
      </w:r>
    </w:p>
    <w:p w14:paraId="527C09A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旧路改建工程项目</w:t>
      </w:r>
    </w:p>
    <w:p w14:paraId="41775298">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9632F9B">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(ii)不得在道路上堆放材料或占道施工影响交通。</w:t>
      </w:r>
    </w:p>
    <w:p w14:paraId="6ECFD14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路基、路面施工应避免出现晴天扬尘，雨天打滑影响安全与交通和影响群众生活、生产的现象。维持交通的路基施工应保证表面平整，保证通畅。</w:t>
      </w:r>
    </w:p>
    <w:p w14:paraId="4CA241D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(8)承包人应自觉接受交通主管部门、质量监督单位、公路管理机构的监督，对指出的问题进行认真的整改，及时报告处理结果。</w:t>
      </w:r>
    </w:p>
    <w:p w14:paraId="6B6EEF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p>
    <w:p w14:paraId="6899ECB9">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工程进度付款</w:t>
      </w:r>
    </w:p>
    <w:p w14:paraId="661EF50A">
      <w:pPr>
        <w:wordWrap w:val="0"/>
        <w:topLinePunct/>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17.3.5 农民工工资保障金的缴存时间：</w:t>
      </w:r>
      <w:r>
        <w:rPr>
          <w:rFonts w:hint="eastAsia" w:ascii="宋体" w:hAnsi="宋体" w:cs="宋体"/>
          <w:color w:val="auto"/>
          <w:szCs w:val="21"/>
          <w:highlight w:val="none"/>
          <w:u w:val="single"/>
        </w:rPr>
        <w:t>领取中标通知书之日起</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天内</w:t>
      </w:r>
    </w:p>
    <w:p w14:paraId="6E807E7F">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农民工工资保障金的缴存金额：</w:t>
      </w:r>
      <w:r>
        <w:rPr>
          <w:rFonts w:hint="eastAsia" w:ascii="宋体" w:hAnsi="宋体" w:cs="宋体"/>
          <w:color w:val="auto"/>
          <w:szCs w:val="21"/>
          <w:highlight w:val="none"/>
          <w:u w:val="single"/>
        </w:rPr>
        <w:t>2%签约合同价</w:t>
      </w:r>
    </w:p>
    <w:p w14:paraId="175420D1">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农民工工资保障金的扣留条件：</w:t>
      </w:r>
      <w:r>
        <w:rPr>
          <w:rFonts w:hint="eastAsia" w:ascii="宋体" w:hAnsi="宋体" w:cs="宋体"/>
          <w:color w:val="auto"/>
          <w:szCs w:val="21"/>
          <w:highlight w:val="none"/>
          <w:u w:val="single"/>
        </w:rPr>
        <w:t>一旦承包人出现拖欠工程款导致无法按时足额支付农民工工资时。</w:t>
      </w:r>
    </w:p>
    <w:p w14:paraId="6C9AC137">
      <w:pPr>
        <w:wordWrap w:val="0"/>
        <w:topLinePunct/>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农民工工资保障金的返还时间：</w:t>
      </w:r>
      <w:r>
        <w:rPr>
          <w:rFonts w:hint="eastAsia" w:ascii="宋体" w:hAnsi="宋体" w:cs="宋体"/>
          <w:color w:val="auto"/>
          <w:szCs w:val="21"/>
          <w:highlight w:val="none"/>
          <w:u w:val="single"/>
        </w:rPr>
        <w:t>工程交工验收后。</w:t>
      </w:r>
      <w:bookmarkStart w:id="473" w:name="page159"/>
      <w:bookmarkEnd w:id="473"/>
      <w:r>
        <w:rPr>
          <w:rFonts w:hint="eastAsia" w:ascii="宋体" w:hAnsi="宋体" w:cs="宋体"/>
          <w:color w:val="auto"/>
          <w:szCs w:val="21"/>
          <w:highlight w:val="none"/>
        </w:rPr>
        <w:t>　　</w:t>
      </w:r>
    </w:p>
    <w:p w14:paraId="59378488">
      <w:pPr>
        <w:wordWrap w:val="0"/>
        <w:topLinePunct/>
        <w:spacing w:line="360" w:lineRule="auto"/>
        <w:ind w:left="191" w:leftChars="91" w:firstLine="210" w:firstLineChars="100"/>
        <w:rPr>
          <w:rFonts w:ascii="宋体" w:hAnsi="宋体" w:cs="宋体"/>
          <w:color w:val="auto"/>
          <w:szCs w:val="21"/>
          <w:highlight w:val="none"/>
        </w:rPr>
      </w:pPr>
      <w:r>
        <w:rPr>
          <w:rFonts w:hint="eastAsia" w:ascii="宋体" w:hAnsi="宋体" w:cs="宋体"/>
          <w:color w:val="auto"/>
          <w:szCs w:val="21"/>
          <w:highlight w:val="none"/>
        </w:rPr>
        <w:t>17.4.1补充：</w:t>
      </w:r>
    </w:p>
    <w:p w14:paraId="6E9DECEF">
      <w:pPr>
        <w:wordWrap w:val="0"/>
        <w:topLinePunct/>
        <w:spacing w:line="360" w:lineRule="auto"/>
        <w:ind w:firstLine="371" w:firstLineChars="177"/>
        <w:rPr>
          <w:rFonts w:hint="eastAsia" w:ascii="宋体" w:hAnsi="宋体" w:eastAsia="宋体" w:cs="宋体"/>
          <w:b/>
          <w:color w:val="auto"/>
          <w:szCs w:val="21"/>
          <w:highlight w:val="none"/>
        </w:rPr>
      </w:pPr>
      <w:r>
        <w:rPr>
          <w:rFonts w:hint="eastAsia" w:ascii="宋体" w:hAnsi="宋体" w:cs="宋体"/>
          <w:color w:val="auto"/>
          <w:szCs w:val="21"/>
          <w:highlight w:val="none"/>
          <w:u w:val="single"/>
        </w:rPr>
        <w:t>质量保证金缴纳方式：交工验收完成结算审计后，发包人支付工程款至经审计的结算价的9</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%，扣留</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%作为质量保证金。</w:t>
      </w:r>
    </w:p>
    <w:p w14:paraId="1134FC0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 验收</w:t>
      </w:r>
    </w:p>
    <w:p w14:paraId="748498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18.3.7 （增加）组织办理交工验收和签发交工证书的费用由承包人承担，其费用包含在相关单价或总额价中，业主不单独另外计量与支付。</w:t>
      </w:r>
    </w:p>
    <w:p w14:paraId="749B33F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18.9竣工文件</w:t>
      </w:r>
    </w:p>
    <w:p w14:paraId="5E5166B4">
      <w:pPr>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 xml:space="preserve">    （增加）</w:t>
      </w:r>
      <w:r>
        <w:rPr>
          <w:rFonts w:hint="eastAsia" w:ascii="宋体" w:hAnsi="宋体" w:eastAsia="宋体" w:cs="宋体"/>
          <w:color w:val="auto"/>
          <w:szCs w:val="21"/>
          <w:highlight w:val="none"/>
        </w:rPr>
        <w:t>工程竣工文件的立卷归档按交通部《公路工程竣工文件材料立卷归档管理办法》（交办发[2001]390号）和广西壮族自治区公路管理局《广西公路网建设工程档案验收办法》（路工程函[2005]591号）执行。</w:t>
      </w:r>
      <w:r>
        <w:rPr>
          <w:rFonts w:hint="eastAsia" w:ascii="宋体" w:hAnsi="宋体" w:cs="宋体"/>
          <w:color w:val="auto"/>
          <w:szCs w:val="21"/>
          <w:highlight w:val="none"/>
          <w:lang w:val="en-US" w:eastAsia="zh-CN"/>
        </w:rPr>
        <w:t>如行业主管部门有最新政策要求的，按最新正常要求执行。</w:t>
      </w:r>
    </w:p>
    <w:p w14:paraId="28C6410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 工程保险</w:t>
      </w:r>
    </w:p>
    <w:p w14:paraId="39A4A742">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 人员工伤事故的保险 </w:t>
      </w:r>
    </w:p>
    <w:p w14:paraId="642D5B2E">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20.2.1 承包人员工伤事故的保险 </w:t>
      </w:r>
    </w:p>
    <w:p w14:paraId="77E136D4">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增加内容：办理保险的一切费用均由承包人承担，并包括在工程量清单的单价及总额价中，发包人不单独支付。</w:t>
      </w:r>
    </w:p>
    <w:p w14:paraId="2C846815">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 人身意外伤害险 </w:t>
      </w:r>
    </w:p>
    <w:p w14:paraId="0A5A8B40">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56B0A36E">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1EF2366C">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施工合同签订后工程开工前 15 日，承包人必须按有关规定与保险公司签订人身意外伤害险和附加意外伤害医疗险以及其他需要投保的保险的保险合同。</w:t>
      </w:r>
    </w:p>
    <w:p w14:paraId="753746F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21.1不可抗力的确认</w:t>
      </w:r>
    </w:p>
    <w:p w14:paraId="259DD09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21.1.1（6）不可抗力的其他情形：</w:t>
      </w:r>
      <w:r>
        <w:rPr>
          <w:rFonts w:hint="eastAsia" w:ascii="宋体" w:hAnsi="宋体" w:eastAsia="宋体" w:cs="宋体"/>
          <w:color w:val="auto"/>
          <w:szCs w:val="21"/>
          <w:highlight w:val="none"/>
          <w:u w:val="single"/>
        </w:rPr>
        <w:t xml:space="preserve">  按通用条款内容   </w:t>
      </w:r>
    </w:p>
    <w:p w14:paraId="174F03A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22.1承包人违约</w:t>
      </w:r>
    </w:p>
    <w:p w14:paraId="6A00537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22.1.2当承包人发生第22.1.1项约定的违约情况时，发包人有权向承包人处以违约金，具体约定如下：违约金处理：</w:t>
      </w:r>
    </w:p>
    <w:p w14:paraId="6EE44D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22.1.2.1有本项（1）目行为的，可对承包人处以以下的违约金。</w:t>
      </w:r>
    </w:p>
    <w:p w14:paraId="502A0D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a．由于承包人没有履行合同规定的义务与责任，同类事件第一次被监理工程师、业主工作指令整改的处500元/次；第二次出现指令整改的处1000元/次；多次重复出现被责令整改的处5000元/次。</w:t>
      </w:r>
    </w:p>
    <w:p w14:paraId="314578C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b．在指令规定时间内拒不整改的同一事件被第二次及以上责令整改的处2000元/次。</w:t>
      </w:r>
    </w:p>
    <w:p w14:paraId="7462E1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22.1.2.2有本项（2）、（3）、（5）、（6）目行为的，除按合同相关条款处理外，由监理工程师发出整改工作指令，按22.1.2.1对承包人处以违约金。</w:t>
      </w:r>
    </w:p>
    <w:p w14:paraId="75E8CBC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22.1.2.3有本项（4）、（7）目行为的，可对承包人处以以下的违约金。</w:t>
      </w:r>
    </w:p>
    <w:p w14:paraId="75C0BD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a．未按规定开工的，可处以1000元/天的业主延期损失偿金。</w:t>
      </w:r>
    </w:p>
    <w:p w14:paraId="40DD56B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b．未按指令采取措施加快进行本工程或其关键部分的施工，可处以1000元/天的业主延期损失偿金。</w:t>
      </w:r>
    </w:p>
    <w:p w14:paraId="43DBD04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c．未按均衡组织施工要求组织施工的，处每项1000元/月次。</w:t>
      </w:r>
    </w:p>
    <w:p w14:paraId="354B459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22.1.2.4有本项（8）目行为的，可对承包人按以下处以违约金。</w:t>
      </w:r>
    </w:p>
    <w:p w14:paraId="5BD8AF4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a.承包人未经业主、监理工程师同意更换人员，项目经理处2万元/次，总工（或项目总工）处1万元/次。</w:t>
      </w:r>
    </w:p>
    <w:p w14:paraId="3C4D782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6"/>
          <w:sz w:val="21"/>
          <w:szCs w:val="21"/>
          <w:highlight w:val="none"/>
        </w:rPr>
        <w:t>项目经理、总工每月驻工地不满25天，处500元/人·月，其他主要人员处200元/人·月。</w:t>
      </w:r>
    </w:p>
    <w:p w14:paraId="3B58BB6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c.未经请假准允离开工地，经理、总工处500元/人·日，其他主要人员处100元/人·日。</w:t>
      </w:r>
    </w:p>
    <w:p w14:paraId="0B31D66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d.主要设备没有按承诺进场的处500元台/日。</w:t>
      </w:r>
    </w:p>
    <w:p w14:paraId="658AC88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22.1.2.4有本项（9）目行为的，可对承包人处以以下的违约金。</w:t>
      </w:r>
    </w:p>
    <w:p w14:paraId="2165C98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a．安全生产管理</w:t>
      </w:r>
    </w:p>
    <w:p w14:paraId="2DF9D14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52807D7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Ⅰ需持证上岗人员无证上岗的；或</w:t>
      </w:r>
    </w:p>
    <w:p w14:paraId="258F648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Ⅱ需配戴安全防护用具作业的；或</w:t>
      </w:r>
    </w:p>
    <w:p w14:paraId="64B207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Ⅲ未经登记、安全培训教育上岗的。</w:t>
      </w:r>
    </w:p>
    <w:p w14:paraId="6860B6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（b）出现下列行为之一可处300元/处次。</w:t>
      </w:r>
    </w:p>
    <w:p w14:paraId="12A13FA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Ⅰ无专职安全检查人员；或</w:t>
      </w:r>
    </w:p>
    <w:p w14:paraId="2B4E54A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Ⅱ无安全生产检查日志；或</w:t>
      </w:r>
    </w:p>
    <w:p w14:paraId="7ABF77C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Ⅲ作业点或危险施工路段安全标志不全；或</w:t>
      </w:r>
    </w:p>
    <w:p w14:paraId="2DE17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Ⅳ安全标志（牌）、线（绳）不符国家规定的；或</w:t>
      </w:r>
    </w:p>
    <w:p w14:paraId="7DBC3D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Ⅴ易燃易爆物品管理不符合管理要求。</w:t>
      </w:r>
    </w:p>
    <w:p w14:paraId="20753E2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（c）出现下列行为之一可处500元/处次。</w:t>
      </w:r>
    </w:p>
    <w:p w14:paraId="011A1D1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Ⅰ施工作业点或施工形成的危险路段无规定的安全标志；或</w:t>
      </w:r>
    </w:p>
    <w:p w14:paraId="67DA203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Ⅱ需设安全防护设施的未按规定设置；或</w:t>
      </w:r>
    </w:p>
    <w:p w14:paraId="61EC383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Ⅲ出现一般安全生事故负有责任的；或</w:t>
      </w:r>
    </w:p>
    <w:p w14:paraId="37C1121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Ⅳ发生重大安全事故不按规定报告的。</w:t>
      </w:r>
    </w:p>
    <w:p w14:paraId="4F61313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（d）出现下列行为之一可处5000元/处次。</w:t>
      </w:r>
    </w:p>
    <w:p w14:paraId="3829442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出现重大安全生产事故负有责任的。</w:t>
      </w:r>
    </w:p>
    <w:p w14:paraId="7C6B75C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22.1.2.5有本项(10)目违反合同专用条款规定的其他重要规定，可对承包人处以以下的违约金。</w:t>
      </w:r>
    </w:p>
    <w:p w14:paraId="3BE8C69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a.质量管理</w:t>
      </w:r>
    </w:p>
    <w:p w14:paraId="39B8B6F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498102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分项工程施工现场无合格的施工责任牌；或</w:t>
      </w:r>
    </w:p>
    <w:p w14:paraId="398933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分项工程施工现场无其相关责任人；或</w:t>
      </w:r>
    </w:p>
    <w:p w14:paraId="4B2F0EC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施工现场无基本的检测检验工具；或</w:t>
      </w:r>
    </w:p>
    <w:p w14:paraId="4F08D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施工现场相关责任人无检查检验记录表；或</w:t>
      </w:r>
    </w:p>
    <w:p w14:paraId="77AAD2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现场已完成工作无检查记录。</w:t>
      </w:r>
    </w:p>
    <w:p w14:paraId="2E643C7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（b）出现以下行为之一，可处500元/次。</w:t>
      </w:r>
    </w:p>
    <w:p w14:paraId="47B20EE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Ⅰ未按工序申请检验进入下一道工序的；或</w:t>
      </w:r>
    </w:p>
    <w:p w14:paraId="41A39A0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Ⅱ隐蔽工程记录文件不全；或</w:t>
      </w:r>
    </w:p>
    <w:p w14:paraId="3768FE6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Ⅲ施工试验检验频率不符合施工规范规定；或</w:t>
      </w:r>
    </w:p>
    <w:p w14:paraId="1481EFC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Ⅳ分项工程质量自检验收检验频率不符合质量评定标准规定的。</w:t>
      </w:r>
    </w:p>
    <w:p w14:paraId="4AE87EE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（c）出现以下行为之一，可处1000元/次。</w:t>
      </w:r>
    </w:p>
    <w:p w14:paraId="095074A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Ⅰ出现质量问题，且承包人负有直接责任的，或不能证明其履行其职责的。或</w:t>
      </w:r>
    </w:p>
    <w:p w14:paraId="42D24DE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Ⅱ发生质量事故，未按有关规定和时间向有关部门报告的；</w:t>
      </w:r>
    </w:p>
    <w:p w14:paraId="5C4CB74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Ⅲ已经施工完成的工程没有按竣工文件收集归档管理办法要求依分项工程、工序将施工作业记录、测量记录、试验检测记录及工序报验审批记录等收集归档。</w:t>
      </w:r>
    </w:p>
    <w:p w14:paraId="1466FE3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）出现以下行为之一，可处3000元/次。</w:t>
      </w:r>
    </w:p>
    <w:p w14:paraId="5642BDC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Ⅰ施工单位不接受质监机构监督；或</w:t>
      </w:r>
    </w:p>
    <w:p w14:paraId="3601768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Ⅱ出现二、三级一般质量事故，且承包人负有直接责任，或不能证明其履行其职责的；或</w:t>
      </w:r>
    </w:p>
    <w:p w14:paraId="2D1F836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Ⅲ构造物、中小型预制构件等一次单点实体抽查合格率为50%—75%的；或</w:t>
      </w:r>
    </w:p>
    <w:p w14:paraId="03AF6AA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Ⅳ使用主要材料（钢筋、水泥、沥青、碎石、砂、砂砾等）不合格的。或</w:t>
      </w:r>
    </w:p>
    <w:p w14:paraId="1DA2AB0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Ⅴ已经施工完成的工程无法提供按竣工文件收集归档管理办法要求应收集的分项工程、工序的施工作业记录、测量记录、试验检测记录及工序报验审批记录等质量管理文件的。</w:t>
      </w:r>
    </w:p>
    <w:p w14:paraId="22C77E0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（e）出现以下行为之一，可处5000元/次。</w:t>
      </w:r>
    </w:p>
    <w:p w14:paraId="0AD450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Ⅰ发生一级一般质量事故或重大质量事故，且承包人负有直接责任，或不能证明其履行其职责的；或 </w:t>
      </w:r>
    </w:p>
    <w:p w14:paraId="154FBFD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Ⅱ构造物、中小型预制构件等一次单点实体抽查合格率小于50%的；或</w:t>
      </w:r>
    </w:p>
    <w:p w14:paraId="33C8668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Ⅲ未按要求进行自检，弄虚作假、捏造数据、伪造试验报告的。</w:t>
      </w:r>
    </w:p>
    <w:p w14:paraId="24C3E1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（f）因质量问题被地市级及以上交通主管部门、质量监督单位、公路管理机构通报（批评）的，可对承包人处以10000元违约金，红牌警告5000元，黄牌警告3000元。</w:t>
      </w:r>
    </w:p>
    <w:p w14:paraId="376F8DD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b．文明施工与环境保护，交通通畅</w:t>
      </w:r>
    </w:p>
    <w:p w14:paraId="27D6C2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（a）由于施工原因造成污染、破坏被群众向政府、主管单位投诉或被环保、水利部门责令整改的，处1000元/次。</w:t>
      </w:r>
    </w:p>
    <w:p w14:paraId="69B82AF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（b）其他重要规定违约处理</w:t>
      </w:r>
    </w:p>
    <w:p w14:paraId="0768307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有下列行为之一的处500元/人次违约金并责令承包人进行整改。</w:t>
      </w:r>
    </w:p>
    <w:p w14:paraId="588280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劳务人员未按规定签订聘用合同并向业主、监理工程师报备；或</w:t>
      </w:r>
    </w:p>
    <w:p w14:paraId="5446E00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b)、签订的劳务合同不符合劳动法等法规要求；或</w:t>
      </w:r>
    </w:p>
    <w:p w14:paraId="11AC68C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c)、务人员未编入承包人施工班组，并持项目经理签发的劳务上岗证上岗。</w:t>
      </w:r>
    </w:p>
    <w:p w14:paraId="0D4B6B9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22.1.3上述被处的违约金在计量支付时从履约担保金中扣除，当扣除额达履约担保金总额30%时，承包人无条件进行足额补充。</w:t>
      </w:r>
    </w:p>
    <w:p w14:paraId="052520F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22.1.4业主（项目法人）按合同进行违约处理后，并不解除承包人按照国家法规与合同应承担的责任与义务。</w:t>
      </w:r>
    </w:p>
    <w:p w14:paraId="3D2A883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25.其它（增加）</w:t>
      </w:r>
    </w:p>
    <w:p w14:paraId="2DE0D491">
      <w:pPr>
        <w:pageBreakBefore w:val="0"/>
        <w:widowControl w:val="0"/>
        <w:tabs>
          <w:tab w:val="left" w:pos="7200"/>
          <w:tab w:val="left" w:pos="7380"/>
          <w:tab w:val="left" w:pos="7560"/>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bCs/>
          <w:color w:val="auto"/>
          <w:szCs w:val="21"/>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12914B8">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sectPr>
          <w:footerReference r:id="rId9" w:type="default"/>
          <w:footerReference r:id="rId10" w:type="even"/>
          <w:pgSz w:w="11910" w:h="16850"/>
          <w:pgMar w:top="1480" w:right="1200" w:bottom="1080" w:left="1220" w:header="883" w:footer="884" w:gutter="0"/>
          <w:cols w:space="720" w:num="1"/>
        </w:sectPr>
      </w:pPr>
    </w:p>
    <w:p w14:paraId="7BDFDEF6">
      <w:pPr>
        <w:pStyle w:val="3"/>
        <w:pageBreakBefore w:val="0"/>
        <w:numPr>
          <w:ilvl w:val="0"/>
          <w:numId w:val="10"/>
        </w:numPr>
        <w:kinsoku/>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highlight w:val="none"/>
        </w:rPr>
      </w:pPr>
      <w:bookmarkStart w:id="474" w:name="_Toc122424486"/>
      <w:bookmarkStart w:id="475" w:name="_Toc24988"/>
      <w:bookmarkStart w:id="476" w:name="_Toc16394"/>
      <w:bookmarkStart w:id="477" w:name="_Toc122424237"/>
      <w:r>
        <w:rPr>
          <w:rFonts w:hint="eastAsia" w:ascii="宋体" w:hAnsi="宋体" w:eastAsia="宋体" w:cs="宋体"/>
          <w:color w:val="auto"/>
          <w:highlight w:val="none"/>
        </w:rPr>
        <w:t>合同附件格式</w:t>
      </w:r>
      <w:bookmarkEnd w:id="474"/>
      <w:bookmarkEnd w:id="475"/>
      <w:bookmarkEnd w:id="476"/>
      <w:bookmarkEnd w:id="477"/>
      <w:bookmarkStart w:id="478" w:name="_Toc122424239"/>
      <w:bookmarkStart w:id="479" w:name="_Toc122424488"/>
      <w:bookmarkStart w:id="480" w:name="_Toc13658"/>
    </w:p>
    <w:p w14:paraId="799B0929">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附件一 成交通知书</w:t>
      </w:r>
    </w:p>
    <w:p w14:paraId="571EC51B">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cs="宋体"/>
          <w:color w:val="auto"/>
          <w:highlight w:val="none"/>
          <w:lang w:val="en-US" w:eastAsia="zh-CN"/>
        </w:rPr>
        <w:t>二</w:t>
      </w:r>
      <w:r>
        <w:rPr>
          <w:rFonts w:hint="eastAsia" w:ascii="宋体" w:hAnsi="宋体" w:eastAsia="宋体" w:cs="宋体"/>
          <w:color w:val="auto"/>
          <w:highlight w:val="none"/>
        </w:rPr>
        <w:t xml:space="preserve"> 廉政合同</w:t>
      </w:r>
      <w:bookmarkEnd w:id="478"/>
      <w:bookmarkEnd w:id="479"/>
      <w:bookmarkEnd w:id="480"/>
    </w:p>
    <w:p w14:paraId="2DFFC791">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3827BCC7">
      <w:pPr>
        <w:pageBreakBefore w:val="0"/>
        <w:kinsoku/>
        <w:overflowPunct/>
        <w:topLinePunct w:val="0"/>
        <w:autoSpaceDE/>
        <w:autoSpaceDN/>
        <w:bidi w:val="0"/>
        <w:spacing w:line="360" w:lineRule="auto"/>
        <w:ind w:firstLine="420"/>
        <w:textAlignment w:val="auto"/>
        <w:rPr>
          <w:rFonts w:hint="eastAsia" w:ascii="宋体" w:hAnsi="宋体" w:eastAsia="宋体" w:cs="宋体"/>
          <w:color w:val="auto"/>
          <w:highlight w:val="none"/>
        </w:rPr>
      </w:pPr>
    </w:p>
    <w:p w14:paraId="185103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（项目名称）项目法人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（项目法人名称，以下简称“发包人”）与该项目的施工单位</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（施工单位名称，以下简称“承包人”），特订立如下合同。</w:t>
      </w:r>
    </w:p>
    <w:p w14:paraId="2B81ADC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1．发包人和承包人双方的权利和义务</w:t>
      </w:r>
    </w:p>
    <w:p w14:paraId="21D20C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（1）严格遵守党的政策规定和国家有关法律法规及交通运输部的有关规定。</w:t>
      </w:r>
    </w:p>
    <w:p w14:paraId="3F2827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（2）严格执行</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（项目名称）施工合同文件，自觉按合同办事。</w:t>
      </w:r>
    </w:p>
    <w:p w14:paraId="3D81159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（3）双方的业务活动坚持公开、公正、诚信、透明的原则（法律认定的商业秘密和合同文件另有规定除外），不得损害国家和集体利益，不得违反工程建设管理规章制度。</w:t>
      </w:r>
    </w:p>
    <w:p w14:paraId="3131DB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（4）建立健全廉政制度，开展廉政教育，设立廉政告示牌，公布举报电话，监督并认真查处违法违纪行为。</w:t>
      </w:r>
    </w:p>
    <w:p w14:paraId="36E9ED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（5）发现对方在业务活动中有违反廉政规定的行为，有及时提醒对方纠正的权利和义务。</w:t>
      </w:r>
    </w:p>
    <w:p w14:paraId="5DC3E6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（6）发现对方严重违反本合同义务条款的行为，有向其上级有关部门举报、建议给予处理并要求告知处理结果的权利。</w:t>
      </w:r>
    </w:p>
    <w:p w14:paraId="1A1E12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2．发包人的义务</w:t>
      </w:r>
    </w:p>
    <w:p w14:paraId="783FD8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（1）发包人及其工作人员不得索要或接受承包人的礼金、有价证券和贵重物品，不得让承包人报销任何应由发包人或发包人工作人员个人支付的费用等。</w:t>
      </w:r>
    </w:p>
    <w:p w14:paraId="01E759A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（2）发包人工作人员不得参加承包人安排的超标准宴请和娱乐活动；不得接受承包人提供的通讯工具、交通工具和高档办公用品等。</w:t>
      </w:r>
    </w:p>
    <w:p w14:paraId="4990945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（3）发包人及其工作人员不得要求或者接受承包人为其住房装修、婚丧嫁娶活动、配偶子女的工作安排以及出国出境、旅游等提供方便等。</w:t>
      </w:r>
    </w:p>
    <w:p w14:paraId="5C8B57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（4）发包人工作人员及其配偶、子女不得从事与发包人工作有关的材料设备供应、工程分包、劳务等经济活动等。</w:t>
      </w:r>
    </w:p>
    <w:p w14:paraId="05F509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（5）发包人及其工作人员不得以任何理由向承包人推荐分包单位或推销材料，不得要求承包人购买合同规定外的材料和设备。</w:t>
      </w:r>
    </w:p>
    <w:p w14:paraId="374E01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（6）发包人工作人员要秉公办事，不准营私舞弊，不准利用职权从事各种个人有偿中介活动和安排个人施工队伍。</w:t>
      </w:r>
    </w:p>
    <w:p w14:paraId="582486B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3．承包人的义务</w:t>
      </w:r>
    </w:p>
    <w:p w14:paraId="09EF5C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（1）承包人不得以任何理由向发包人及其工作人员行贿或馈赠礼金、有价证券、贵重礼品。</w:t>
      </w:r>
    </w:p>
    <w:p w14:paraId="2AB1E0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（2）承包人不得以任何名义为发包人及其工作人员报销应由发包人单位或个人支付的任何费用。</w:t>
      </w:r>
    </w:p>
    <w:p w14:paraId="262D325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（3）承包人不得以任何理由安排发包人工作人员参加超标准宴请及娱乐活动。</w:t>
      </w:r>
    </w:p>
    <w:p w14:paraId="656A68F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（4）承包人不得为发包人单位和个人购置或提供通讯工具、交通工具和高档办公用品等。</w:t>
      </w:r>
    </w:p>
    <w:p w14:paraId="52A8427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4．违约责任</w:t>
      </w:r>
    </w:p>
    <w:p w14:paraId="74AF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（1）发包人及其工作人员违反本合同第1、2条，按管理权限，依据有关规定给予党纪、政纪或组织处理；涉嫌犯罪的，移交司法院追究刑事责任；给承包人单位造成经济损失的，应予以赔偿。</w:t>
      </w:r>
    </w:p>
    <w:p w14:paraId="12830DF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C7BD0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7B7B5C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6.本合同有效期为发包人和承包人签署之日起至该工程项目竣工验收后止。</w:t>
      </w:r>
    </w:p>
    <w:p w14:paraId="35199B6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7．本合同作为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（项目名称）施工合同的附件，与工程施工合同具有同等的法律效力，经合同双方签署后立即生效。</w:t>
      </w:r>
    </w:p>
    <w:p w14:paraId="6BBCF5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8．本合同一式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份，由发包人和承包人各执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4A731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D8E72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136ECD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AF4D4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25690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7CD95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522E132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p w14:paraId="4A006326">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p>
    <w:p w14:paraId="08E52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AB468CA">
      <w:pPr>
        <w:pageBreakBefore w:val="0"/>
        <w:kinsoku/>
        <w:overflowPunct/>
        <w:topLinePunct w:val="0"/>
        <w:autoSpaceDE/>
        <w:autoSpaceDN/>
        <w:bidi w:val="0"/>
        <w:spacing w:line="360" w:lineRule="auto"/>
        <w:textAlignment w:val="auto"/>
        <w:rPr>
          <w:rFonts w:hint="eastAsia" w:ascii="宋体" w:hAnsi="宋体" w:cs="宋体"/>
          <w:color w:val="auto"/>
          <w:highlight w:val="none"/>
          <w:lang w:val="en-US" w:eastAsia="zh-CN"/>
        </w:rPr>
      </w:pPr>
    </w:p>
    <w:p w14:paraId="735006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882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38FC90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B40EC0B">
      <w:pPr>
        <w:keepNext w:val="0"/>
        <w:keepLines w:val="0"/>
        <w:pageBreakBefore w:val="0"/>
        <w:kinsoku/>
        <w:wordWrap/>
        <w:overflowPunct/>
        <w:topLinePunct w:val="0"/>
        <w:autoSpaceDE/>
        <w:autoSpaceDN/>
        <w:bidi w:val="0"/>
        <w:adjustRightInd/>
        <w:snapToGrid/>
        <w:spacing w:line="360" w:lineRule="auto"/>
        <w:ind w:right="105"/>
        <w:jc w:val="right"/>
        <w:textAlignment w:val="auto"/>
        <w:rPr>
          <w:rFonts w:hint="eastAsia" w:ascii="宋体" w:hAnsi="宋体" w:eastAsia="宋体" w:cs="宋体"/>
          <w:color w:val="auto"/>
          <w:highlight w:val="none"/>
        </w:rPr>
      </w:pPr>
    </w:p>
    <w:p w14:paraId="76A556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1" w:name="_Toc122424240"/>
      <w:bookmarkStart w:id="482" w:name="_Toc122424489"/>
      <w:bookmarkStart w:id="483" w:name="_Toc1003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 xml:space="preserve"> 安全生产合同</w:t>
      </w:r>
      <w:bookmarkEnd w:id="481"/>
      <w:bookmarkEnd w:id="482"/>
      <w:bookmarkEnd w:id="483"/>
    </w:p>
    <w:p w14:paraId="1492B52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安全生产合同</w:t>
      </w:r>
    </w:p>
    <w:p w14:paraId="5D3079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为在</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（项目名称）施工合同的实施过程中创造安全、高效的施工环境，切实搞好本项目的安全管理工作，本项目发包人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（发包人名称，以下简称“发包人”）与承包人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（承包人名称，以下简称“承包人”）特此签订安全生产合同：</w:t>
      </w:r>
    </w:p>
    <w:p w14:paraId="1C8A720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1.发包人职责</w:t>
      </w:r>
    </w:p>
    <w:p w14:paraId="7A3E148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（1）严格遵守国家有关安全生产的法律法规，认真执行工程承包合同中的有关安全要求。</w:t>
      </w:r>
    </w:p>
    <w:p w14:paraId="789DD2A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（2）按照“安全第一、预防为主、综合治理”和坚持“管行业必须管安全、管业务必须管安全、管生产经营必须管安全”的原则进行安全生产管理，做到生产与安全工作同时计划、布置、检查、总结和评比。</w:t>
      </w:r>
    </w:p>
    <w:p w14:paraId="0CB8084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（3）新建、改建、扩建工程项目等建设项目的安全设施必须坚持与主体工程“三同时”的原则，即：同时设计、同时施工、同时投入生产和使用。</w:t>
      </w:r>
    </w:p>
    <w:p w14:paraId="3D06CBD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（4）定期召开安全生产调度会，及时传达中央及地方有关安全生产的精神。</w:t>
      </w:r>
    </w:p>
    <w:p w14:paraId="387AF98E">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（5）组织对承包人施工现场安全生产检查，监督承包人及时处理发现的各种安全隐患。</w:t>
      </w:r>
    </w:p>
    <w:p w14:paraId="051B38EE">
      <w:pPr>
        <w:pStyle w:val="1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（6）依照有关法律、法规的规定，对涉及安全生产的事项需要审查批准或者验收的，必须严格依照有关法律、法规和国家标准或者行业标准规定的安全生产条件和程序进行审查。</w:t>
      </w:r>
    </w:p>
    <w:p w14:paraId="73D9B9B7">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（7）不得要求接受审查、验收的单位购买其指定品牌或者指定生产、销售单位的安全设备、器材或者其他产品。</w:t>
      </w:r>
    </w:p>
    <w:p w14:paraId="0F9F10F2">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（8）定期或不定期对承包人执行有关安全生产的法律、法规和国家标准或者行业标准的情况进行监督检查。</w:t>
      </w:r>
    </w:p>
    <w:p w14:paraId="38F8E263">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2.承包人职责</w:t>
      </w:r>
    </w:p>
    <w:p w14:paraId="08518CD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0EA9E26">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0718A6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61BEA2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（4）承包人在任何时候都应采取各种合理的预防措施，防止其员工发生任何违法、违禁、暴力或妨碍治安的行为。</w:t>
      </w:r>
    </w:p>
    <w:p w14:paraId="68B2C8F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8A72C4">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33F4E4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（7）操作人员上岗，必须按规定穿戴防护用品。施工负责人和安全检查员应随时检查劳动防护用品的穿戴情况，不按规定穿戴防护用品的人员不得上岗。</w:t>
      </w:r>
    </w:p>
    <w:p w14:paraId="0633F44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（8）所有施工机具设备和高空作业的设备均应定期检查，并有安全员的签字记录，保证其经常处于完好状态；不合格的机具、设备和劳动保护用品严禁使用：</w:t>
      </w:r>
    </w:p>
    <w:p w14:paraId="731B335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（9）施工中采用新技术、新工艺、新设备、新材料时，必须制定相应的安全技术措施，施工现场必须具有相关的安全标志牌。</w:t>
      </w:r>
    </w:p>
    <w:p w14:paraId="60FB349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6A16B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（11）安全生产费用按照《公路水运工程安全生产监督管理办法》的相关规定使用和管理。</w:t>
      </w:r>
    </w:p>
    <w:p w14:paraId="0E7C775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（12）生产、经营、储存、使用危险物品的车间、商店、仓库不得与员工宿舍在同一座建筑物内，并应当与员工宿舍保持安全距离。</w:t>
      </w:r>
    </w:p>
    <w:p w14:paraId="1462F75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（13）承包人进行爆破、吊装、动火、临时用电以及国务院应急管理部门会同国务院有关部门规定的其他危险作业，应当安排专门人员进行现场安全管理，确保操作规程的遵守和安全措施的落实。</w:t>
      </w:r>
    </w:p>
    <w:p w14:paraId="15E0915D">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（14）承包人应当教育和督促从业人员严格执行本单位的安全生产规章制度和安全操作规程；并向从业人员如实告知作业场所和工作岗位存在的危险因素、防范措施以及事故应急措施。</w:t>
      </w:r>
    </w:p>
    <w:p w14:paraId="5CF1B8A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（15）承包人应当关注从业人员的身体、心理状况和行为习惯，加强对从业人员的心理疏导、精神慰藉，严格落实岗位安全生产责任，防范从业人员行为异常导致事故发生。</w:t>
      </w:r>
    </w:p>
    <w:p w14:paraId="39C77E6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3.违约责任</w:t>
      </w:r>
    </w:p>
    <w:p w14:paraId="3C244F9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如因发包人或承包人违约造成安全事故，将依法追究责任。</w:t>
      </w:r>
    </w:p>
    <w:p w14:paraId="2946083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4.本合同由双方法定代表人或其授权的代理人签署并加盖单位公章后生效，全部工程竣工验收后失效。</w:t>
      </w:r>
    </w:p>
    <w:p w14:paraId="0C31D0C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5.本合同正本—式二份，副本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份，合同双方各执正本—份，副本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份，当正本与副本的内容不一致时，以正本为准。</w:t>
      </w:r>
    </w:p>
    <w:p w14:paraId="7D55F8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75DBD7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368D512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F382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532415A">
      <w:pPr>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484" w:name="_Toc4526"/>
      <w:bookmarkStart w:id="485" w:name="_Toc122424241"/>
      <w:bookmarkStart w:id="486" w:name="_Toc12242449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 xml:space="preserve"> 其他管理和技术人员最低要求</w:t>
      </w:r>
      <w:bookmarkEnd w:id="484"/>
      <w:bookmarkEnd w:id="485"/>
      <w:bookmarkEnd w:id="486"/>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A3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25D7F3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人</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员</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BF725A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数</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量</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6B604C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资 格 要 求</w:t>
            </w:r>
          </w:p>
        </w:tc>
      </w:tr>
      <w:tr w14:paraId="034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C4EC7B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9EB852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1498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A2A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9066E6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275B2F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C26FD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EA6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3C8499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015F4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AAA932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7B2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320763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F7C4E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20DF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16E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D52DC9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6E69EB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F00CE6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E93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32D729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5F18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B82D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FE0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59D7AE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13CF9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0AEAA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361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690F10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53C49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19BB18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A0A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1AB88B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2196F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38D5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2B10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95406E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46308B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D656E8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E2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21C64F4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C88E9D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804F56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E67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2D92F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008A0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229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0B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F109E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B4176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8C4A57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F56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77B9E0E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62327C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D8564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146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E2B22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818CF0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922F72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1F79EFF8">
      <w:pPr>
        <w:pageBreakBefore w:val="0"/>
        <w:widowControl/>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7" w:name="_Toc1254"/>
      <w:bookmarkStart w:id="488" w:name="_Toc122424491"/>
      <w:bookmarkStart w:id="489" w:name="_Toc122424242"/>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 主要机械设备和试验检测设备最低要求</w:t>
      </w:r>
      <w:bookmarkEnd w:id="487"/>
      <w:bookmarkEnd w:id="488"/>
      <w:bookmarkEnd w:id="489"/>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7F5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5C0DA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设备名称</w:t>
            </w: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019959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规格、功率及容量</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E98310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单位</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2C323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最低数量要求</w:t>
            </w:r>
          </w:p>
        </w:tc>
      </w:tr>
      <w:tr w14:paraId="1366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161EEA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3DBF2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62B0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31AC8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C4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33A502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83417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A5774F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42D2CC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93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FEA30D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1AF2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38886C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2B9247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2B493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32EB26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C5D88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FE092F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AE8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628047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36AF815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BF367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9082EF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D95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5BCDDC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22F19A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88C3E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CF5B8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12A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4D9456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F4BB3A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68FBDF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61808B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CC3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B1D704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D57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D862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899AFC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5BC1E1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7718C7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4EC9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3D4A52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965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74DF3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026E64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5FF7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7C962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0A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84737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774A9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C223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633B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6B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349BC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1BC02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15E4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21B95D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F2A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50357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6A8C91A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C9470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5840DA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B0A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F4001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1E9F5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43B111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A7418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8C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CD9D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14CC5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0709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EB92B9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4829B9CF">
      <w:pPr>
        <w:pStyle w:val="4"/>
        <w:pageBreakBefore w:val="0"/>
        <w:kinsoku/>
        <w:overflowPunct/>
        <w:topLinePunct w:val="0"/>
        <w:autoSpaceDE/>
        <w:autoSpaceDN/>
        <w:bidi w:val="0"/>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0" w:name="_Toc122424243"/>
      <w:bookmarkStart w:id="491" w:name="_Toc122424492"/>
      <w:r>
        <w:rPr>
          <w:rFonts w:hint="eastAsia" w:ascii="宋体" w:hAnsi="宋体" w:eastAsia="宋体" w:cs="宋体"/>
          <w:color w:val="auto"/>
          <w:highlight w:val="none"/>
        </w:rPr>
        <w:t>附件</w:t>
      </w:r>
      <w:r>
        <w:rPr>
          <w:rFonts w:hint="eastAsia" w:ascii="宋体" w:hAnsi="宋体" w:cs="宋体"/>
          <w:color w:val="auto"/>
          <w:highlight w:val="none"/>
          <w:lang w:val="en-US" w:eastAsia="zh-CN"/>
        </w:rPr>
        <w:t>六</w:t>
      </w:r>
      <w:r>
        <w:rPr>
          <w:rFonts w:hint="eastAsia" w:ascii="宋体" w:hAnsi="宋体" w:eastAsia="宋体" w:cs="宋体"/>
          <w:color w:val="auto"/>
          <w:highlight w:val="none"/>
        </w:rPr>
        <w:t xml:space="preserve"> 履约保证金格式</w:t>
      </w:r>
      <w:bookmarkEnd w:id="490"/>
      <w:bookmarkEnd w:id="491"/>
    </w:p>
    <w:p w14:paraId="4EB39EB2">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6A467E85">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2F0F4B7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574F7F0D">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履约保证金</w:t>
      </w:r>
    </w:p>
    <w:p w14:paraId="2EB35AE5">
      <w:pPr>
        <w:pStyle w:val="44"/>
        <w:pageBreakBefore w:val="0"/>
        <w:shd w:val="clear" w:color="auto" w:fill="auto"/>
        <w:tabs>
          <w:tab w:val="left" w:leader="underscore" w:pos="2222"/>
        </w:tabs>
        <w:kinsoku/>
        <w:overflowPunct/>
        <w:topLinePunct w:val="0"/>
        <w:autoSpaceDE/>
        <w:autoSpaceDN/>
        <w:bidi w:val="0"/>
        <w:spacing w:before="0" w:after="388"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(发包人名称）：</w:t>
      </w:r>
    </w:p>
    <w:p w14:paraId="3823202B">
      <w:pPr>
        <w:pStyle w:val="44"/>
        <w:pageBreakBefore w:val="0"/>
        <w:shd w:val="clear" w:color="auto" w:fill="auto"/>
        <w:tabs>
          <w:tab w:val="left" w:leader="underscore" w:pos="2964"/>
          <w:tab w:val="left" w:leader="underscore" w:pos="8141"/>
        </w:tabs>
        <w:kinsoku/>
        <w:overflowPunct/>
        <w:topLinePunct w:val="0"/>
        <w:autoSpaceDE/>
        <w:autoSpaceDN/>
        <w:bidi w:val="0"/>
        <w:spacing w:before="0" w:line="360" w:lineRule="auto"/>
        <w:ind w:firstLine="630" w:firstLineChars="3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鉴于</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(发包人名称，以下简称“发包人”）接受</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(承包人名称，以下简称“承包人”）于</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年</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月</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日参加</w:t>
      </w:r>
      <w:r>
        <w:rPr>
          <w:rStyle w:val="45"/>
          <w:rFonts w:hint="eastAsia" w:ascii="宋体" w:hAnsi="宋体" w:eastAsia="宋体" w:cs="宋体"/>
          <w:color w:val="auto"/>
          <w:sz w:val="21"/>
          <w:szCs w:val="21"/>
          <w:highlight w:val="none"/>
          <w:lang w:val="en-US"/>
        </w:rPr>
        <w:t xml:space="preserve"> </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u w:val="single"/>
        </w:rPr>
        <w:t>(项目名称）</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4E591DF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1.担保金额人民币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7F18AC43">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2.担保有效期自发包人与承包人签订的合同生效之日起至发包人签发交工验收证书且承包人按照合同约定缴纳质量保证金之日止。</w:t>
      </w:r>
      <w:r>
        <w:rPr>
          <w:rStyle w:val="31"/>
          <w:rFonts w:hint="eastAsia" w:ascii="宋体" w:hAnsi="宋体" w:eastAsia="宋体" w:cs="宋体"/>
          <w:color w:val="auto"/>
          <w:highlight w:val="none"/>
        </w:rPr>
        <w:footnoteReference w:id="1"/>
      </w:r>
    </w:p>
    <w:p w14:paraId="18FEAFC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3.在本担保有效期内，因承包人违反合同约定的义务给你方造成经济损失时， 我方在收到你方以书面形式提出的在担保金额内的赔偿要求后，在 7 日内无条件支付，无须你方出具证明或陈述理由。</w:t>
      </w:r>
    </w:p>
    <w:p w14:paraId="0A9157A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4.发包人和承包人按合同条款第 15 条变更合同时，无论我方是否收到该变更， 我方承担本担保规定的义务不变。</w:t>
      </w:r>
    </w:p>
    <w:p w14:paraId="168DD0F8">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7300AEAD">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828459A">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11A060B0">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p>
    <w:p w14:paraId="7528A3AB">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w:t>
      </w:r>
      <w:r>
        <w:rPr>
          <w:rFonts w:hint="eastAsia" w:ascii="宋体" w:hAnsi="宋体" w:eastAsia="宋体" w:cs="宋体"/>
          <w:color w:val="auto"/>
          <w:highlight w:val="none"/>
        </w:rPr>
        <w:tab/>
      </w:r>
      <w:r>
        <w:rPr>
          <w:rFonts w:hint="eastAsia" w:ascii="宋体" w:hAnsi="宋体" w:eastAsia="宋体" w:cs="宋体"/>
          <w:color w:val="auto"/>
          <w:highlight w:val="none"/>
        </w:rPr>
        <w:t>话：</w:t>
      </w:r>
    </w:p>
    <w:p w14:paraId="72555267">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传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真：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742DD633">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日 </w:t>
      </w:r>
    </w:p>
    <w:p w14:paraId="796919FD">
      <w:pPr>
        <w:pageBreakBefore w:val="0"/>
        <w:tabs>
          <w:tab w:val="left" w:pos="3261"/>
        </w:tabs>
        <w:kinsoku/>
        <w:overflowPunct/>
        <w:topLinePunct w:val="0"/>
        <w:autoSpaceDE/>
        <w:autoSpaceDN/>
        <w:bidi w:val="0"/>
        <w:spacing w:line="360" w:lineRule="auto"/>
        <w:contextualSpacing/>
        <w:jc w:val="both"/>
        <w:textAlignment w:val="auto"/>
        <w:rPr>
          <w:rFonts w:hint="eastAsia" w:ascii="宋体" w:hAnsi="宋体" w:eastAsia="宋体" w:cs="宋体"/>
          <w:b/>
          <w:bCs/>
          <w:color w:val="auto"/>
          <w:highlight w:val="none"/>
        </w:rPr>
        <w:sectPr>
          <w:pgSz w:w="11911" w:h="16838"/>
          <w:pgMar w:top="1134" w:right="1134" w:bottom="1134" w:left="1134" w:header="720" w:footer="720" w:gutter="0"/>
          <w:cols w:space="720" w:num="1"/>
        </w:sectPr>
      </w:pPr>
    </w:p>
    <w:p w14:paraId="7310F3D4">
      <w:pPr>
        <w:pStyle w:val="2"/>
        <w:spacing w:before="0" w:after="0" w:line="240" w:lineRule="auto"/>
        <w:jc w:val="center"/>
        <w:rPr>
          <w:rFonts w:hint="eastAsia" w:ascii="宋体" w:hAnsi="宋体" w:eastAsia="宋体" w:cs="宋体"/>
          <w:b w:val="0"/>
          <w:bCs w:val="0"/>
          <w:color w:val="auto"/>
          <w:highlight w:val="none"/>
        </w:rPr>
      </w:pPr>
      <w:bookmarkStart w:id="492" w:name="_Toc407135283"/>
      <w:bookmarkStart w:id="493" w:name="_Toc29015"/>
      <w:bookmarkStart w:id="494" w:name="_Toc10491"/>
      <w:r>
        <w:rPr>
          <w:rFonts w:hint="eastAsia" w:ascii="宋体" w:hAnsi="宋体" w:eastAsia="宋体" w:cs="宋体"/>
          <w:b w:val="0"/>
          <w:bCs w:val="0"/>
          <w:color w:val="auto"/>
          <w:highlight w:val="none"/>
        </w:rPr>
        <w:t>第七章 工程量清单</w:t>
      </w:r>
      <w:bookmarkEnd w:id="492"/>
      <w:bookmarkEnd w:id="493"/>
      <w:r>
        <w:rPr>
          <w:rFonts w:hint="eastAsia" w:ascii="宋体" w:hAnsi="宋体" w:eastAsia="宋体" w:cs="宋体"/>
          <w:b w:val="0"/>
          <w:bCs w:val="0"/>
          <w:color w:val="auto"/>
          <w:highlight w:val="none"/>
        </w:rPr>
        <w:t>、图纸</w:t>
      </w:r>
      <w:bookmarkEnd w:id="494"/>
    </w:p>
    <w:p w14:paraId="1E1FE76F">
      <w:pPr>
        <w:pStyle w:val="4"/>
        <w:spacing w:before="0" w:after="0" w:line="360" w:lineRule="auto"/>
        <w:jc w:val="center"/>
        <w:rPr>
          <w:rFonts w:hint="eastAsia" w:ascii="宋体" w:hAnsi="宋体" w:eastAsia="宋体" w:cs="宋体"/>
          <w:color w:val="auto"/>
          <w:highlight w:val="none"/>
        </w:rPr>
      </w:pPr>
    </w:p>
    <w:p w14:paraId="63487A9D">
      <w:pPr>
        <w:pStyle w:val="4"/>
        <w:spacing w:before="0" w:after="0" w:line="360" w:lineRule="auto"/>
        <w:rPr>
          <w:rFonts w:hint="eastAsia" w:ascii="宋体" w:hAnsi="宋体" w:eastAsia="宋体" w:cs="宋体"/>
          <w:color w:val="auto"/>
          <w:highlight w:val="none"/>
        </w:rPr>
      </w:pPr>
      <w:bookmarkStart w:id="495" w:name="_Toc122424260"/>
      <w:bookmarkStart w:id="496" w:name="_Toc122424011"/>
      <w:r>
        <w:rPr>
          <w:rFonts w:hint="eastAsia" w:ascii="宋体" w:hAnsi="宋体" w:eastAsia="宋体" w:cs="宋体"/>
          <w:color w:val="auto"/>
          <w:highlight w:val="none"/>
        </w:rPr>
        <w:t>1.工程量清单说明</w:t>
      </w:r>
      <w:bookmarkEnd w:id="495"/>
      <w:bookmarkEnd w:id="496"/>
    </w:p>
    <w:p w14:paraId="71B596F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5C176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1.2本工程量清单应与磋商文件中的供应商须知、通用合同条款、专用合同条款、工程量清单计量规则、技术规范及图纸等一起阅读和理解。</w:t>
      </w:r>
    </w:p>
    <w:p w14:paraId="6CFFC83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5584B7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324C4CE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1.5对作业和材料的一般说明或规定，未重复写入工程量清单内，在给工程量清单各子目标价前，应参阅第七章“技术规范”的有关内容。</w:t>
      </w:r>
    </w:p>
    <w:p w14:paraId="2FA6CA7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1.6工程量清单中所列工程量的变动，丝毫不会降低或影响合同条款的效力， 也不免除承包人按规定的标准进行施工和修复缺陷的责任。</w:t>
      </w:r>
    </w:p>
    <w:p w14:paraId="13DAC832">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1.7图纸中所列的工程数量表及数量汇总表仅是提供资料，不是工程量清单的外延。当图纸与工程量清单所列数量不一致时，以工程量清单所列数量作为报价的依据。</w:t>
      </w:r>
    </w:p>
    <w:p w14:paraId="2D972167">
      <w:pPr>
        <w:pStyle w:val="4"/>
        <w:spacing w:before="0" w:after="0" w:line="360" w:lineRule="auto"/>
        <w:rPr>
          <w:rFonts w:hint="eastAsia" w:ascii="宋体" w:hAnsi="宋体" w:eastAsia="宋体" w:cs="宋体"/>
          <w:color w:val="auto"/>
          <w:highlight w:val="none"/>
        </w:rPr>
      </w:pPr>
      <w:bookmarkStart w:id="497" w:name="_Toc122424261"/>
      <w:bookmarkStart w:id="498" w:name="_Toc122424012"/>
      <w:bookmarkStart w:id="499" w:name="_Toc5517"/>
      <w:r>
        <w:rPr>
          <w:rFonts w:hint="eastAsia" w:ascii="宋体" w:hAnsi="宋体" w:eastAsia="宋体" w:cs="宋体"/>
          <w:color w:val="auto"/>
          <w:highlight w:val="none"/>
        </w:rPr>
        <w:t>2.竞标报价说明</w:t>
      </w:r>
      <w:bookmarkEnd w:id="497"/>
      <w:bookmarkEnd w:id="498"/>
      <w:bookmarkEnd w:id="499"/>
    </w:p>
    <w:p w14:paraId="2AF762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2.1工程量清单中的每一子目须填入单价或价格，且只允许有一个报价。</w:t>
      </w:r>
    </w:p>
    <w:p w14:paraId="5A8845C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64B3F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F1B532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E7515C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2.5承包人用于本合同工程的各类装备的提供、运输、维护、拆卸、拼装等支付的费用，已包括在工程量清单的单价与总额价之中。</w:t>
      </w:r>
    </w:p>
    <w:p w14:paraId="6D9BF53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11541A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2.7工程量清单中各项金额均以人民币（元）结算。</w:t>
      </w:r>
    </w:p>
    <w:p w14:paraId="0DF95E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2.8暂列金额（不含计日工总额）的数量及拟用子目的说明：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FA25E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2.9暂估价的数量及拟用子目的说明：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7D0B80">
      <w:pPr>
        <w:pStyle w:val="4"/>
        <w:spacing w:before="0" w:after="0" w:line="360" w:lineRule="auto"/>
        <w:rPr>
          <w:rFonts w:hint="eastAsia" w:ascii="宋体" w:hAnsi="宋体" w:eastAsia="宋体" w:cs="宋体"/>
          <w:color w:val="auto"/>
          <w:highlight w:val="none"/>
        </w:rPr>
      </w:pPr>
      <w:bookmarkStart w:id="500" w:name="_Toc122424013"/>
      <w:bookmarkStart w:id="501" w:name="_Toc122424262"/>
      <w:bookmarkStart w:id="502" w:name="_Toc16130"/>
      <w:r>
        <w:rPr>
          <w:rFonts w:hint="eastAsia" w:ascii="宋体" w:hAnsi="宋体" w:eastAsia="宋体" w:cs="宋体"/>
          <w:color w:val="auto"/>
          <w:highlight w:val="none"/>
        </w:rPr>
        <w:t>3.计日工说明</w:t>
      </w:r>
      <w:bookmarkEnd w:id="500"/>
      <w:bookmarkEnd w:id="501"/>
      <w:bookmarkEnd w:id="502"/>
    </w:p>
    <w:p w14:paraId="26F0DDF6">
      <w:pPr>
        <w:pStyle w:val="5"/>
        <w:rPr>
          <w:rFonts w:hint="eastAsia" w:ascii="宋体" w:hAnsi="宋体" w:eastAsia="宋体" w:cs="宋体"/>
          <w:color w:val="auto"/>
          <w:highlight w:val="none"/>
        </w:rPr>
      </w:pPr>
      <w:bookmarkStart w:id="503" w:name="_Toc2050"/>
      <w:r>
        <w:rPr>
          <w:rFonts w:hint="eastAsia" w:ascii="宋体" w:hAnsi="宋体" w:eastAsia="宋体" w:cs="宋体"/>
          <w:color w:val="auto"/>
          <w:highlight w:val="none"/>
        </w:rPr>
        <w:t>3.1总则</w:t>
      </w:r>
      <w:bookmarkEnd w:id="503"/>
    </w:p>
    <w:p w14:paraId="2060E2CB">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（1）本说明应参照通用合同条款第 15.7 款一并理解。</w:t>
      </w:r>
    </w:p>
    <w:p w14:paraId="0CA9D3A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（2）未经监理人书面指令，任何工程不得按计日工施工；接到监理人按计日工施工的书面指令，承包人也不得拒绝。</w:t>
      </w:r>
    </w:p>
    <w:p w14:paraId="093906B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1D6676D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（4）计日工不调价。</w:t>
      </w:r>
    </w:p>
    <w:p w14:paraId="0FC246C5">
      <w:pPr>
        <w:pStyle w:val="5"/>
        <w:rPr>
          <w:rFonts w:hint="eastAsia" w:ascii="宋体" w:hAnsi="宋体" w:eastAsia="宋体" w:cs="宋体"/>
          <w:color w:val="auto"/>
          <w:highlight w:val="none"/>
        </w:rPr>
      </w:pPr>
      <w:bookmarkStart w:id="504" w:name="_Toc13076"/>
      <w:r>
        <w:rPr>
          <w:rFonts w:hint="eastAsia" w:ascii="宋体" w:hAnsi="宋体" w:eastAsia="宋体" w:cs="宋体"/>
          <w:color w:val="auto"/>
          <w:highlight w:val="none"/>
        </w:rPr>
        <w:t>3.2计日工劳务</w:t>
      </w:r>
      <w:bookmarkEnd w:id="504"/>
    </w:p>
    <w:p w14:paraId="1F285A0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617262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1454B2D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a.劳务基本单价包括：承包人劳务的全部直接费用，如：工资、加班费、津贴、福利费及劳动保护费等。</w:t>
      </w:r>
    </w:p>
    <w:p w14:paraId="6CCDC7C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b.承包人的利润、管理、质检、保险、税费；易耗品的使用，水电及照明费， 工作台、脚手架、临时设施费，手动机具与工具的使用及维修，以及上述各项伴随而来的费用。</w:t>
      </w:r>
    </w:p>
    <w:p w14:paraId="1398C700">
      <w:pPr>
        <w:pStyle w:val="5"/>
        <w:rPr>
          <w:rFonts w:hint="eastAsia" w:ascii="宋体" w:hAnsi="宋体" w:eastAsia="宋体" w:cs="宋体"/>
          <w:color w:val="auto"/>
          <w:highlight w:val="none"/>
        </w:rPr>
      </w:pPr>
      <w:bookmarkStart w:id="505" w:name="_Toc23837"/>
      <w:r>
        <w:rPr>
          <w:rFonts w:hint="eastAsia" w:ascii="宋体" w:hAnsi="宋体" w:eastAsia="宋体" w:cs="宋体"/>
          <w:color w:val="auto"/>
          <w:highlight w:val="none"/>
        </w:rPr>
        <w:t>3.3计日工材料</w:t>
      </w:r>
      <w:bookmarkEnd w:id="505"/>
    </w:p>
    <w:p w14:paraId="64047BE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258FC1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（1）材料基本单价按供货价加运杂费（到达承包人现场仓库）、保险费、仓库管理费以及运输损耗等计算；</w:t>
      </w:r>
    </w:p>
    <w:p w14:paraId="15EA0D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（2）承包人的利润、管理、质检、保险、税费及其他附加费；</w:t>
      </w:r>
    </w:p>
    <w:p w14:paraId="68614D5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（3）从现场运至使用地点的人工费和施工机械使用费不包括在上述基本单价内。</w:t>
      </w:r>
    </w:p>
    <w:p w14:paraId="3A40A3DA">
      <w:pPr>
        <w:pStyle w:val="5"/>
        <w:rPr>
          <w:rFonts w:hint="eastAsia" w:ascii="宋体" w:hAnsi="宋体" w:eastAsia="宋体" w:cs="宋体"/>
          <w:color w:val="auto"/>
          <w:highlight w:val="none"/>
        </w:rPr>
      </w:pPr>
      <w:r>
        <w:rPr>
          <w:rFonts w:hint="eastAsia" w:ascii="宋体" w:hAnsi="宋体" w:eastAsia="宋体" w:cs="宋体"/>
          <w:color w:val="auto"/>
          <w:highlight w:val="none"/>
        </w:rPr>
        <w:t>3.4计日工施工机械</w:t>
      </w:r>
    </w:p>
    <w:p w14:paraId="3677F12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（1）承包人可以得到用于计日工作业的施工机械费用的支付，该费用按承包</w:t>
      </w:r>
    </w:p>
    <w:p w14:paraId="7AC0164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7BAB24C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D3E3D2A">
      <w:pPr>
        <w:pStyle w:val="4"/>
        <w:spacing w:before="0" w:after="0" w:line="360" w:lineRule="auto"/>
        <w:rPr>
          <w:rFonts w:hint="eastAsia" w:ascii="宋体" w:hAnsi="宋体" w:eastAsia="宋体" w:cs="宋体"/>
          <w:color w:val="auto"/>
          <w:highlight w:val="none"/>
        </w:rPr>
      </w:pPr>
      <w:bookmarkStart w:id="506" w:name="_Toc25846"/>
      <w:bookmarkStart w:id="507" w:name="_Toc122424263"/>
      <w:bookmarkStart w:id="508" w:name="_Toc122424014"/>
      <w:r>
        <w:rPr>
          <w:rFonts w:hint="eastAsia" w:ascii="宋体" w:hAnsi="宋体" w:eastAsia="宋体" w:cs="宋体"/>
          <w:color w:val="auto"/>
          <w:highlight w:val="none"/>
        </w:rPr>
        <w:t>4.其他说明</w:t>
      </w:r>
      <w:bookmarkEnd w:id="506"/>
      <w:bookmarkEnd w:id="507"/>
      <w:bookmarkEnd w:id="508"/>
    </w:p>
    <w:p w14:paraId="4D1647B1">
      <w:pPr>
        <w:pStyle w:val="4"/>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工程量清单、图纸获取</w:t>
      </w:r>
    </w:p>
    <w:p w14:paraId="1C0769E5">
      <w:pPr>
        <w:tabs>
          <w:tab w:val="left" w:pos="3261"/>
        </w:tabs>
        <w:spacing w:line="360" w:lineRule="auto"/>
        <w:jc w:val="left"/>
        <w:rPr>
          <w:rFonts w:ascii="宋体" w:hAnsi="宋体" w:cs="宋体"/>
          <w:b/>
          <w:color w:val="auto"/>
          <w:sz w:val="44"/>
          <w:szCs w:val="44"/>
          <w:highlight w:val="none"/>
        </w:rPr>
      </w:pPr>
      <w:r>
        <w:rPr>
          <w:rFonts w:hint="eastAsia" w:ascii="宋体" w:hAnsi="宋体" w:eastAsia="宋体" w:cs="宋体"/>
          <w:color w:val="auto"/>
          <w:highlight w:val="none"/>
        </w:rPr>
        <w:t>获取方式：网上下载。本项目不发放</w:t>
      </w:r>
      <w:r>
        <w:rPr>
          <w:rFonts w:hint="eastAsia" w:ascii="宋体" w:hAnsi="宋体" w:eastAsia="宋体" w:cs="宋体"/>
          <w:color w:val="auto"/>
          <w:highlight w:val="none"/>
          <w:lang w:eastAsia="zh-CN"/>
        </w:rPr>
        <w:t>纸质版的</w:t>
      </w:r>
      <w:r>
        <w:rPr>
          <w:rFonts w:hint="eastAsia" w:ascii="宋体" w:hAnsi="宋体" w:eastAsia="宋体" w:cs="宋体"/>
          <w:color w:val="auto"/>
          <w:highlight w:val="none"/>
        </w:rPr>
        <w:t>工程量清单及图纸，由潜在供应商自行在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下载。</w:t>
      </w:r>
    </w:p>
    <w:p w14:paraId="66D2BE8E">
      <w:pPr>
        <w:tabs>
          <w:tab w:val="left" w:pos="3261"/>
        </w:tabs>
        <w:spacing w:line="360" w:lineRule="auto"/>
        <w:jc w:val="center"/>
        <w:rPr>
          <w:rFonts w:ascii="宋体" w:hAnsi="宋体" w:cs="宋体"/>
          <w:b/>
          <w:color w:val="auto"/>
          <w:sz w:val="44"/>
          <w:szCs w:val="44"/>
          <w:highlight w:val="none"/>
        </w:rPr>
      </w:pPr>
    </w:p>
    <w:p w14:paraId="36EBAD79">
      <w:pPr>
        <w:tabs>
          <w:tab w:val="left" w:pos="3261"/>
        </w:tabs>
        <w:spacing w:line="360" w:lineRule="auto"/>
        <w:jc w:val="center"/>
        <w:rPr>
          <w:rFonts w:ascii="宋体" w:hAnsi="宋体" w:cs="宋体"/>
          <w:b/>
          <w:color w:val="auto"/>
          <w:sz w:val="44"/>
          <w:szCs w:val="44"/>
          <w:highlight w:val="none"/>
        </w:rPr>
      </w:pPr>
    </w:p>
    <w:p w14:paraId="427E322B">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auto"/>
          <w:sz w:val="44"/>
          <w:szCs w:val="44"/>
          <w:highlight w:val="none"/>
        </w:rPr>
      </w:pPr>
    </w:p>
    <w:p w14:paraId="6257ADBA">
      <w:pPr>
        <w:tabs>
          <w:tab w:val="left" w:pos="3261"/>
        </w:tabs>
        <w:spacing w:line="360" w:lineRule="auto"/>
        <w:jc w:val="center"/>
        <w:rPr>
          <w:rFonts w:ascii="宋体" w:hAnsi="宋体" w:cs="宋体"/>
          <w:b/>
          <w:color w:val="auto"/>
          <w:sz w:val="44"/>
          <w:szCs w:val="44"/>
          <w:highlight w:val="none"/>
        </w:rPr>
      </w:pPr>
    </w:p>
    <w:p w14:paraId="69AA9C59">
      <w:pPr>
        <w:tabs>
          <w:tab w:val="left" w:pos="3261"/>
        </w:tabs>
        <w:spacing w:line="360" w:lineRule="auto"/>
        <w:jc w:val="center"/>
        <w:rPr>
          <w:rFonts w:ascii="宋体" w:hAnsi="宋体" w:cs="宋体"/>
          <w:b/>
          <w:color w:val="auto"/>
          <w:sz w:val="44"/>
          <w:szCs w:val="44"/>
          <w:highlight w:val="none"/>
        </w:rPr>
      </w:pPr>
    </w:p>
    <w:p w14:paraId="4EC8D1FD">
      <w:pPr>
        <w:tabs>
          <w:tab w:val="left" w:pos="3261"/>
        </w:tabs>
        <w:spacing w:line="360" w:lineRule="auto"/>
        <w:jc w:val="center"/>
        <w:rPr>
          <w:rFonts w:ascii="宋体" w:hAnsi="宋体" w:cs="宋体"/>
          <w:b/>
          <w:color w:val="auto"/>
          <w:sz w:val="44"/>
          <w:szCs w:val="44"/>
          <w:highlight w:val="none"/>
        </w:rPr>
      </w:pPr>
    </w:p>
    <w:p w14:paraId="47BD94DB">
      <w:pPr>
        <w:tabs>
          <w:tab w:val="left" w:pos="3261"/>
        </w:tabs>
        <w:spacing w:line="360" w:lineRule="auto"/>
        <w:jc w:val="center"/>
        <w:rPr>
          <w:rFonts w:ascii="宋体" w:hAnsi="宋体" w:cs="宋体"/>
          <w:b/>
          <w:color w:val="auto"/>
          <w:sz w:val="44"/>
          <w:szCs w:val="44"/>
          <w:highlight w:val="none"/>
        </w:rPr>
      </w:pPr>
    </w:p>
    <w:p w14:paraId="3611968D">
      <w:pPr>
        <w:pStyle w:val="2"/>
        <w:jc w:val="center"/>
        <w:rPr>
          <w:rFonts w:ascii="宋体" w:hAnsi="宋体" w:cs="宋体"/>
          <w:color w:val="auto"/>
          <w:highlight w:val="none"/>
        </w:rPr>
      </w:pPr>
      <w:bookmarkStart w:id="509"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八</w:t>
      </w:r>
      <w:r>
        <w:rPr>
          <w:rFonts w:hint="eastAsia" w:ascii="宋体" w:hAnsi="宋体" w:cs="宋体"/>
          <w:b w:val="0"/>
          <w:color w:val="auto"/>
          <w:highlight w:val="none"/>
        </w:rPr>
        <w:t>章 质疑、投诉材料格式</w:t>
      </w:r>
      <w:bookmarkEnd w:id="509"/>
    </w:p>
    <w:p w14:paraId="6A447DD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0" w:name="PO_3000001868_PM002_16"/>
      <w:r>
        <w:rPr>
          <w:rFonts w:hint="eastAsia" w:hAnsi="宋体" w:cs="宋体"/>
          <w:bCs/>
          <w:color w:val="auto"/>
          <w:sz w:val="24"/>
          <w:szCs w:val="24"/>
          <w:highlight w:val="none"/>
          <w:u w:val="single"/>
        </w:rPr>
        <w:t>[项目名称]</w:t>
      </w:r>
      <w:bookmarkEnd w:id="510"/>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511" w:name="PO_3000001868_PM001_13"/>
      <w:r>
        <w:rPr>
          <w:rFonts w:hint="eastAsia" w:hAnsi="宋体" w:cs="宋体"/>
          <w:bCs/>
          <w:color w:val="auto"/>
          <w:sz w:val="24"/>
          <w:szCs w:val="24"/>
          <w:highlight w:val="none"/>
          <w:u w:val="single"/>
        </w:rPr>
        <w:t>[项目编号]</w:t>
      </w:r>
      <w:bookmarkEnd w:id="511"/>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12" w:name="PO_3000001868_PM026_7"/>
      <w:r>
        <w:rPr>
          <w:rFonts w:hint="eastAsia" w:hAnsi="宋体" w:cs="宋体"/>
          <w:bCs/>
          <w:color w:val="auto"/>
          <w:sz w:val="24"/>
          <w:szCs w:val="24"/>
          <w:highlight w:val="none"/>
          <w:u w:val="single"/>
        </w:rPr>
        <w:t>[采购人]</w:t>
      </w:r>
      <w:bookmarkEnd w:id="512"/>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3" w:name="PO_3000001868_PM002_17"/>
      <w:r>
        <w:rPr>
          <w:rFonts w:hint="eastAsia" w:hAnsi="宋体" w:cs="宋体"/>
          <w:bCs/>
          <w:color w:val="auto"/>
          <w:sz w:val="24"/>
          <w:szCs w:val="24"/>
          <w:highlight w:val="none"/>
          <w:u w:val="single"/>
        </w:rPr>
        <w:t>[项目名称]</w:t>
      </w:r>
      <w:bookmarkEnd w:id="513"/>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514" w:name="PO_3000001868_PM001_14"/>
      <w:r>
        <w:rPr>
          <w:rFonts w:hint="eastAsia" w:hAnsi="宋体" w:cs="宋体"/>
          <w:bCs/>
          <w:color w:val="auto"/>
          <w:sz w:val="24"/>
          <w:szCs w:val="24"/>
          <w:highlight w:val="none"/>
          <w:u w:val="single"/>
        </w:rPr>
        <w:t>[项目编号]</w:t>
      </w:r>
      <w:bookmarkEnd w:id="514"/>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15" w:name="PO_3000001868_PM026_8"/>
      <w:r>
        <w:rPr>
          <w:rFonts w:hint="eastAsia" w:hAnsi="宋体" w:cs="宋体"/>
          <w:bCs/>
          <w:color w:val="auto"/>
          <w:sz w:val="24"/>
          <w:szCs w:val="24"/>
          <w:highlight w:val="none"/>
          <w:u w:val="single"/>
        </w:rPr>
        <w:t>[采购人]</w:t>
      </w:r>
      <w:bookmarkEnd w:id="515"/>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516" w:name="PO_3000001868_PM031_5"/>
      <w:r>
        <w:rPr>
          <w:rFonts w:hint="eastAsia" w:hAnsi="宋体" w:cs="宋体"/>
          <w:bCs/>
          <w:color w:val="auto"/>
          <w:sz w:val="24"/>
          <w:szCs w:val="24"/>
          <w:highlight w:val="none"/>
          <w:u w:val="single"/>
        </w:rPr>
        <w:t>[采购组织机构]</w:t>
      </w:r>
      <w:bookmarkEnd w:id="516"/>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946">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57D3">
                          <w:pPr>
                            <w:pStyle w:val="18"/>
                            <w:jc w:val="right"/>
                          </w:pPr>
                          <w:r>
                            <w:fldChar w:fldCharType="begin"/>
                          </w:r>
                          <w:r>
                            <w:instrText xml:space="preserve">PAGE   \* MERGEFORMAT</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EF57D3">
                    <w:pPr>
                      <w:pStyle w:val="18"/>
                      <w:jc w:val="right"/>
                    </w:pPr>
                    <w:r>
                      <w:fldChar w:fldCharType="begin"/>
                    </w:r>
                    <w:r>
                      <w:instrText xml:space="preserve">PAGE   \* MERGEFORMAT</w:instrText>
                    </w:r>
                    <w:r>
                      <w:fldChar w:fldCharType="separate"/>
                    </w:r>
                    <w:r>
                      <w:t>5</w:t>
                    </w:r>
                    <w:r>
                      <w:fldChar w:fldCharType="end"/>
                    </w:r>
                  </w:p>
                </w:txbxContent>
              </v:textbox>
            </v:shape>
          </w:pict>
        </mc:Fallback>
      </mc:AlternateContent>
    </w:r>
  </w:p>
  <w:p w14:paraId="55FCA117">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49EC">
    <w:pPr>
      <w:pStyle w:val="18"/>
    </w:pPr>
    <w:r>
      <w:fldChar w:fldCharType="begin"/>
    </w:r>
    <w:r>
      <w:instrText xml:space="preserve">PAGE   \* MERGEFORMAT</w:instrText>
    </w:r>
    <w:r>
      <w:fldChar w:fldCharType="separate"/>
    </w:r>
    <w:r>
      <w:t>150</w:t>
    </w:r>
    <w:r>
      <w:fldChar w:fldCharType="end"/>
    </w:r>
  </w:p>
  <w:p w14:paraId="3D8FF92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A13">
    <w:pPr>
      <w:pStyle w:val="11"/>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1E3398">
      <w:pPr>
        <w:pStyle w:val="22"/>
        <w:spacing w:line="240" w:lineRule="auto"/>
        <w:ind w:firstLine="0"/>
        <w:rPr>
          <w:rFonts w:hint="eastAsia"/>
          <w:kern w:val="2"/>
        </w:rPr>
      </w:pPr>
      <w:r>
        <w:rPr>
          <w:rStyle w:val="31"/>
        </w:rPr>
        <w:footnoteRef/>
      </w:r>
      <w:r>
        <w:rPr>
          <w:rFonts w:hint="eastAsia"/>
        </w:rPr>
        <w:t>如果在招标阶段，招标人在图纸中直接指定了取土场和弃土场位置，且作为投标人投标报价的依据，则招标人应在项目专用合同条款中对本项规定进行调整。</w:t>
      </w:r>
    </w:p>
  </w:footnote>
  <w:footnote w:id="1">
    <w:p w14:paraId="2A36C7DA">
      <w:pPr>
        <w:pStyle w:val="22"/>
        <w:ind w:firstLine="360"/>
        <w:rPr>
          <w:rFonts w:hint="eastAsia"/>
          <w:kern w:val="2"/>
        </w:rPr>
      </w:pPr>
      <w:r>
        <w:rPr>
          <w:rStyle w:val="31"/>
        </w:rPr>
        <w:footnoteRef/>
      </w:r>
      <w:r>
        <w:rPr>
          <w:rFonts w:hint="eastAsia"/>
        </w:rPr>
        <w:t>本条内容可修改为：“本担保自（生效日期）之日起生效，至</w:t>
      </w:r>
      <w:r>
        <w:rPr>
          <w:rFonts w:hint="eastAsia"/>
        </w:rPr>
        <w:tab/>
      </w:r>
      <w:r>
        <w:rPr>
          <w:rFonts w:hint="eastAsia"/>
        </w:rPr>
        <w:t>（失效日期）之日失效。”</w:t>
      </w:r>
    </w:p>
    <w:p w14:paraId="7FDD9DEC">
      <w:pPr>
        <w:pStyle w:val="22"/>
        <w:ind w:firstLine="360"/>
        <w:rPr>
          <w:rFonts w:hint="eastAsia"/>
        </w:rPr>
      </w:pP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w:t>
    </w:r>
    <w:r>
      <w:rPr>
        <w:rFonts w:hint="eastAsia"/>
        <w:lang w:eastAsia="zh-CN"/>
      </w:rPr>
      <w:t>FCZC2025-C2-210100-GXHT</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BD62"/>
    <w:multiLevelType w:val="singleLevel"/>
    <w:tmpl w:val="A0BBBD62"/>
    <w:lvl w:ilvl="0" w:tentative="0">
      <w:start w:val="1"/>
      <w:numFmt w:val="decimal"/>
      <w:suff w:val="nothing"/>
      <w:lvlText w:val="（%1）"/>
      <w:lvlJc w:val="left"/>
    </w:lvl>
  </w:abstractNum>
  <w:abstractNum w:abstractNumId="1">
    <w:nsid w:val="A1965E9C"/>
    <w:multiLevelType w:val="singleLevel"/>
    <w:tmpl w:val="A1965E9C"/>
    <w:lvl w:ilvl="0" w:tentative="0">
      <w:start w:val="1"/>
      <w:numFmt w:val="decimal"/>
      <w:suff w:val="nothing"/>
      <w:lvlText w:val="（%1）"/>
      <w:lvlJc w:val="left"/>
    </w:lvl>
  </w:abstractNum>
  <w:abstractNum w:abstractNumId="2">
    <w:nsid w:val="E2AD0F0F"/>
    <w:multiLevelType w:val="singleLevel"/>
    <w:tmpl w:val="E2AD0F0F"/>
    <w:lvl w:ilvl="0" w:tentative="0">
      <w:start w:val="12"/>
      <w:numFmt w:val="decimal"/>
      <w:suff w:val="nothing"/>
      <w:lvlText w:val="%1．"/>
      <w:lvlJc w:val="left"/>
    </w:lvl>
  </w:abstractNum>
  <w:abstractNum w:abstractNumId="3">
    <w:nsid w:val="EED7ECF8"/>
    <w:multiLevelType w:val="singleLevel"/>
    <w:tmpl w:val="EED7ECF8"/>
    <w:lvl w:ilvl="0" w:tentative="0">
      <w:start w:val="3"/>
      <w:numFmt w:val="chineseCounting"/>
      <w:suff w:val="space"/>
      <w:lvlText w:val="第%1节"/>
      <w:lvlJc w:val="left"/>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77157EF"/>
    <w:multiLevelType w:val="singleLevel"/>
    <w:tmpl w:val="177157EF"/>
    <w:lvl w:ilvl="0" w:tentative="0">
      <w:start w:val="3"/>
      <w:numFmt w:val="chineseCounting"/>
      <w:suff w:val="nothing"/>
      <w:lvlText w:val="%1、"/>
      <w:lvlJc w:val="left"/>
      <w:rPr>
        <w:rFonts w:hint="eastAsia"/>
      </w:rPr>
    </w:lvl>
  </w:abstractNum>
  <w:abstractNum w:abstractNumId="6">
    <w:nsid w:val="508D7A92"/>
    <w:multiLevelType w:val="singleLevel"/>
    <w:tmpl w:val="508D7A92"/>
    <w:lvl w:ilvl="0" w:tentative="0">
      <w:start w:val="1"/>
      <w:numFmt w:val="decimal"/>
      <w:suff w:val="nothing"/>
      <w:lvlText w:val="（%1）"/>
      <w:lvlJc w:val="left"/>
    </w:lvl>
  </w:abstractNum>
  <w:abstractNum w:abstractNumId="7">
    <w:nsid w:val="531434F1"/>
    <w:multiLevelType w:val="singleLevel"/>
    <w:tmpl w:val="531434F1"/>
    <w:lvl w:ilvl="0" w:tentative="0">
      <w:start w:val="1"/>
      <w:numFmt w:val="decimal"/>
      <w:suff w:val="nothing"/>
      <w:lvlText w:val="（%1）"/>
      <w:lvlJc w:val="left"/>
    </w:lvl>
  </w:abstractNum>
  <w:abstractNum w:abstractNumId="8">
    <w:nsid w:val="5B39FDE6"/>
    <w:multiLevelType w:val="singleLevel"/>
    <w:tmpl w:val="5B39FDE6"/>
    <w:lvl w:ilvl="0" w:tentative="0">
      <w:start w:val="1"/>
      <w:numFmt w:val="decimal"/>
      <w:suff w:val="nothing"/>
      <w:lvlText w:val="（%1）"/>
      <w:lvlJc w:val="left"/>
      <w:pPr>
        <w:ind w:left="0" w:firstLine="0"/>
      </w:pPr>
    </w:lvl>
  </w:abstractNum>
  <w:abstractNum w:abstractNumId="9">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9"/>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8"/>
    <w:lvlOverride w:ilvl="0">
      <w:startOverride w:val="1"/>
    </w:lvlOverride>
  </w:num>
  <w:num w:numId="7">
    <w:abstractNumId w:val="1"/>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FB241F"/>
    <w:rsid w:val="05F4078D"/>
    <w:rsid w:val="06A41694"/>
    <w:rsid w:val="07CA4C73"/>
    <w:rsid w:val="08783670"/>
    <w:rsid w:val="08910034"/>
    <w:rsid w:val="089D5EE4"/>
    <w:rsid w:val="09024057"/>
    <w:rsid w:val="099427CD"/>
    <w:rsid w:val="0BEC2D80"/>
    <w:rsid w:val="0C973ECB"/>
    <w:rsid w:val="0D1F511A"/>
    <w:rsid w:val="0DC05864"/>
    <w:rsid w:val="0DC07915"/>
    <w:rsid w:val="0EE643B4"/>
    <w:rsid w:val="0F764D32"/>
    <w:rsid w:val="11140D0D"/>
    <w:rsid w:val="11162CD7"/>
    <w:rsid w:val="112D117D"/>
    <w:rsid w:val="11543B08"/>
    <w:rsid w:val="131F22A7"/>
    <w:rsid w:val="14B542EB"/>
    <w:rsid w:val="14C65C60"/>
    <w:rsid w:val="16C2757B"/>
    <w:rsid w:val="18083A36"/>
    <w:rsid w:val="1811456D"/>
    <w:rsid w:val="18A701A3"/>
    <w:rsid w:val="1AEF0255"/>
    <w:rsid w:val="1DAD75B8"/>
    <w:rsid w:val="1DC37378"/>
    <w:rsid w:val="1E1F4DBD"/>
    <w:rsid w:val="1F1A4A57"/>
    <w:rsid w:val="1F212D50"/>
    <w:rsid w:val="2120569A"/>
    <w:rsid w:val="2139502F"/>
    <w:rsid w:val="22B569E9"/>
    <w:rsid w:val="239530E4"/>
    <w:rsid w:val="23CF3DE7"/>
    <w:rsid w:val="23E838BA"/>
    <w:rsid w:val="24C02C1C"/>
    <w:rsid w:val="259C7F06"/>
    <w:rsid w:val="27064F56"/>
    <w:rsid w:val="271C2272"/>
    <w:rsid w:val="2A2A6F25"/>
    <w:rsid w:val="2A6308E4"/>
    <w:rsid w:val="2B637489"/>
    <w:rsid w:val="2DD161DF"/>
    <w:rsid w:val="2F7B74D5"/>
    <w:rsid w:val="3179279B"/>
    <w:rsid w:val="31946B55"/>
    <w:rsid w:val="340547BA"/>
    <w:rsid w:val="346B4DFC"/>
    <w:rsid w:val="350D3D50"/>
    <w:rsid w:val="35AA4124"/>
    <w:rsid w:val="35D3093F"/>
    <w:rsid w:val="37015A22"/>
    <w:rsid w:val="379A790F"/>
    <w:rsid w:val="38757231"/>
    <w:rsid w:val="39333B77"/>
    <w:rsid w:val="39414E76"/>
    <w:rsid w:val="395028AA"/>
    <w:rsid w:val="3A7D30CD"/>
    <w:rsid w:val="3B4C7172"/>
    <w:rsid w:val="3CE65E70"/>
    <w:rsid w:val="3D3D401B"/>
    <w:rsid w:val="3EEF6155"/>
    <w:rsid w:val="3F0A4723"/>
    <w:rsid w:val="3FD20B5E"/>
    <w:rsid w:val="41310CE3"/>
    <w:rsid w:val="41D2177E"/>
    <w:rsid w:val="434D1256"/>
    <w:rsid w:val="436D5ED7"/>
    <w:rsid w:val="43804DDE"/>
    <w:rsid w:val="440A3726"/>
    <w:rsid w:val="45F97FFB"/>
    <w:rsid w:val="4614088C"/>
    <w:rsid w:val="47036501"/>
    <w:rsid w:val="470C7D34"/>
    <w:rsid w:val="473D0DA5"/>
    <w:rsid w:val="487041FF"/>
    <w:rsid w:val="488643E5"/>
    <w:rsid w:val="48E91EBC"/>
    <w:rsid w:val="493A429A"/>
    <w:rsid w:val="493F3E72"/>
    <w:rsid w:val="497C6E74"/>
    <w:rsid w:val="49E66D09"/>
    <w:rsid w:val="4A6F7BCC"/>
    <w:rsid w:val="4B1530DD"/>
    <w:rsid w:val="4B931AB6"/>
    <w:rsid w:val="4BE43E1D"/>
    <w:rsid w:val="4C0F2086"/>
    <w:rsid w:val="4C3374BB"/>
    <w:rsid w:val="4C925E54"/>
    <w:rsid w:val="4CB66890"/>
    <w:rsid w:val="4CE0771A"/>
    <w:rsid w:val="4D2B1E2E"/>
    <w:rsid w:val="4DB513F5"/>
    <w:rsid w:val="4DBA440F"/>
    <w:rsid w:val="4E0E32EC"/>
    <w:rsid w:val="4E6A1991"/>
    <w:rsid w:val="4E6F6C65"/>
    <w:rsid w:val="4FD55530"/>
    <w:rsid w:val="500A1A11"/>
    <w:rsid w:val="50125E3D"/>
    <w:rsid w:val="50D420F0"/>
    <w:rsid w:val="510A6F88"/>
    <w:rsid w:val="519F45AD"/>
    <w:rsid w:val="52285CE0"/>
    <w:rsid w:val="52CA68C2"/>
    <w:rsid w:val="52CD68BD"/>
    <w:rsid w:val="546227DC"/>
    <w:rsid w:val="54F26A43"/>
    <w:rsid w:val="566E6C91"/>
    <w:rsid w:val="56D57BC4"/>
    <w:rsid w:val="57600F2A"/>
    <w:rsid w:val="5829145C"/>
    <w:rsid w:val="582A3264"/>
    <w:rsid w:val="5855720E"/>
    <w:rsid w:val="58814E71"/>
    <w:rsid w:val="58E40592"/>
    <w:rsid w:val="58F86F27"/>
    <w:rsid w:val="5B0171D9"/>
    <w:rsid w:val="5B3C46B5"/>
    <w:rsid w:val="5C1B4AA7"/>
    <w:rsid w:val="5C5B1863"/>
    <w:rsid w:val="5D34405E"/>
    <w:rsid w:val="5EDC1325"/>
    <w:rsid w:val="5F5E109E"/>
    <w:rsid w:val="5FA40A7B"/>
    <w:rsid w:val="60492303"/>
    <w:rsid w:val="61B01959"/>
    <w:rsid w:val="61BF6C65"/>
    <w:rsid w:val="6300246C"/>
    <w:rsid w:val="634F3056"/>
    <w:rsid w:val="64073002"/>
    <w:rsid w:val="64485466"/>
    <w:rsid w:val="64CE0732"/>
    <w:rsid w:val="654D349C"/>
    <w:rsid w:val="65622F6B"/>
    <w:rsid w:val="666A1688"/>
    <w:rsid w:val="66A20783"/>
    <w:rsid w:val="66F94245"/>
    <w:rsid w:val="672229B1"/>
    <w:rsid w:val="67D768A8"/>
    <w:rsid w:val="68481CB4"/>
    <w:rsid w:val="684D788C"/>
    <w:rsid w:val="69643755"/>
    <w:rsid w:val="69E76134"/>
    <w:rsid w:val="6A3505E0"/>
    <w:rsid w:val="6C5664BB"/>
    <w:rsid w:val="6D5F0968"/>
    <w:rsid w:val="6D90547A"/>
    <w:rsid w:val="6EE73126"/>
    <w:rsid w:val="71DF335D"/>
    <w:rsid w:val="72590521"/>
    <w:rsid w:val="737F2F3A"/>
    <w:rsid w:val="73C92407"/>
    <w:rsid w:val="740F250F"/>
    <w:rsid w:val="75930F1E"/>
    <w:rsid w:val="75F210A5"/>
    <w:rsid w:val="779A3713"/>
    <w:rsid w:val="77F74806"/>
    <w:rsid w:val="788C05D2"/>
    <w:rsid w:val="788D26EB"/>
    <w:rsid w:val="7895331B"/>
    <w:rsid w:val="794C1B10"/>
    <w:rsid w:val="79D44CC5"/>
    <w:rsid w:val="7A7F5410"/>
    <w:rsid w:val="7C464F3C"/>
    <w:rsid w:val="7C8342AF"/>
    <w:rsid w:val="7CF00243"/>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2"/>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autoRedefine/>
    <w:unhideWhenUsed/>
    <w:qFormat/>
    <w:uiPriority w:val="99"/>
    <w:rPr>
      <w:color w:val="0000FF"/>
      <w:u w:val="single"/>
    </w:rPr>
  </w:style>
  <w:style w:type="character" w:styleId="30">
    <w:name w:val="annotation reference"/>
    <w:basedOn w:val="28"/>
    <w:autoRedefine/>
    <w:qFormat/>
    <w:uiPriority w:val="99"/>
    <w:rPr>
      <w:sz w:val="21"/>
      <w:szCs w:val="21"/>
    </w:rPr>
  </w:style>
  <w:style w:type="character" w:styleId="31">
    <w:name w:val="footnote reference"/>
    <w:autoRedefine/>
    <w:unhideWhenUsed/>
    <w:qFormat/>
    <w:uiPriority w:val="0"/>
    <w:rPr>
      <w:vertAlign w:val="superscript"/>
    </w:rPr>
  </w:style>
  <w:style w:type="paragraph" w:customStyle="1" w:styleId="32">
    <w:name w:val="Title1"/>
    <w:basedOn w:val="1"/>
    <w:next w:val="1"/>
    <w:autoRedefine/>
    <w:qFormat/>
    <w:uiPriority w:val="0"/>
    <w:pPr>
      <w:jc w:val="center"/>
      <w:outlineLvl w:val="0"/>
    </w:pPr>
    <w:rPr>
      <w:rFonts w:ascii="Calibri Light" w:hAnsi="Calibri Light" w:eastAsia="Arial Unicode MS"/>
      <w:b/>
    </w:rPr>
  </w:style>
  <w:style w:type="paragraph" w:customStyle="1" w:styleId="33">
    <w:name w:val="表格文字115"/>
    <w:basedOn w:val="1"/>
    <w:autoRedefine/>
    <w:qFormat/>
    <w:uiPriority w:val="0"/>
    <w:pPr>
      <w:spacing w:before="25" w:after="25"/>
      <w:jc w:val="left"/>
    </w:pPr>
    <w:rPr>
      <w:bCs/>
      <w:spacing w:val="10"/>
      <w:kern w:val="0"/>
      <w:sz w:val="24"/>
    </w:rPr>
  </w:style>
  <w:style w:type="paragraph" w:customStyle="1" w:styleId="34">
    <w:name w:val="正文-公1"/>
    <w:basedOn w:val="1"/>
    <w:autoRedefine/>
    <w:qFormat/>
    <w:uiPriority w:val="0"/>
    <w:pPr>
      <w:ind w:firstLine="200" w:firstLineChars="200"/>
      <w:jc w:val="left"/>
    </w:pPr>
    <w:rPr>
      <w:rFonts w:eastAsia="仿宋_GB2312"/>
    </w:rPr>
  </w:style>
  <w:style w:type="paragraph" w:customStyle="1" w:styleId="35">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6">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7">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8">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9">
    <w:name w:val="Table Paragraph"/>
    <w:basedOn w:val="1"/>
    <w:autoRedefine/>
    <w:qFormat/>
    <w:uiPriority w:val="1"/>
    <w:pPr>
      <w:jc w:val="left"/>
    </w:pPr>
    <w:rPr>
      <w:rFonts w:ascii="Calibri" w:hAnsi="Calibri"/>
      <w:kern w:val="0"/>
      <w:sz w:val="22"/>
      <w:szCs w:val="22"/>
      <w:lang w:eastAsia="en-US"/>
    </w:rPr>
  </w:style>
  <w:style w:type="character" w:customStyle="1" w:styleId="40">
    <w:name w:val="font91"/>
    <w:basedOn w:val="28"/>
    <w:autoRedefine/>
    <w:qFormat/>
    <w:uiPriority w:val="0"/>
    <w:rPr>
      <w:rFonts w:hint="eastAsia" w:ascii="黑体" w:hAnsi="宋体" w:eastAsia="黑体" w:cs="黑体"/>
      <w:color w:val="000000"/>
      <w:sz w:val="21"/>
      <w:szCs w:val="21"/>
      <w:u w:val="none"/>
    </w:rPr>
  </w:style>
  <w:style w:type="character" w:customStyle="1" w:styleId="41">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2">
    <w:name w:val="批注框文本 字符"/>
    <w:basedOn w:val="28"/>
    <w:link w:val="17"/>
    <w:autoRedefine/>
    <w:qFormat/>
    <w:uiPriority w:val="0"/>
    <w:rPr>
      <w:kern w:val="2"/>
      <w:sz w:val="18"/>
      <w:szCs w:val="18"/>
    </w:rPr>
  </w:style>
  <w:style w:type="paragraph" w:customStyle="1" w:styleId="43">
    <w:name w:val="首行缩进"/>
    <w:basedOn w:val="1"/>
    <w:autoRedefine/>
    <w:qFormat/>
    <w:uiPriority w:val="99"/>
    <w:pPr>
      <w:ind w:firstLine="480" w:firstLineChars="200"/>
    </w:pPr>
    <w:rPr>
      <w:lang w:val="zh-CN"/>
    </w:rPr>
  </w:style>
  <w:style w:type="paragraph" w:customStyle="1" w:styleId="44">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5">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6">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7">
    <w:name w:val="fontstyle01"/>
    <w:basedOn w:val="28"/>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157</Pages>
  <Words>5931</Words>
  <Characters>6992</Characters>
  <Lines>6178</Lines>
  <Paragraphs>2622</Paragraphs>
  <TotalTime>14</TotalTime>
  <ScaleCrop>false</ScaleCrop>
  <LinksUpToDate>false</LinksUpToDate>
  <CharactersWithSpaces>7088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2023-06-13T17:54:00Z</dcterms:created>
  <dc:creator>Max</dc:creator>
  <cp:lastModifiedBy>翔燕</cp:lastModifiedBy>
  <cp:lastPrinted>2024-01-03T08:56:00Z</cp:lastPrinted>
  <dcterms:modified xsi:type="dcterms:W3CDTF">2025-09-30T03:26:16Z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5CA9615C026D4F4AAF4F9BA0A2B9DF0A_13</vt:lpwstr>
  </property>
  <property fmtid="{D5CDD505-2E9C-101B-9397-08002B2CF9AE}" pid="4" name="KSOTemplateDocerSaveRecord">
    <vt:lpwstr>eyJoZGlkIjoiYWYyNmVkMWFkNDVmM2QxNzc3YmI4OWMzYzY0M2UzZWUiLCJ1c2VySWQiOiI3MzA1OTU2MDgifQ==</vt:lpwstr>
  </property>
</Properties>
</file>