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4C4A530">
      <w:pPr>
        <w:pStyle w:val="19"/>
        <w:kinsoku w:val="0"/>
        <w:overflowPunct w:val="0"/>
        <w:rPr>
          <w:color w:val="auto"/>
          <w:highlight w:val="none"/>
        </w:rPr>
      </w:pPr>
      <w:bookmarkStart w:id="0" w:name="_Toc183682338"/>
      <w:bookmarkStart w:id="1" w:name="_Toc217446030"/>
    </w:p>
    <w:p w14:paraId="2468DE43">
      <w:pPr>
        <w:tabs>
          <w:tab w:val="left" w:pos="1710"/>
        </w:tabs>
        <w:rPr>
          <w:color w:val="auto"/>
          <w:highlight w:val="none"/>
        </w:rPr>
      </w:pPr>
    </w:p>
    <w:p w14:paraId="1152888C">
      <w:pPr>
        <w:tabs>
          <w:tab w:val="left" w:pos="1710"/>
        </w:tabs>
        <w:rPr>
          <w:color w:val="auto"/>
          <w:highlight w:val="none"/>
        </w:rPr>
      </w:pPr>
    </w:p>
    <w:p w14:paraId="195766AA">
      <w:pPr>
        <w:tabs>
          <w:tab w:val="left" w:pos="1710"/>
        </w:tabs>
        <w:rPr>
          <w:color w:val="auto"/>
          <w:highlight w:val="none"/>
        </w:rPr>
      </w:pPr>
    </w:p>
    <w:p w14:paraId="71060A12">
      <w:pPr>
        <w:tabs>
          <w:tab w:val="left" w:pos="1710"/>
        </w:tabs>
        <w:rPr>
          <w:color w:val="auto"/>
          <w:highlight w:val="none"/>
        </w:rPr>
      </w:pPr>
    </w:p>
    <w:p w14:paraId="7C191B1D">
      <w:pPr>
        <w:tabs>
          <w:tab w:val="left" w:pos="1710"/>
        </w:tabs>
        <w:rPr>
          <w:color w:val="auto"/>
          <w:highlight w:val="none"/>
        </w:rPr>
      </w:pP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4"/>
        <w:gridCol w:w="5433"/>
      </w:tblGrid>
      <w:tr w14:paraId="6830C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jc w:val="center"/>
        </w:trPr>
        <w:tc>
          <w:tcPr>
            <w:tcW w:w="7197" w:type="dxa"/>
            <w:gridSpan w:val="2"/>
            <w:tcBorders>
              <w:top w:val="nil"/>
              <w:left w:val="nil"/>
              <w:right w:val="nil"/>
            </w:tcBorders>
            <w:noWrap w:val="0"/>
            <w:vAlign w:val="top"/>
          </w:tcPr>
          <w:p w14:paraId="21195DB0">
            <w:pPr>
              <w:snapToGrid w:val="0"/>
              <w:spacing w:line="240" w:lineRule="atLeast"/>
              <w:jc w:val="center"/>
              <w:rPr>
                <w:b/>
                <w:color w:val="auto"/>
                <w:sz w:val="60"/>
                <w:szCs w:val="60"/>
                <w:highlight w:val="none"/>
              </w:rPr>
            </w:pPr>
            <w:r>
              <w:rPr>
                <w:rFonts w:hint="eastAsia"/>
                <w:b/>
                <w:color w:val="auto"/>
                <w:sz w:val="60"/>
                <w:szCs w:val="60"/>
                <w:highlight w:val="none"/>
              </w:rPr>
              <w:t>采购文件</w:t>
            </w:r>
          </w:p>
        </w:tc>
      </w:tr>
      <w:tr w14:paraId="23616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764" w:type="dxa"/>
            <w:noWrap w:val="0"/>
            <w:vAlign w:val="center"/>
          </w:tcPr>
          <w:p w14:paraId="455B0494">
            <w:pPr>
              <w:rPr>
                <w:b/>
                <w:color w:val="auto"/>
                <w:sz w:val="32"/>
                <w:szCs w:val="32"/>
                <w:highlight w:val="none"/>
              </w:rPr>
            </w:pPr>
            <w:r>
              <w:rPr>
                <w:b/>
                <w:color w:val="auto"/>
                <w:sz w:val="32"/>
                <w:szCs w:val="32"/>
                <w:highlight w:val="none"/>
              </w:rPr>
              <w:t>项目名称：</w:t>
            </w:r>
          </w:p>
        </w:tc>
        <w:tc>
          <w:tcPr>
            <w:tcW w:w="5433" w:type="dxa"/>
            <w:noWrap w:val="0"/>
            <w:vAlign w:val="center"/>
          </w:tcPr>
          <w:p w14:paraId="5484E9C3">
            <w:pPr>
              <w:rPr>
                <w:b/>
                <w:color w:val="auto"/>
                <w:sz w:val="32"/>
                <w:szCs w:val="32"/>
                <w:highlight w:val="none"/>
              </w:rPr>
            </w:pPr>
            <w:r>
              <w:rPr>
                <w:rFonts w:hint="eastAsia"/>
                <w:b/>
                <w:color w:val="auto"/>
                <w:sz w:val="32"/>
                <w:szCs w:val="32"/>
                <w:highlight w:val="none"/>
              </w:rPr>
              <w:t>崇左市疾病预防控制中心2025年第一批实验室设备采购</w:t>
            </w:r>
          </w:p>
        </w:tc>
      </w:tr>
      <w:tr w14:paraId="6AC1B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764" w:type="dxa"/>
            <w:noWrap w:val="0"/>
            <w:vAlign w:val="center"/>
          </w:tcPr>
          <w:p w14:paraId="6D131C92">
            <w:pPr>
              <w:rPr>
                <w:b/>
                <w:color w:val="auto"/>
                <w:sz w:val="32"/>
                <w:szCs w:val="32"/>
                <w:highlight w:val="none"/>
              </w:rPr>
            </w:pPr>
            <w:r>
              <w:rPr>
                <w:b/>
                <w:color w:val="auto"/>
                <w:sz w:val="32"/>
                <w:szCs w:val="32"/>
                <w:highlight w:val="none"/>
              </w:rPr>
              <w:t>项目编号：</w:t>
            </w:r>
          </w:p>
        </w:tc>
        <w:tc>
          <w:tcPr>
            <w:tcW w:w="5433" w:type="dxa"/>
            <w:noWrap w:val="0"/>
            <w:vAlign w:val="center"/>
          </w:tcPr>
          <w:p w14:paraId="51D0788A">
            <w:pPr>
              <w:rPr>
                <w:rFonts w:hint="eastAsia" w:eastAsia="宋体"/>
                <w:b/>
                <w:color w:val="auto"/>
                <w:sz w:val="32"/>
                <w:szCs w:val="32"/>
                <w:highlight w:val="none"/>
                <w:lang w:eastAsia="zh-CN"/>
              </w:rPr>
            </w:pPr>
            <w:r>
              <w:rPr>
                <w:rFonts w:hint="eastAsia"/>
                <w:b/>
                <w:color w:val="auto"/>
                <w:sz w:val="32"/>
                <w:szCs w:val="32"/>
                <w:highlight w:val="none"/>
                <w:lang w:val="en-US" w:eastAsia="zh-CN"/>
              </w:rPr>
              <w:t>CZZC2025-J1-990229-JDZB</w:t>
            </w:r>
          </w:p>
        </w:tc>
      </w:tr>
      <w:tr w14:paraId="67EDC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764" w:type="dxa"/>
            <w:noWrap w:val="0"/>
            <w:vAlign w:val="center"/>
          </w:tcPr>
          <w:p w14:paraId="75130810">
            <w:pPr>
              <w:rPr>
                <w:b/>
                <w:color w:val="auto"/>
                <w:sz w:val="32"/>
                <w:szCs w:val="32"/>
                <w:highlight w:val="none"/>
              </w:rPr>
            </w:pPr>
            <w:r>
              <w:rPr>
                <w:b/>
                <w:color w:val="auto"/>
                <w:sz w:val="32"/>
                <w:szCs w:val="32"/>
                <w:highlight w:val="none"/>
              </w:rPr>
              <w:t>联系电话：</w:t>
            </w:r>
          </w:p>
        </w:tc>
        <w:tc>
          <w:tcPr>
            <w:tcW w:w="5433" w:type="dxa"/>
            <w:noWrap w:val="0"/>
            <w:vAlign w:val="center"/>
          </w:tcPr>
          <w:p w14:paraId="0069BC16">
            <w:pPr>
              <w:rPr>
                <w:rFonts w:hint="default" w:eastAsia="宋体"/>
                <w:b/>
                <w:color w:val="auto"/>
                <w:sz w:val="32"/>
                <w:szCs w:val="32"/>
                <w:highlight w:val="none"/>
                <w:lang w:val="en-US" w:eastAsia="zh-CN"/>
              </w:rPr>
            </w:pPr>
            <w:r>
              <w:rPr>
                <w:b/>
                <w:color w:val="auto"/>
                <w:sz w:val="32"/>
                <w:szCs w:val="32"/>
                <w:highlight w:val="none"/>
              </w:rPr>
              <w:t>0771-28089</w:t>
            </w:r>
            <w:r>
              <w:rPr>
                <w:rFonts w:hint="eastAsia"/>
                <w:b/>
                <w:color w:val="auto"/>
                <w:sz w:val="32"/>
                <w:szCs w:val="32"/>
                <w:highlight w:val="none"/>
                <w:lang w:val="en-US" w:eastAsia="zh-CN"/>
              </w:rPr>
              <w:t>81</w:t>
            </w:r>
          </w:p>
        </w:tc>
      </w:tr>
      <w:tr w14:paraId="69858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764" w:type="dxa"/>
            <w:noWrap w:val="0"/>
            <w:vAlign w:val="center"/>
          </w:tcPr>
          <w:p w14:paraId="59A795F8">
            <w:pPr>
              <w:rPr>
                <w:b/>
                <w:color w:val="auto"/>
                <w:sz w:val="32"/>
                <w:szCs w:val="32"/>
                <w:highlight w:val="none"/>
              </w:rPr>
            </w:pPr>
            <w:r>
              <w:rPr>
                <w:rFonts w:hint="eastAsia"/>
                <w:b/>
                <w:color w:val="auto"/>
                <w:sz w:val="32"/>
                <w:szCs w:val="32"/>
                <w:highlight w:val="none"/>
              </w:rPr>
              <w:t>采购方式</w:t>
            </w:r>
          </w:p>
        </w:tc>
        <w:tc>
          <w:tcPr>
            <w:tcW w:w="5433" w:type="dxa"/>
            <w:noWrap w:val="0"/>
            <w:vAlign w:val="center"/>
          </w:tcPr>
          <w:p w14:paraId="281EA48F">
            <w:pPr>
              <w:rPr>
                <w:rFonts w:hint="eastAsia"/>
                <w:b/>
                <w:color w:val="auto"/>
                <w:sz w:val="32"/>
                <w:szCs w:val="32"/>
                <w:highlight w:val="none"/>
              </w:rPr>
            </w:pPr>
            <w:r>
              <w:rPr>
                <w:rFonts w:hint="eastAsia"/>
                <w:b/>
                <w:color w:val="auto"/>
                <w:sz w:val="32"/>
                <w:szCs w:val="32"/>
                <w:highlight w:val="none"/>
              </w:rPr>
              <w:t>竞争性谈判</w:t>
            </w:r>
          </w:p>
        </w:tc>
      </w:tr>
    </w:tbl>
    <w:p w14:paraId="6EF54B10">
      <w:pPr>
        <w:tabs>
          <w:tab w:val="left" w:pos="1710"/>
        </w:tabs>
        <w:rPr>
          <w:color w:val="auto"/>
          <w:highlight w:val="none"/>
        </w:rPr>
      </w:pPr>
    </w:p>
    <w:p w14:paraId="2666ABE6">
      <w:pPr>
        <w:rPr>
          <w:color w:val="auto"/>
          <w:highlight w:val="none"/>
        </w:rPr>
      </w:pPr>
    </w:p>
    <w:p w14:paraId="4947881A">
      <w:pPr>
        <w:rPr>
          <w:color w:val="auto"/>
          <w:highlight w:val="none"/>
        </w:rPr>
      </w:pPr>
    </w:p>
    <w:p w14:paraId="6D25914D">
      <w:pPr>
        <w:rPr>
          <w:color w:val="auto"/>
          <w:highlight w:val="none"/>
        </w:rPr>
      </w:pPr>
    </w:p>
    <w:p w14:paraId="3121BEBA">
      <w:pPr>
        <w:rPr>
          <w:color w:val="auto"/>
          <w:highlight w:val="none"/>
        </w:rPr>
      </w:pPr>
    </w:p>
    <w:p w14:paraId="1F93775C">
      <w:pPr>
        <w:rPr>
          <w:color w:val="auto"/>
          <w:highlight w:val="none"/>
        </w:rPr>
      </w:pPr>
    </w:p>
    <w:p w14:paraId="68BC6645">
      <w:pPr>
        <w:rPr>
          <w:color w:val="auto"/>
          <w:highlight w:val="none"/>
        </w:rPr>
      </w:pPr>
    </w:p>
    <w:p w14:paraId="26965985">
      <w:pPr>
        <w:rPr>
          <w:color w:val="auto"/>
          <w:highlight w:val="none"/>
        </w:rPr>
      </w:pPr>
    </w:p>
    <w:p w14:paraId="3F62E3C7">
      <w:pPr>
        <w:rPr>
          <w:color w:val="auto"/>
          <w:highlight w:val="none"/>
        </w:rPr>
      </w:pPr>
    </w:p>
    <w:p w14:paraId="541F1F6C">
      <w:pPr>
        <w:rPr>
          <w:color w:val="auto"/>
          <w:highlight w:val="none"/>
        </w:rPr>
      </w:pPr>
    </w:p>
    <w:p w14:paraId="6E036CDB">
      <w:pPr>
        <w:rPr>
          <w:color w:val="auto"/>
          <w:highlight w:val="none"/>
        </w:rPr>
      </w:pPr>
    </w:p>
    <w:p w14:paraId="0F996A60">
      <w:pPr>
        <w:rPr>
          <w:color w:val="auto"/>
          <w:highlight w:val="none"/>
        </w:rPr>
      </w:pPr>
    </w:p>
    <w:p w14:paraId="3679AC91">
      <w:pPr>
        <w:rPr>
          <w:color w:val="auto"/>
          <w:highlight w:val="none"/>
        </w:rPr>
      </w:pPr>
    </w:p>
    <w:p w14:paraId="446D4C81">
      <w:pPr>
        <w:rPr>
          <w:color w:val="auto"/>
          <w:highlight w:val="none"/>
        </w:rPr>
      </w:pPr>
    </w:p>
    <w:p w14:paraId="415C8DEC">
      <w:pPr>
        <w:rPr>
          <w:color w:val="auto"/>
          <w:highlight w:val="none"/>
        </w:rPr>
      </w:pPr>
    </w:p>
    <w:tbl>
      <w:tblPr>
        <w:tblStyle w:val="51"/>
        <w:tblW w:w="0" w:type="auto"/>
        <w:jc w:val="center"/>
        <w:tblLayout w:type="fixed"/>
        <w:tblCellMar>
          <w:top w:w="0" w:type="dxa"/>
          <w:left w:w="108" w:type="dxa"/>
          <w:bottom w:w="0" w:type="dxa"/>
          <w:right w:w="108" w:type="dxa"/>
        </w:tblCellMar>
      </w:tblPr>
      <w:tblGrid>
        <w:gridCol w:w="2707"/>
        <w:gridCol w:w="6"/>
        <w:gridCol w:w="5571"/>
      </w:tblGrid>
      <w:tr w14:paraId="7E4D5761">
        <w:tblPrEx>
          <w:tblCellMar>
            <w:top w:w="0" w:type="dxa"/>
            <w:left w:w="108" w:type="dxa"/>
            <w:bottom w:w="0" w:type="dxa"/>
            <w:right w:w="108" w:type="dxa"/>
          </w:tblCellMar>
        </w:tblPrEx>
        <w:trPr>
          <w:trHeight w:val="703" w:hRule="atLeast"/>
          <w:jc w:val="center"/>
        </w:trPr>
        <w:tc>
          <w:tcPr>
            <w:tcW w:w="2707" w:type="dxa"/>
            <w:noWrap w:val="0"/>
            <w:vAlign w:val="center"/>
          </w:tcPr>
          <w:p w14:paraId="153E999B">
            <w:pPr>
              <w:autoSpaceDE w:val="0"/>
              <w:autoSpaceDN w:val="0"/>
              <w:adjustRightInd w:val="0"/>
              <w:jc w:val="right"/>
              <w:rPr>
                <w:b/>
                <w:color w:val="auto"/>
                <w:sz w:val="32"/>
                <w:szCs w:val="32"/>
                <w:highlight w:val="none"/>
              </w:rPr>
            </w:pPr>
            <w:r>
              <w:rPr>
                <w:b/>
                <w:color w:val="auto"/>
                <w:sz w:val="32"/>
                <w:szCs w:val="32"/>
                <w:highlight w:val="none"/>
              </w:rPr>
              <w:t xml:space="preserve">  采购人：</w:t>
            </w:r>
          </w:p>
        </w:tc>
        <w:tc>
          <w:tcPr>
            <w:tcW w:w="5577" w:type="dxa"/>
            <w:gridSpan w:val="2"/>
            <w:noWrap w:val="0"/>
            <w:vAlign w:val="center"/>
          </w:tcPr>
          <w:p w14:paraId="0207F769">
            <w:pPr>
              <w:autoSpaceDE w:val="0"/>
              <w:autoSpaceDN w:val="0"/>
              <w:adjustRightInd w:val="0"/>
              <w:jc w:val="left"/>
              <w:rPr>
                <w:b/>
                <w:color w:val="auto"/>
                <w:sz w:val="32"/>
                <w:szCs w:val="32"/>
                <w:highlight w:val="none"/>
              </w:rPr>
            </w:pPr>
            <w:r>
              <w:rPr>
                <w:rFonts w:hint="eastAsia"/>
                <w:b/>
                <w:color w:val="auto"/>
                <w:sz w:val="32"/>
                <w:szCs w:val="32"/>
                <w:highlight w:val="none"/>
              </w:rPr>
              <w:t>崇左市疾病预防控制中心</w:t>
            </w:r>
          </w:p>
        </w:tc>
      </w:tr>
      <w:tr w14:paraId="17EE497B">
        <w:tblPrEx>
          <w:tblCellMar>
            <w:top w:w="0" w:type="dxa"/>
            <w:left w:w="108" w:type="dxa"/>
            <w:bottom w:w="0" w:type="dxa"/>
            <w:right w:w="108" w:type="dxa"/>
          </w:tblCellMar>
        </w:tblPrEx>
        <w:trPr>
          <w:trHeight w:val="703" w:hRule="atLeast"/>
          <w:jc w:val="center"/>
        </w:trPr>
        <w:tc>
          <w:tcPr>
            <w:tcW w:w="2713" w:type="dxa"/>
            <w:gridSpan w:val="2"/>
            <w:noWrap w:val="0"/>
            <w:vAlign w:val="top"/>
          </w:tcPr>
          <w:p w14:paraId="14887BD3">
            <w:pPr>
              <w:autoSpaceDE w:val="0"/>
              <w:autoSpaceDN w:val="0"/>
              <w:adjustRightInd w:val="0"/>
              <w:jc w:val="right"/>
              <w:rPr>
                <w:b/>
                <w:color w:val="auto"/>
                <w:sz w:val="32"/>
                <w:szCs w:val="32"/>
                <w:highlight w:val="none"/>
              </w:rPr>
            </w:pPr>
            <w:r>
              <w:rPr>
                <w:b/>
                <w:color w:val="auto"/>
                <w:sz w:val="32"/>
                <w:szCs w:val="32"/>
                <w:highlight w:val="none"/>
              </w:rPr>
              <w:t>采购代理机构：</w:t>
            </w:r>
          </w:p>
        </w:tc>
        <w:tc>
          <w:tcPr>
            <w:tcW w:w="5571" w:type="dxa"/>
            <w:noWrap w:val="0"/>
            <w:vAlign w:val="top"/>
          </w:tcPr>
          <w:p w14:paraId="33ACB7B8">
            <w:pPr>
              <w:autoSpaceDE w:val="0"/>
              <w:autoSpaceDN w:val="0"/>
              <w:adjustRightInd w:val="0"/>
              <w:rPr>
                <w:b/>
                <w:color w:val="auto"/>
                <w:sz w:val="32"/>
                <w:szCs w:val="32"/>
                <w:highlight w:val="none"/>
                <w:u w:val="single"/>
              </w:rPr>
            </w:pPr>
            <w:r>
              <w:rPr>
                <w:b/>
                <w:color w:val="auto"/>
                <w:sz w:val="32"/>
                <w:szCs w:val="32"/>
                <w:highlight w:val="none"/>
              </w:rPr>
              <w:t>广西机电设备招标有限公司</w:t>
            </w:r>
          </w:p>
        </w:tc>
      </w:tr>
    </w:tbl>
    <w:p w14:paraId="58175A84">
      <w:pPr>
        <w:rPr>
          <w:color w:val="auto"/>
          <w:highlight w:val="none"/>
        </w:rPr>
      </w:pPr>
    </w:p>
    <w:p w14:paraId="786B59DF">
      <w:pPr>
        <w:ind w:firstLine="321" w:firstLineChars="100"/>
        <w:jc w:val="center"/>
        <w:rPr>
          <w:b/>
          <w:color w:val="auto"/>
          <w:sz w:val="32"/>
          <w:szCs w:val="32"/>
          <w:highlight w:val="none"/>
        </w:rPr>
        <w:sectPr>
          <w:headerReference r:id="rId3" w:type="first"/>
          <w:footerReference r:id="rId4" w:type="default"/>
          <w:pgSz w:w="11906" w:h="16838"/>
          <w:pgMar w:top="1418" w:right="1418" w:bottom="1246" w:left="1418" w:header="851" w:footer="992" w:gutter="0"/>
          <w:pgNumType w:start="1"/>
          <w:cols w:space="720" w:num="1"/>
          <w:titlePg/>
          <w:docGrid w:linePitch="312" w:charSpace="0"/>
        </w:sectPr>
      </w:pPr>
      <w:r>
        <w:rPr>
          <w:b/>
          <w:color w:val="auto"/>
          <w:sz w:val="32"/>
          <w:szCs w:val="32"/>
          <w:highlight w:val="none"/>
        </w:rPr>
        <w:t>2025年</w:t>
      </w:r>
      <w:r>
        <w:rPr>
          <w:rFonts w:hint="eastAsia"/>
          <w:b/>
          <w:color w:val="auto"/>
          <w:sz w:val="32"/>
          <w:szCs w:val="32"/>
          <w:highlight w:val="none"/>
          <w:lang w:val="en-US" w:eastAsia="zh-CN"/>
        </w:rPr>
        <w:t>11</w:t>
      </w:r>
      <w:r>
        <w:rPr>
          <w:b/>
          <w:color w:val="auto"/>
          <w:sz w:val="32"/>
          <w:szCs w:val="32"/>
          <w:highlight w:val="none"/>
        </w:rPr>
        <w:t>月</w:t>
      </w:r>
    </w:p>
    <w:p w14:paraId="495F8868">
      <w:pPr>
        <w:pStyle w:val="26"/>
        <w:snapToGrid w:val="0"/>
        <w:spacing w:before="120" w:after="120" w:line="320" w:lineRule="exact"/>
        <w:jc w:val="center"/>
        <w:outlineLvl w:val="9"/>
        <w:rPr>
          <w:rFonts w:hint="eastAsia" w:ascii="Times New Roman" w:hAnsi="Times New Roman" w:cs="Times New Roman"/>
          <w:color w:val="auto"/>
          <w:sz w:val="32"/>
          <w:szCs w:val="32"/>
          <w:highlight w:val="none"/>
        </w:rPr>
      </w:pPr>
      <w:bookmarkStart w:id="2" w:name="_Toc485803390"/>
      <w:bookmarkStart w:id="3" w:name="_Toc164874505"/>
      <w:bookmarkStart w:id="4" w:name="_Toc489863683"/>
    </w:p>
    <w:p w14:paraId="4FBAF4E9">
      <w:pPr>
        <w:pStyle w:val="26"/>
        <w:snapToGrid w:val="0"/>
        <w:spacing w:before="120" w:after="120" w:line="320" w:lineRule="exact"/>
        <w:jc w:val="center"/>
        <w:outlineLvl w:val="0"/>
        <w:rPr>
          <w:rFonts w:ascii="Times New Roman" w:hAnsi="Times New Roman" w:cs="Times New Roman"/>
          <w:color w:val="auto"/>
          <w:sz w:val="32"/>
          <w:szCs w:val="32"/>
          <w:highlight w:val="none"/>
        </w:rPr>
      </w:pPr>
      <w:r>
        <w:rPr>
          <w:rFonts w:ascii="Times New Roman" w:hAnsi="Times New Roman" w:cs="Times New Roman"/>
          <w:color w:val="auto"/>
          <w:sz w:val="32"/>
          <w:szCs w:val="32"/>
          <w:highlight w:val="none"/>
        </w:rPr>
        <w:t>目    录</w:t>
      </w:r>
      <w:bookmarkEnd w:id="2"/>
      <w:bookmarkEnd w:id="3"/>
      <w:bookmarkEnd w:id="4"/>
    </w:p>
    <w:p w14:paraId="1174B4C3">
      <w:pPr>
        <w:pStyle w:val="33"/>
        <w:ind w:firstLine="241"/>
        <w:rPr>
          <w:rFonts w:ascii="Calibri" w:hAnsi="Calibri"/>
          <w:b w:val="0"/>
          <w:bCs w:val="0"/>
          <w:caps w:val="0"/>
          <w:color w:val="auto"/>
          <w:sz w:val="21"/>
          <w:szCs w:val="22"/>
          <w:highlight w:val="none"/>
          <w:lang w:val="en-US" w:eastAsia="zh-CN"/>
        </w:rPr>
      </w:pPr>
      <w:r>
        <w:rPr>
          <w:rFonts w:ascii="Times New Roman" w:hAnsi="Times New Roman"/>
          <w:color w:val="auto"/>
          <w:highlight w:val="none"/>
        </w:rPr>
        <w:fldChar w:fldCharType="begin"/>
      </w:r>
      <w:r>
        <w:rPr>
          <w:rStyle w:val="57"/>
          <w:rFonts w:ascii="Times New Roman" w:hAnsi="Times New Roman"/>
          <w:color w:val="auto"/>
          <w:highlight w:val="none"/>
        </w:rPr>
        <w:instrText xml:space="preserve"> TOC \o "1-1" \h \z \u </w:instrText>
      </w:r>
      <w:r>
        <w:rPr>
          <w:rFonts w:ascii="Times New Roman" w:hAnsi="Times New Roman"/>
          <w:color w:val="auto"/>
          <w:highlight w:val="none"/>
        </w:rPr>
        <w:fldChar w:fldCharType="separate"/>
      </w:r>
      <w:r>
        <w:rPr>
          <w:rStyle w:val="57"/>
          <w:color w:val="auto"/>
          <w:highlight w:val="none"/>
        </w:rPr>
        <w:fldChar w:fldCharType="begin"/>
      </w:r>
      <w:r>
        <w:rPr>
          <w:rStyle w:val="57"/>
          <w:color w:val="auto"/>
          <w:highlight w:val="none"/>
        </w:rPr>
        <w:instrText xml:space="preserve"> </w:instrText>
      </w:r>
      <w:r>
        <w:rPr>
          <w:color w:val="auto"/>
          <w:highlight w:val="none"/>
        </w:rPr>
        <w:instrText xml:space="preserve">HYPERLINK \l "_Toc164874506"</w:instrText>
      </w:r>
      <w:r>
        <w:rPr>
          <w:rStyle w:val="57"/>
          <w:color w:val="auto"/>
          <w:highlight w:val="none"/>
        </w:rPr>
        <w:instrText xml:space="preserve"> </w:instrText>
      </w:r>
      <w:r>
        <w:rPr>
          <w:rStyle w:val="57"/>
          <w:color w:val="auto"/>
          <w:highlight w:val="none"/>
        </w:rPr>
        <w:fldChar w:fldCharType="separate"/>
      </w:r>
      <w:r>
        <w:rPr>
          <w:rStyle w:val="57"/>
          <w:rFonts w:hint="eastAsia" w:ascii="Times New Roman" w:hAnsi="Times New Roman"/>
          <w:color w:val="auto"/>
          <w:highlight w:val="none"/>
        </w:rPr>
        <w:t>第一章</w:t>
      </w:r>
      <w:r>
        <w:rPr>
          <w:rStyle w:val="57"/>
          <w:rFonts w:ascii="Times New Roman" w:hAnsi="Times New Roman"/>
          <w:color w:val="auto"/>
          <w:highlight w:val="none"/>
        </w:rPr>
        <w:t xml:space="preserve">  </w:t>
      </w:r>
      <w:r>
        <w:rPr>
          <w:rStyle w:val="57"/>
          <w:rFonts w:hint="eastAsia" w:ascii="Times New Roman" w:hAnsi="Times New Roman"/>
          <w:color w:val="auto"/>
          <w:highlight w:val="none"/>
        </w:rPr>
        <w:t>竞争性谈判</w:t>
      </w:r>
      <w:bookmarkStart w:id="5" w:name="_Hlt203487666"/>
      <w:bookmarkStart w:id="6" w:name="_Hlt203487667"/>
      <w:r>
        <w:rPr>
          <w:rStyle w:val="57"/>
          <w:rFonts w:hint="eastAsia" w:ascii="Times New Roman" w:hAnsi="Times New Roman"/>
          <w:color w:val="auto"/>
          <w:highlight w:val="none"/>
        </w:rPr>
        <w:t>公</w:t>
      </w:r>
      <w:bookmarkEnd w:id="5"/>
      <w:bookmarkEnd w:id="6"/>
      <w:r>
        <w:rPr>
          <w:rStyle w:val="57"/>
          <w:rFonts w:hint="eastAsia" w:ascii="Times New Roman" w:hAnsi="Times New Roman"/>
          <w:color w:val="auto"/>
          <w:highlight w:val="none"/>
        </w:rPr>
        <w:t>告</w:t>
      </w:r>
      <w:r>
        <w:rPr>
          <w:color w:val="auto"/>
          <w:highlight w:val="none"/>
        </w:rPr>
        <w:tab/>
      </w:r>
      <w:r>
        <w:rPr>
          <w:color w:val="auto"/>
          <w:highlight w:val="none"/>
        </w:rPr>
        <w:fldChar w:fldCharType="begin"/>
      </w:r>
      <w:r>
        <w:rPr>
          <w:color w:val="auto"/>
          <w:highlight w:val="none"/>
        </w:rPr>
        <w:instrText xml:space="preserve"> PAGEREF _Toc164874506 \h </w:instrText>
      </w:r>
      <w:r>
        <w:rPr>
          <w:color w:val="auto"/>
          <w:highlight w:val="none"/>
        </w:rPr>
        <w:fldChar w:fldCharType="separate"/>
      </w:r>
      <w:r>
        <w:rPr>
          <w:color w:val="auto"/>
          <w:highlight w:val="none"/>
        </w:rPr>
        <w:t>2</w:t>
      </w:r>
      <w:r>
        <w:rPr>
          <w:color w:val="auto"/>
          <w:highlight w:val="none"/>
        </w:rPr>
        <w:fldChar w:fldCharType="end"/>
      </w:r>
      <w:r>
        <w:rPr>
          <w:rStyle w:val="57"/>
          <w:color w:val="auto"/>
          <w:highlight w:val="none"/>
        </w:rPr>
        <w:fldChar w:fldCharType="end"/>
      </w:r>
    </w:p>
    <w:p w14:paraId="264F3A2A">
      <w:pPr>
        <w:pStyle w:val="33"/>
        <w:ind w:firstLine="241"/>
        <w:rPr>
          <w:rFonts w:ascii="Calibri" w:hAnsi="Calibri"/>
          <w:b w:val="0"/>
          <w:bCs w:val="0"/>
          <w:caps w:val="0"/>
          <w:color w:val="auto"/>
          <w:sz w:val="21"/>
          <w:szCs w:val="22"/>
          <w:highlight w:val="none"/>
          <w:lang w:val="en-US" w:eastAsia="zh-CN"/>
        </w:rPr>
      </w:pPr>
      <w:r>
        <w:rPr>
          <w:rStyle w:val="57"/>
          <w:color w:val="auto"/>
          <w:highlight w:val="none"/>
        </w:rPr>
        <w:fldChar w:fldCharType="begin"/>
      </w:r>
      <w:r>
        <w:rPr>
          <w:rStyle w:val="57"/>
          <w:color w:val="auto"/>
          <w:highlight w:val="none"/>
        </w:rPr>
        <w:instrText xml:space="preserve"> </w:instrText>
      </w:r>
      <w:r>
        <w:rPr>
          <w:color w:val="auto"/>
          <w:highlight w:val="none"/>
        </w:rPr>
        <w:instrText xml:space="preserve">HYPERLINK \l "_Toc164874507"</w:instrText>
      </w:r>
      <w:r>
        <w:rPr>
          <w:rStyle w:val="57"/>
          <w:color w:val="auto"/>
          <w:highlight w:val="none"/>
        </w:rPr>
        <w:instrText xml:space="preserve"> </w:instrText>
      </w:r>
      <w:r>
        <w:rPr>
          <w:rStyle w:val="57"/>
          <w:color w:val="auto"/>
          <w:highlight w:val="none"/>
        </w:rPr>
        <w:fldChar w:fldCharType="separate"/>
      </w:r>
      <w:r>
        <w:rPr>
          <w:rStyle w:val="57"/>
          <w:rFonts w:hint="eastAsia" w:ascii="Times New Roman" w:hAnsi="Times New Roman"/>
          <w:color w:val="auto"/>
          <w:highlight w:val="none"/>
        </w:rPr>
        <w:t>第二章</w:t>
      </w:r>
      <w:r>
        <w:rPr>
          <w:rStyle w:val="57"/>
          <w:rFonts w:ascii="Times New Roman" w:hAnsi="Times New Roman"/>
          <w:color w:val="auto"/>
          <w:highlight w:val="none"/>
        </w:rPr>
        <w:t xml:space="preserve">  </w:t>
      </w:r>
      <w:r>
        <w:rPr>
          <w:rStyle w:val="57"/>
          <w:rFonts w:hint="eastAsia" w:ascii="Times New Roman" w:hAnsi="Times New Roman"/>
          <w:color w:val="auto"/>
          <w:highlight w:val="none"/>
        </w:rPr>
        <w:t>采购需求</w:t>
      </w:r>
      <w:bookmarkStart w:id="7" w:name="_Hlt164874909"/>
      <w:r>
        <w:rPr>
          <w:color w:val="auto"/>
          <w:highlight w:val="none"/>
        </w:rPr>
        <w:tab/>
      </w:r>
      <w:bookmarkEnd w:id="7"/>
      <w:r>
        <w:rPr>
          <w:color w:val="auto"/>
          <w:highlight w:val="none"/>
        </w:rPr>
        <w:fldChar w:fldCharType="begin"/>
      </w:r>
      <w:r>
        <w:rPr>
          <w:color w:val="auto"/>
          <w:highlight w:val="none"/>
        </w:rPr>
        <w:instrText xml:space="preserve"> PAGEREF _Toc164874507 \h </w:instrText>
      </w:r>
      <w:r>
        <w:rPr>
          <w:color w:val="auto"/>
          <w:highlight w:val="none"/>
        </w:rPr>
        <w:fldChar w:fldCharType="separate"/>
      </w:r>
      <w:r>
        <w:rPr>
          <w:color w:val="auto"/>
          <w:highlight w:val="none"/>
        </w:rPr>
        <w:t>4</w:t>
      </w:r>
      <w:r>
        <w:rPr>
          <w:color w:val="auto"/>
          <w:highlight w:val="none"/>
        </w:rPr>
        <w:fldChar w:fldCharType="end"/>
      </w:r>
      <w:r>
        <w:rPr>
          <w:rStyle w:val="57"/>
          <w:color w:val="auto"/>
          <w:highlight w:val="none"/>
        </w:rPr>
        <w:fldChar w:fldCharType="end"/>
      </w:r>
    </w:p>
    <w:p w14:paraId="6B9567AF">
      <w:pPr>
        <w:pStyle w:val="33"/>
        <w:ind w:firstLine="241"/>
        <w:rPr>
          <w:rFonts w:ascii="Calibri" w:hAnsi="Calibri"/>
          <w:b w:val="0"/>
          <w:bCs w:val="0"/>
          <w:caps w:val="0"/>
          <w:color w:val="auto"/>
          <w:sz w:val="21"/>
          <w:szCs w:val="22"/>
          <w:highlight w:val="none"/>
          <w:lang w:val="en-US" w:eastAsia="zh-CN"/>
        </w:rPr>
      </w:pPr>
      <w:r>
        <w:rPr>
          <w:rStyle w:val="57"/>
          <w:color w:val="auto"/>
          <w:highlight w:val="none"/>
        </w:rPr>
        <w:fldChar w:fldCharType="begin"/>
      </w:r>
      <w:r>
        <w:rPr>
          <w:rStyle w:val="57"/>
          <w:color w:val="auto"/>
          <w:highlight w:val="none"/>
        </w:rPr>
        <w:instrText xml:space="preserve"> </w:instrText>
      </w:r>
      <w:r>
        <w:rPr>
          <w:color w:val="auto"/>
          <w:highlight w:val="none"/>
        </w:rPr>
        <w:instrText xml:space="preserve">HYPERLINK \l "_Toc164874508"</w:instrText>
      </w:r>
      <w:r>
        <w:rPr>
          <w:rStyle w:val="57"/>
          <w:color w:val="auto"/>
          <w:highlight w:val="none"/>
        </w:rPr>
        <w:instrText xml:space="preserve"> </w:instrText>
      </w:r>
      <w:r>
        <w:rPr>
          <w:rStyle w:val="57"/>
          <w:color w:val="auto"/>
          <w:highlight w:val="none"/>
        </w:rPr>
        <w:fldChar w:fldCharType="separate"/>
      </w:r>
      <w:r>
        <w:rPr>
          <w:rStyle w:val="57"/>
          <w:rFonts w:hint="eastAsia" w:ascii="Times New Roman" w:hAnsi="Times New Roman"/>
          <w:color w:val="auto"/>
          <w:highlight w:val="none"/>
        </w:rPr>
        <w:t>第三章</w:t>
      </w:r>
      <w:r>
        <w:rPr>
          <w:rStyle w:val="57"/>
          <w:rFonts w:ascii="Times New Roman" w:hAnsi="Times New Roman"/>
          <w:color w:val="auto"/>
          <w:highlight w:val="none"/>
        </w:rPr>
        <w:t xml:space="preserve">  </w:t>
      </w:r>
      <w:r>
        <w:rPr>
          <w:rStyle w:val="57"/>
          <w:rFonts w:hint="eastAsia" w:ascii="Times New Roman" w:hAnsi="Times New Roman"/>
          <w:color w:val="auto"/>
          <w:highlight w:val="none"/>
        </w:rPr>
        <w:t>供应商须知</w:t>
      </w:r>
      <w:bookmarkStart w:id="141" w:name="_GoBack"/>
      <w:bookmarkEnd w:id="141"/>
      <w:r>
        <w:rPr>
          <w:color w:val="auto"/>
          <w:highlight w:val="none"/>
        </w:rPr>
        <w:tab/>
      </w:r>
      <w:r>
        <w:rPr>
          <w:color w:val="auto"/>
          <w:highlight w:val="none"/>
        </w:rPr>
        <w:fldChar w:fldCharType="begin"/>
      </w:r>
      <w:r>
        <w:rPr>
          <w:color w:val="auto"/>
          <w:highlight w:val="none"/>
        </w:rPr>
        <w:instrText xml:space="preserve"> PAGEREF _Toc164874508 \h </w:instrText>
      </w:r>
      <w:r>
        <w:rPr>
          <w:color w:val="auto"/>
          <w:highlight w:val="none"/>
        </w:rPr>
        <w:fldChar w:fldCharType="separate"/>
      </w:r>
      <w:r>
        <w:rPr>
          <w:color w:val="auto"/>
          <w:highlight w:val="none"/>
        </w:rPr>
        <w:t>13</w:t>
      </w:r>
      <w:r>
        <w:rPr>
          <w:color w:val="auto"/>
          <w:highlight w:val="none"/>
        </w:rPr>
        <w:fldChar w:fldCharType="end"/>
      </w:r>
      <w:r>
        <w:rPr>
          <w:rStyle w:val="57"/>
          <w:color w:val="auto"/>
          <w:highlight w:val="none"/>
        </w:rPr>
        <w:fldChar w:fldCharType="end"/>
      </w:r>
    </w:p>
    <w:p w14:paraId="265DBF66">
      <w:pPr>
        <w:pStyle w:val="33"/>
        <w:ind w:firstLine="241"/>
        <w:rPr>
          <w:rFonts w:ascii="Calibri" w:hAnsi="Calibri"/>
          <w:b w:val="0"/>
          <w:bCs w:val="0"/>
          <w:caps w:val="0"/>
          <w:color w:val="auto"/>
          <w:sz w:val="21"/>
          <w:szCs w:val="22"/>
          <w:highlight w:val="none"/>
          <w:lang w:val="en-US" w:eastAsia="zh-CN"/>
        </w:rPr>
      </w:pPr>
      <w:r>
        <w:rPr>
          <w:rStyle w:val="57"/>
          <w:color w:val="auto"/>
          <w:highlight w:val="none"/>
        </w:rPr>
        <w:fldChar w:fldCharType="begin"/>
      </w:r>
      <w:r>
        <w:rPr>
          <w:rStyle w:val="57"/>
          <w:color w:val="auto"/>
          <w:highlight w:val="none"/>
        </w:rPr>
        <w:instrText xml:space="preserve"> </w:instrText>
      </w:r>
      <w:r>
        <w:rPr>
          <w:color w:val="auto"/>
          <w:highlight w:val="none"/>
        </w:rPr>
        <w:instrText xml:space="preserve">HYPERLINK \l "_Toc164874509"</w:instrText>
      </w:r>
      <w:r>
        <w:rPr>
          <w:rStyle w:val="57"/>
          <w:color w:val="auto"/>
          <w:highlight w:val="none"/>
        </w:rPr>
        <w:instrText xml:space="preserve"> </w:instrText>
      </w:r>
      <w:r>
        <w:rPr>
          <w:rStyle w:val="57"/>
          <w:color w:val="auto"/>
          <w:highlight w:val="none"/>
        </w:rPr>
        <w:fldChar w:fldCharType="separate"/>
      </w:r>
      <w:r>
        <w:rPr>
          <w:rStyle w:val="57"/>
          <w:rFonts w:hint="eastAsia" w:ascii="Times New Roman" w:hAnsi="Times New Roman"/>
          <w:color w:val="auto"/>
          <w:highlight w:val="none"/>
        </w:rPr>
        <w:t>第四章</w:t>
      </w:r>
      <w:r>
        <w:rPr>
          <w:rStyle w:val="57"/>
          <w:rFonts w:ascii="Times New Roman" w:hAnsi="Times New Roman"/>
          <w:color w:val="auto"/>
          <w:highlight w:val="none"/>
        </w:rPr>
        <w:t xml:space="preserve">  </w:t>
      </w:r>
      <w:r>
        <w:rPr>
          <w:rStyle w:val="57"/>
          <w:rFonts w:hint="eastAsia" w:ascii="Times New Roman" w:hAnsi="Times New Roman"/>
          <w:color w:val="auto"/>
          <w:highlight w:val="none"/>
        </w:rPr>
        <w:t>评审方法</w:t>
      </w:r>
      <w:bookmarkStart w:id="8" w:name="_Hlt204075907"/>
      <w:bookmarkStart w:id="9" w:name="_Hlt204075908"/>
      <w:r>
        <w:rPr>
          <w:rStyle w:val="57"/>
          <w:rFonts w:hint="eastAsia" w:ascii="Times New Roman" w:hAnsi="Times New Roman"/>
          <w:color w:val="auto"/>
          <w:highlight w:val="none"/>
        </w:rPr>
        <w:t>及</w:t>
      </w:r>
      <w:bookmarkEnd w:id="8"/>
      <w:bookmarkEnd w:id="9"/>
      <w:r>
        <w:rPr>
          <w:rStyle w:val="57"/>
          <w:rFonts w:hint="eastAsia" w:ascii="Times New Roman" w:hAnsi="Times New Roman"/>
          <w:color w:val="auto"/>
          <w:highlight w:val="none"/>
        </w:rPr>
        <w:t>标</w:t>
      </w:r>
      <w:bookmarkStart w:id="10" w:name="_Hlt164874903"/>
      <w:r>
        <w:rPr>
          <w:rStyle w:val="57"/>
          <w:rFonts w:hint="eastAsia" w:ascii="Times New Roman" w:hAnsi="Times New Roman"/>
          <w:color w:val="auto"/>
          <w:highlight w:val="none"/>
        </w:rPr>
        <w:t>准</w:t>
      </w:r>
      <w:bookmarkEnd w:id="10"/>
      <w:bookmarkStart w:id="11" w:name="_Hlt164874890"/>
      <w:r>
        <w:rPr>
          <w:color w:val="auto"/>
          <w:highlight w:val="none"/>
        </w:rPr>
        <w:tab/>
      </w:r>
      <w:bookmarkEnd w:id="11"/>
      <w:r>
        <w:rPr>
          <w:color w:val="auto"/>
          <w:highlight w:val="none"/>
        </w:rPr>
        <w:fldChar w:fldCharType="begin"/>
      </w:r>
      <w:r>
        <w:rPr>
          <w:color w:val="auto"/>
          <w:highlight w:val="none"/>
        </w:rPr>
        <w:instrText xml:space="preserve"> PAGEREF _Toc164874509 \h </w:instrText>
      </w:r>
      <w:r>
        <w:rPr>
          <w:color w:val="auto"/>
          <w:highlight w:val="none"/>
        </w:rPr>
        <w:fldChar w:fldCharType="separate"/>
      </w:r>
      <w:r>
        <w:rPr>
          <w:color w:val="auto"/>
          <w:highlight w:val="none"/>
        </w:rPr>
        <w:t>34</w:t>
      </w:r>
      <w:r>
        <w:rPr>
          <w:color w:val="auto"/>
          <w:highlight w:val="none"/>
        </w:rPr>
        <w:fldChar w:fldCharType="end"/>
      </w:r>
      <w:r>
        <w:rPr>
          <w:rStyle w:val="57"/>
          <w:color w:val="auto"/>
          <w:highlight w:val="none"/>
        </w:rPr>
        <w:fldChar w:fldCharType="end"/>
      </w:r>
    </w:p>
    <w:p w14:paraId="4FD65CF0">
      <w:pPr>
        <w:pStyle w:val="33"/>
        <w:ind w:firstLine="241"/>
        <w:rPr>
          <w:rFonts w:ascii="Calibri" w:hAnsi="Calibri"/>
          <w:b w:val="0"/>
          <w:bCs w:val="0"/>
          <w:caps w:val="0"/>
          <w:color w:val="auto"/>
          <w:sz w:val="21"/>
          <w:szCs w:val="22"/>
          <w:highlight w:val="none"/>
          <w:lang w:val="en-US" w:eastAsia="zh-CN"/>
        </w:rPr>
      </w:pPr>
      <w:r>
        <w:rPr>
          <w:rStyle w:val="57"/>
          <w:color w:val="auto"/>
          <w:highlight w:val="none"/>
        </w:rPr>
        <w:fldChar w:fldCharType="begin"/>
      </w:r>
      <w:r>
        <w:rPr>
          <w:rStyle w:val="57"/>
          <w:color w:val="auto"/>
          <w:highlight w:val="none"/>
        </w:rPr>
        <w:instrText xml:space="preserve"> </w:instrText>
      </w:r>
      <w:r>
        <w:rPr>
          <w:color w:val="auto"/>
          <w:highlight w:val="none"/>
        </w:rPr>
        <w:instrText xml:space="preserve">HYPERLINK \l "_Toc164874510"</w:instrText>
      </w:r>
      <w:r>
        <w:rPr>
          <w:rStyle w:val="57"/>
          <w:color w:val="auto"/>
          <w:highlight w:val="none"/>
        </w:rPr>
        <w:instrText xml:space="preserve"> </w:instrText>
      </w:r>
      <w:r>
        <w:rPr>
          <w:rStyle w:val="57"/>
          <w:color w:val="auto"/>
          <w:highlight w:val="none"/>
        </w:rPr>
        <w:fldChar w:fldCharType="separate"/>
      </w:r>
      <w:r>
        <w:rPr>
          <w:rStyle w:val="57"/>
          <w:rFonts w:hint="eastAsia" w:ascii="Times New Roman" w:hAnsi="Times New Roman"/>
          <w:color w:val="auto"/>
          <w:highlight w:val="none"/>
        </w:rPr>
        <w:t>第五章</w:t>
      </w:r>
      <w:r>
        <w:rPr>
          <w:rStyle w:val="57"/>
          <w:rFonts w:ascii="Times New Roman" w:hAnsi="Times New Roman"/>
          <w:color w:val="auto"/>
          <w:highlight w:val="none"/>
        </w:rPr>
        <w:t xml:space="preserve">  </w:t>
      </w:r>
      <w:r>
        <w:rPr>
          <w:rStyle w:val="57"/>
          <w:rFonts w:hint="eastAsia" w:ascii="Times New Roman" w:hAnsi="Times New Roman"/>
          <w:color w:val="auto"/>
          <w:highlight w:val="none"/>
        </w:rPr>
        <w:t>合同主要条款格式</w:t>
      </w:r>
      <w:r>
        <w:rPr>
          <w:color w:val="auto"/>
          <w:highlight w:val="none"/>
        </w:rPr>
        <w:tab/>
      </w:r>
      <w:r>
        <w:rPr>
          <w:color w:val="auto"/>
          <w:highlight w:val="none"/>
        </w:rPr>
        <w:fldChar w:fldCharType="begin"/>
      </w:r>
      <w:r>
        <w:rPr>
          <w:color w:val="auto"/>
          <w:highlight w:val="none"/>
        </w:rPr>
        <w:instrText xml:space="preserve"> PAGEREF _Toc164874510 \h </w:instrText>
      </w:r>
      <w:r>
        <w:rPr>
          <w:color w:val="auto"/>
          <w:highlight w:val="none"/>
        </w:rPr>
        <w:fldChar w:fldCharType="separate"/>
      </w:r>
      <w:r>
        <w:rPr>
          <w:color w:val="auto"/>
          <w:highlight w:val="none"/>
        </w:rPr>
        <w:t>35</w:t>
      </w:r>
      <w:r>
        <w:rPr>
          <w:color w:val="auto"/>
          <w:highlight w:val="none"/>
        </w:rPr>
        <w:fldChar w:fldCharType="end"/>
      </w:r>
      <w:r>
        <w:rPr>
          <w:rStyle w:val="57"/>
          <w:color w:val="auto"/>
          <w:highlight w:val="none"/>
        </w:rPr>
        <w:fldChar w:fldCharType="end"/>
      </w:r>
    </w:p>
    <w:p w14:paraId="6DE1AE11">
      <w:pPr>
        <w:pStyle w:val="33"/>
        <w:ind w:firstLine="241"/>
        <w:rPr>
          <w:rFonts w:ascii="Calibri" w:hAnsi="Calibri"/>
          <w:b w:val="0"/>
          <w:bCs w:val="0"/>
          <w:caps w:val="0"/>
          <w:color w:val="auto"/>
          <w:sz w:val="21"/>
          <w:szCs w:val="22"/>
          <w:highlight w:val="none"/>
          <w:lang w:val="en-US" w:eastAsia="zh-CN"/>
        </w:rPr>
      </w:pPr>
      <w:r>
        <w:rPr>
          <w:rStyle w:val="57"/>
          <w:color w:val="auto"/>
          <w:highlight w:val="none"/>
        </w:rPr>
        <w:fldChar w:fldCharType="begin"/>
      </w:r>
      <w:r>
        <w:rPr>
          <w:rStyle w:val="57"/>
          <w:color w:val="auto"/>
          <w:highlight w:val="none"/>
        </w:rPr>
        <w:instrText xml:space="preserve"> </w:instrText>
      </w:r>
      <w:r>
        <w:rPr>
          <w:color w:val="auto"/>
          <w:highlight w:val="none"/>
        </w:rPr>
        <w:instrText xml:space="preserve">HYPERLINK \l "_Toc164874511"</w:instrText>
      </w:r>
      <w:r>
        <w:rPr>
          <w:rStyle w:val="57"/>
          <w:color w:val="auto"/>
          <w:highlight w:val="none"/>
        </w:rPr>
        <w:instrText xml:space="preserve"> </w:instrText>
      </w:r>
      <w:r>
        <w:rPr>
          <w:rStyle w:val="57"/>
          <w:color w:val="auto"/>
          <w:highlight w:val="none"/>
        </w:rPr>
        <w:fldChar w:fldCharType="separate"/>
      </w:r>
      <w:r>
        <w:rPr>
          <w:rStyle w:val="57"/>
          <w:rFonts w:hint="eastAsia"/>
          <w:color w:val="auto"/>
          <w:highlight w:val="none"/>
        </w:rPr>
        <w:t>第六章</w:t>
      </w:r>
      <w:r>
        <w:rPr>
          <w:rStyle w:val="57"/>
          <w:color w:val="auto"/>
          <w:highlight w:val="none"/>
        </w:rPr>
        <w:t xml:space="preserve">  </w:t>
      </w:r>
      <w:r>
        <w:rPr>
          <w:rStyle w:val="57"/>
          <w:rFonts w:hint="eastAsia"/>
          <w:color w:val="auto"/>
          <w:highlight w:val="none"/>
        </w:rPr>
        <w:t>响应文件格式</w:t>
      </w:r>
      <w:r>
        <w:rPr>
          <w:color w:val="auto"/>
          <w:highlight w:val="none"/>
        </w:rPr>
        <w:tab/>
      </w:r>
      <w:r>
        <w:rPr>
          <w:color w:val="auto"/>
          <w:highlight w:val="none"/>
        </w:rPr>
        <w:fldChar w:fldCharType="begin"/>
      </w:r>
      <w:r>
        <w:rPr>
          <w:color w:val="auto"/>
          <w:highlight w:val="none"/>
        </w:rPr>
        <w:instrText xml:space="preserve"> PAGEREF _Toc164874511 \h </w:instrText>
      </w:r>
      <w:r>
        <w:rPr>
          <w:color w:val="auto"/>
          <w:highlight w:val="none"/>
        </w:rPr>
        <w:fldChar w:fldCharType="separate"/>
      </w:r>
      <w:r>
        <w:rPr>
          <w:color w:val="auto"/>
          <w:highlight w:val="none"/>
        </w:rPr>
        <w:t>46</w:t>
      </w:r>
      <w:r>
        <w:rPr>
          <w:color w:val="auto"/>
          <w:highlight w:val="none"/>
        </w:rPr>
        <w:fldChar w:fldCharType="end"/>
      </w:r>
      <w:r>
        <w:rPr>
          <w:rStyle w:val="57"/>
          <w:color w:val="auto"/>
          <w:highlight w:val="none"/>
        </w:rPr>
        <w:fldChar w:fldCharType="end"/>
      </w:r>
    </w:p>
    <w:p w14:paraId="6227B5FC">
      <w:pPr>
        <w:pStyle w:val="26"/>
        <w:snapToGrid w:val="0"/>
        <w:spacing w:before="120" w:after="120" w:line="320" w:lineRule="exact"/>
        <w:jc w:val="center"/>
        <w:outlineLvl w:val="9"/>
        <w:rPr>
          <w:rFonts w:ascii="Times New Roman" w:hAnsi="Times New Roman" w:cs="Times New Roman"/>
          <w:color w:val="auto"/>
          <w:szCs w:val="28"/>
          <w:highlight w:val="none"/>
        </w:rPr>
      </w:pPr>
      <w:r>
        <w:rPr>
          <w:rFonts w:ascii="Times New Roman" w:hAnsi="Times New Roman" w:cs="Times New Roman"/>
          <w:color w:val="auto"/>
          <w:szCs w:val="28"/>
          <w:highlight w:val="none"/>
        </w:rPr>
        <w:fldChar w:fldCharType="end"/>
      </w:r>
      <w:bookmarkStart w:id="12" w:name="_Toc164874506"/>
      <w:bookmarkStart w:id="13" w:name="_Toc254970630"/>
      <w:bookmarkStart w:id="14" w:name="_Toc254970489"/>
    </w:p>
    <w:p w14:paraId="2343FFA4">
      <w:pPr>
        <w:pStyle w:val="26"/>
        <w:snapToGrid w:val="0"/>
        <w:spacing w:before="120" w:after="120" w:line="320" w:lineRule="exact"/>
        <w:jc w:val="center"/>
        <w:outlineLvl w:val="9"/>
        <w:rPr>
          <w:rFonts w:ascii="Times New Roman" w:hAnsi="Times New Roman" w:cs="Times New Roman"/>
          <w:color w:val="auto"/>
          <w:szCs w:val="28"/>
          <w:highlight w:val="none"/>
        </w:rPr>
      </w:pPr>
    </w:p>
    <w:p w14:paraId="4EC8E7C7">
      <w:pPr>
        <w:rPr>
          <w:color w:val="auto"/>
          <w:highlight w:val="none"/>
        </w:rPr>
      </w:pPr>
    </w:p>
    <w:p w14:paraId="695B0F02">
      <w:pPr>
        <w:rPr>
          <w:color w:val="auto"/>
          <w:highlight w:val="none"/>
        </w:rPr>
      </w:pPr>
    </w:p>
    <w:p w14:paraId="0DD747EC">
      <w:pPr>
        <w:rPr>
          <w:color w:val="auto"/>
          <w:highlight w:val="none"/>
        </w:rPr>
      </w:pPr>
    </w:p>
    <w:p w14:paraId="6E741FE9">
      <w:pPr>
        <w:rPr>
          <w:color w:val="auto"/>
          <w:highlight w:val="none"/>
        </w:rPr>
      </w:pPr>
    </w:p>
    <w:p w14:paraId="631FB257">
      <w:pPr>
        <w:rPr>
          <w:color w:val="auto"/>
          <w:highlight w:val="none"/>
        </w:rPr>
      </w:pPr>
    </w:p>
    <w:p w14:paraId="4F4C6AD8">
      <w:pPr>
        <w:rPr>
          <w:color w:val="auto"/>
          <w:highlight w:val="none"/>
        </w:rPr>
      </w:pPr>
    </w:p>
    <w:p w14:paraId="3EC26F78">
      <w:pPr>
        <w:rPr>
          <w:color w:val="auto"/>
          <w:highlight w:val="none"/>
        </w:rPr>
      </w:pPr>
    </w:p>
    <w:p w14:paraId="130BD431">
      <w:pPr>
        <w:rPr>
          <w:color w:val="auto"/>
          <w:highlight w:val="none"/>
        </w:rPr>
      </w:pPr>
    </w:p>
    <w:p w14:paraId="11C053F6">
      <w:pPr>
        <w:rPr>
          <w:color w:val="auto"/>
          <w:highlight w:val="none"/>
        </w:rPr>
      </w:pPr>
    </w:p>
    <w:p w14:paraId="2DED49C9">
      <w:pPr>
        <w:rPr>
          <w:color w:val="auto"/>
          <w:highlight w:val="none"/>
        </w:rPr>
      </w:pPr>
    </w:p>
    <w:p w14:paraId="772B96B5">
      <w:pPr>
        <w:rPr>
          <w:color w:val="auto"/>
          <w:highlight w:val="none"/>
        </w:rPr>
      </w:pPr>
    </w:p>
    <w:p w14:paraId="23A70194">
      <w:pPr>
        <w:rPr>
          <w:color w:val="auto"/>
          <w:highlight w:val="none"/>
        </w:rPr>
      </w:pPr>
    </w:p>
    <w:p w14:paraId="5ED517F7">
      <w:pPr>
        <w:rPr>
          <w:color w:val="auto"/>
          <w:highlight w:val="none"/>
        </w:rPr>
      </w:pPr>
    </w:p>
    <w:p w14:paraId="74B808D1">
      <w:pPr>
        <w:rPr>
          <w:color w:val="auto"/>
          <w:highlight w:val="none"/>
        </w:rPr>
      </w:pPr>
    </w:p>
    <w:p w14:paraId="44E7673F">
      <w:pPr>
        <w:rPr>
          <w:color w:val="auto"/>
          <w:highlight w:val="none"/>
        </w:rPr>
      </w:pPr>
    </w:p>
    <w:p w14:paraId="16E7ADB0">
      <w:pPr>
        <w:rPr>
          <w:color w:val="auto"/>
          <w:highlight w:val="none"/>
        </w:rPr>
      </w:pPr>
    </w:p>
    <w:p w14:paraId="04F8CAA0">
      <w:pPr>
        <w:rPr>
          <w:color w:val="auto"/>
          <w:highlight w:val="none"/>
        </w:rPr>
      </w:pPr>
    </w:p>
    <w:p w14:paraId="2EBFD195">
      <w:pPr>
        <w:rPr>
          <w:color w:val="auto"/>
          <w:highlight w:val="none"/>
        </w:rPr>
      </w:pPr>
    </w:p>
    <w:p w14:paraId="799B02D4">
      <w:pPr>
        <w:rPr>
          <w:color w:val="auto"/>
          <w:highlight w:val="none"/>
        </w:rPr>
      </w:pPr>
    </w:p>
    <w:p w14:paraId="452B84B7">
      <w:pPr>
        <w:rPr>
          <w:color w:val="auto"/>
          <w:highlight w:val="none"/>
        </w:rPr>
      </w:pPr>
    </w:p>
    <w:p w14:paraId="43189A7E">
      <w:pPr>
        <w:rPr>
          <w:color w:val="auto"/>
          <w:highlight w:val="none"/>
        </w:rPr>
      </w:pPr>
    </w:p>
    <w:p w14:paraId="11CC99CF">
      <w:pPr>
        <w:rPr>
          <w:color w:val="auto"/>
          <w:highlight w:val="none"/>
        </w:rPr>
      </w:pPr>
    </w:p>
    <w:p w14:paraId="2A6FAC5A">
      <w:pPr>
        <w:rPr>
          <w:color w:val="auto"/>
          <w:highlight w:val="none"/>
        </w:rPr>
      </w:pPr>
    </w:p>
    <w:p w14:paraId="2AEF6375">
      <w:pPr>
        <w:rPr>
          <w:color w:val="auto"/>
          <w:highlight w:val="none"/>
        </w:rPr>
      </w:pPr>
    </w:p>
    <w:p w14:paraId="2B840501">
      <w:pPr>
        <w:rPr>
          <w:color w:val="auto"/>
          <w:highlight w:val="none"/>
        </w:rPr>
      </w:pPr>
    </w:p>
    <w:p w14:paraId="77EB3944">
      <w:pPr>
        <w:rPr>
          <w:color w:val="auto"/>
          <w:highlight w:val="none"/>
        </w:rPr>
      </w:pPr>
    </w:p>
    <w:p w14:paraId="78DDCE4E">
      <w:pPr>
        <w:rPr>
          <w:color w:val="auto"/>
          <w:highlight w:val="none"/>
        </w:rPr>
      </w:pPr>
    </w:p>
    <w:p w14:paraId="78E7FFFE">
      <w:pPr>
        <w:rPr>
          <w:color w:val="auto"/>
          <w:highlight w:val="none"/>
        </w:rPr>
      </w:pPr>
    </w:p>
    <w:p w14:paraId="0E6A2F00">
      <w:pPr>
        <w:rPr>
          <w:color w:val="auto"/>
          <w:highlight w:val="none"/>
        </w:rPr>
      </w:pPr>
    </w:p>
    <w:p w14:paraId="0C8C353A">
      <w:pPr>
        <w:rPr>
          <w:color w:val="auto"/>
          <w:highlight w:val="none"/>
        </w:rPr>
      </w:pPr>
    </w:p>
    <w:p w14:paraId="487B927B">
      <w:pPr>
        <w:rPr>
          <w:color w:val="auto"/>
          <w:highlight w:val="none"/>
        </w:rPr>
      </w:pPr>
    </w:p>
    <w:p w14:paraId="56F22E4D">
      <w:pPr>
        <w:rPr>
          <w:color w:val="auto"/>
          <w:highlight w:val="none"/>
        </w:rPr>
      </w:pPr>
    </w:p>
    <w:p w14:paraId="3B0927F1">
      <w:pPr>
        <w:rPr>
          <w:color w:val="auto"/>
          <w:highlight w:val="none"/>
        </w:rPr>
      </w:pPr>
    </w:p>
    <w:p w14:paraId="2C0F0C21">
      <w:pPr>
        <w:rPr>
          <w:color w:val="auto"/>
          <w:highlight w:val="none"/>
        </w:rPr>
      </w:pPr>
    </w:p>
    <w:p w14:paraId="2397E3BB">
      <w:pPr>
        <w:rPr>
          <w:color w:val="auto"/>
          <w:highlight w:val="none"/>
        </w:rPr>
      </w:pPr>
    </w:p>
    <w:p w14:paraId="172CA785">
      <w:pPr>
        <w:rPr>
          <w:color w:val="auto"/>
          <w:highlight w:val="none"/>
        </w:rPr>
      </w:pPr>
    </w:p>
    <w:p w14:paraId="7118800F">
      <w:pPr>
        <w:rPr>
          <w:color w:val="auto"/>
          <w:highlight w:val="none"/>
        </w:rPr>
      </w:pPr>
    </w:p>
    <w:p w14:paraId="49DF29B7">
      <w:pPr>
        <w:pStyle w:val="26"/>
        <w:snapToGrid w:val="0"/>
        <w:spacing w:before="120" w:after="120" w:line="320" w:lineRule="exact"/>
        <w:jc w:val="center"/>
        <w:outlineLvl w:val="9"/>
        <w:rPr>
          <w:rFonts w:ascii="Times New Roman" w:hAnsi="Times New Roman" w:cs="Times New Roman"/>
          <w:color w:val="auto"/>
          <w:szCs w:val="28"/>
          <w:highlight w:val="none"/>
        </w:rPr>
      </w:pPr>
    </w:p>
    <w:p w14:paraId="05D4BF26">
      <w:pPr>
        <w:pStyle w:val="26"/>
        <w:snapToGrid w:val="0"/>
        <w:spacing w:before="120" w:after="120" w:line="320" w:lineRule="exact"/>
        <w:jc w:val="center"/>
        <w:outlineLvl w:val="9"/>
        <w:rPr>
          <w:rFonts w:ascii="Times New Roman" w:hAnsi="Times New Roman" w:cs="Times New Roman"/>
          <w:color w:val="auto"/>
          <w:szCs w:val="28"/>
          <w:highlight w:val="none"/>
        </w:rPr>
      </w:pPr>
    </w:p>
    <w:p w14:paraId="4B041731">
      <w:pPr>
        <w:pStyle w:val="26"/>
        <w:snapToGrid w:val="0"/>
        <w:spacing w:before="120" w:after="120" w:line="320" w:lineRule="exact"/>
        <w:jc w:val="center"/>
        <w:outlineLvl w:val="0"/>
        <w:rPr>
          <w:rFonts w:ascii="Times New Roman" w:hAnsi="Times New Roman" w:cs="Times New Roman"/>
          <w:color w:val="auto"/>
          <w:sz w:val="32"/>
          <w:szCs w:val="32"/>
          <w:highlight w:val="none"/>
        </w:rPr>
        <w:sectPr>
          <w:headerReference r:id="rId5" w:type="default"/>
          <w:footerReference r:id="rId6" w:type="default"/>
          <w:pgSz w:w="11906" w:h="16838"/>
          <w:pgMar w:top="1135" w:right="1133" w:bottom="1246" w:left="1418" w:header="851" w:footer="903" w:gutter="0"/>
          <w:pgNumType w:start="1"/>
          <w:cols w:space="720" w:num="1"/>
          <w:docGrid w:linePitch="312" w:charSpace="0"/>
        </w:sectPr>
      </w:pPr>
    </w:p>
    <w:p w14:paraId="24285EC9">
      <w:pPr>
        <w:pStyle w:val="26"/>
        <w:snapToGrid w:val="0"/>
        <w:spacing w:before="120" w:after="120" w:line="320" w:lineRule="exact"/>
        <w:jc w:val="center"/>
        <w:outlineLvl w:val="0"/>
        <w:rPr>
          <w:rFonts w:ascii="Times New Roman" w:hAnsi="Times New Roman" w:cs="Times New Roman"/>
          <w:color w:val="auto"/>
          <w:sz w:val="32"/>
          <w:szCs w:val="32"/>
          <w:highlight w:val="none"/>
        </w:rPr>
      </w:pPr>
      <w:r>
        <w:rPr>
          <w:rFonts w:ascii="Times New Roman" w:hAnsi="Times New Roman" w:cs="Times New Roman"/>
          <w:color w:val="auto"/>
          <w:sz w:val="32"/>
          <w:szCs w:val="32"/>
          <w:highlight w:val="none"/>
        </w:rPr>
        <w:t>第一章  竞争性谈判公告</w:t>
      </w:r>
      <w:bookmarkEnd w:id="12"/>
    </w:p>
    <w:bookmarkEnd w:id="13"/>
    <w:bookmarkEnd w:id="14"/>
    <w:p w14:paraId="49955534">
      <w:pPr>
        <w:spacing w:line="400" w:lineRule="exact"/>
        <w:jc w:val="center"/>
        <w:rPr>
          <w:color w:val="auto"/>
          <w:kern w:val="0"/>
          <w:sz w:val="24"/>
          <w:highlight w:val="none"/>
        </w:rPr>
      </w:pPr>
      <w:r>
        <w:rPr>
          <w:color w:val="auto"/>
          <w:kern w:val="0"/>
          <w:sz w:val="24"/>
          <w:highlight w:val="none"/>
        </w:rPr>
        <w:t>广西机电设备招标有限公司关于</w:t>
      </w:r>
      <w:r>
        <w:rPr>
          <w:rFonts w:hint="eastAsia"/>
          <w:color w:val="auto"/>
          <w:kern w:val="0"/>
          <w:sz w:val="24"/>
          <w:highlight w:val="none"/>
        </w:rPr>
        <w:t>崇左市疾病预防控制中心2025年第一批实验室设备采购</w:t>
      </w:r>
    </w:p>
    <w:p w14:paraId="368FD186">
      <w:pPr>
        <w:spacing w:line="400" w:lineRule="exact"/>
        <w:jc w:val="center"/>
        <w:rPr>
          <w:b/>
          <w:color w:val="auto"/>
          <w:sz w:val="24"/>
          <w:highlight w:val="none"/>
        </w:rPr>
      </w:pPr>
      <w:r>
        <w:rPr>
          <w:color w:val="auto"/>
          <w:sz w:val="24"/>
          <w:highlight w:val="none"/>
        </w:rPr>
        <w:t>(</w:t>
      </w:r>
      <w:r>
        <w:rPr>
          <w:rFonts w:hint="eastAsia"/>
          <w:color w:val="auto"/>
          <w:sz w:val="24"/>
          <w:highlight w:val="none"/>
          <w:lang w:val="en-US" w:eastAsia="zh-CN"/>
        </w:rPr>
        <w:t xml:space="preserve"> 项目编号：CZZC2025-J1-990229-JDZB</w:t>
      </w:r>
      <w:r>
        <w:rPr>
          <w:color w:val="auto"/>
          <w:sz w:val="24"/>
          <w:highlight w:val="none"/>
        </w:rPr>
        <w:t>)</w:t>
      </w:r>
      <w:r>
        <w:rPr>
          <w:rFonts w:hint="eastAsia"/>
          <w:color w:val="auto"/>
          <w:sz w:val="24"/>
          <w:highlight w:val="none"/>
          <w:lang w:eastAsia="zh-CN"/>
        </w:rPr>
        <w:t>（重）</w:t>
      </w:r>
      <w:r>
        <w:rPr>
          <w:color w:val="auto"/>
          <w:kern w:val="0"/>
          <w:sz w:val="24"/>
          <w:highlight w:val="none"/>
        </w:rPr>
        <w:t>竞争性谈判公告</w:t>
      </w:r>
    </w:p>
    <w:p w14:paraId="382650F6">
      <w:pPr>
        <w:jc w:val="left"/>
        <w:rPr>
          <w:rFonts w:hint="eastAsia"/>
          <w:color w:val="auto"/>
          <w:kern w:val="0"/>
          <w:szCs w:val="21"/>
          <w:highlight w:val="none"/>
        </w:rPr>
      </w:pPr>
    </w:p>
    <w:p w14:paraId="06DF6FA7">
      <w:pPr>
        <w:spacing w:line="312" w:lineRule="auto"/>
        <w:ind w:firstLine="420" w:firstLineChars="200"/>
        <w:jc w:val="left"/>
        <w:rPr>
          <w:b/>
          <w:bCs/>
          <w:color w:val="auto"/>
          <w:kern w:val="0"/>
          <w:sz w:val="22"/>
          <w:szCs w:val="22"/>
          <w:highlight w:val="none"/>
        </w:rPr>
      </w:pPr>
      <w:bookmarkStart w:id="15" w:name="_Hlk204092863"/>
      <w:r>
        <w:rPr>
          <w:rFonts w:hint="eastAsia"/>
          <w:color w:val="auto"/>
          <w:szCs w:val="21"/>
          <w:highlight w:val="none"/>
        </w:rPr>
        <w:t>项目概况：崇左市疾病预防控制中心2025年第一批实验室设备采购的潜在供应商应在广西政府采购云平台（https://www.gcy.zfcg.gxzf.gov.cn/）获取采购文件，并于</w:t>
      </w:r>
      <w:r>
        <w:rPr>
          <w:rFonts w:hint="eastAsia"/>
          <w:color w:val="auto"/>
          <w:szCs w:val="21"/>
          <w:highlight w:val="none"/>
        </w:rPr>
        <w:t>202</w:t>
      </w:r>
      <w:r>
        <w:rPr>
          <w:color w:val="auto"/>
          <w:szCs w:val="21"/>
          <w:highlight w:val="none"/>
        </w:rPr>
        <w:t>5</w:t>
      </w:r>
      <w:r>
        <w:rPr>
          <w:rFonts w:hint="eastAsia"/>
          <w:color w:val="auto"/>
          <w:szCs w:val="21"/>
          <w:highlight w:val="none"/>
        </w:rPr>
        <w:t>年</w:t>
      </w:r>
      <w:r>
        <w:rPr>
          <w:rFonts w:hint="eastAsia"/>
          <w:color w:val="auto"/>
          <w:szCs w:val="21"/>
          <w:highlight w:val="none"/>
          <w:lang w:val="en-US" w:eastAsia="zh-CN"/>
        </w:rPr>
        <w:t>11</w:t>
      </w:r>
      <w:r>
        <w:rPr>
          <w:rFonts w:hint="eastAsia"/>
          <w:color w:val="auto"/>
          <w:szCs w:val="21"/>
          <w:highlight w:val="none"/>
        </w:rPr>
        <w:t>月</w:t>
      </w:r>
      <w:r>
        <w:rPr>
          <w:rFonts w:hint="eastAsia"/>
          <w:color w:val="auto"/>
          <w:szCs w:val="21"/>
          <w:highlight w:val="none"/>
          <w:lang w:val="en-US" w:eastAsia="zh-CN"/>
        </w:rPr>
        <w:t>18</w:t>
      </w:r>
      <w:r>
        <w:rPr>
          <w:rFonts w:hint="eastAsia"/>
          <w:color w:val="auto"/>
          <w:szCs w:val="21"/>
          <w:highlight w:val="none"/>
        </w:rPr>
        <w:t>日</w:t>
      </w:r>
      <w:r>
        <w:rPr>
          <w:rFonts w:hint="eastAsia"/>
          <w:color w:val="auto"/>
          <w:szCs w:val="21"/>
          <w:highlight w:val="none"/>
          <w:lang w:val="en-US" w:eastAsia="zh-CN"/>
        </w:rPr>
        <w:t>09</w:t>
      </w:r>
      <w:r>
        <w:rPr>
          <w:rFonts w:hint="eastAsia"/>
          <w:color w:val="auto"/>
          <w:szCs w:val="21"/>
          <w:highlight w:val="none"/>
        </w:rPr>
        <w:t>:</w:t>
      </w:r>
      <w:r>
        <w:rPr>
          <w:rFonts w:hint="eastAsia"/>
          <w:color w:val="auto"/>
          <w:szCs w:val="21"/>
          <w:highlight w:val="none"/>
          <w:lang w:val="en-US" w:eastAsia="zh-CN"/>
        </w:rPr>
        <w:t>3</w:t>
      </w:r>
      <w:r>
        <w:rPr>
          <w:rFonts w:hint="eastAsia"/>
          <w:color w:val="auto"/>
          <w:szCs w:val="21"/>
          <w:highlight w:val="none"/>
        </w:rPr>
        <w:t>0</w:t>
      </w:r>
      <w:r>
        <w:rPr>
          <w:rFonts w:hint="eastAsia"/>
          <w:color w:val="auto"/>
          <w:szCs w:val="21"/>
          <w:highlight w:val="none"/>
        </w:rPr>
        <w:t>（北京时间）前提交响应文件。</w:t>
      </w:r>
    </w:p>
    <w:p w14:paraId="0457EA13">
      <w:pPr>
        <w:spacing w:line="312" w:lineRule="auto"/>
        <w:ind w:firstLine="442" w:firstLineChars="200"/>
        <w:jc w:val="left"/>
        <w:rPr>
          <w:b/>
          <w:bCs/>
          <w:color w:val="auto"/>
          <w:kern w:val="0"/>
          <w:sz w:val="22"/>
          <w:szCs w:val="22"/>
          <w:highlight w:val="none"/>
        </w:rPr>
      </w:pPr>
      <w:r>
        <w:rPr>
          <w:rFonts w:hint="eastAsia"/>
          <w:b/>
          <w:bCs/>
          <w:color w:val="auto"/>
          <w:kern w:val="0"/>
          <w:sz w:val="22"/>
          <w:szCs w:val="22"/>
          <w:highlight w:val="none"/>
        </w:rPr>
        <w:t xml:space="preserve">一、项目基本情况 </w:t>
      </w:r>
    </w:p>
    <w:p w14:paraId="53953ECE">
      <w:pPr>
        <w:spacing w:line="312" w:lineRule="auto"/>
        <w:ind w:firstLine="420" w:firstLineChars="200"/>
        <w:jc w:val="left"/>
        <w:rPr>
          <w:rFonts w:hint="eastAsia" w:eastAsia="宋体"/>
          <w:color w:val="auto"/>
          <w:kern w:val="0"/>
          <w:szCs w:val="21"/>
          <w:highlight w:val="none"/>
          <w:lang w:eastAsia="zh-CN"/>
        </w:rPr>
      </w:pPr>
      <w:r>
        <w:rPr>
          <w:color w:val="auto"/>
          <w:kern w:val="0"/>
          <w:szCs w:val="21"/>
          <w:highlight w:val="none"/>
        </w:rPr>
        <w:t>项目编号：</w:t>
      </w:r>
      <w:r>
        <w:rPr>
          <w:rFonts w:hint="eastAsia"/>
          <w:color w:val="auto"/>
          <w:kern w:val="0"/>
          <w:szCs w:val="21"/>
          <w:highlight w:val="none"/>
          <w:lang w:eastAsia="zh-CN"/>
        </w:rPr>
        <w:t>CZZC2025-J1-990229-JDZB</w:t>
      </w:r>
    </w:p>
    <w:p w14:paraId="3F924961">
      <w:pPr>
        <w:spacing w:line="312" w:lineRule="auto"/>
        <w:ind w:firstLine="420" w:firstLineChars="200"/>
        <w:jc w:val="left"/>
        <w:rPr>
          <w:rFonts w:hint="eastAsia" w:eastAsia="宋体"/>
          <w:color w:val="auto"/>
          <w:kern w:val="0"/>
          <w:szCs w:val="21"/>
          <w:highlight w:val="none"/>
          <w:lang w:eastAsia="zh-CN"/>
        </w:rPr>
      </w:pPr>
      <w:r>
        <w:rPr>
          <w:color w:val="auto"/>
          <w:kern w:val="0"/>
          <w:szCs w:val="21"/>
          <w:highlight w:val="none"/>
        </w:rPr>
        <w:t>项目名称：</w:t>
      </w:r>
      <w:r>
        <w:rPr>
          <w:rFonts w:hint="eastAsia"/>
          <w:color w:val="auto"/>
          <w:kern w:val="0"/>
          <w:szCs w:val="21"/>
          <w:highlight w:val="none"/>
          <w:lang w:eastAsia="zh-CN"/>
        </w:rPr>
        <w:t>崇左市疾病预防控制中心2025年第一批实验室设备采购</w:t>
      </w:r>
    </w:p>
    <w:p w14:paraId="43E3805C">
      <w:pPr>
        <w:spacing w:line="312" w:lineRule="auto"/>
        <w:ind w:firstLine="420" w:firstLineChars="200"/>
        <w:jc w:val="left"/>
        <w:rPr>
          <w:color w:val="auto"/>
          <w:kern w:val="0"/>
          <w:szCs w:val="21"/>
          <w:highlight w:val="none"/>
        </w:rPr>
      </w:pPr>
      <w:r>
        <w:rPr>
          <w:rFonts w:hint="eastAsia"/>
          <w:color w:val="auto"/>
          <w:kern w:val="0"/>
          <w:szCs w:val="21"/>
          <w:highlight w:val="none"/>
        </w:rPr>
        <w:t>采购方式：竞争性谈判</w:t>
      </w:r>
    </w:p>
    <w:p w14:paraId="78571DDB">
      <w:pPr>
        <w:spacing w:line="312" w:lineRule="auto"/>
        <w:ind w:firstLine="420" w:firstLineChars="200"/>
        <w:jc w:val="left"/>
        <w:rPr>
          <w:rFonts w:hint="default" w:eastAsia="宋体"/>
          <w:color w:val="auto"/>
          <w:kern w:val="0"/>
          <w:szCs w:val="21"/>
          <w:highlight w:val="none"/>
          <w:lang w:val="en-US" w:eastAsia="zh-CN"/>
        </w:rPr>
      </w:pPr>
      <w:r>
        <w:rPr>
          <w:rFonts w:hint="eastAsia"/>
          <w:color w:val="auto"/>
          <w:kern w:val="0"/>
          <w:szCs w:val="21"/>
          <w:highlight w:val="none"/>
        </w:rPr>
        <w:t>预算总金额（元）：</w:t>
      </w:r>
      <w:r>
        <w:rPr>
          <w:rFonts w:hint="eastAsia"/>
          <w:color w:val="auto"/>
          <w:kern w:val="0"/>
          <w:szCs w:val="21"/>
          <w:highlight w:val="none"/>
          <w:lang w:val="en-US" w:eastAsia="zh-CN"/>
        </w:rPr>
        <w:t>600</w:t>
      </w:r>
      <w:r>
        <w:rPr>
          <w:color w:val="auto"/>
          <w:kern w:val="0"/>
          <w:szCs w:val="21"/>
          <w:highlight w:val="none"/>
        </w:rPr>
        <w:t>000</w:t>
      </w:r>
      <w:r>
        <w:rPr>
          <w:rFonts w:hint="eastAsia"/>
          <w:color w:val="auto"/>
          <w:kern w:val="0"/>
          <w:szCs w:val="21"/>
          <w:highlight w:val="none"/>
        </w:rPr>
        <w:t>.00</w:t>
      </w:r>
    </w:p>
    <w:p w14:paraId="639059BD">
      <w:pPr>
        <w:spacing w:line="312" w:lineRule="auto"/>
        <w:ind w:firstLine="420" w:firstLineChars="200"/>
        <w:jc w:val="left"/>
        <w:rPr>
          <w:color w:val="auto"/>
          <w:kern w:val="0"/>
          <w:szCs w:val="21"/>
          <w:highlight w:val="none"/>
        </w:rPr>
      </w:pPr>
      <w:r>
        <w:rPr>
          <w:rFonts w:hint="eastAsia"/>
          <w:color w:val="auto"/>
          <w:kern w:val="0"/>
          <w:szCs w:val="21"/>
          <w:highlight w:val="none"/>
        </w:rPr>
        <w:t>采购需求：</w:t>
      </w:r>
    </w:p>
    <w:p w14:paraId="2DA7EE0A">
      <w:pPr>
        <w:spacing w:line="312" w:lineRule="auto"/>
        <w:ind w:firstLine="735" w:firstLineChars="350"/>
        <w:jc w:val="left"/>
        <w:rPr>
          <w:rFonts w:hint="default" w:eastAsia="宋体"/>
          <w:color w:val="auto"/>
          <w:kern w:val="0"/>
          <w:szCs w:val="21"/>
          <w:highlight w:val="none"/>
          <w:lang w:val="en-US" w:eastAsia="zh-CN"/>
        </w:rPr>
      </w:pPr>
      <w:r>
        <w:rPr>
          <w:rFonts w:hint="eastAsia"/>
          <w:color w:val="auto"/>
          <w:kern w:val="0"/>
          <w:szCs w:val="21"/>
          <w:highlight w:val="none"/>
        </w:rPr>
        <w:t>标项名称：</w:t>
      </w:r>
      <w:r>
        <w:rPr>
          <w:rFonts w:hint="eastAsia"/>
          <w:color w:val="auto"/>
          <w:kern w:val="0"/>
          <w:szCs w:val="21"/>
          <w:highlight w:val="none"/>
          <w:lang w:eastAsia="zh-CN"/>
        </w:rPr>
        <w:t>崇左市疾病预防控制中心2025年第一批实验室设备采购</w:t>
      </w:r>
      <w:r>
        <w:rPr>
          <w:rFonts w:hint="eastAsia"/>
          <w:color w:val="auto"/>
          <w:kern w:val="0"/>
          <w:szCs w:val="21"/>
          <w:highlight w:val="none"/>
          <w:lang w:val="en-US" w:eastAsia="zh-CN"/>
        </w:rPr>
        <w:t>分标3</w:t>
      </w:r>
    </w:p>
    <w:p w14:paraId="027F5A09">
      <w:pPr>
        <w:spacing w:line="312" w:lineRule="auto"/>
        <w:ind w:firstLine="735" w:firstLineChars="350"/>
        <w:jc w:val="left"/>
        <w:rPr>
          <w:rFonts w:hint="default" w:eastAsia="宋体"/>
          <w:color w:val="auto"/>
          <w:kern w:val="0"/>
          <w:szCs w:val="21"/>
          <w:highlight w:val="none"/>
          <w:lang w:val="en-US" w:eastAsia="zh-CN"/>
        </w:rPr>
      </w:pPr>
      <w:r>
        <w:rPr>
          <w:rFonts w:hint="eastAsia"/>
          <w:color w:val="auto"/>
          <w:kern w:val="0"/>
          <w:szCs w:val="21"/>
          <w:highlight w:val="none"/>
        </w:rPr>
        <w:t>数量：</w:t>
      </w:r>
      <w:r>
        <w:rPr>
          <w:rFonts w:hint="eastAsia"/>
          <w:color w:val="auto"/>
          <w:kern w:val="0"/>
          <w:szCs w:val="21"/>
          <w:highlight w:val="none"/>
          <w:lang w:val="en-US" w:eastAsia="zh-CN"/>
        </w:rPr>
        <w:t>1台</w:t>
      </w:r>
    </w:p>
    <w:p w14:paraId="664E8CB3">
      <w:pPr>
        <w:spacing w:line="312" w:lineRule="auto"/>
        <w:ind w:firstLine="735" w:firstLineChars="350"/>
        <w:jc w:val="left"/>
        <w:rPr>
          <w:color w:val="auto"/>
          <w:kern w:val="0"/>
          <w:szCs w:val="21"/>
          <w:highlight w:val="none"/>
        </w:rPr>
      </w:pPr>
      <w:r>
        <w:rPr>
          <w:rFonts w:hint="eastAsia"/>
          <w:color w:val="auto"/>
          <w:kern w:val="0"/>
          <w:szCs w:val="21"/>
          <w:highlight w:val="none"/>
        </w:rPr>
        <w:t>预算金额（元）：</w:t>
      </w:r>
      <w:r>
        <w:rPr>
          <w:rFonts w:hint="eastAsia"/>
          <w:color w:val="auto"/>
          <w:kern w:val="0"/>
          <w:szCs w:val="21"/>
          <w:highlight w:val="none"/>
          <w:lang w:val="en-US" w:eastAsia="zh-CN"/>
        </w:rPr>
        <w:t>600</w:t>
      </w:r>
      <w:r>
        <w:rPr>
          <w:color w:val="auto"/>
          <w:kern w:val="0"/>
          <w:szCs w:val="21"/>
          <w:highlight w:val="none"/>
        </w:rPr>
        <w:t>000</w:t>
      </w:r>
      <w:r>
        <w:rPr>
          <w:rFonts w:hint="eastAsia"/>
          <w:color w:val="auto"/>
          <w:kern w:val="0"/>
          <w:szCs w:val="21"/>
          <w:highlight w:val="none"/>
        </w:rPr>
        <w:t>.00</w:t>
      </w:r>
    </w:p>
    <w:p w14:paraId="6A732ABF">
      <w:pPr>
        <w:spacing w:line="312" w:lineRule="auto"/>
        <w:ind w:firstLine="735" w:firstLineChars="350"/>
        <w:jc w:val="left"/>
        <w:rPr>
          <w:color w:val="auto"/>
          <w:kern w:val="0"/>
          <w:szCs w:val="21"/>
          <w:highlight w:val="none"/>
        </w:rPr>
      </w:pPr>
      <w:r>
        <w:rPr>
          <w:rFonts w:hint="eastAsia"/>
          <w:color w:val="auto"/>
          <w:kern w:val="0"/>
          <w:szCs w:val="21"/>
          <w:highlight w:val="none"/>
        </w:rPr>
        <w:t>简要规格描述或项目基本概况介绍、用途：采购流式细胞仪</w:t>
      </w:r>
      <w:r>
        <w:rPr>
          <w:rFonts w:hint="eastAsia"/>
          <w:color w:val="auto"/>
          <w:kern w:val="0"/>
          <w:szCs w:val="21"/>
          <w:highlight w:val="none"/>
          <w:lang w:val="en-US" w:eastAsia="zh-CN"/>
        </w:rPr>
        <w:t>1台</w:t>
      </w:r>
      <w:r>
        <w:rPr>
          <w:rFonts w:hint="eastAsia"/>
          <w:color w:val="auto"/>
          <w:kern w:val="0"/>
          <w:szCs w:val="21"/>
          <w:highlight w:val="none"/>
        </w:rPr>
        <w:t>，如需进一步了解详细内容，详见谈判文件。</w:t>
      </w:r>
    </w:p>
    <w:p w14:paraId="0D10C7A8">
      <w:pPr>
        <w:spacing w:line="312" w:lineRule="auto"/>
        <w:ind w:firstLine="735" w:firstLineChars="350"/>
        <w:jc w:val="left"/>
        <w:rPr>
          <w:rFonts w:hint="eastAsia"/>
          <w:color w:val="auto"/>
          <w:kern w:val="0"/>
          <w:szCs w:val="21"/>
          <w:highlight w:val="none"/>
        </w:rPr>
      </w:pPr>
      <w:r>
        <w:rPr>
          <w:rFonts w:hint="eastAsia"/>
          <w:color w:val="auto"/>
          <w:kern w:val="0"/>
          <w:szCs w:val="21"/>
          <w:highlight w:val="none"/>
        </w:rPr>
        <w:t>最高限价（如有）：</w:t>
      </w:r>
      <w:r>
        <w:rPr>
          <w:rFonts w:hint="eastAsia"/>
          <w:color w:val="auto"/>
          <w:kern w:val="0"/>
          <w:szCs w:val="21"/>
          <w:highlight w:val="none"/>
          <w:lang w:val="en-US" w:eastAsia="zh-CN"/>
        </w:rPr>
        <w:t>600</w:t>
      </w:r>
      <w:r>
        <w:rPr>
          <w:color w:val="auto"/>
          <w:kern w:val="0"/>
          <w:szCs w:val="21"/>
          <w:highlight w:val="none"/>
        </w:rPr>
        <w:t>000</w:t>
      </w:r>
      <w:r>
        <w:rPr>
          <w:rFonts w:hint="eastAsia"/>
          <w:color w:val="auto"/>
          <w:kern w:val="0"/>
          <w:szCs w:val="21"/>
          <w:highlight w:val="none"/>
        </w:rPr>
        <w:t>.00</w:t>
      </w:r>
    </w:p>
    <w:p w14:paraId="3FBEFCEC">
      <w:pPr>
        <w:spacing w:line="312" w:lineRule="auto"/>
        <w:ind w:firstLine="735" w:firstLineChars="350"/>
        <w:jc w:val="left"/>
        <w:rPr>
          <w:color w:val="auto"/>
          <w:kern w:val="0"/>
          <w:szCs w:val="21"/>
          <w:highlight w:val="none"/>
        </w:rPr>
      </w:pPr>
      <w:r>
        <w:rPr>
          <w:rFonts w:hint="eastAsia"/>
          <w:color w:val="auto"/>
          <w:kern w:val="0"/>
          <w:szCs w:val="21"/>
          <w:highlight w:val="none"/>
        </w:rPr>
        <w:t>合同履约期限：</w:t>
      </w:r>
      <w:r>
        <w:rPr>
          <w:rFonts w:hint="eastAsia" w:ascii="宋体" w:hAnsi="宋体" w:cs="宋体"/>
          <w:color w:val="auto"/>
          <w:szCs w:val="21"/>
          <w:highlight w:val="none"/>
        </w:rPr>
        <w:t>签订合同之日起30日历天内交货安装调试验收完成并交付使用</w:t>
      </w:r>
      <w:r>
        <w:rPr>
          <w:rFonts w:hint="eastAsia"/>
          <w:color w:val="auto"/>
          <w:kern w:val="0"/>
          <w:szCs w:val="21"/>
          <w:highlight w:val="none"/>
        </w:rPr>
        <w:t>。</w:t>
      </w:r>
    </w:p>
    <w:p w14:paraId="59A3B1FF">
      <w:pPr>
        <w:spacing w:line="312" w:lineRule="auto"/>
        <w:ind w:firstLine="735" w:firstLineChars="350"/>
        <w:jc w:val="left"/>
        <w:rPr>
          <w:color w:val="auto"/>
          <w:kern w:val="0"/>
          <w:szCs w:val="21"/>
          <w:highlight w:val="none"/>
        </w:rPr>
      </w:pPr>
      <w:r>
        <w:rPr>
          <w:color w:val="auto"/>
          <w:kern w:val="0"/>
          <w:szCs w:val="21"/>
          <w:highlight w:val="none"/>
        </w:rPr>
        <w:t>本项目</w:t>
      </w:r>
      <w:r>
        <w:rPr>
          <w:rFonts w:hint="eastAsia"/>
          <w:color w:val="auto"/>
          <w:kern w:val="0"/>
          <w:szCs w:val="21"/>
          <w:highlight w:val="none"/>
        </w:rPr>
        <w:t>（</w:t>
      </w:r>
      <w:r>
        <w:rPr>
          <w:rFonts w:hint="eastAsia"/>
          <w:color w:val="auto"/>
          <w:szCs w:val="21"/>
          <w:highlight w:val="none"/>
        </w:rPr>
        <w:t>否</w:t>
      </w:r>
      <w:r>
        <w:rPr>
          <w:rFonts w:hint="eastAsia"/>
          <w:color w:val="auto"/>
          <w:kern w:val="0"/>
          <w:szCs w:val="21"/>
          <w:highlight w:val="none"/>
        </w:rPr>
        <w:t>）接受</w:t>
      </w:r>
      <w:r>
        <w:rPr>
          <w:color w:val="auto"/>
          <w:kern w:val="0"/>
          <w:szCs w:val="21"/>
          <w:highlight w:val="none"/>
        </w:rPr>
        <w:t>联合体。</w:t>
      </w:r>
    </w:p>
    <w:p w14:paraId="045EAE2C">
      <w:pPr>
        <w:spacing w:line="312" w:lineRule="auto"/>
        <w:ind w:firstLine="735" w:firstLineChars="350"/>
        <w:jc w:val="left"/>
        <w:rPr>
          <w:rFonts w:hint="eastAsia"/>
          <w:color w:val="auto"/>
          <w:kern w:val="0"/>
          <w:szCs w:val="21"/>
          <w:highlight w:val="none"/>
        </w:rPr>
      </w:pPr>
      <w:r>
        <w:rPr>
          <w:rFonts w:hint="eastAsia"/>
          <w:color w:val="auto"/>
          <w:kern w:val="0"/>
          <w:szCs w:val="21"/>
          <w:highlight w:val="none"/>
        </w:rPr>
        <w:t>备注：无</w:t>
      </w:r>
    </w:p>
    <w:p w14:paraId="3FA4A727">
      <w:pPr>
        <w:spacing w:line="312" w:lineRule="auto"/>
        <w:ind w:firstLine="442" w:firstLineChars="200"/>
        <w:jc w:val="left"/>
        <w:rPr>
          <w:rFonts w:hint="eastAsia"/>
          <w:b/>
          <w:bCs/>
          <w:color w:val="auto"/>
          <w:kern w:val="0"/>
          <w:sz w:val="22"/>
          <w:szCs w:val="22"/>
          <w:highlight w:val="none"/>
        </w:rPr>
      </w:pPr>
      <w:r>
        <w:rPr>
          <w:rFonts w:hint="eastAsia"/>
          <w:b/>
          <w:bCs/>
          <w:color w:val="auto"/>
          <w:kern w:val="0"/>
          <w:sz w:val="22"/>
          <w:szCs w:val="22"/>
          <w:highlight w:val="none"/>
        </w:rPr>
        <w:t>二、申请人的资格要求</w:t>
      </w:r>
    </w:p>
    <w:p w14:paraId="4FFE495E">
      <w:pPr>
        <w:spacing w:line="312" w:lineRule="auto"/>
        <w:ind w:firstLine="420" w:firstLineChars="200"/>
        <w:jc w:val="left"/>
        <w:rPr>
          <w:color w:val="auto"/>
          <w:szCs w:val="21"/>
          <w:highlight w:val="none"/>
        </w:rPr>
      </w:pPr>
      <w:r>
        <w:rPr>
          <w:color w:val="auto"/>
          <w:kern w:val="0"/>
          <w:szCs w:val="21"/>
          <w:highlight w:val="none"/>
        </w:rPr>
        <w:t>1</w:t>
      </w:r>
      <w:r>
        <w:rPr>
          <w:rFonts w:hint="eastAsia"/>
          <w:color w:val="auto"/>
          <w:kern w:val="0"/>
          <w:szCs w:val="21"/>
          <w:highlight w:val="none"/>
        </w:rPr>
        <w:t>.满足</w:t>
      </w:r>
      <w:r>
        <w:rPr>
          <w:color w:val="auto"/>
          <w:kern w:val="0"/>
          <w:szCs w:val="21"/>
          <w:highlight w:val="none"/>
        </w:rPr>
        <w:t>《中华人民共和国政府采购法》第二十二条规定；</w:t>
      </w:r>
      <w:r>
        <w:rPr>
          <w:color w:val="auto"/>
          <w:szCs w:val="21"/>
          <w:highlight w:val="none"/>
        </w:rPr>
        <w:t xml:space="preserve"> </w:t>
      </w:r>
    </w:p>
    <w:p w14:paraId="67994456">
      <w:pPr>
        <w:spacing w:line="312" w:lineRule="auto"/>
        <w:ind w:firstLine="420" w:firstLineChars="200"/>
        <w:jc w:val="left"/>
        <w:rPr>
          <w:rFonts w:hint="eastAsia"/>
          <w:color w:val="auto"/>
          <w:szCs w:val="21"/>
          <w:highlight w:val="none"/>
          <w:lang w:eastAsia="zh-CN"/>
        </w:rPr>
      </w:pPr>
      <w:r>
        <w:rPr>
          <w:rFonts w:hint="eastAsia"/>
          <w:color w:val="auto"/>
          <w:szCs w:val="21"/>
          <w:highlight w:val="none"/>
        </w:rPr>
        <w:t>2.落实政府采购政策需满足的资格要求：本分标属于专门面向中小企业采购的项目，货物制造商应为中小微企业或监狱企业或残疾人福利性单位</w:t>
      </w:r>
      <w:r>
        <w:rPr>
          <w:rFonts w:hint="eastAsia"/>
          <w:color w:val="auto"/>
          <w:szCs w:val="21"/>
          <w:highlight w:val="none"/>
          <w:lang w:eastAsia="zh-CN"/>
        </w:rPr>
        <w:t>。</w:t>
      </w:r>
    </w:p>
    <w:p w14:paraId="1B9484B6">
      <w:pPr>
        <w:spacing w:line="312" w:lineRule="auto"/>
        <w:ind w:firstLine="420" w:firstLineChars="200"/>
        <w:jc w:val="left"/>
        <w:rPr>
          <w:rFonts w:hint="eastAsia"/>
          <w:color w:val="auto"/>
          <w:kern w:val="0"/>
          <w:szCs w:val="21"/>
          <w:highlight w:val="none"/>
        </w:rPr>
      </w:pPr>
      <w:r>
        <w:rPr>
          <w:color w:val="auto"/>
          <w:kern w:val="0"/>
          <w:szCs w:val="21"/>
          <w:highlight w:val="none"/>
        </w:rPr>
        <w:t>3</w:t>
      </w:r>
      <w:r>
        <w:rPr>
          <w:rFonts w:hint="eastAsia"/>
          <w:color w:val="auto"/>
          <w:kern w:val="0"/>
          <w:szCs w:val="21"/>
          <w:highlight w:val="none"/>
        </w:rPr>
        <w:t>.本项目的</w:t>
      </w:r>
      <w:r>
        <w:rPr>
          <w:color w:val="auto"/>
          <w:kern w:val="0"/>
          <w:szCs w:val="21"/>
          <w:highlight w:val="none"/>
        </w:rPr>
        <w:t>特定资格</w:t>
      </w:r>
      <w:r>
        <w:rPr>
          <w:rFonts w:hint="eastAsia"/>
          <w:color w:val="auto"/>
          <w:kern w:val="0"/>
          <w:szCs w:val="21"/>
          <w:highlight w:val="none"/>
        </w:rPr>
        <w:t>要求</w:t>
      </w:r>
      <w:r>
        <w:rPr>
          <w:color w:val="auto"/>
          <w:kern w:val="0"/>
          <w:szCs w:val="21"/>
          <w:highlight w:val="none"/>
        </w:rPr>
        <w:t>：</w:t>
      </w:r>
    </w:p>
    <w:p w14:paraId="48C8E8A1">
      <w:pPr>
        <w:spacing w:line="312" w:lineRule="auto"/>
        <w:ind w:firstLine="420" w:firstLineChars="200"/>
        <w:jc w:val="left"/>
        <w:rPr>
          <w:rFonts w:hint="eastAsia"/>
          <w:color w:val="auto"/>
          <w:kern w:val="0"/>
          <w:szCs w:val="21"/>
          <w:highlight w:val="none"/>
        </w:rPr>
      </w:pPr>
      <w:r>
        <w:rPr>
          <w:color w:val="auto"/>
          <w:kern w:val="0"/>
          <w:szCs w:val="21"/>
          <w:highlight w:val="none"/>
        </w:rPr>
        <w:t>（1）资质要求：</w:t>
      </w:r>
      <w:r>
        <w:rPr>
          <w:rFonts w:hint="eastAsia"/>
          <w:color w:val="auto"/>
          <w:kern w:val="0"/>
          <w:szCs w:val="21"/>
          <w:highlight w:val="none"/>
        </w:rPr>
        <w:t>具备行业主管部门颁发有效的《医疗器械经营许可证》或按《医疗器械经营监督管理办法》医疗器械分类管理要求具有有效的医疗器械经营备案凭证或许可证。</w:t>
      </w:r>
    </w:p>
    <w:p w14:paraId="70E30631">
      <w:pPr>
        <w:spacing w:line="312" w:lineRule="auto"/>
        <w:ind w:firstLine="420" w:firstLineChars="200"/>
        <w:jc w:val="left"/>
        <w:rPr>
          <w:rFonts w:hint="eastAsia"/>
          <w:color w:val="auto"/>
          <w:kern w:val="0"/>
          <w:szCs w:val="21"/>
          <w:highlight w:val="none"/>
        </w:rPr>
      </w:pPr>
      <w:r>
        <w:rPr>
          <w:color w:val="auto"/>
          <w:kern w:val="0"/>
          <w:szCs w:val="21"/>
          <w:highlight w:val="none"/>
        </w:rPr>
        <w:t>（2）业绩要求：</w:t>
      </w:r>
      <w:r>
        <w:rPr>
          <w:rFonts w:hint="eastAsia"/>
          <w:color w:val="auto"/>
          <w:kern w:val="0"/>
          <w:szCs w:val="21"/>
          <w:highlight w:val="none"/>
        </w:rPr>
        <w:t>无</w:t>
      </w:r>
    </w:p>
    <w:p w14:paraId="4565BED5">
      <w:pPr>
        <w:spacing w:line="312" w:lineRule="auto"/>
        <w:ind w:firstLine="420" w:firstLineChars="200"/>
        <w:jc w:val="left"/>
        <w:rPr>
          <w:color w:val="auto"/>
          <w:kern w:val="0"/>
          <w:szCs w:val="21"/>
          <w:highlight w:val="none"/>
        </w:rPr>
      </w:pPr>
      <w:r>
        <w:rPr>
          <w:rFonts w:hint="eastAsia"/>
          <w:color w:val="auto"/>
          <w:kern w:val="0"/>
          <w:szCs w:val="21"/>
          <w:highlight w:val="none"/>
        </w:rPr>
        <w:t>（</w:t>
      </w:r>
      <w:r>
        <w:rPr>
          <w:color w:val="auto"/>
          <w:kern w:val="0"/>
          <w:szCs w:val="21"/>
          <w:highlight w:val="none"/>
        </w:rPr>
        <w:t>3</w:t>
      </w:r>
      <w:r>
        <w:rPr>
          <w:rFonts w:hint="eastAsia"/>
          <w:color w:val="auto"/>
          <w:kern w:val="0"/>
          <w:szCs w:val="21"/>
          <w:highlight w:val="none"/>
        </w:rPr>
        <w:t>）</w:t>
      </w:r>
      <w:r>
        <w:rPr>
          <w:color w:val="auto"/>
          <w:kern w:val="0"/>
          <w:szCs w:val="21"/>
          <w:highlight w:val="none"/>
        </w:rPr>
        <w:t>单位负责人为同一人或者存在直接控股、管理关系的不同供应商，不得参加本项目同一合同项下的政府采购活动。为本项目提供整体设计、规范编制或者项目管理、监理、检测等服务的供应商，不得再参加</w:t>
      </w:r>
      <w:r>
        <w:rPr>
          <w:rFonts w:hint="eastAsia"/>
          <w:color w:val="auto"/>
          <w:kern w:val="0"/>
          <w:szCs w:val="21"/>
          <w:highlight w:val="none"/>
        </w:rPr>
        <w:t>本</w:t>
      </w:r>
      <w:r>
        <w:rPr>
          <w:color w:val="auto"/>
          <w:kern w:val="0"/>
          <w:szCs w:val="21"/>
          <w:highlight w:val="none"/>
        </w:rPr>
        <w:t>项目的采购活动</w:t>
      </w:r>
      <w:r>
        <w:rPr>
          <w:rFonts w:hint="eastAsia"/>
          <w:color w:val="auto"/>
          <w:kern w:val="0"/>
          <w:szCs w:val="21"/>
          <w:highlight w:val="none"/>
        </w:rPr>
        <w:t>。</w:t>
      </w:r>
    </w:p>
    <w:p w14:paraId="7A837D7B">
      <w:pPr>
        <w:spacing w:line="312" w:lineRule="auto"/>
        <w:ind w:firstLine="420" w:firstLineChars="200"/>
        <w:jc w:val="left"/>
        <w:rPr>
          <w:color w:val="auto"/>
          <w:kern w:val="0"/>
          <w:szCs w:val="21"/>
          <w:highlight w:val="none"/>
        </w:rPr>
      </w:pPr>
      <w:r>
        <w:rPr>
          <w:rFonts w:hint="eastAsia"/>
          <w:color w:val="auto"/>
          <w:kern w:val="0"/>
          <w:szCs w:val="21"/>
          <w:highlight w:val="none"/>
        </w:rPr>
        <w:t>（</w:t>
      </w:r>
      <w:r>
        <w:rPr>
          <w:color w:val="auto"/>
          <w:kern w:val="0"/>
          <w:szCs w:val="21"/>
          <w:highlight w:val="none"/>
        </w:rPr>
        <w:t>4</w:t>
      </w:r>
      <w:r>
        <w:rPr>
          <w:rFonts w:hint="eastAsia"/>
          <w:color w:val="auto"/>
          <w:kern w:val="0"/>
          <w:szCs w:val="21"/>
          <w:highlight w:val="none"/>
        </w:rPr>
        <w:t>）</w:t>
      </w:r>
      <w:r>
        <w:rPr>
          <w:color w:val="auto"/>
          <w:kern w:val="0"/>
          <w:szCs w:val="21"/>
          <w:highlight w:val="none"/>
        </w:rPr>
        <w:t>未被列入失信被执行人、重大税收违法失信主体、政府采购严重违法失信行为记录名单。</w:t>
      </w:r>
    </w:p>
    <w:p w14:paraId="26313AF2">
      <w:pPr>
        <w:spacing w:line="312" w:lineRule="auto"/>
        <w:ind w:firstLine="420" w:firstLineChars="200"/>
        <w:jc w:val="left"/>
        <w:rPr>
          <w:rFonts w:hint="eastAsia"/>
          <w:color w:val="auto"/>
          <w:kern w:val="0"/>
          <w:szCs w:val="21"/>
          <w:highlight w:val="none"/>
        </w:rPr>
      </w:pPr>
      <w:r>
        <w:rPr>
          <w:rFonts w:hint="eastAsia"/>
          <w:color w:val="auto"/>
          <w:kern w:val="0"/>
          <w:szCs w:val="21"/>
          <w:highlight w:val="none"/>
        </w:rPr>
        <w:t>（5）本项目（不允许）分公司参与响应。</w:t>
      </w:r>
    </w:p>
    <w:p w14:paraId="10F7136A">
      <w:pPr>
        <w:spacing w:line="312" w:lineRule="auto"/>
        <w:ind w:firstLine="420" w:firstLineChars="200"/>
        <w:jc w:val="left"/>
        <w:rPr>
          <w:color w:val="auto"/>
          <w:kern w:val="0"/>
          <w:szCs w:val="21"/>
          <w:highlight w:val="none"/>
        </w:rPr>
      </w:pPr>
      <w:bookmarkStart w:id="16" w:name="_Hlk132732817"/>
      <w:r>
        <w:rPr>
          <w:rFonts w:hint="eastAsia"/>
          <w:color w:val="auto"/>
          <w:szCs w:val="21"/>
          <w:highlight w:val="none"/>
        </w:rPr>
        <w:t>（</w:t>
      </w:r>
      <w:r>
        <w:rPr>
          <w:color w:val="auto"/>
          <w:szCs w:val="21"/>
          <w:highlight w:val="none"/>
        </w:rPr>
        <w:t>6</w:t>
      </w:r>
      <w:r>
        <w:rPr>
          <w:rFonts w:hint="eastAsia"/>
          <w:color w:val="auto"/>
          <w:szCs w:val="21"/>
          <w:highlight w:val="none"/>
        </w:rPr>
        <w:t>）</w:t>
      </w:r>
      <w:r>
        <w:rPr>
          <w:rFonts w:hint="eastAsia"/>
          <w:color w:val="auto"/>
          <w:kern w:val="0"/>
          <w:szCs w:val="21"/>
          <w:highlight w:val="none"/>
        </w:rPr>
        <w:t>本项目（不允许）分包。</w:t>
      </w:r>
    </w:p>
    <w:p w14:paraId="13E8BCC7">
      <w:pPr>
        <w:spacing w:line="312" w:lineRule="auto"/>
        <w:ind w:firstLine="420" w:firstLineChars="200"/>
        <w:jc w:val="left"/>
        <w:rPr>
          <w:rFonts w:hint="eastAsia"/>
          <w:color w:val="auto"/>
          <w:szCs w:val="21"/>
          <w:highlight w:val="none"/>
        </w:rPr>
      </w:pPr>
      <w:r>
        <w:rPr>
          <w:rFonts w:hint="eastAsia"/>
          <w:color w:val="auto"/>
          <w:kern w:val="0"/>
          <w:szCs w:val="21"/>
          <w:highlight w:val="none"/>
        </w:rPr>
        <w:t>（</w:t>
      </w:r>
      <w:r>
        <w:rPr>
          <w:color w:val="auto"/>
          <w:kern w:val="0"/>
          <w:szCs w:val="21"/>
          <w:highlight w:val="none"/>
        </w:rPr>
        <w:t>7</w:t>
      </w:r>
      <w:r>
        <w:rPr>
          <w:rFonts w:hint="eastAsia"/>
          <w:color w:val="auto"/>
          <w:kern w:val="0"/>
          <w:szCs w:val="21"/>
          <w:highlight w:val="none"/>
        </w:rPr>
        <w:t>）</w:t>
      </w:r>
      <w:r>
        <w:rPr>
          <w:color w:val="auto"/>
          <w:kern w:val="0"/>
          <w:szCs w:val="21"/>
          <w:highlight w:val="none"/>
        </w:rPr>
        <w:t>本项目</w:t>
      </w:r>
      <w:r>
        <w:rPr>
          <w:rFonts w:hint="eastAsia"/>
          <w:color w:val="auto"/>
          <w:kern w:val="0"/>
          <w:szCs w:val="21"/>
          <w:highlight w:val="none"/>
        </w:rPr>
        <w:t>（</w:t>
      </w:r>
      <w:r>
        <w:rPr>
          <w:color w:val="auto"/>
          <w:kern w:val="0"/>
          <w:szCs w:val="21"/>
          <w:highlight w:val="none"/>
        </w:rPr>
        <w:t>不接受</w:t>
      </w:r>
      <w:r>
        <w:rPr>
          <w:rFonts w:hint="eastAsia"/>
          <w:color w:val="auto"/>
          <w:kern w:val="0"/>
          <w:szCs w:val="21"/>
          <w:highlight w:val="none"/>
        </w:rPr>
        <w:t>）</w:t>
      </w:r>
      <w:r>
        <w:rPr>
          <w:color w:val="auto"/>
          <w:kern w:val="0"/>
          <w:szCs w:val="21"/>
          <w:highlight w:val="none"/>
        </w:rPr>
        <w:t>联合体。</w:t>
      </w:r>
      <w:bookmarkEnd w:id="16"/>
    </w:p>
    <w:p w14:paraId="761BA2BE">
      <w:pPr>
        <w:spacing w:line="312" w:lineRule="auto"/>
        <w:ind w:firstLine="420" w:firstLineChars="200"/>
        <w:jc w:val="left"/>
        <w:rPr>
          <w:rFonts w:hint="eastAsia"/>
          <w:color w:val="auto"/>
          <w:kern w:val="0"/>
          <w:szCs w:val="21"/>
          <w:highlight w:val="none"/>
        </w:rPr>
      </w:pPr>
      <w:r>
        <w:rPr>
          <w:rFonts w:hint="eastAsia"/>
          <w:color w:val="auto"/>
          <w:kern w:val="0"/>
          <w:szCs w:val="21"/>
          <w:highlight w:val="none"/>
        </w:rPr>
        <w:t>（</w:t>
      </w:r>
      <w:r>
        <w:rPr>
          <w:color w:val="auto"/>
          <w:kern w:val="0"/>
          <w:szCs w:val="21"/>
          <w:highlight w:val="none"/>
        </w:rPr>
        <w:t>8</w:t>
      </w:r>
      <w:r>
        <w:rPr>
          <w:rFonts w:hint="eastAsia"/>
          <w:color w:val="auto"/>
          <w:kern w:val="0"/>
          <w:szCs w:val="21"/>
          <w:highlight w:val="none"/>
        </w:rPr>
        <w:t>）</w:t>
      </w:r>
      <w:r>
        <w:rPr>
          <w:color w:val="auto"/>
          <w:kern w:val="0"/>
          <w:szCs w:val="21"/>
          <w:highlight w:val="none"/>
        </w:rPr>
        <w:t>按照</w:t>
      </w:r>
      <w:r>
        <w:rPr>
          <w:rFonts w:hint="eastAsia"/>
          <w:color w:val="auto"/>
          <w:highlight w:val="none"/>
        </w:rPr>
        <w:t>谈判</w:t>
      </w:r>
      <w:r>
        <w:rPr>
          <w:color w:val="auto"/>
          <w:kern w:val="0"/>
          <w:szCs w:val="21"/>
          <w:highlight w:val="none"/>
        </w:rPr>
        <w:t>公告的规定获得</w:t>
      </w:r>
      <w:r>
        <w:rPr>
          <w:rFonts w:hint="eastAsia"/>
          <w:color w:val="auto"/>
          <w:highlight w:val="none"/>
        </w:rPr>
        <w:t>采购文件</w:t>
      </w:r>
      <w:r>
        <w:rPr>
          <w:color w:val="auto"/>
          <w:kern w:val="0"/>
          <w:szCs w:val="21"/>
          <w:highlight w:val="none"/>
        </w:rPr>
        <w:t>。</w:t>
      </w:r>
    </w:p>
    <w:p w14:paraId="20264053">
      <w:pPr>
        <w:spacing w:line="312" w:lineRule="auto"/>
        <w:ind w:firstLine="442" w:firstLineChars="200"/>
        <w:jc w:val="left"/>
        <w:rPr>
          <w:rFonts w:hint="eastAsia"/>
          <w:b/>
          <w:bCs/>
          <w:color w:val="auto"/>
          <w:kern w:val="0"/>
          <w:sz w:val="22"/>
          <w:szCs w:val="22"/>
          <w:highlight w:val="none"/>
        </w:rPr>
      </w:pPr>
      <w:r>
        <w:rPr>
          <w:rFonts w:hint="eastAsia"/>
          <w:b/>
          <w:bCs/>
          <w:color w:val="auto"/>
          <w:kern w:val="0"/>
          <w:sz w:val="22"/>
          <w:szCs w:val="22"/>
          <w:highlight w:val="none"/>
        </w:rPr>
        <w:t>三、获取采购文件</w:t>
      </w:r>
    </w:p>
    <w:p w14:paraId="60B6C284">
      <w:pPr>
        <w:spacing w:line="312" w:lineRule="auto"/>
        <w:ind w:firstLine="420" w:firstLineChars="200"/>
        <w:jc w:val="left"/>
        <w:rPr>
          <w:color w:val="auto"/>
          <w:highlight w:val="none"/>
        </w:rPr>
      </w:pPr>
      <w:r>
        <w:rPr>
          <w:rFonts w:hint="eastAsia"/>
          <w:color w:val="auto"/>
          <w:highlight w:val="none"/>
        </w:rPr>
        <w:t>时间：</w:t>
      </w:r>
      <w:bookmarkStart w:id="17" w:name="_Hlk89179551"/>
      <w:r>
        <w:rPr>
          <w:color w:val="auto"/>
          <w:highlight w:val="none"/>
          <w:u w:val="single"/>
        </w:rPr>
        <w:t>20</w:t>
      </w:r>
      <w:r>
        <w:rPr>
          <w:rFonts w:hint="eastAsia"/>
          <w:color w:val="auto"/>
          <w:highlight w:val="none"/>
          <w:u w:val="single"/>
        </w:rPr>
        <w:t>2</w:t>
      </w:r>
      <w:r>
        <w:rPr>
          <w:color w:val="auto"/>
          <w:highlight w:val="none"/>
          <w:u w:val="single"/>
        </w:rPr>
        <w:t>5</w:t>
      </w:r>
      <w:r>
        <w:rPr>
          <w:rFonts w:hint="eastAsia"/>
          <w:color w:val="auto"/>
          <w:highlight w:val="none"/>
          <w:u w:val="single"/>
        </w:rPr>
        <w:t>年</w:t>
      </w:r>
      <w:r>
        <w:rPr>
          <w:rFonts w:hint="eastAsia"/>
          <w:color w:val="auto"/>
          <w:highlight w:val="none"/>
          <w:u w:val="single"/>
          <w:lang w:val="en-US" w:eastAsia="zh-CN"/>
        </w:rPr>
        <w:t>11</w:t>
      </w:r>
      <w:r>
        <w:rPr>
          <w:rFonts w:hint="eastAsia"/>
          <w:color w:val="auto"/>
          <w:highlight w:val="none"/>
          <w:u w:val="single"/>
        </w:rPr>
        <w:t>月</w:t>
      </w:r>
      <w:r>
        <w:rPr>
          <w:rFonts w:hint="eastAsia"/>
          <w:color w:val="auto"/>
          <w:highlight w:val="none"/>
          <w:u w:val="single"/>
          <w:lang w:val="en-US" w:eastAsia="zh-CN"/>
        </w:rPr>
        <w:t>12</w:t>
      </w:r>
      <w:r>
        <w:rPr>
          <w:rFonts w:hint="eastAsia"/>
          <w:color w:val="auto"/>
          <w:highlight w:val="none"/>
          <w:u w:val="single"/>
        </w:rPr>
        <w:t>日起至</w:t>
      </w:r>
      <w:r>
        <w:rPr>
          <w:color w:val="auto"/>
          <w:highlight w:val="none"/>
          <w:u w:val="single"/>
        </w:rPr>
        <w:t>20</w:t>
      </w:r>
      <w:r>
        <w:rPr>
          <w:rFonts w:hint="eastAsia"/>
          <w:color w:val="auto"/>
          <w:highlight w:val="none"/>
          <w:u w:val="single"/>
        </w:rPr>
        <w:t>2</w:t>
      </w:r>
      <w:r>
        <w:rPr>
          <w:color w:val="auto"/>
          <w:highlight w:val="none"/>
          <w:u w:val="single"/>
        </w:rPr>
        <w:t>5</w:t>
      </w:r>
      <w:r>
        <w:rPr>
          <w:rFonts w:hint="eastAsia"/>
          <w:color w:val="auto"/>
          <w:highlight w:val="none"/>
          <w:u w:val="single"/>
        </w:rPr>
        <w:t>年</w:t>
      </w:r>
      <w:r>
        <w:rPr>
          <w:rFonts w:hint="eastAsia"/>
          <w:color w:val="auto"/>
          <w:highlight w:val="none"/>
          <w:u w:val="single"/>
          <w:lang w:val="en-US" w:eastAsia="zh-CN"/>
        </w:rPr>
        <w:t>11</w:t>
      </w:r>
      <w:r>
        <w:rPr>
          <w:rFonts w:hint="eastAsia"/>
          <w:color w:val="auto"/>
          <w:highlight w:val="none"/>
          <w:u w:val="single"/>
        </w:rPr>
        <w:t>月</w:t>
      </w:r>
      <w:r>
        <w:rPr>
          <w:rFonts w:hint="eastAsia"/>
          <w:color w:val="auto"/>
          <w:highlight w:val="none"/>
          <w:u w:val="single"/>
          <w:lang w:val="en-US" w:eastAsia="zh-CN"/>
        </w:rPr>
        <w:t>17</w:t>
      </w:r>
      <w:r>
        <w:rPr>
          <w:rFonts w:hint="eastAsia"/>
          <w:color w:val="auto"/>
          <w:highlight w:val="none"/>
          <w:u w:val="single"/>
        </w:rPr>
        <w:t>日</w:t>
      </w:r>
      <w:r>
        <w:rPr>
          <w:rFonts w:hint="eastAsia"/>
          <w:color w:val="auto"/>
          <w:highlight w:val="none"/>
        </w:rPr>
        <w:t>，每天上午</w:t>
      </w:r>
      <w:bookmarkEnd w:id="17"/>
      <w:r>
        <w:rPr>
          <w:color w:val="auto"/>
          <w:highlight w:val="none"/>
          <w:u w:val="single"/>
        </w:rPr>
        <w:t>00</w:t>
      </w:r>
      <w:r>
        <w:rPr>
          <w:rFonts w:hint="eastAsia"/>
          <w:color w:val="auto"/>
          <w:highlight w:val="none"/>
          <w:u w:val="single"/>
        </w:rPr>
        <w:t>时</w:t>
      </w:r>
      <w:r>
        <w:rPr>
          <w:color w:val="auto"/>
          <w:highlight w:val="none"/>
          <w:u w:val="single"/>
        </w:rPr>
        <w:t>00</w:t>
      </w:r>
      <w:r>
        <w:rPr>
          <w:rFonts w:hint="eastAsia"/>
          <w:color w:val="auto"/>
          <w:highlight w:val="none"/>
          <w:u w:val="single"/>
        </w:rPr>
        <w:t>分至</w:t>
      </w:r>
      <w:r>
        <w:rPr>
          <w:color w:val="auto"/>
          <w:highlight w:val="none"/>
          <w:u w:val="single"/>
        </w:rPr>
        <w:t>12</w:t>
      </w:r>
      <w:r>
        <w:rPr>
          <w:rFonts w:hint="eastAsia"/>
          <w:color w:val="auto"/>
          <w:highlight w:val="none"/>
          <w:u w:val="single"/>
        </w:rPr>
        <w:t>时</w:t>
      </w:r>
      <w:r>
        <w:rPr>
          <w:color w:val="auto"/>
          <w:highlight w:val="none"/>
          <w:u w:val="single"/>
        </w:rPr>
        <w:t>00</w:t>
      </w:r>
      <w:r>
        <w:rPr>
          <w:rFonts w:hint="eastAsia"/>
          <w:color w:val="auto"/>
          <w:highlight w:val="none"/>
          <w:u w:val="single"/>
        </w:rPr>
        <w:t>分，下午</w:t>
      </w:r>
      <w:r>
        <w:rPr>
          <w:color w:val="auto"/>
          <w:highlight w:val="none"/>
          <w:u w:val="single"/>
        </w:rPr>
        <w:t>12</w:t>
      </w:r>
      <w:r>
        <w:rPr>
          <w:rFonts w:hint="eastAsia"/>
          <w:color w:val="auto"/>
          <w:highlight w:val="none"/>
          <w:u w:val="single"/>
        </w:rPr>
        <w:t>时</w:t>
      </w:r>
      <w:r>
        <w:rPr>
          <w:color w:val="auto"/>
          <w:highlight w:val="none"/>
          <w:u w:val="single"/>
        </w:rPr>
        <w:t>00</w:t>
      </w:r>
      <w:r>
        <w:rPr>
          <w:rFonts w:hint="eastAsia"/>
          <w:color w:val="auto"/>
          <w:highlight w:val="none"/>
          <w:u w:val="single"/>
        </w:rPr>
        <w:t>分至</w:t>
      </w:r>
      <w:r>
        <w:rPr>
          <w:color w:val="auto"/>
          <w:highlight w:val="none"/>
          <w:u w:val="single"/>
        </w:rPr>
        <w:t>23</w:t>
      </w:r>
      <w:r>
        <w:rPr>
          <w:rFonts w:hint="eastAsia"/>
          <w:color w:val="auto"/>
          <w:highlight w:val="none"/>
          <w:u w:val="single"/>
        </w:rPr>
        <w:t>时59分</w:t>
      </w:r>
      <w:r>
        <w:rPr>
          <w:rFonts w:hint="eastAsia"/>
          <w:color w:val="auto"/>
          <w:highlight w:val="none"/>
        </w:rPr>
        <w:t>（北京时间，法定节假日除外）。</w:t>
      </w:r>
    </w:p>
    <w:p w14:paraId="5808A870">
      <w:pPr>
        <w:spacing w:line="312" w:lineRule="auto"/>
        <w:ind w:firstLine="420" w:firstLineChars="200"/>
        <w:jc w:val="left"/>
        <w:rPr>
          <w:color w:val="auto"/>
          <w:szCs w:val="21"/>
          <w:highlight w:val="none"/>
        </w:rPr>
      </w:pPr>
      <w:bookmarkStart w:id="18" w:name="_Hlk89179558"/>
      <w:r>
        <w:rPr>
          <w:rFonts w:hint="eastAsia"/>
          <w:color w:val="auto"/>
          <w:highlight w:val="none"/>
        </w:rPr>
        <w:t>地点（网址）：</w:t>
      </w:r>
      <w:r>
        <w:rPr>
          <w:rFonts w:hint="eastAsia"/>
          <w:color w:val="auto"/>
          <w:szCs w:val="21"/>
          <w:highlight w:val="none"/>
        </w:rPr>
        <w:t xml:space="preserve">广西政府采购云平台 </w:t>
      </w:r>
      <w:bookmarkStart w:id="19" w:name="_Hlk160186238"/>
      <w:r>
        <w:rPr>
          <w:rFonts w:hint="eastAsia"/>
          <w:color w:val="auto"/>
          <w:szCs w:val="21"/>
          <w:highlight w:val="none"/>
        </w:rPr>
        <w:t>（</w:t>
      </w:r>
      <w:r>
        <w:rPr>
          <w:color w:val="auto"/>
          <w:szCs w:val="21"/>
          <w:highlight w:val="none"/>
        </w:rPr>
        <w:fldChar w:fldCharType="begin"/>
      </w:r>
      <w:r>
        <w:rPr>
          <w:color w:val="auto"/>
          <w:szCs w:val="21"/>
          <w:highlight w:val="none"/>
        </w:rPr>
        <w:instrText xml:space="preserve"> HYPERLINK "https://www.gcy.zfcg.gxzf.gov.cn/" </w:instrText>
      </w:r>
      <w:r>
        <w:rPr>
          <w:color w:val="auto"/>
          <w:szCs w:val="21"/>
          <w:highlight w:val="none"/>
        </w:rPr>
        <w:fldChar w:fldCharType="separate"/>
      </w:r>
      <w:r>
        <w:rPr>
          <w:rStyle w:val="57"/>
          <w:color w:val="auto"/>
          <w:szCs w:val="21"/>
          <w:highlight w:val="none"/>
        </w:rPr>
        <w:t>https://www.gcy.zfcg.gxzf.gov.cn/</w:t>
      </w:r>
      <w:r>
        <w:rPr>
          <w:color w:val="auto"/>
          <w:szCs w:val="21"/>
          <w:highlight w:val="none"/>
        </w:rPr>
        <w:fldChar w:fldCharType="end"/>
      </w:r>
      <w:r>
        <w:rPr>
          <w:rFonts w:hint="eastAsia"/>
          <w:color w:val="auto"/>
          <w:szCs w:val="21"/>
          <w:highlight w:val="none"/>
        </w:rPr>
        <w:t>）</w:t>
      </w:r>
      <w:bookmarkEnd w:id="19"/>
    </w:p>
    <w:p w14:paraId="57AA1649">
      <w:pPr>
        <w:spacing w:line="312" w:lineRule="auto"/>
        <w:ind w:firstLine="420" w:firstLineChars="200"/>
        <w:jc w:val="left"/>
        <w:rPr>
          <w:color w:val="auto"/>
          <w:highlight w:val="none"/>
        </w:rPr>
      </w:pPr>
      <w:r>
        <w:rPr>
          <w:rFonts w:hint="eastAsia"/>
          <w:color w:val="auto"/>
          <w:szCs w:val="21"/>
          <w:highlight w:val="none"/>
        </w:rPr>
        <w:t>方式：供应商登录广西政府采购云平台在线申请获取采购文件（进入“项目采购”应用，在获取采购文件菜单中选择项目，申请获取采购文件）</w:t>
      </w:r>
      <w:r>
        <w:rPr>
          <w:color w:val="auto"/>
          <w:highlight w:val="none"/>
        </w:rPr>
        <w:t xml:space="preserve"> </w:t>
      </w:r>
    </w:p>
    <w:p w14:paraId="65EAA876">
      <w:pPr>
        <w:spacing w:line="312" w:lineRule="auto"/>
        <w:ind w:firstLine="420" w:firstLineChars="200"/>
        <w:jc w:val="left"/>
        <w:rPr>
          <w:color w:val="auto"/>
          <w:highlight w:val="none"/>
        </w:rPr>
      </w:pPr>
      <w:r>
        <w:rPr>
          <w:rFonts w:hint="eastAsia"/>
          <w:color w:val="auto"/>
          <w:highlight w:val="none"/>
        </w:rPr>
        <w:t>售价（元）：</w:t>
      </w:r>
      <w:r>
        <w:rPr>
          <w:color w:val="auto"/>
          <w:highlight w:val="none"/>
        </w:rPr>
        <w:t>0</w:t>
      </w:r>
    </w:p>
    <w:bookmarkEnd w:id="18"/>
    <w:p w14:paraId="11768B96">
      <w:pPr>
        <w:spacing w:line="312" w:lineRule="auto"/>
        <w:ind w:firstLine="442" w:firstLineChars="200"/>
        <w:jc w:val="left"/>
        <w:rPr>
          <w:rFonts w:hint="eastAsia"/>
          <w:b/>
          <w:bCs/>
          <w:color w:val="auto"/>
          <w:kern w:val="0"/>
          <w:sz w:val="22"/>
          <w:szCs w:val="22"/>
          <w:highlight w:val="none"/>
        </w:rPr>
      </w:pPr>
      <w:r>
        <w:rPr>
          <w:rFonts w:hint="eastAsia"/>
          <w:b/>
          <w:bCs/>
          <w:color w:val="auto"/>
          <w:kern w:val="0"/>
          <w:sz w:val="22"/>
          <w:szCs w:val="22"/>
          <w:highlight w:val="none"/>
        </w:rPr>
        <w:t>四、响应文件提交</w:t>
      </w:r>
    </w:p>
    <w:p w14:paraId="499DD8DF">
      <w:pPr>
        <w:spacing w:line="312" w:lineRule="auto"/>
        <w:ind w:firstLine="420" w:firstLineChars="200"/>
        <w:jc w:val="left"/>
        <w:rPr>
          <w:color w:val="auto"/>
          <w:kern w:val="0"/>
          <w:szCs w:val="21"/>
          <w:highlight w:val="none"/>
        </w:rPr>
      </w:pPr>
      <w:bookmarkStart w:id="20" w:name="_Hlk89179584"/>
      <w:r>
        <w:rPr>
          <w:rFonts w:hint="eastAsia"/>
          <w:color w:val="auto"/>
          <w:kern w:val="0"/>
          <w:szCs w:val="21"/>
          <w:highlight w:val="none"/>
        </w:rPr>
        <w:t>截止时间：</w:t>
      </w:r>
      <w:r>
        <w:rPr>
          <w:rFonts w:hint="eastAsia"/>
          <w:color w:val="auto"/>
          <w:highlight w:val="none"/>
          <w:u w:val="single"/>
        </w:rPr>
        <w:t>2025年</w:t>
      </w:r>
      <w:r>
        <w:rPr>
          <w:rFonts w:hint="eastAsia"/>
          <w:color w:val="auto"/>
          <w:highlight w:val="none"/>
          <w:u w:val="single"/>
          <w:lang w:val="en-US" w:eastAsia="zh-CN"/>
        </w:rPr>
        <w:t>11</w:t>
      </w:r>
      <w:r>
        <w:rPr>
          <w:rFonts w:hint="eastAsia"/>
          <w:color w:val="auto"/>
          <w:highlight w:val="none"/>
          <w:u w:val="single"/>
        </w:rPr>
        <w:t>月</w:t>
      </w:r>
      <w:r>
        <w:rPr>
          <w:rFonts w:hint="eastAsia"/>
          <w:color w:val="auto"/>
          <w:highlight w:val="none"/>
          <w:u w:val="single"/>
          <w:lang w:val="en-US" w:eastAsia="zh-CN"/>
        </w:rPr>
        <w:t>18</w:t>
      </w:r>
      <w:r>
        <w:rPr>
          <w:rFonts w:hint="eastAsia"/>
          <w:color w:val="auto"/>
          <w:highlight w:val="none"/>
          <w:u w:val="single"/>
        </w:rPr>
        <w:t>日</w:t>
      </w:r>
      <w:r>
        <w:rPr>
          <w:rFonts w:hint="eastAsia"/>
          <w:color w:val="auto"/>
          <w:highlight w:val="none"/>
          <w:u w:val="single"/>
          <w:lang w:val="en-US" w:eastAsia="zh-CN"/>
        </w:rPr>
        <w:t>09</w:t>
      </w:r>
      <w:r>
        <w:rPr>
          <w:rFonts w:hint="eastAsia"/>
          <w:color w:val="auto"/>
          <w:highlight w:val="none"/>
          <w:u w:val="single"/>
        </w:rPr>
        <w:t>:</w:t>
      </w:r>
      <w:r>
        <w:rPr>
          <w:rFonts w:hint="eastAsia"/>
          <w:color w:val="auto"/>
          <w:highlight w:val="none"/>
          <w:u w:val="single"/>
          <w:lang w:val="en-US" w:eastAsia="zh-CN"/>
        </w:rPr>
        <w:t>3</w:t>
      </w:r>
      <w:r>
        <w:rPr>
          <w:rFonts w:hint="eastAsia"/>
          <w:color w:val="auto"/>
          <w:highlight w:val="none"/>
          <w:u w:val="single"/>
        </w:rPr>
        <w:t>0</w:t>
      </w:r>
      <w:r>
        <w:rPr>
          <w:rFonts w:hint="eastAsia"/>
          <w:color w:val="auto"/>
          <w:kern w:val="0"/>
          <w:szCs w:val="21"/>
          <w:highlight w:val="none"/>
        </w:rPr>
        <w:t>（北京时间）</w:t>
      </w:r>
    </w:p>
    <w:p w14:paraId="20409D35">
      <w:pPr>
        <w:spacing w:line="312" w:lineRule="auto"/>
        <w:ind w:firstLine="420" w:firstLineChars="200"/>
        <w:jc w:val="left"/>
        <w:rPr>
          <w:color w:val="auto"/>
          <w:kern w:val="0"/>
          <w:szCs w:val="21"/>
          <w:highlight w:val="none"/>
        </w:rPr>
      </w:pPr>
      <w:r>
        <w:rPr>
          <w:rFonts w:hint="eastAsia"/>
          <w:color w:val="auto"/>
          <w:kern w:val="0"/>
          <w:szCs w:val="21"/>
          <w:highlight w:val="none"/>
        </w:rPr>
        <w:t>地点（网址）：</w:t>
      </w:r>
      <w:r>
        <w:rPr>
          <w:rFonts w:hint="eastAsia"/>
          <w:color w:val="auto"/>
          <w:szCs w:val="21"/>
          <w:highlight w:val="none"/>
        </w:rPr>
        <w:t>本项目为全流程电子化项目，没有现场递交响应文件及现场截标环节，通过广西政府采购云平台（https://www.gcy.zfcg.gxzf.gov.cn/）实行在线电子响应，供应商应先安装广西政府采购云平台新版客户端（请自行前往广西政府采购网-办事服务-下载专区进行下载），并按照本项目采购文件和广西政府采购云平台的要求使用C</w:t>
      </w:r>
      <w:r>
        <w:rPr>
          <w:color w:val="auto"/>
          <w:szCs w:val="21"/>
          <w:highlight w:val="none"/>
        </w:rPr>
        <w:t>A</w:t>
      </w:r>
      <w:r>
        <w:rPr>
          <w:rFonts w:hint="eastAsia"/>
          <w:color w:val="auto"/>
          <w:szCs w:val="21"/>
          <w:highlight w:val="none"/>
        </w:rPr>
        <w:t xml:space="preserve">认证编制、加密响应文件后在响应截止时间前上传至广西政府采购云平台，供应商在广西政府采购云平台提交电子版响应文件时，请填写参加远程截标活动经办人联系方式。 </w:t>
      </w:r>
    </w:p>
    <w:bookmarkEnd w:id="20"/>
    <w:p w14:paraId="6F938B0D">
      <w:pPr>
        <w:spacing w:line="276" w:lineRule="auto"/>
        <w:ind w:firstLine="442" w:firstLineChars="200"/>
        <w:jc w:val="left"/>
        <w:rPr>
          <w:b/>
          <w:bCs/>
          <w:color w:val="auto"/>
          <w:kern w:val="0"/>
          <w:sz w:val="22"/>
          <w:szCs w:val="22"/>
          <w:highlight w:val="none"/>
        </w:rPr>
      </w:pPr>
      <w:r>
        <w:rPr>
          <w:rFonts w:hint="eastAsia"/>
          <w:b/>
          <w:bCs/>
          <w:color w:val="auto"/>
          <w:kern w:val="0"/>
          <w:sz w:val="22"/>
          <w:szCs w:val="22"/>
          <w:highlight w:val="none"/>
        </w:rPr>
        <w:t>五、开启</w:t>
      </w:r>
    </w:p>
    <w:p w14:paraId="435401CD">
      <w:pPr>
        <w:spacing w:line="276" w:lineRule="auto"/>
        <w:ind w:firstLine="442" w:firstLineChars="200"/>
        <w:jc w:val="left"/>
        <w:rPr>
          <w:color w:val="auto"/>
          <w:kern w:val="0"/>
          <w:szCs w:val="21"/>
          <w:highlight w:val="none"/>
        </w:rPr>
      </w:pPr>
      <w:bookmarkStart w:id="21" w:name="_Hlk89179592"/>
      <w:r>
        <w:rPr>
          <w:rFonts w:hint="eastAsia"/>
          <w:b/>
          <w:bCs/>
          <w:color w:val="auto"/>
          <w:kern w:val="0"/>
          <w:sz w:val="22"/>
          <w:szCs w:val="22"/>
          <w:highlight w:val="none"/>
        </w:rPr>
        <w:t>开启时间：</w:t>
      </w:r>
      <w:r>
        <w:rPr>
          <w:rFonts w:hint="eastAsia"/>
          <w:color w:val="auto"/>
          <w:highlight w:val="none"/>
          <w:u w:val="single"/>
        </w:rPr>
        <w:t>202</w:t>
      </w:r>
      <w:r>
        <w:rPr>
          <w:color w:val="auto"/>
          <w:highlight w:val="none"/>
          <w:u w:val="single"/>
        </w:rPr>
        <w:t>5</w:t>
      </w:r>
      <w:r>
        <w:rPr>
          <w:rFonts w:hint="eastAsia"/>
          <w:color w:val="auto"/>
          <w:highlight w:val="none"/>
          <w:u w:val="single"/>
        </w:rPr>
        <w:t>年</w:t>
      </w:r>
      <w:r>
        <w:rPr>
          <w:rFonts w:hint="eastAsia"/>
          <w:color w:val="auto"/>
          <w:highlight w:val="none"/>
          <w:u w:val="single"/>
          <w:lang w:val="en-US" w:eastAsia="zh-CN"/>
        </w:rPr>
        <w:t>11</w:t>
      </w:r>
      <w:r>
        <w:rPr>
          <w:rFonts w:hint="eastAsia"/>
          <w:color w:val="auto"/>
          <w:highlight w:val="none"/>
          <w:u w:val="single"/>
        </w:rPr>
        <w:t>月</w:t>
      </w:r>
      <w:r>
        <w:rPr>
          <w:rFonts w:hint="eastAsia"/>
          <w:color w:val="auto"/>
          <w:highlight w:val="none"/>
          <w:u w:val="single"/>
          <w:lang w:val="en-US" w:eastAsia="zh-CN"/>
        </w:rPr>
        <w:t>18</w:t>
      </w:r>
      <w:r>
        <w:rPr>
          <w:rFonts w:hint="eastAsia"/>
          <w:color w:val="auto"/>
          <w:highlight w:val="none"/>
          <w:u w:val="single"/>
        </w:rPr>
        <w:t>日</w:t>
      </w:r>
      <w:r>
        <w:rPr>
          <w:rFonts w:hint="eastAsia"/>
          <w:color w:val="auto"/>
          <w:highlight w:val="none"/>
          <w:u w:val="single"/>
          <w:lang w:val="en-US" w:eastAsia="zh-CN"/>
        </w:rPr>
        <w:t>09</w:t>
      </w:r>
      <w:r>
        <w:rPr>
          <w:rFonts w:hint="eastAsia"/>
          <w:color w:val="auto"/>
          <w:highlight w:val="none"/>
          <w:u w:val="single"/>
        </w:rPr>
        <w:t>:</w:t>
      </w:r>
      <w:r>
        <w:rPr>
          <w:rFonts w:hint="eastAsia"/>
          <w:color w:val="auto"/>
          <w:highlight w:val="none"/>
          <w:u w:val="single"/>
          <w:lang w:val="en-US" w:eastAsia="zh-CN"/>
        </w:rPr>
        <w:t>3</w:t>
      </w:r>
      <w:r>
        <w:rPr>
          <w:rFonts w:hint="eastAsia"/>
          <w:color w:val="auto"/>
          <w:highlight w:val="none"/>
          <w:u w:val="single"/>
        </w:rPr>
        <w:t>0（</w:t>
      </w:r>
      <w:r>
        <w:rPr>
          <w:rFonts w:hint="eastAsia"/>
          <w:color w:val="auto"/>
          <w:kern w:val="0"/>
          <w:szCs w:val="21"/>
          <w:highlight w:val="none"/>
        </w:rPr>
        <w:t>北京时间）</w:t>
      </w:r>
    </w:p>
    <w:p w14:paraId="3B2E66D3">
      <w:pPr>
        <w:spacing w:line="276" w:lineRule="auto"/>
        <w:ind w:firstLine="442" w:firstLineChars="200"/>
        <w:jc w:val="left"/>
        <w:rPr>
          <w:rFonts w:hint="eastAsia"/>
          <w:b/>
          <w:bCs/>
          <w:color w:val="auto"/>
          <w:kern w:val="0"/>
          <w:sz w:val="22"/>
          <w:szCs w:val="22"/>
          <w:highlight w:val="none"/>
        </w:rPr>
      </w:pPr>
      <w:r>
        <w:rPr>
          <w:rFonts w:hint="eastAsia"/>
          <w:b/>
          <w:bCs/>
          <w:color w:val="auto"/>
          <w:kern w:val="0"/>
          <w:sz w:val="22"/>
          <w:szCs w:val="22"/>
          <w:highlight w:val="none"/>
        </w:rPr>
        <w:t>地点：</w:t>
      </w:r>
      <w:r>
        <w:rPr>
          <w:rFonts w:hint="eastAsia"/>
          <w:color w:val="auto"/>
          <w:szCs w:val="21"/>
          <w:highlight w:val="none"/>
        </w:rPr>
        <w:t>供应商登录广西政府采购云平台电子开标大厅截标。</w:t>
      </w:r>
    </w:p>
    <w:bookmarkEnd w:id="21"/>
    <w:p w14:paraId="5FAAC1B7">
      <w:pPr>
        <w:spacing w:line="312" w:lineRule="auto"/>
        <w:ind w:firstLine="442" w:firstLineChars="200"/>
        <w:jc w:val="left"/>
        <w:rPr>
          <w:b/>
          <w:bCs/>
          <w:color w:val="auto"/>
          <w:kern w:val="0"/>
          <w:sz w:val="22"/>
          <w:szCs w:val="22"/>
          <w:highlight w:val="none"/>
        </w:rPr>
      </w:pPr>
      <w:r>
        <w:rPr>
          <w:rFonts w:hint="eastAsia"/>
          <w:b/>
          <w:bCs/>
          <w:color w:val="auto"/>
          <w:kern w:val="0"/>
          <w:sz w:val="22"/>
          <w:szCs w:val="22"/>
          <w:highlight w:val="none"/>
        </w:rPr>
        <w:t>六、公告期限</w:t>
      </w:r>
    </w:p>
    <w:p w14:paraId="4CE886E9">
      <w:pPr>
        <w:spacing w:line="312" w:lineRule="auto"/>
        <w:ind w:firstLine="420" w:firstLineChars="200"/>
        <w:jc w:val="left"/>
        <w:rPr>
          <w:rFonts w:hint="eastAsia"/>
          <w:color w:val="auto"/>
          <w:kern w:val="0"/>
          <w:szCs w:val="21"/>
          <w:highlight w:val="none"/>
        </w:rPr>
      </w:pPr>
      <w:r>
        <w:rPr>
          <w:rFonts w:hint="eastAsia"/>
          <w:color w:val="auto"/>
          <w:kern w:val="0"/>
          <w:szCs w:val="21"/>
          <w:highlight w:val="none"/>
        </w:rPr>
        <w:t>自本公告发布之日起</w:t>
      </w:r>
      <w:r>
        <w:rPr>
          <w:color w:val="auto"/>
          <w:kern w:val="0"/>
          <w:szCs w:val="21"/>
          <w:highlight w:val="none"/>
        </w:rPr>
        <w:t>3</w:t>
      </w:r>
      <w:r>
        <w:rPr>
          <w:rFonts w:hint="eastAsia"/>
          <w:color w:val="auto"/>
          <w:kern w:val="0"/>
          <w:szCs w:val="21"/>
          <w:highlight w:val="none"/>
        </w:rPr>
        <w:t>个工作日。</w:t>
      </w:r>
    </w:p>
    <w:p w14:paraId="3E4A2F79">
      <w:pPr>
        <w:spacing w:line="312" w:lineRule="auto"/>
        <w:ind w:firstLine="442" w:firstLineChars="200"/>
        <w:jc w:val="left"/>
        <w:rPr>
          <w:b/>
          <w:bCs/>
          <w:color w:val="auto"/>
          <w:kern w:val="0"/>
          <w:sz w:val="22"/>
          <w:szCs w:val="22"/>
          <w:highlight w:val="none"/>
        </w:rPr>
      </w:pPr>
      <w:r>
        <w:rPr>
          <w:rFonts w:hint="eastAsia"/>
          <w:b/>
          <w:bCs/>
          <w:color w:val="auto"/>
          <w:kern w:val="0"/>
          <w:sz w:val="22"/>
          <w:szCs w:val="22"/>
          <w:highlight w:val="none"/>
        </w:rPr>
        <w:t>七、其他补充事宜</w:t>
      </w:r>
    </w:p>
    <w:p w14:paraId="38F84A9D">
      <w:pPr>
        <w:spacing w:line="312" w:lineRule="auto"/>
        <w:ind w:firstLine="420" w:firstLineChars="200"/>
        <w:jc w:val="left"/>
        <w:rPr>
          <w:color w:val="auto"/>
          <w:kern w:val="0"/>
          <w:szCs w:val="21"/>
          <w:highlight w:val="none"/>
        </w:rPr>
      </w:pPr>
      <w:r>
        <w:rPr>
          <w:rFonts w:hint="eastAsia"/>
          <w:color w:val="auto"/>
          <w:kern w:val="0"/>
          <w:szCs w:val="21"/>
          <w:highlight w:val="none"/>
        </w:rPr>
        <w:t>1</w:t>
      </w:r>
      <w:r>
        <w:rPr>
          <w:color w:val="auto"/>
          <w:kern w:val="0"/>
          <w:szCs w:val="21"/>
          <w:highlight w:val="none"/>
        </w:rPr>
        <w:t>.</w:t>
      </w:r>
      <w:r>
        <w:rPr>
          <w:rFonts w:hint="eastAsia"/>
          <w:color w:val="auto"/>
          <w:kern w:val="0"/>
          <w:szCs w:val="21"/>
          <w:highlight w:val="none"/>
        </w:rPr>
        <w:t>公告发布媒体：广西壮族自治区政府采购网、中国政府采购网</w:t>
      </w:r>
    </w:p>
    <w:p w14:paraId="5A9E3C66">
      <w:pPr>
        <w:spacing w:line="312" w:lineRule="auto"/>
        <w:ind w:firstLine="420" w:firstLineChars="200"/>
        <w:jc w:val="left"/>
        <w:rPr>
          <w:color w:val="auto"/>
          <w:kern w:val="0"/>
          <w:szCs w:val="21"/>
          <w:highlight w:val="none"/>
        </w:rPr>
      </w:pPr>
      <w:r>
        <w:rPr>
          <w:rFonts w:hint="eastAsia"/>
          <w:color w:val="auto"/>
          <w:kern w:val="0"/>
          <w:szCs w:val="21"/>
          <w:highlight w:val="none"/>
        </w:rPr>
        <w:t>2</w:t>
      </w:r>
      <w:r>
        <w:rPr>
          <w:color w:val="auto"/>
          <w:kern w:val="0"/>
          <w:szCs w:val="21"/>
          <w:highlight w:val="none"/>
        </w:rPr>
        <w:t>.</w:t>
      </w:r>
      <w:r>
        <w:rPr>
          <w:rFonts w:hint="eastAsia"/>
          <w:color w:val="auto"/>
          <w:kern w:val="0"/>
          <w:szCs w:val="21"/>
          <w:highlight w:val="none"/>
        </w:rPr>
        <w:t xml:space="preserve"> 需落实的政府采购政策：</w:t>
      </w:r>
      <w:r>
        <w:rPr>
          <w:color w:val="auto"/>
          <w:kern w:val="0"/>
          <w:szCs w:val="21"/>
          <w:highlight w:val="none"/>
        </w:rPr>
        <w:t>本项目适用政府采购促进中小企业、监狱企业发展、促进残疾人就业、</w:t>
      </w:r>
      <w:bookmarkStart w:id="22" w:name="_Hlk89179658"/>
      <w:r>
        <w:rPr>
          <w:color w:val="auto"/>
          <w:kern w:val="0"/>
          <w:szCs w:val="21"/>
          <w:highlight w:val="none"/>
        </w:rPr>
        <w:t>节能环保</w:t>
      </w:r>
      <w:bookmarkEnd w:id="22"/>
      <w:r>
        <w:rPr>
          <w:color w:val="auto"/>
          <w:kern w:val="0"/>
          <w:szCs w:val="21"/>
          <w:highlight w:val="none"/>
        </w:rPr>
        <w:t>等有关政策，具体详见</w:t>
      </w:r>
      <w:r>
        <w:rPr>
          <w:rFonts w:hint="eastAsia"/>
          <w:color w:val="auto"/>
          <w:highlight w:val="none"/>
        </w:rPr>
        <w:t>采购文件</w:t>
      </w:r>
      <w:r>
        <w:rPr>
          <w:color w:val="auto"/>
          <w:kern w:val="0"/>
          <w:szCs w:val="21"/>
          <w:highlight w:val="none"/>
        </w:rPr>
        <w:t>。</w:t>
      </w:r>
    </w:p>
    <w:p w14:paraId="20DB6A1B">
      <w:pPr>
        <w:spacing w:line="312" w:lineRule="auto"/>
        <w:ind w:firstLine="420" w:firstLineChars="200"/>
        <w:jc w:val="left"/>
        <w:rPr>
          <w:rFonts w:eastAsia="楷体_GB2312"/>
          <w:b/>
          <w:color w:val="auto"/>
          <w:szCs w:val="21"/>
          <w:highlight w:val="none"/>
        </w:rPr>
      </w:pPr>
      <w:r>
        <w:rPr>
          <w:color w:val="auto"/>
          <w:kern w:val="0"/>
          <w:szCs w:val="21"/>
          <w:highlight w:val="none"/>
        </w:rPr>
        <w:t>3</w:t>
      </w:r>
      <w:r>
        <w:rPr>
          <w:rFonts w:hint="eastAsia"/>
          <w:color w:val="auto"/>
          <w:kern w:val="0"/>
          <w:szCs w:val="21"/>
          <w:highlight w:val="none"/>
        </w:rPr>
        <w:t>.本项目供应商的产生方式：</w:t>
      </w:r>
      <w:r>
        <w:rPr>
          <w:color w:val="auto"/>
          <w:highlight w:val="none"/>
        </w:rPr>
        <w:t>发布</w:t>
      </w:r>
      <w:r>
        <w:rPr>
          <w:rFonts w:hint="eastAsia"/>
          <w:color w:val="auto"/>
          <w:highlight w:val="none"/>
        </w:rPr>
        <w:t>公告征集</w:t>
      </w:r>
      <w:r>
        <w:rPr>
          <w:rFonts w:hint="eastAsia"/>
          <w:color w:val="auto"/>
          <w:highlight w:val="none"/>
          <w:lang w:eastAsia="zh-CN"/>
        </w:rPr>
        <w:t>。</w:t>
      </w:r>
      <w:r>
        <w:rPr>
          <w:rFonts w:eastAsia="楷体_GB2312"/>
          <w:b/>
          <w:color w:val="auto"/>
          <w:szCs w:val="21"/>
          <w:highlight w:val="none"/>
        </w:rPr>
        <w:t xml:space="preserve"> </w:t>
      </w:r>
    </w:p>
    <w:p w14:paraId="4EC8CB77">
      <w:pPr>
        <w:spacing w:line="312" w:lineRule="auto"/>
        <w:ind w:firstLine="420" w:firstLineChars="200"/>
        <w:rPr>
          <w:color w:val="auto"/>
          <w:kern w:val="0"/>
          <w:szCs w:val="21"/>
          <w:highlight w:val="none"/>
        </w:rPr>
      </w:pPr>
      <w:r>
        <w:rPr>
          <w:color w:val="auto"/>
          <w:kern w:val="0"/>
          <w:szCs w:val="21"/>
          <w:highlight w:val="none"/>
        </w:rPr>
        <w:t>4.</w:t>
      </w:r>
      <w:r>
        <w:rPr>
          <w:rFonts w:hint="eastAsia"/>
          <w:color w:val="auto"/>
          <w:kern w:val="0"/>
          <w:szCs w:val="21"/>
          <w:highlight w:val="none"/>
        </w:rPr>
        <w:t>注意事项：</w:t>
      </w:r>
    </w:p>
    <w:p w14:paraId="48D53041">
      <w:pPr>
        <w:spacing w:line="276" w:lineRule="auto"/>
        <w:ind w:firstLine="420" w:firstLineChars="200"/>
        <w:rPr>
          <w:color w:val="auto"/>
          <w:szCs w:val="21"/>
          <w:highlight w:val="none"/>
        </w:rPr>
      </w:pPr>
      <w:r>
        <w:rPr>
          <w:rFonts w:hint="eastAsia"/>
          <w:color w:val="auto"/>
          <w:kern w:val="0"/>
          <w:szCs w:val="21"/>
          <w:highlight w:val="none"/>
        </w:rPr>
        <w:t>（1）</w:t>
      </w:r>
      <w:r>
        <w:rPr>
          <w:rFonts w:hint="eastAsia"/>
          <w:color w:val="auto"/>
          <w:szCs w:val="21"/>
          <w:highlight w:val="none"/>
        </w:rPr>
        <w:t>未进行网上注册并办理数字证书（CA认证）的供应商将无法参与本项目政府采购活动，潜在供应商应当在响应截止时间前，完成广西政府采购云平台上的CA数字证书办理及响应文件的提交。完成CA数字证书办理预计7日左右，建议各供应商抓紧时间办理。</w:t>
      </w:r>
    </w:p>
    <w:p w14:paraId="6E0E39C0">
      <w:pPr>
        <w:spacing w:line="276" w:lineRule="auto"/>
        <w:ind w:firstLine="420" w:firstLineChars="200"/>
        <w:rPr>
          <w:color w:val="auto"/>
          <w:kern w:val="0"/>
          <w:szCs w:val="21"/>
          <w:highlight w:val="none"/>
        </w:rPr>
      </w:pPr>
      <w:r>
        <w:rPr>
          <w:rFonts w:hint="eastAsia"/>
          <w:color w:val="auto"/>
          <w:szCs w:val="21"/>
          <w:highlight w:val="none"/>
        </w:rPr>
        <w:t>（2）为确保网上操作合法、有效和安全，请供应商确保在电子投标过程中能够对相关数据电文进行加密和使用电子签章，妥善保管CA数字证书并使用有效的CA数字证书参与整个招标活动。</w:t>
      </w:r>
    </w:p>
    <w:p w14:paraId="1620CD93">
      <w:pPr>
        <w:spacing w:line="276"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rPr>
        <w:t>3</w:t>
      </w:r>
      <w:r>
        <w:rPr>
          <w:rFonts w:hint="eastAsia" w:ascii="宋体" w:hAnsi="宋体" w:cs="宋体"/>
          <w:color w:val="auto"/>
          <w:kern w:val="0"/>
          <w:szCs w:val="21"/>
          <w:highlight w:val="none"/>
        </w:rPr>
        <w:t>）若对项目采购电子交易系统操作有疑问，可登录广西政府采购云平台（https://www.gcy.zfcg.gxzf.gov.cn/），点击右侧咨询小采或帮助文档或拨打客服热线95763。</w:t>
      </w:r>
    </w:p>
    <w:p w14:paraId="5C811615">
      <w:pPr>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5. 根据《崇左市财政局关于进一步做好线上“政采贷”融资业务工作的通知》（崇财采〔2023〕10号），供应商可凭成交通知书、政府采购合同，通过中征应收账款融资服务平台向银行在线申请“政采贷”融资。（具体详见采购文件中关于“政采贷”相关信息）。</w:t>
      </w:r>
    </w:p>
    <w:p w14:paraId="3817C0CD">
      <w:pPr>
        <w:spacing w:line="40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6. 本项目按照崇左市财政局关于推行政府采购领域信用承诺制度的通知的要求，供应商在参与崇左市政府采购活动时，供应商只需以书面形式提供《崇左市政府采购供应商信用承诺函》，即可替代《中华人民共和国政府采购法实施条例》第十七条第一款第（一）项至第（四）项所规定的基本资格条件相关材料，具体不再提供的资质材料有：法人或者他组织的营业执照等证明文件，自然人的身份证明、财务状况报告、依法缴纳税收和社会保障资金相关证明材料、有履行合同所必需的设备和专业技术能力相关证明材料、参加政府采购活动前3年内在经营活动中没有重大违法记录相关证明材料。</w:t>
      </w:r>
    </w:p>
    <w:p w14:paraId="64F32586">
      <w:pPr>
        <w:spacing w:line="360" w:lineRule="exact"/>
        <w:ind w:firstLine="420" w:firstLineChars="200"/>
        <w:rPr>
          <w:rFonts w:hint="eastAsia" w:ascii="Arial" w:hAnsi="Arial" w:cs="Arial"/>
          <w:color w:val="auto"/>
          <w:kern w:val="0"/>
          <w:szCs w:val="21"/>
          <w:highlight w:val="none"/>
        </w:rPr>
      </w:pPr>
      <w:r>
        <w:rPr>
          <w:rFonts w:hint="eastAsia" w:ascii="Arial" w:hAnsi="Arial" w:cs="Arial"/>
          <w:color w:val="auto"/>
          <w:kern w:val="0"/>
          <w:szCs w:val="21"/>
          <w:highlight w:val="none"/>
        </w:rPr>
        <w:t>7. 本项目采用远程异地评审，主会场在广西机电设备招标有限公司崇左分公司评标室（广西崇左市德天路</w:t>
      </w:r>
      <w:r>
        <w:rPr>
          <w:rFonts w:ascii="Arial" w:hAnsi="Arial" w:cs="Arial"/>
          <w:color w:val="auto"/>
          <w:kern w:val="0"/>
          <w:szCs w:val="21"/>
          <w:highlight w:val="none"/>
        </w:rPr>
        <w:t>28</w:t>
      </w:r>
      <w:r>
        <w:rPr>
          <w:rFonts w:hint="eastAsia" w:ascii="Arial" w:hAnsi="Arial" w:cs="Arial"/>
          <w:color w:val="auto"/>
          <w:kern w:val="0"/>
          <w:szCs w:val="21"/>
          <w:highlight w:val="none"/>
        </w:rPr>
        <w:t>号），副会场在广西机电设备招标有限公司（广西南宁市金湖路</w:t>
      </w:r>
      <w:r>
        <w:rPr>
          <w:rFonts w:ascii="Arial" w:hAnsi="Arial" w:cs="Arial"/>
          <w:color w:val="auto"/>
          <w:kern w:val="0"/>
          <w:szCs w:val="21"/>
          <w:highlight w:val="none"/>
        </w:rPr>
        <w:t>63</w:t>
      </w:r>
      <w:r>
        <w:rPr>
          <w:rFonts w:hint="eastAsia" w:ascii="Arial" w:hAnsi="Arial" w:cs="Arial"/>
          <w:color w:val="auto"/>
          <w:kern w:val="0"/>
          <w:szCs w:val="21"/>
          <w:highlight w:val="none"/>
        </w:rPr>
        <w:t>号金源</w:t>
      </w:r>
      <w:r>
        <w:rPr>
          <w:rFonts w:ascii="Arial" w:hAnsi="Arial" w:cs="Arial"/>
          <w:color w:val="auto"/>
          <w:kern w:val="0"/>
          <w:szCs w:val="21"/>
          <w:highlight w:val="none"/>
        </w:rPr>
        <w:t>CBD</w:t>
      </w:r>
      <w:r>
        <w:rPr>
          <w:rFonts w:hint="eastAsia" w:ascii="Arial" w:hAnsi="Arial" w:cs="Arial"/>
          <w:color w:val="auto"/>
          <w:kern w:val="0"/>
          <w:szCs w:val="21"/>
          <w:highlight w:val="none"/>
        </w:rPr>
        <w:t>现代城</w:t>
      </w:r>
      <w:r>
        <w:rPr>
          <w:rFonts w:ascii="Arial" w:hAnsi="Arial" w:cs="Arial"/>
          <w:color w:val="auto"/>
          <w:kern w:val="0"/>
          <w:szCs w:val="21"/>
          <w:highlight w:val="none"/>
        </w:rPr>
        <w:t>B</w:t>
      </w:r>
      <w:r>
        <w:rPr>
          <w:rFonts w:hint="eastAsia" w:ascii="Arial" w:hAnsi="Arial" w:cs="Arial"/>
          <w:color w:val="auto"/>
          <w:kern w:val="0"/>
          <w:szCs w:val="21"/>
          <w:highlight w:val="none"/>
        </w:rPr>
        <w:t>座</w:t>
      </w:r>
      <w:r>
        <w:rPr>
          <w:rFonts w:ascii="Arial" w:hAnsi="Arial" w:cs="Arial"/>
          <w:color w:val="auto"/>
          <w:kern w:val="0"/>
          <w:szCs w:val="21"/>
          <w:highlight w:val="none"/>
        </w:rPr>
        <w:t>7</w:t>
      </w:r>
      <w:r>
        <w:rPr>
          <w:rFonts w:hint="eastAsia" w:ascii="Arial" w:hAnsi="Arial" w:cs="Arial"/>
          <w:color w:val="auto"/>
          <w:kern w:val="0"/>
          <w:szCs w:val="21"/>
          <w:highlight w:val="none"/>
        </w:rPr>
        <w:t>层）。</w:t>
      </w:r>
    </w:p>
    <w:p w14:paraId="23D1E344">
      <w:pPr>
        <w:spacing w:line="276" w:lineRule="auto"/>
        <w:ind w:firstLine="442" w:firstLineChars="200"/>
        <w:rPr>
          <w:rFonts w:hint="eastAsia"/>
          <w:b/>
          <w:bCs/>
          <w:color w:val="auto"/>
          <w:kern w:val="0"/>
          <w:sz w:val="22"/>
          <w:szCs w:val="22"/>
          <w:highlight w:val="none"/>
        </w:rPr>
      </w:pPr>
      <w:r>
        <w:rPr>
          <w:rFonts w:hint="eastAsia"/>
          <w:b/>
          <w:bCs/>
          <w:color w:val="auto"/>
          <w:kern w:val="0"/>
          <w:sz w:val="22"/>
          <w:szCs w:val="22"/>
          <w:highlight w:val="none"/>
        </w:rPr>
        <w:t>八、对本次采购提出询问，请按以下方式联系</w:t>
      </w:r>
    </w:p>
    <w:bookmarkEnd w:id="15"/>
    <w:p w14:paraId="2740DE93">
      <w:pPr>
        <w:spacing w:line="312" w:lineRule="auto"/>
        <w:ind w:firstLine="420" w:firstLineChars="200"/>
        <w:jc w:val="left"/>
        <w:rPr>
          <w:rFonts w:hint="eastAsia" w:ascii="Arial" w:hAnsi="Arial" w:eastAsia="宋体" w:cs="Arial"/>
          <w:color w:val="auto"/>
          <w:kern w:val="0"/>
          <w:szCs w:val="21"/>
          <w:highlight w:val="none"/>
          <w:lang w:eastAsia="zh-CN"/>
        </w:rPr>
      </w:pPr>
      <w:bookmarkStart w:id="23" w:name="_Toc164874507"/>
      <w:r>
        <w:rPr>
          <w:rFonts w:ascii="Arial" w:hAnsi="Arial" w:cs="Arial"/>
          <w:color w:val="auto"/>
          <w:kern w:val="0"/>
          <w:szCs w:val="21"/>
          <w:highlight w:val="none"/>
        </w:rPr>
        <w:t>采购人：</w:t>
      </w:r>
      <w:r>
        <w:rPr>
          <w:rFonts w:hint="eastAsia" w:ascii="Arial" w:hAnsi="Arial" w:cs="Arial"/>
          <w:color w:val="auto"/>
          <w:kern w:val="0"/>
          <w:szCs w:val="21"/>
          <w:highlight w:val="none"/>
          <w:lang w:eastAsia="zh-CN"/>
        </w:rPr>
        <w:t>崇左市疾病预防控制中心</w:t>
      </w:r>
    </w:p>
    <w:p w14:paraId="3047D3B8">
      <w:pPr>
        <w:spacing w:line="312" w:lineRule="auto"/>
        <w:ind w:firstLine="420" w:firstLineChars="200"/>
        <w:jc w:val="left"/>
        <w:rPr>
          <w:rFonts w:ascii="Arial" w:hAnsi="Arial" w:cs="Arial"/>
          <w:color w:val="auto"/>
          <w:kern w:val="0"/>
          <w:szCs w:val="21"/>
          <w:highlight w:val="none"/>
        </w:rPr>
      </w:pPr>
      <w:r>
        <w:rPr>
          <w:rFonts w:ascii="Arial" w:hAnsi="Arial" w:cs="Arial"/>
          <w:color w:val="auto"/>
          <w:kern w:val="0"/>
          <w:szCs w:val="21"/>
          <w:highlight w:val="none"/>
        </w:rPr>
        <w:t>地址：</w:t>
      </w:r>
      <w:r>
        <w:rPr>
          <w:rFonts w:hint="eastAsia" w:ascii="Arial" w:hAnsi="Arial" w:cs="Arial"/>
          <w:color w:val="auto"/>
          <w:kern w:val="0"/>
          <w:szCs w:val="21"/>
          <w:highlight w:val="none"/>
        </w:rPr>
        <w:t>崇左市江州区石景林东路11号</w:t>
      </w:r>
    </w:p>
    <w:p w14:paraId="030C5413">
      <w:pPr>
        <w:spacing w:line="312" w:lineRule="auto"/>
        <w:ind w:firstLine="420" w:firstLineChars="200"/>
        <w:jc w:val="left"/>
        <w:rPr>
          <w:rFonts w:hint="default" w:ascii="Arial" w:hAnsi="Arial" w:eastAsia="宋体" w:cs="Arial"/>
          <w:color w:val="auto"/>
          <w:kern w:val="0"/>
          <w:szCs w:val="21"/>
          <w:highlight w:val="none"/>
          <w:lang w:val="en-US" w:eastAsia="zh-CN"/>
        </w:rPr>
      </w:pPr>
      <w:r>
        <w:rPr>
          <w:rFonts w:ascii="Arial" w:hAnsi="Arial" w:cs="Arial"/>
          <w:color w:val="auto"/>
          <w:kern w:val="0"/>
          <w:szCs w:val="21"/>
          <w:highlight w:val="none"/>
        </w:rPr>
        <w:t>联系人：</w:t>
      </w:r>
      <w:r>
        <w:rPr>
          <w:rFonts w:hint="eastAsia" w:ascii="Arial" w:hAnsi="Arial" w:cs="Arial"/>
          <w:color w:val="auto"/>
          <w:kern w:val="0"/>
          <w:szCs w:val="21"/>
          <w:highlight w:val="none"/>
          <w:lang w:val="en-US" w:eastAsia="zh-CN"/>
        </w:rPr>
        <w:t>黄春玲</w:t>
      </w:r>
    </w:p>
    <w:p w14:paraId="383ED5BF">
      <w:pPr>
        <w:spacing w:line="312" w:lineRule="auto"/>
        <w:ind w:firstLine="420" w:firstLineChars="200"/>
        <w:jc w:val="left"/>
        <w:rPr>
          <w:rFonts w:hint="default" w:ascii="Arial" w:hAnsi="Arial" w:eastAsia="宋体" w:cs="Arial"/>
          <w:color w:val="auto"/>
          <w:kern w:val="0"/>
          <w:szCs w:val="21"/>
          <w:highlight w:val="none"/>
          <w:lang w:val="en-US" w:eastAsia="zh-CN"/>
        </w:rPr>
      </w:pPr>
      <w:r>
        <w:rPr>
          <w:rFonts w:ascii="Arial" w:hAnsi="Arial" w:cs="Arial"/>
          <w:color w:val="auto"/>
          <w:kern w:val="0"/>
          <w:szCs w:val="21"/>
          <w:highlight w:val="none"/>
        </w:rPr>
        <w:t>联系电话：</w:t>
      </w:r>
      <w:r>
        <w:rPr>
          <w:rFonts w:hint="eastAsia" w:ascii="Arial" w:hAnsi="Arial" w:cs="Arial"/>
          <w:color w:val="auto"/>
          <w:kern w:val="0"/>
          <w:szCs w:val="21"/>
          <w:highlight w:val="none"/>
          <w:lang w:val="en-US" w:eastAsia="zh-CN"/>
        </w:rPr>
        <w:t>0771-7930379</w:t>
      </w:r>
    </w:p>
    <w:p w14:paraId="3218C6C6">
      <w:pPr>
        <w:spacing w:line="312" w:lineRule="auto"/>
        <w:ind w:firstLine="420" w:firstLineChars="200"/>
        <w:jc w:val="left"/>
        <w:rPr>
          <w:rFonts w:ascii="Arial" w:hAnsi="Arial" w:cs="Arial"/>
          <w:color w:val="auto"/>
          <w:kern w:val="0"/>
          <w:szCs w:val="21"/>
          <w:highlight w:val="none"/>
        </w:rPr>
      </w:pPr>
      <w:r>
        <w:rPr>
          <w:rFonts w:ascii="Arial" w:hAnsi="Arial" w:cs="Arial"/>
          <w:color w:val="auto"/>
          <w:kern w:val="0"/>
          <w:szCs w:val="21"/>
          <w:highlight w:val="none"/>
        </w:rPr>
        <w:t>采购代理机构：广西机电设备招标有限公司</w:t>
      </w:r>
    </w:p>
    <w:p w14:paraId="5F19F9C3">
      <w:pPr>
        <w:spacing w:line="312" w:lineRule="auto"/>
        <w:ind w:firstLine="420" w:firstLineChars="200"/>
        <w:jc w:val="left"/>
        <w:rPr>
          <w:rFonts w:ascii="Arial" w:hAnsi="Arial" w:cs="Arial"/>
          <w:color w:val="auto"/>
          <w:kern w:val="0"/>
          <w:szCs w:val="21"/>
          <w:highlight w:val="none"/>
        </w:rPr>
      </w:pPr>
      <w:r>
        <w:rPr>
          <w:rFonts w:ascii="Arial" w:hAnsi="Arial" w:cs="Arial"/>
          <w:color w:val="auto"/>
          <w:kern w:val="0"/>
          <w:szCs w:val="21"/>
          <w:highlight w:val="none"/>
        </w:rPr>
        <w:t>地址：广西南宁市金湖路63号金源CBD现代城7层</w:t>
      </w:r>
    </w:p>
    <w:p w14:paraId="7A30A351">
      <w:pPr>
        <w:spacing w:line="312" w:lineRule="auto"/>
        <w:ind w:firstLine="420" w:firstLineChars="200"/>
        <w:jc w:val="left"/>
        <w:rPr>
          <w:rFonts w:hint="default" w:ascii="Arial" w:hAnsi="Arial" w:cs="Arial"/>
          <w:color w:val="auto"/>
          <w:kern w:val="0"/>
          <w:szCs w:val="21"/>
          <w:highlight w:val="none"/>
          <w:lang w:val="en-US" w:eastAsia="zh-CN"/>
        </w:rPr>
      </w:pPr>
      <w:r>
        <w:rPr>
          <w:rFonts w:ascii="Arial" w:hAnsi="Arial" w:cs="Arial"/>
          <w:color w:val="auto"/>
          <w:kern w:val="0"/>
          <w:szCs w:val="21"/>
          <w:highlight w:val="none"/>
        </w:rPr>
        <w:t>项目联系人：</w:t>
      </w:r>
      <w:r>
        <w:rPr>
          <w:rFonts w:hint="eastAsia" w:ascii="Arial" w:hAnsi="Arial" w:cs="Arial"/>
          <w:color w:val="auto"/>
          <w:kern w:val="0"/>
          <w:szCs w:val="21"/>
          <w:highlight w:val="none"/>
          <w:lang w:val="en-US" w:eastAsia="zh-CN"/>
        </w:rPr>
        <w:t>梅莹、梁艳冰、陆丽春</w:t>
      </w:r>
    </w:p>
    <w:p w14:paraId="0B4E10B8">
      <w:pPr>
        <w:spacing w:line="312" w:lineRule="auto"/>
        <w:ind w:firstLine="420" w:firstLineChars="200"/>
        <w:jc w:val="left"/>
        <w:rPr>
          <w:rFonts w:ascii="Arial" w:hAnsi="Arial" w:cs="Arial"/>
          <w:color w:val="auto"/>
          <w:kern w:val="0"/>
          <w:szCs w:val="21"/>
          <w:highlight w:val="none"/>
        </w:rPr>
      </w:pPr>
      <w:r>
        <w:rPr>
          <w:rFonts w:ascii="Arial" w:hAnsi="Arial" w:cs="Arial"/>
          <w:color w:val="auto"/>
          <w:kern w:val="0"/>
          <w:szCs w:val="21"/>
          <w:highlight w:val="none"/>
        </w:rPr>
        <w:t>联系电话：</w:t>
      </w:r>
      <w:r>
        <w:rPr>
          <w:rFonts w:hint="eastAsia" w:ascii="Arial" w:hAnsi="Arial" w:cs="Arial"/>
          <w:color w:val="auto"/>
          <w:kern w:val="0"/>
          <w:szCs w:val="21"/>
          <w:highlight w:val="none"/>
        </w:rPr>
        <w:t>0771-2808981</w:t>
      </w:r>
      <w:r>
        <w:rPr>
          <w:rFonts w:ascii="Arial" w:hAnsi="Arial" w:cs="Arial"/>
          <w:color w:val="auto"/>
          <w:kern w:val="0"/>
          <w:szCs w:val="21"/>
          <w:highlight w:val="none"/>
        </w:rPr>
        <w:t xml:space="preserve">         </w:t>
      </w:r>
    </w:p>
    <w:p w14:paraId="6486C95F">
      <w:pPr>
        <w:spacing w:line="312" w:lineRule="auto"/>
        <w:ind w:firstLine="420" w:firstLineChars="200"/>
        <w:jc w:val="left"/>
        <w:rPr>
          <w:rFonts w:ascii="Arial" w:hAnsi="Arial" w:cs="Arial"/>
          <w:color w:val="auto"/>
          <w:kern w:val="0"/>
          <w:szCs w:val="21"/>
          <w:highlight w:val="none"/>
        </w:rPr>
      </w:pPr>
      <w:r>
        <w:rPr>
          <w:rFonts w:ascii="Arial" w:hAnsi="Arial" w:cs="Arial"/>
          <w:color w:val="auto"/>
          <w:kern w:val="0"/>
          <w:szCs w:val="21"/>
          <w:highlight w:val="none"/>
        </w:rPr>
        <w:t>邮箱：</w:t>
      </w:r>
      <w:r>
        <w:rPr>
          <w:rFonts w:hint="eastAsia" w:ascii="Arial" w:hAnsi="Arial" w:cs="Arial"/>
          <w:color w:val="auto"/>
          <w:kern w:val="0"/>
          <w:szCs w:val="21"/>
          <w:highlight w:val="none"/>
        </w:rPr>
        <w:t>dept_qzzb@gxbidding.cn</w:t>
      </w:r>
    </w:p>
    <w:p w14:paraId="7E9DC30E">
      <w:pPr>
        <w:spacing w:line="100" w:lineRule="exact"/>
        <w:ind w:firstLine="420" w:firstLineChars="200"/>
        <w:jc w:val="left"/>
        <w:rPr>
          <w:rFonts w:ascii="Arial" w:hAnsi="Arial" w:cs="Arial"/>
          <w:color w:val="auto"/>
          <w:kern w:val="0"/>
          <w:szCs w:val="21"/>
          <w:highlight w:val="none"/>
        </w:rPr>
      </w:pPr>
    </w:p>
    <w:p w14:paraId="504922AE">
      <w:pPr>
        <w:pStyle w:val="26"/>
        <w:numPr>
          <w:ilvl w:val="0"/>
          <w:numId w:val="1"/>
        </w:numPr>
        <w:snapToGrid w:val="0"/>
        <w:spacing w:before="120" w:after="120" w:line="320" w:lineRule="exact"/>
        <w:jc w:val="center"/>
        <w:outlineLvl w:val="0"/>
        <w:rPr>
          <w:rFonts w:ascii="Times New Roman" w:hAnsi="Times New Roman" w:cs="Times New Roman"/>
          <w:color w:val="auto"/>
          <w:sz w:val="32"/>
          <w:szCs w:val="32"/>
          <w:highlight w:val="none"/>
        </w:rPr>
      </w:pPr>
      <w:r>
        <w:rPr>
          <w:rFonts w:ascii="Times New Roman" w:hAnsi="Times New Roman" w:cs="Times New Roman"/>
          <w:color w:val="auto"/>
          <w:sz w:val="32"/>
          <w:szCs w:val="32"/>
          <w:highlight w:val="none"/>
        </w:rPr>
        <w:br w:type="page"/>
      </w:r>
      <w:r>
        <w:rPr>
          <w:rFonts w:ascii="Times New Roman" w:hAnsi="Times New Roman" w:cs="Times New Roman"/>
          <w:color w:val="auto"/>
          <w:sz w:val="32"/>
          <w:szCs w:val="32"/>
          <w:highlight w:val="none"/>
        </w:rPr>
        <w:t xml:space="preserve"> </w:t>
      </w:r>
      <w:bookmarkEnd w:id="23"/>
      <w:bookmarkStart w:id="24" w:name="_Toc254970490"/>
      <w:bookmarkStart w:id="25" w:name="_Toc254970631"/>
      <w:r>
        <w:rPr>
          <w:rFonts w:ascii="Times New Roman" w:hAnsi="Times New Roman" w:cs="Times New Roman"/>
          <w:color w:val="auto"/>
          <w:sz w:val="32"/>
          <w:szCs w:val="32"/>
          <w:highlight w:val="none"/>
        </w:rPr>
        <w:t xml:space="preserve"> 采购需求</w:t>
      </w:r>
    </w:p>
    <w:p w14:paraId="05D3EB03">
      <w:pPr>
        <w:spacing w:line="360" w:lineRule="auto"/>
        <w:jc w:val="left"/>
        <w:rPr>
          <w:color w:val="auto"/>
          <w:highlight w:val="none"/>
        </w:rPr>
      </w:pPr>
      <w:r>
        <w:rPr>
          <w:rFonts w:hint="eastAsia" w:ascii="宋体" w:hAnsi="宋体" w:cs="宋体"/>
          <w:color w:val="auto"/>
          <w:szCs w:val="21"/>
          <w:highlight w:val="none"/>
        </w:rPr>
        <w:t>说明：</w:t>
      </w:r>
    </w:p>
    <w:p w14:paraId="2F4797F9">
      <w:pPr>
        <w:spacing w:line="360" w:lineRule="auto"/>
        <w:ind w:firstLine="420" w:firstLineChars="200"/>
        <w:jc w:val="left"/>
        <w:rPr>
          <w:rFonts w:hint="eastAsia" w:ascii="宋体" w:hAnsi="宋体" w:cs="宋体"/>
          <w:color w:val="auto"/>
          <w:szCs w:val="21"/>
          <w:highlight w:val="none"/>
        </w:rPr>
      </w:pPr>
      <w:r>
        <w:rPr>
          <w:rFonts w:hint="eastAsia"/>
          <w:color w:val="auto"/>
          <w:highlight w:val="none"/>
        </w:rPr>
        <w:t>1. 为落实政府采购政策需满足的要求</w:t>
      </w:r>
    </w:p>
    <w:p w14:paraId="643A0E8A">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（1）本竞争性谈判采购文件所称中小企业必须符合《政府采购促进中小企业发展管理办法》（财库〔2020〕46号）的规定。</w:t>
      </w:r>
    </w:p>
    <w:p w14:paraId="780B3876">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公章），</w:t>
      </w:r>
      <w:r>
        <w:rPr>
          <w:rFonts w:hint="eastAsia" w:ascii="宋体" w:hAnsi="宋体" w:cs="宋体"/>
          <w:b/>
          <w:bCs/>
          <w:color w:val="auto"/>
          <w:szCs w:val="21"/>
          <w:highlight w:val="none"/>
        </w:rPr>
        <w:t>否则响应文件按无效处理</w:t>
      </w:r>
      <w:r>
        <w:rPr>
          <w:rFonts w:hint="eastAsia" w:ascii="宋体" w:hAnsi="宋体" w:cs="宋体"/>
          <w:color w:val="auto"/>
          <w:szCs w:val="21"/>
          <w:highlight w:val="none"/>
        </w:rPr>
        <w:t>。如本项目包含的货物属于品目清单内非标注“★”的产品时，应优先采购，具体详见“第四章 评审程序和评定成交的标准”。</w:t>
      </w:r>
    </w:p>
    <w:p w14:paraId="782594FD">
      <w:pPr>
        <w:spacing w:line="360" w:lineRule="auto"/>
        <w:ind w:firstLine="426" w:firstLineChars="202"/>
        <w:jc w:val="left"/>
        <w:rPr>
          <w:rFonts w:hint="eastAsia" w:ascii="宋体" w:hAnsi="宋体" w:cs="宋体"/>
          <w:b/>
          <w:bCs/>
          <w:color w:val="auto"/>
          <w:szCs w:val="21"/>
          <w:highlight w:val="none"/>
        </w:rPr>
      </w:pPr>
      <w:r>
        <w:rPr>
          <w:rFonts w:hint="eastAsia" w:ascii="宋体" w:hAnsi="宋体" w:cs="宋体"/>
          <w:b/>
          <w:bCs/>
          <w:color w:val="auto"/>
          <w:szCs w:val="21"/>
          <w:highlight w:val="none"/>
        </w:rPr>
        <w:t>2. “实质性要求”是指采购需求中带“▲”的条款或者不能负偏离的条款或者已经指明不满足按响应文件按无效处理的条款。</w:t>
      </w:r>
    </w:p>
    <w:p w14:paraId="5747A118">
      <w:pPr>
        <w:spacing w:line="360" w:lineRule="auto"/>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.采购需求中出现的品牌、型号或者生产供应商仅起参考作用，不属于指定品牌、型号或者生产供应商的情形。供应商可参照或者选用其他相当的品牌、型号或者生产供应商替代。</w:t>
      </w:r>
    </w:p>
    <w:p w14:paraId="4343CA59">
      <w:pPr>
        <w:spacing w:line="360" w:lineRule="auto"/>
        <w:ind w:firstLine="424" w:firstLineChars="202"/>
        <w:jc w:val="left"/>
        <w:rPr>
          <w:rFonts w:hint="eastAsia"/>
          <w:b/>
          <w:bCs/>
          <w:color w:val="auto"/>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w:t>
      </w:r>
      <w:r>
        <w:rPr>
          <w:rFonts w:hint="eastAsia"/>
          <w:color w:val="auto"/>
          <w:highlight w:val="none"/>
        </w:rPr>
        <w:t>供应商必须自行为其竞标产品侵犯他人的知识产权或者专利成果的行为承担相应法律责任。</w:t>
      </w:r>
    </w:p>
    <w:p w14:paraId="0B9896E1">
      <w:pPr>
        <w:spacing w:line="360" w:lineRule="auto"/>
        <w:ind w:firstLine="426" w:firstLineChars="202"/>
        <w:jc w:val="left"/>
        <w:rPr>
          <w:rFonts w:hint="eastAsia"/>
          <w:b/>
          <w:bCs/>
          <w:color w:val="auto"/>
          <w:highlight w:val="none"/>
        </w:rPr>
      </w:pPr>
      <w:r>
        <w:rPr>
          <w:rFonts w:hint="eastAsia"/>
          <w:b/>
          <w:bCs/>
          <w:color w:val="auto"/>
          <w:highlight w:val="none"/>
          <w:lang w:val="en-US" w:eastAsia="zh-CN"/>
        </w:rPr>
        <w:t>5</w:t>
      </w:r>
      <w:r>
        <w:rPr>
          <w:rFonts w:hint="eastAsia"/>
          <w:b/>
          <w:bCs/>
          <w:color w:val="auto"/>
          <w:highlight w:val="none"/>
        </w:rPr>
        <w:t>.本项目所属行业为：工业。</w:t>
      </w:r>
    </w:p>
    <w:p w14:paraId="53BAF146">
      <w:pPr>
        <w:spacing w:line="360" w:lineRule="auto"/>
        <w:ind w:firstLine="426" w:firstLineChars="202"/>
        <w:jc w:val="left"/>
        <w:rPr>
          <w:rFonts w:hint="eastAsia"/>
          <w:b/>
          <w:bCs/>
          <w:color w:val="auto"/>
          <w:highlight w:val="none"/>
        </w:rPr>
      </w:pPr>
      <w:r>
        <w:rPr>
          <w:rFonts w:hint="eastAsia"/>
          <w:b/>
          <w:bCs/>
          <w:color w:val="auto"/>
          <w:highlight w:val="none"/>
          <w:lang w:val="en-US" w:eastAsia="zh-CN"/>
        </w:rPr>
        <w:t>6</w:t>
      </w:r>
      <w:r>
        <w:rPr>
          <w:rFonts w:hint="eastAsia"/>
          <w:b/>
          <w:bCs/>
          <w:color w:val="auto"/>
          <w:highlight w:val="none"/>
        </w:rPr>
        <w:t>.本项目的核心产品</w:t>
      </w:r>
      <w:r>
        <w:rPr>
          <w:rFonts w:hint="eastAsia"/>
          <w:b/>
          <w:bCs/>
          <w:color w:val="auto"/>
          <w:highlight w:val="none"/>
          <w:u w:val="single"/>
        </w:rPr>
        <w:t>流式细胞仪</w:t>
      </w:r>
      <w:r>
        <w:rPr>
          <w:rFonts w:hint="eastAsia"/>
          <w:b/>
          <w:bCs/>
          <w:color w:val="auto"/>
          <w:highlight w:val="none"/>
        </w:rPr>
        <w:t>。</w:t>
      </w:r>
    </w:p>
    <w:p w14:paraId="3C4FB99A">
      <w:pPr>
        <w:spacing w:line="360" w:lineRule="auto"/>
        <w:ind w:firstLine="426" w:firstLineChars="202"/>
        <w:jc w:val="left"/>
        <w:rPr>
          <w:rFonts w:hint="eastAsia"/>
          <w:b/>
          <w:bCs/>
          <w:color w:val="auto"/>
          <w:highlight w:val="none"/>
        </w:rPr>
      </w:pPr>
      <w:r>
        <w:rPr>
          <w:rFonts w:hint="eastAsia"/>
          <w:b/>
          <w:bCs/>
          <w:color w:val="auto"/>
          <w:highlight w:val="none"/>
          <w:lang w:val="en-US" w:eastAsia="zh-CN"/>
        </w:rPr>
        <w:t>7</w:t>
      </w:r>
      <w:r>
        <w:rPr>
          <w:rFonts w:hint="eastAsia"/>
          <w:b/>
          <w:bCs/>
          <w:color w:val="auto"/>
          <w:highlight w:val="none"/>
        </w:rPr>
        <w:t>.本项目是专门面向中小企业采购的项目，中小企业划分标准所属行业名及划分见本章附件2。</w:t>
      </w:r>
    </w:p>
    <w:p w14:paraId="798A10A0">
      <w:pPr>
        <w:spacing w:line="360" w:lineRule="auto"/>
        <w:ind w:firstLine="426" w:firstLineChars="202"/>
        <w:jc w:val="left"/>
        <w:rPr>
          <w:b/>
          <w:bCs/>
          <w:color w:val="auto"/>
          <w:highlight w:val="none"/>
        </w:rPr>
      </w:pPr>
      <w:r>
        <w:rPr>
          <w:rFonts w:hint="eastAsia"/>
          <w:b/>
          <w:bCs/>
          <w:color w:val="auto"/>
          <w:highlight w:val="none"/>
          <w:lang w:val="en-US" w:eastAsia="zh-CN"/>
        </w:rPr>
        <w:t>8</w:t>
      </w:r>
      <w:r>
        <w:rPr>
          <w:rFonts w:hint="eastAsia"/>
          <w:b/>
          <w:bCs/>
          <w:color w:val="auto"/>
          <w:highlight w:val="none"/>
        </w:rPr>
        <w:t>.本项目货物不接受整机进口产品（即通过中国海关报关验放进入中国境内且产自关境外的产品）参与竞标，如有此类产品参与竞标的做无效竞标处理。</w:t>
      </w:r>
    </w:p>
    <w:p w14:paraId="29AD95D4">
      <w:pPr>
        <w:spacing w:line="360" w:lineRule="auto"/>
        <w:ind w:firstLine="426" w:firstLineChars="202"/>
        <w:jc w:val="left"/>
        <w:rPr>
          <w:rFonts w:hint="eastAsia" w:ascii="新宋体" w:hAnsi="新宋体" w:eastAsia="新宋体" w:cs="新宋体"/>
          <w:b/>
          <w:bCs/>
          <w:color w:val="auto"/>
          <w:szCs w:val="21"/>
          <w:highlight w:val="none"/>
        </w:rPr>
      </w:pPr>
      <w:r>
        <w:rPr>
          <w:rFonts w:hint="eastAsia" w:ascii="新宋体" w:hAnsi="新宋体" w:eastAsia="新宋体" w:cs="新宋体"/>
          <w:b/>
          <w:bCs/>
          <w:color w:val="auto"/>
          <w:szCs w:val="21"/>
          <w:highlight w:val="none"/>
          <w:lang w:val="en-US" w:eastAsia="zh-CN"/>
        </w:rPr>
        <w:t>9</w:t>
      </w:r>
      <w:r>
        <w:rPr>
          <w:rFonts w:hint="eastAsia" w:ascii="新宋体" w:hAnsi="新宋体" w:eastAsia="新宋体" w:cs="新宋体"/>
          <w:b/>
          <w:bCs/>
          <w:color w:val="auto"/>
          <w:szCs w:val="21"/>
          <w:highlight w:val="none"/>
        </w:rPr>
        <w:t>.竞标报价（包含首次报价、最后报价）超过所竞标分标规定的采购预算金额或</w:t>
      </w:r>
      <w:r>
        <w:rPr>
          <w:rFonts w:hint="eastAsia" w:ascii="新宋体" w:hAnsi="新宋体" w:eastAsia="新宋体" w:cs="新宋体"/>
          <w:b/>
          <w:color w:val="auto"/>
          <w:szCs w:val="21"/>
          <w:highlight w:val="none"/>
        </w:rPr>
        <w:t>采购预算单价</w:t>
      </w:r>
      <w:r>
        <w:rPr>
          <w:rFonts w:hint="eastAsia" w:ascii="新宋体" w:hAnsi="新宋体" w:eastAsia="新宋体" w:cs="新宋体"/>
          <w:b/>
          <w:bCs/>
          <w:color w:val="auto"/>
          <w:szCs w:val="21"/>
          <w:highlight w:val="none"/>
        </w:rPr>
        <w:t>的</w:t>
      </w:r>
      <w:r>
        <w:rPr>
          <w:rFonts w:hint="eastAsia" w:ascii="宋体" w:hAnsi="宋体" w:cs="宋体"/>
          <w:b/>
          <w:bCs/>
          <w:color w:val="auto"/>
          <w:szCs w:val="21"/>
          <w:highlight w:val="none"/>
        </w:rPr>
        <w:t>响应文件按无效处理。</w:t>
      </w:r>
    </w:p>
    <w:p w14:paraId="66F3944D">
      <w:pPr>
        <w:spacing w:line="528" w:lineRule="exact"/>
        <w:outlineLvl w:val="0"/>
        <w:rPr>
          <w:rFonts w:hint="eastAsia" w:ascii="Times New Roman" w:hAnsi="Times New Roman" w:cs="Times New Roman"/>
          <w:color w:val="auto"/>
          <w:sz w:val="32"/>
          <w:szCs w:val="32"/>
          <w:highlight w:val="none"/>
          <w:lang w:val="en-US" w:eastAsia="zh-CN"/>
        </w:rPr>
      </w:pPr>
      <w:r>
        <w:rPr>
          <w:rFonts w:ascii="Times New Roman" w:hAnsi="Times New Roman" w:cs="Times New Roman"/>
          <w:color w:val="auto"/>
          <w:sz w:val="32"/>
          <w:szCs w:val="32"/>
          <w:highlight w:val="none"/>
        </w:rPr>
        <w:br w:type="page"/>
      </w:r>
      <w:r>
        <w:rPr>
          <w:rFonts w:hint="eastAsia" w:ascii="Times New Roman" w:hAnsi="Times New Roman" w:cs="Times New Roman"/>
          <w:color w:val="auto"/>
          <w:sz w:val="32"/>
          <w:szCs w:val="32"/>
          <w:highlight w:val="none"/>
          <w:lang w:val="en-US" w:eastAsia="zh-CN"/>
        </w:rPr>
        <w:t>本分标属于专门面向中小企业采购的项目</w:t>
      </w:r>
    </w:p>
    <w:tbl>
      <w:tblPr>
        <w:tblStyle w:val="51"/>
        <w:tblW w:w="949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9"/>
        <w:gridCol w:w="1090"/>
        <w:gridCol w:w="600"/>
        <w:gridCol w:w="197"/>
        <w:gridCol w:w="5978"/>
        <w:gridCol w:w="981"/>
      </w:tblGrid>
      <w:tr w14:paraId="20D524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10D6A77E">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14:paraId="5B163AE2">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货物名称</w:t>
            </w:r>
          </w:p>
        </w:tc>
        <w:tc>
          <w:tcPr>
            <w:tcW w:w="797" w:type="dxa"/>
            <w:gridSpan w:val="2"/>
            <w:tcBorders>
              <w:top w:val="single" w:color="000000" w:sz="4" w:space="0"/>
              <w:left w:val="single" w:color="000000" w:sz="4" w:space="0"/>
              <w:bottom w:val="single" w:color="000000" w:sz="4" w:space="0"/>
              <w:right w:val="single" w:color="000000" w:sz="4" w:space="0"/>
            </w:tcBorders>
            <w:noWrap w:val="0"/>
            <w:vAlign w:val="center"/>
          </w:tcPr>
          <w:p w14:paraId="7A584359">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数量</w:t>
            </w:r>
          </w:p>
        </w:tc>
        <w:tc>
          <w:tcPr>
            <w:tcW w:w="5978" w:type="dxa"/>
            <w:tcBorders>
              <w:top w:val="single" w:color="000000" w:sz="4" w:space="0"/>
              <w:left w:val="single" w:color="000000" w:sz="4" w:space="0"/>
              <w:bottom w:val="single" w:color="000000" w:sz="4" w:space="0"/>
              <w:right w:val="single" w:color="auto" w:sz="4" w:space="0"/>
            </w:tcBorders>
            <w:noWrap w:val="0"/>
            <w:vAlign w:val="center"/>
          </w:tcPr>
          <w:p w14:paraId="6C8649F1">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技术指标要求</w:t>
            </w:r>
          </w:p>
        </w:tc>
        <w:tc>
          <w:tcPr>
            <w:tcW w:w="981" w:type="dxa"/>
            <w:tcBorders>
              <w:top w:val="single" w:color="000000" w:sz="4" w:space="0"/>
              <w:left w:val="single" w:color="auto" w:sz="4" w:space="0"/>
              <w:bottom w:val="single" w:color="000000" w:sz="4" w:space="0"/>
              <w:right w:val="single" w:color="auto" w:sz="4" w:space="0"/>
            </w:tcBorders>
            <w:noWrap w:val="0"/>
            <w:vAlign w:val="center"/>
          </w:tcPr>
          <w:p w14:paraId="34E2ABA4">
            <w:pPr>
              <w:spacing w:line="360" w:lineRule="exact"/>
              <w:jc w:val="center"/>
              <w:rPr>
                <w:rFonts w:hint="eastAsia" w:ascii="宋体" w:hAnsi="宋体" w:cs="宋体"/>
                <w:color w:val="auto"/>
                <w:szCs w:val="21"/>
                <w:highlight w:val="none"/>
              </w:rPr>
            </w:pPr>
            <w:r>
              <w:rPr>
                <w:rFonts w:hint="eastAsia" w:ascii="新宋体" w:hAnsi="新宋体" w:eastAsia="新宋体" w:cs="新宋体"/>
                <w:b/>
                <w:color w:val="auto"/>
                <w:szCs w:val="21"/>
                <w:highlight w:val="none"/>
              </w:rPr>
              <w:t>采购预算单价（元）</w:t>
            </w:r>
          </w:p>
        </w:tc>
      </w:tr>
      <w:tr w14:paraId="36F2C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10CDDB8C">
            <w:pPr>
              <w:spacing w:line="360" w:lineRule="exact"/>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w:t>
            </w:r>
          </w:p>
        </w:tc>
        <w:tc>
          <w:tcPr>
            <w:tcW w:w="1090" w:type="dxa"/>
            <w:tcBorders>
              <w:top w:val="single" w:color="000000" w:sz="4" w:space="0"/>
              <w:left w:val="single" w:color="000000" w:sz="4" w:space="0"/>
              <w:bottom w:val="single" w:color="000000" w:sz="4" w:space="0"/>
              <w:right w:val="single" w:color="000000" w:sz="4" w:space="0"/>
            </w:tcBorders>
            <w:noWrap w:val="0"/>
            <w:vAlign w:val="center"/>
          </w:tcPr>
          <w:p w14:paraId="4B7BD9DE">
            <w:pPr>
              <w:spacing w:line="360" w:lineRule="exact"/>
              <w:jc w:val="center"/>
              <w:rPr>
                <w:rFonts w:hint="eastAsia" w:ascii="宋体" w:hAnsi="宋体" w:cs="宋体"/>
                <w:bCs/>
                <w:color w:val="auto"/>
                <w:szCs w:val="21"/>
                <w:highlight w:val="none"/>
              </w:rPr>
            </w:pPr>
            <w:r>
              <w:rPr>
                <w:rFonts w:hint="eastAsia" w:ascii="宋体" w:hAnsi="宋体" w:cs="宋体"/>
                <w:bCs/>
                <w:color w:val="auto"/>
                <w:szCs w:val="21"/>
                <w:highlight w:val="none"/>
              </w:rPr>
              <w:t>流式细胞仪</w:t>
            </w:r>
          </w:p>
        </w:tc>
        <w:tc>
          <w:tcPr>
            <w:tcW w:w="797" w:type="dxa"/>
            <w:gridSpan w:val="2"/>
            <w:tcBorders>
              <w:top w:val="single" w:color="000000" w:sz="4" w:space="0"/>
              <w:left w:val="single" w:color="000000" w:sz="4" w:space="0"/>
              <w:bottom w:val="single" w:color="000000" w:sz="4" w:space="0"/>
              <w:right w:val="single" w:color="000000" w:sz="4" w:space="0"/>
            </w:tcBorders>
            <w:noWrap w:val="0"/>
            <w:vAlign w:val="center"/>
          </w:tcPr>
          <w:p w14:paraId="6FEED03B">
            <w:pPr>
              <w:spacing w:line="360" w:lineRule="exact"/>
              <w:jc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p>
        </w:tc>
        <w:tc>
          <w:tcPr>
            <w:tcW w:w="5978" w:type="dxa"/>
            <w:tcBorders>
              <w:top w:val="single" w:color="000000" w:sz="4" w:space="0"/>
              <w:left w:val="single" w:color="000000" w:sz="4" w:space="0"/>
              <w:bottom w:val="single" w:color="000000" w:sz="4" w:space="0"/>
              <w:right w:val="single" w:color="auto" w:sz="4" w:space="0"/>
            </w:tcBorders>
            <w:noWrap w:val="0"/>
            <w:vAlign w:val="center"/>
          </w:tcPr>
          <w:p w14:paraId="54DEF409">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 光路系统：</w:t>
            </w:r>
          </w:p>
          <w:p w14:paraId="20ABA606">
            <w:pPr>
              <w:spacing w:line="360" w:lineRule="exac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1.1激光器：488 nm激光器、638 nm激光器，功率 ≥ 40mW，固定光路，无需手动校准</w:t>
            </w:r>
            <w:r>
              <w:rPr>
                <w:rFonts w:hint="eastAsia" w:ascii="宋体" w:hAnsi="宋体" w:cs="宋体"/>
                <w:color w:val="auto"/>
                <w:szCs w:val="21"/>
                <w:highlight w:val="none"/>
                <w:lang w:eastAsia="zh-CN"/>
              </w:rPr>
              <w:t>。</w:t>
            </w:r>
          </w:p>
          <w:p w14:paraId="4F6ABFD2">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1.2通道能够满足：</w:t>
            </w:r>
          </w:p>
          <w:p w14:paraId="2BF327BC">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FL1（530/30）：FITC、Alexa Fluor 488；</w:t>
            </w:r>
          </w:p>
          <w:p w14:paraId="46968AC0">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FL2（585/40）：PE、PI；</w:t>
            </w:r>
          </w:p>
          <w:p w14:paraId="40AD6559">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FL3（670LP）：PerCP、PE-Cy5、PerCP-Cy5.5、7-AAD；</w:t>
            </w:r>
          </w:p>
          <w:p w14:paraId="0D55EE03">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FL4（785/60）：PE-Cy7；</w:t>
            </w:r>
          </w:p>
          <w:p w14:paraId="2CA5173D">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FL5（667/30）：APC、Alexa Fluor®647、eFlour®660、Cy5；</w:t>
            </w:r>
          </w:p>
          <w:p w14:paraId="77298844">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FL6（785/60）：APC-Cy7、Alexa Fluor®750、eFlour®780、APC-H7</w:t>
            </w:r>
            <w:r>
              <w:rPr>
                <w:rFonts w:hint="eastAsia" w:ascii="宋体" w:hAnsi="宋体" w:cs="宋体"/>
                <w:color w:val="auto"/>
                <w:szCs w:val="21"/>
                <w:highlight w:val="none"/>
                <w:lang w:eastAsia="zh-CN"/>
              </w:rPr>
              <w:t>。</w:t>
            </w:r>
          </w:p>
          <w:p w14:paraId="2B326480">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1.3▲检测器：为保证检测结果稳定一致，采用高灵敏度光电倍增管（PMT），而非对温度敏感的雪崩式二极管（APD）</w:t>
            </w:r>
            <w:r>
              <w:rPr>
                <w:rFonts w:hint="eastAsia" w:ascii="宋体" w:hAnsi="宋体" w:cs="宋体"/>
                <w:color w:val="auto"/>
                <w:szCs w:val="21"/>
                <w:highlight w:val="none"/>
                <w:lang w:eastAsia="zh-CN"/>
              </w:rPr>
              <w:t>。</w:t>
            </w:r>
          </w:p>
          <w:p w14:paraId="1036AC4D">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 xml:space="preserve">1.4升级：可升级更换特殊波长滤光片 </w:t>
            </w:r>
            <w:r>
              <w:rPr>
                <w:rFonts w:hint="eastAsia" w:ascii="宋体" w:hAnsi="宋体" w:cs="宋体"/>
                <w:color w:val="auto"/>
                <w:szCs w:val="21"/>
                <w:highlight w:val="none"/>
                <w:lang w:eastAsia="zh-CN"/>
              </w:rPr>
              <w:t>。</w:t>
            </w:r>
          </w:p>
          <w:p w14:paraId="7D7C5566">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2、液流系统：</w:t>
            </w:r>
          </w:p>
          <w:p w14:paraId="2C4D3B17">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2.1▲液流驱动：蠕动泵或蠕动泵和注射泵双驱动，保证样本进样的连续性和精准检测样本体积</w:t>
            </w:r>
            <w:r>
              <w:rPr>
                <w:rFonts w:hint="eastAsia" w:ascii="宋体" w:hAnsi="宋体" w:cs="宋体"/>
                <w:color w:val="auto"/>
                <w:szCs w:val="21"/>
                <w:highlight w:val="none"/>
                <w:lang w:eastAsia="zh-CN"/>
              </w:rPr>
              <w:t>。</w:t>
            </w:r>
          </w:p>
          <w:p w14:paraId="5234DDF6">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2.2流速：低速、中速、高速流速调节，约10~300μL/min可调，也可自由调节流速</w:t>
            </w:r>
            <w:r>
              <w:rPr>
                <w:rFonts w:hint="eastAsia" w:ascii="宋体" w:hAnsi="宋体" w:cs="宋体"/>
                <w:color w:val="auto"/>
                <w:szCs w:val="21"/>
                <w:highlight w:val="none"/>
                <w:lang w:eastAsia="zh-CN"/>
              </w:rPr>
              <w:t>。</w:t>
            </w:r>
          </w:p>
          <w:p w14:paraId="0B952F12">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3、上样系统：</w:t>
            </w:r>
          </w:p>
          <w:p w14:paraId="6F92CEEC">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3.1采血管位数量：≥40个；试管位数量：≥40个；检测试剂位数量：10个</w:t>
            </w:r>
            <w:r>
              <w:rPr>
                <w:rFonts w:hint="eastAsia" w:ascii="宋体" w:hAnsi="宋体" w:cs="宋体"/>
                <w:color w:val="auto"/>
                <w:szCs w:val="21"/>
                <w:highlight w:val="none"/>
                <w:lang w:eastAsia="zh-CN"/>
              </w:rPr>
              <w:t>。</w:t>
            </w:r>
          </w:p>
          <w:p w14:paraId="6CD1F82F">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3.2制备速度：60样本/小时；测试速度：90管/小时</w:t>
            </w:r>
            <w:r>
              <w:rPr>
                <w:rFonts w:hint="eastAsia" w:ascii="宋体" w:hAnsi="宋体" w:cs="宋体"/>
                <w:color w:val="auto"/>
                <w:szCs w:val="21"/>
                <w:highlight w:val="none"/>
                <w:lang w:eastAsia="zh-CN"/>
              </w:rPr>
              <w:t>。</w:t>
            </w:r>
          </w:p>
          <w:p w14:paraId="2322749F">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3.3采血管：13 mm×75 mm试管，最小血样体积≥1.0 mL</w:t>
            </w:r>
            <w:r>
              <w:rPr>
                <w:rFonts w:hint="eastAsia" w:ascii="宋体" w:hAnsi="宋体" w:cs="宋体"/>
                <w:color w:val="auto"/>
                <w:szCs w:val="21"/>
                <w:highlight w:val="none"/>
                <w:lang w:eastAsia="zh-CN"/>
              </w:rPr>
              <w:t>。</w:t>
            </w:r>
          </w:p>
          <w:p w14:paraId="5DCC7DFE">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3.4流式试管：12 mm×75 mm试管</w:t>
            </w:r>
            <w:r>
              <w:rPr>
                <w:rFonts w:hint="eastAsia" w:ascii="宋体" w:hAnsi="宋体" w:cs="宋体"/>
                <w:color w:val="auto"/>
                <w:szCs w:val="21"/>
                <w:highlight w:val="none"/>
                <w:lang w:eastAsia="zh-CN"/>
              </w:rPr>
              <w:t>。</w:t>
            </w:r>
          </w:p>
          <w:p w14:paraId="429EB6FF">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3.5混匀方式：单试管混匀方式，减少对细胞的损伤</w:t>
            </w:r>
            <w:r>
              <w:rPr>
                <w:rFonts w:hint="eastAsia" w:ascii="宋体" w:hAnsi="宋体" w:cs="宋体"/>
                <w:color w:val="auto"/>
                <w:szCs w:val="21"/>
                <w:highlight w:val="none"/>
                <w:lang w:eastAsia="zh-CN"/>
              </w:rPr>
              <w:t>。</w:t>
            </w:r>
          </w:p>
          <w:p w14:paraId="78C2E68F">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4、性能分析：</w:t>
            </w:r>
          </w:p>
          <w:p w14:paraId="16E4B18A">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4.1荧光检测限：FITC ≤ 80 MESF，PE ≤ 40 MESF，APC ≤ 40 MESF，荧光线性：相关系数（r）≥ 0.98</w:t>
            </w:r>
            <w:r>
              <w:rPr>
                <w:rFonts w:hint="eastAsia" w:ascii="宋体" w:hAnsi="宋体" w:cs="宋体"/>
                <w:color w:val="auto"/>
                <w:szCs w:val="21"/>
                <w:highlight w:val="none"/>
                <w:lang w:eastAsia="zh-CN"/>
              </w:rPr>
              <w:t>。</w:t>
            </w:r>
          </w:p>
          <w:p w14:paraId="451EA353">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4.2信号处理：动态范围：≥107    分析速度：≥50,000个粒子/秒</w:t>
            </w:r>
            <w:r>
              <w:rPr>
                <w:rFonts w:hint="eastAsia" w:ascii="宋体" w:hAnsi="宋体" w:cs="宋体"/>
                <w:color w:val="auto"/>
                <w:szCs w:val="21"/>
                <w:highlight w:val="none"/>
                <w:lang w:eastAsia="zh-CN"/>
              </w:rPr>
              <w:t>。</w:t>
            </w:r>
          </w:p>
          <w:p w14:paraId="435DD3E8">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4.3前向角散射光检出限：≤ 0.5μm，侧向角散射光检出限：≤ 0.2μm</w:t>
            </w:r>
            <w:r>
              <w:rPr>
                <w:rFonts w:hint="eastAsia" w:ascii="宋体" w:hAnsi="宋体" w:cs="宋体"/>
                <w:color w:val="auto"/>
                <w:szCs w:val="21"/>
                <w:highlight w:val="none"/>
                <w:lang w:eastAsia="zh-CN"/>
              </w:rPr>
              <w:t>。</w:t>
            </w:r>
          </w:p>
          <w:p w14:paraId="5A677373">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4.4最大分析粒径：50.0μm</w:t>
            </w:r>
            <w:r>
              <w:rPr>
                <w:rFonts w:hint="eastAsia" w:ascii="宋体" w:hAnsi="宋体" w:cs="宋体"/>
                <w:color w:val="auto"/>
                <w:szCs w:val="21"/>
                <w:highlight w:val="none"/>
                <w:lang w:eastAsia="zh-CN"/>
              </w:rPr>
              <w:t>。</w:t>
            </w:r>
          </w:p>
          <w:p w14:paraId="37C2F7B1">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4.5仪器分辨率：FSC ≤ 2.0%；FITC ≤ 2.0%；PE ≤ 2.0%；PerCP ≤ 2.0%</w:t>
            </w:r>
            <w:r>
              <w:rPr>
                <w:rFonts w:hint="eastAsia" w:ascii="宋体" w:hAnsi="宋体" w:cs="宋体"/>
                <w:color w:val="auto"/>
                <w:szCs w:val="21"/>
                <w:highlight w:val="none"/>
                <w:lang w:eastAsia="zh-CN"/>
              </w:rPr>
              <w:t>。</w:t>
            </w:r>
          </w:p>
          <w:p w14:paraId="67065417">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4.6前向角和侧向角散射光分辨率：可将外周血中红细胞和血小板以及白细胞三群（淋巴细胞、单核细胞、粒细胞）分开</w:t>
            </w:r>
            <w:r>
              <w:rPr>
                <w:rFonts w:hint="eastAsia" w:ascii="宋体" w:hAnsi="宋体" w:cs="宋体"/>
                <w:color w:val="auto"/>
                <w:szCs w:val="21"/>
                <w:highlight w:val="none"/>
                <w:lang w:eastAsia="zh-CN"/>
              </w:rPr>
              <w:t>。</w:t>
            </w:r>
          </w:p>
          <w:p w14:paraId="003D820F">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4.7倍体分析线性：G2/M与G0/G1的平均荧光强度比值在1.95 ~ 2.05范围内</w:t>
            </w:r>
            <w:r>
              <w:rPr>
                <w:rFonts w:hint="eastAsia" w:ascii="宋体" w:hAnsi="宋体" w:cs="宋体"/>
                <w:color w:val="auto"/>
                <w:szCs w:val="21"/>
                <w:highlight w:val="none"/>
                <w:lang w:eastAsia="zh-CN"/>
              </w:rPr>
              <w:t>。</w:t>
            </w:r>
          </w:p>
          <w:p w14:paraId="044617B1">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4.8表面标志物检测准确性：检测质控血时，淋巴细胞表面表达的CD3、CD4、CD8、CD16/CD56和CD19阳性细胞百分比结果在给定的范围内</w:t>
            </w:r>
            <w:r>
              <w:rPr>
                <w:rFonts w:hint="eastAsia" w:ascii="宋体" w:hAnsi="宋体" w:cs="宋体"/>
                <w:color w:val="auto"/>
                <w:szCs w:val="21"/>
                <w:highlight w:val="none"/>
                <w:lang w:eastAsia="zh-CN"/>
              </w:rPr>
              <w:t>。</w:t>
            </w:r>
          </w:p>
          <w:p w14:paraId="3181D52A">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4.9表面标志物检测重复性：重复检测样品时，CD3、CD4、CD8、CD16/CD56和CD19阳性细胞百分比的CV（%）：阳性百分比≥30%时，≤5.0%，或阳性百分比&lt;30%时，≤10.0%</w:t>
            </w:r>
            <w:r>
              <w:rPr>
                <w:rFonts w:hint="eastAsia" w:ascii="宋体" w:hAnsi="宋体" w:cs="宋体"/>
                <w:color w:val="auto"/>
                <w:szCs w:val="21"/>
                <w:highlight w:val="none"/>
                <w:lang w:eastAsia="zh-CN"/>
              </w:rPr>
              <w:t>。</w:t>
            </w:r>
          </w:p>
          <w:p w14:paraId="2076CD13">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4.10加样重复性（V）：样本：5%，溶血素：≤ 5%；试剂：100μL：≤ 5%；50μL：≤ 10%；10μL：≤ 20%</w:t>
            </w:r>
            <w:r>
              <w:rPr>
                <w:rFonts w:hint="eastAsia" w:ascii="宋体" w:hAnsi="宋体" w:cs="宋体"/>
                <w:color w:val="auto"/>
                <w:szCs w:val="21"/>
                <w:highlight w:val="none"/>
                <w:lang w:eastAsia="zh-CN"/>
              </w:rPr>
              <w:t>。</w:t>
            </w:r>
          </w:p>
          <w:p w14:paraId="6F46D5EE">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4.11加样准确性（V）：≤ ±5μL</w:t>
            </w:r>
            <w:r>
              <w:rPr>
                <w:rFonts w:hint="eastAsia" w:ascii="宋体" w:hAnsi="宋体" w:cs="宋体"/>
                <w:color w:val="auto"/>
                <w:szCs w:val="21"/>
                <w:highlight w:val="none"/>
                <w:lang w:eastAsia="zh-CN"/>
              </w:rPr>
              <w:t>。</w:t>
            </w:r>
          </w:p>
          <w:p w14:paraId="4BF17647">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4.12携带污染率：≤ 0.1%</w:t>
            </w:r>
            <w:r>
              <w:rPr>
                <w:rFonts w:hint="eastAsia" w:ascii="宋体" w:hAnsi="宋体" w:cs="宋体"/>
                <w:color w:val="auto"/>
                <w:szCs w:val="21"/>
                <w:highlight w:val="none"/>
                <w:lang w:eastAsia="zh-CN"/>
              </w:rPr>
              <w:t>。</w:t>
            </w:r>
          </w:p>
          <w:p w14:paraId="2CD948FB">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4.13仪器稳定性：环境温度变化不超过设定温度的5.0%时，在8h内检测FSC和荧光通道的波动范围≤ 10.0%</w:t>
            </w:r>
            <w:r>
              <w:rPr>
                <w:rFonts w:hint="eastAsia" w:ascii="宋体" w:hAnsi="宋体" w:cs="宋体"/>
                <w:color w:val="auto"/>
                <w:szCs w:val="21"/>
                <w:highlight w:val="none"/>
                <w:lang w:eastAsia="zh-CN"/>
              </w:rPr>
              <w:t>。</w:t>
            </w:r>
          </w:p>
          <w:p w14:paraId="2423AAD8">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5、功能：</w:t>
            </w:r>
          </w:p>
          <w:p w14:paraId="2B8BA698">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5.1应用领域：可用于生物样本中的细胞或其它生物颗粒的物理学及生物学特性的相对或绝对定量分析，仪器需通过CFDA认证，提供一个注册信息。</w:t>
            </w:r>
          </w:p>
          <w:p w14:paraId="44138AC6">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5.2▲全自动制备、采集和分析：全自动流式细胞仪一体机，由裂解模块、采集模块（闭盖穿刺样本采集）、分析模块构成，可全自动完成样本制备（裂解）、信号采集和数据分析，无需搭配使用其他裂解仪或样本制备设备；可自动完成样本/检测试剂/溶血剂的加样、混匀和孵育；可对加样体积、孵育时间等参数进行设置。</w:t>
            </w:r>
          </w:p>
          <w:p w14:paraId="51FF95B3">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5.3质控：具有自动质控监测功能，可自动生成Levey-Jennings图，自动输出质控报告</w:t>
            </w:r>
            <w:r>
              <w:rPr>
                <w:rFonts w:hint="eastAsia" w:ascii="宋体" w:hAnsi="宋体" w:cs="宋体"/>
                <w:color w:val="auto"/>
                <w:szCs w:val="21"/>
                <w:highlight w:val="none"/>
                <w:lang w:eastAsia="zh-CN"/>
              </w:rPr>
              <w:t>。</w:t>
            </w:r>
          </w:p>
          <w:p w14:paraId="32759697">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5.4荧光补偿：具有自动补偿、在线补偿、离线补偿功能</w:t>
            </w:r>
            <w:r>
              <w:rPr>
                <w:rFonts w:hint="eastAsia" w:ascii="宋体" w:hAnsi="宋体" w:cs="宋体"/>
                <w:color w:val="auto"/>
                <w:szCs w:val="21"/>
                <w:highlight w:val="none"/>
                <w:lang w:eastAsia="zh-CN"/>
              </w:rPr>
              <w:t>。</w:t>
            </w:r>
          </w:p>
          <w:p w14:paraId="55EDC65F">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5.5▲自动算法：内置淋巴细胞亚群、细胞因子、HLA-B27的自动算法，无需人工干预即可自动完成样本检测、分析和报告</w:t>
            </w:r>
            <w:r>
              <w:rPr>
                <w:rFonts w:hint="eastAsia" w:ascii="宋体" w:hAnsi="宋体" w:cs="宋体"/>
                <w:color w:val="auto"/>
                <w:szCs w:val="21"/>
                <w:highlight w:val="none"/>
                <w:lang w:eastAsia="zh-CN"/>
              </w:rPr>
              <w:t>。</w:t>
            </w:r>
          </w:p>
          <w:p w14:paraId="5E4B3977">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5.6仪器维护：具有自动开机、关机、清洗、灌注、除气泡等维护功能</w:t>
            </w:r>
            <w:r>
              <w:rPr>
                <w:rFonts w:hint="eastAsia" w:ascii="宋体" w:hAnsi="宋体" w:cs="宋体"/>
                <w:color w:val="auto"/>
                <w:szCs w:val="21"/>
                <w:highlight w:val="none"/>
                <w:lang w:eastAsia="zh-CN"/>
              </w:rPr>
              <w:t>。</w:t>
            </w:r>
          </w:p>
          <w:p w14:paraId="32919E29">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5.7数据采集和分析：数据采集同时，可进行数据分析</w:t>
            </w:r>
            <w:r>
              <w:rPr>
                <w:rFonts w:hint="eastAsia" w:ascii="宋体" w:hAnsi="宋体" w:cs="宋体"/>
                <w:color w:val="auto"/>
                <w:szCs w:val="21"/>
                <w:highlight w:val="none"/>
                <w:lang w:eastAsia="zh-CN"/>
              </w:rPr>
              <w:t>。</w:t>
            </w:r>
          </w:p>
          <w:p w14:paraId="164217BF">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5.8数据导出：可输出FCS、CSV、PDF多种格式文件，FCS单次收集最大粒子数≥100万</w:t>
            </w:r>
            <w:r>
              <w:rPr>
                <w:rFonts w:hint="eastAsia" w:ascii="宋体" w:hAnsi="宋体" w:cs="宋体"/>
                <w:color w:val="auto"/>
                <w:szCs w:val="21"/>
                <w:highlight w:val="none"/>
                <w:lang w:eastAsia="zh-CN"/>
              </w:rPr>
              <w:t>。</w:t>
            </w:r>
          </w:p>
          <w:p w14:paraId="139FE32A">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5.9  LIS双向通讯，可传输图形</w:t>
            </w:r>
            <w:r>
              <w:rPr>
                <w:rFonts w:hint="eastAsia" w:ascii="宋体" w:hAnsi="宋体" w:cs="宋体"/>
                <w:color w:val="auto"/>
                <w:szCs w:val="21"/>
                <w:highlight w:val="none"/>
                <w:lang w:eastAsia="zh-CN"/>
              </w:rPr>
              <w:t>。</w:t>
            </w:r>
          </w:p>
          <w:p w14:paraId="1AF4F5E1">
            <w:pPr>
              <w:pStyle w:val="17"/>
              <w:rPr>
                <w:color w:val="auto"/>
                <w:highlight w:val="none"/>
              </w:rPr>
            </w:pPr>
            <w:r>
              <w:rPr>
                <w:rFonts w:hint="eastAsia" w:ascii="宋体" w:hAnsi="宋体" w:cs="宋体"/>
                <w:color w:val="auto"/>
                <w:szCs w:val="21"/>
                <w:highlight w:val="none"/>
              </w:rPr>
              <w:t>5.10▲绝对计数：体积法绝对计数，同时兼容微球法绝对计数，具有同品牌的绝对计数管或绝对计数微球（</w:t>
            </w:r>
            <w:r>
              <w:rPr>
                <w:rFonts w:hint="eastAsia"/>
                <w:color w:val="auto"/>
                <w:highlight w:val="none"/>
                <w:lang w:val="en-US" w:eastAsia="zh-CN"/>
              </w:rPr>
              <w:t>提供医疗器械产品注册证</w:t>
            </w:r>
          </w:p>
          <w:p w14:paraId="3F70E7C2">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w:t>
            </w:r>
            <w:r>
              <w:rPr>
                <w:rFonts w:hint="eastAsia" w:ascii="宋体" w:hAnsi="宋体" w:cs="宋体"/>
                <w:color w:val="auto"/>
                <w:szCs w:val="21"/>
                <w:highlight w:val="none"/>
                <w:lang w:eastAsia="zh-CN"/>
              </w:rPr>
              <w:t>。</w:t>
            </w:r>
          </w:p>
          <w:p w14:paraId="2EC85FCB">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6、试剂：</w:t>
            </w:r>
          </w:p>
          <w:p w14:paraId="43814FC3">
            <w:pPr>
              <w:pStyle w:val="17"/>
              <w:rPr>
                <w:color w:val="auto"/>
                <w:highlight w:val="none"/>
              </w:rPr>
            </w:pPr>
            <w:r>
              <w:rPr>
                <w:rFonts w:hint="eastAsia" w:ascii="宋体" w:hAnsi="宋体" w:cs="宋体"/>
                <w:color w:val="auto"/>
                <w:szCs w:val="21"/>
                <w:highlight w:val="none"/>
              </w:rPr>
              <w:t>▲开放试剂平台，同时能提供同品牌配套单个抗体组合试剂，且具有同品牌CD3/CD8/CD45/CD4、CD3/CD16+56/CD45/CD4/CD19/CD8预混装检测试剂盒，可提供配套试剂≥2种方案选择（</w:t>
            </w:r>
            <w:r>
              <w:rPr>
                <w:rFonts w:hint="eastAsia"/>
                <w:color w:val="auto"/>
                <w:highlight w:val="none"/>
                <w:lang w:val="en-US" w:eastAsia="zh-CN"/>
              </w:rPr>
              <w:t>提供医疗器械产品注册证</w:t>
            </w:r>
          </w:p>
          <w:p w14:paraId="58CB0616">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w:t>
            </w:r>
            <w:r>
              <w:rPr>
                <w:rFonts w:hint="eastAsia" w:ascii="宋体" w:hAnsi="宋体" w:cs="宋体"/>
                <w:color w:val="auto"/>
                <w:szCs w:val="21"/>
                <w:highlight w:val="none"/>
                <w:lang w:eastAsia="zh-CN"/>
              </w:rPr>
              <w:t>。</w:t>
            </w:r>
          </w:p>
          <w:p w14:paraId="60B3AE00">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7、配置：</w:t>
            </w:r>
          </w:p>
          <w:p w14:paraId="4D89794C">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全自动流式细胞仪一体机主机、软件系统、电脑工作站、显示器、USB鼠标、键盘、装机试剂、不间断电源1台。</w:t>
            </w:r>
          </w:p>
        </w:tc>
        <w:tc>
          <w:tcPr>
            <w:tcW w:w="981" w:type="dxa"/>
            <w:tcBorders>
              <w:top w:val="single" w:color="000000" w:sz="4" w:space="0"/>
              <w:left w:val="single" w:color="auto" w:sz="4" w:space="0"/>
              <w:bottom w:val="single" w:color="000000" w:sz="4" w:space="0"/>
              <w:right w:val="single" w:color="auto" w:sz="4" w:space="0"/>
            </w:tcBorders>
            <w:noWrap w:val="0"/>
            <w:vAlign w:val="center"/>
          </w:tcPr>
          <w:p w14:paraId="6EF23EB5">
            <w:pPr>
              <w:spacing w:line="360" w:lineRule="exact"/>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600000</w:t>
            </w:r>
          </w:p>
        </w:tc>
      </w:tr>
      <w:tr w14:paraId="3AD47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9495" w:type="dxa"/>
            <w:gridSpan w:val="6"/>
            <w:tcBorders>
              <w:top w:val="single" w:color="000000" w:sz="4" w:space="0"/>
              <w:left w:val="single" w:color="000000" w:sz="4" w:space="0"/>
              <w:bottom w:val="single" w:color="000000" w:sz="4" w:space="0"/>
              <w:right w:val="single" w:color="auto" w:sz="4" w:space="0"/>
            </w:tcBorders>
            <w:noWrap w:val="0"/>
            <w:vAlign w:val="center"/>
          </w:tcPr>
          <w:p w14:paraId="6C9B7DAE">
            <w:pPr>
              <w:spacing w:line="360" w:lineRule="exact"/>
              <w:jc w:val="left"/>
              <w:rPr>
                <w:rFonts w:hint="eastAsia" w:ascii="宋体" w:hAnsi="宋体" w:cs="宋体"/>
                <w:b/>
                <w:color w:val="auto"/>
                <w:szCs w:val="21"/>
                <w:highlight w:val="none"/>
              </w:rPr>
            </w:pPr>
            <w:r>
              <w:rPr>
                <w:rFonts w:hint="eastAsia" w:ascii="宋体" w:hAnsi="宋体" w:cs="宋体"/>
                <w:b/>
                <w:color w:val="auto"/>
                <w:szCs w:val="21"/>
                <w:highlight w:val="none"/>
              </w:rPr>
              <w:t>四、本项目商务要求</w:t>
            </w:r>
          </w:p>
        </w:tc>
      </w:tr>
      <w:tr w14:paraId="2F3CA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7ECBCEAD">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7D86067A">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商务条款</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5B64D824">
            <w:pPr>
              <w:spacing w:line="360" w:lineRule="exact"/>
              <w:ind w:firstLine="420" w:firstLineChars="200"/>
              <w:jc w:val="center"/>
              <w:rPr>
                <w:rFonts w:hint="eastAsia" w:ascii="宋体" w:hAnsi="宋体" w:cs="宋体"/>
                <w:color w:val="auto"/>
                <w:szCs w:val="21"/>
                <w:highlight w:val="none"/>
              </w:rPr>
            </w:pPr>
            <w:r>
              <w:rPr>
                <w:rFonts w:hint="eastAsia" w:ascii="宋体" w:hAnsi="宋体" w:cs="宋体"/>
                <w:color w:val="auto"/>
                <w:szCs w:val="21"/>
                <w:highlight w:val="none"/>
              </w:rPr>
              <w:t>商务要求</w:t>
            </w:r>
          </w:p>
        </w:tc>
      </w:tr>
      <w:tr w14:paraId="6FD604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5CEAF4B9">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1D7C1041">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报价要求</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56F044F2">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货物送达指定地点，验收合格至正常使用前所有可能发生的费用，即包含：物价上涨成本、货物本身费用、运输费、装卸搬运费、人工劳务费、税金等。供应商认为必须的费用也需综合考虑在报价中，在合同协议期间，采购人将不予调整供货单价。</w:t>
            </w:r>
          </w:p>
        </w:tc>
      </w:tr>
      <w:tr w14:paraId="29904E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6473AF6C">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2</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3FD7ADA3">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合同签订日期</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00EF87D4">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成交通知书发出后15日内。</w:t>
            </w:r>
          </w:p>
        </w:tc>
      </w:tr>
      <w:tr w14:paraId="19C902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6260423B">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3</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654B03FF">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交货（实施）时间</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2EE48B13">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签订合同之日起30日历天内交货安装调试验收完成并交付使用。</w:t>
            </w:r>
          </w:p>
        </w:tc>
      </w:tr>
      <w:tr w14:paraId="45859F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37C84E21">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4</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03C538FF">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交货地点</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24BD0210">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采购人指定地点。</w:t>
            </w:r>
          </w:p>
        </w:tc>
      </w:tr>
      <w:tr w14:paraId="6003E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5438CBE3">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5</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4A85C003">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验收标准</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7BE52024">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1.必须符合国家标准、行业标准及产品生产厂家的出厂质量标准；成交</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提供的货物必须原装、全新的、最新生产批号、出具出厂合格证，序列号、包装箱号与出厂批号一致并可追索查阅、满足国家及行业强制性标准及规范，并符合采购人提出的有关质量标准的产品。</w:t>
            </w:r>
          </w:p>
          <w:p w14:paraId="0B126BF8">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2.成交供应商在交付设备时，必须按照响应文件的性能参数进行测试，不能通过技术性能测试或测试结果与响应文件不符（负偏离）的视为虚假应标，采购单位有权拒绝签订合同，取消其成交供应商资格，并报相关的政府采购监督管理部门进行处罚处理，由此引发的所有损失由该供应商负责。</w:t>
            </w:r>
          </w:p>
        </w:tc>
      </w:tr>
      <w:tr w14:paraId="131218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4284A2F1">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6</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08037EBC">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服务标准、期限、效率</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76FB1769">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1成交供应商在质量保证期内应当为采购人提供以下技术支持和服务：</w:t>
            </w:r>
          </w:p>
          <w:p w14:paraId="27FE309B">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1.1电话咨询</w:t>
            </w:r>
          </w:p>
          <w:p w14:paraId="2B2829E6">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成交供应商应当为采购人提供技术援助电话，解答采购人在使用中遇到的问题，及时为采购人提出解决问题的建议。</w:t>
            </w:r>
          </w:p>
          <w:p w14:paraId="718742FB">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1.2现场响应</w:t>
            </w:r>
          </w:p>
          <w:p w14:paraId="34046AA1">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采购人遇到使用或技术问题，电话咨询不能解决的，成交供应商应在</w:t>
            </w:r>
            <w:r>
              <w:rPr>
                <w:rFonts w:hint="eastAsia" w:ascii="宋体" w:hAnsi="宋体" w:cs="宋体"/>
                <w:color w:val="auto"/>
                <w:highlight w:val="none"/>
              </w:rPr>
              <w:t>48</w:t>
            </w:r>
            <w:r>
              <w:rPr>
                <w:rFonts w:hint="eastAsia" w:ascii="宋体" w:hAnsi="宋体" w:cs="宋体"/>
                <w:color w:val="auto"/>
                <w:szCs w:val="21"/>
                <w:highlight w:val="none"/>
              </w:rPr>
              <w:t>小时内到达现场进行处理，到达现场后24小时内排除故障，恢复正常使用。</w:t>
            </w:r>
          </w:p>
          <w:p w14:paraId="2ED30D19">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1.3技术升级</w:t>
            </w:r>
          </w:p>
          <w:p w14:paraId="1DD258E1">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在质保期内，如果成交供应商的产品或服务升级，成交供应商应及时通知采购人，如采购人有相应要求，成交供应商应对采购人购买的产品或服务进行升级。</w:t>
            </w:r>
          </w:p>
        </w:tc>
      </w:tr>
      <w:tr w14:paraId="5415D4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5242598D">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7</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7B235EFB">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培训</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3914CFDD">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供应商对其提供产品或服务的使用和操作应尽培训义务。供应商应提供对采购人的基本培训，使采购人使用人员熟练掌握所培训内容，熟练掌握全部功能，培训的相关费用包括在投标报价中，采购人不再另行支付。</w:t>
            </w:r>
          </w:p>
        </w:tc>
      </w:tr>
      <w:tr w14:paraId="7F571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2718DB4D">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8</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4AE380F6">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付款方式、时间及条件</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37AC33C9">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资金来源为财政资金，支付方式为财政国库集中支付，财政部门支付账款期间不计入合同支付期限；本项目无预付款，</w:t>
            </w:r>
            <w:r>
              <w:rPr>
                <w:rFonts w:hint="eastAsia" w:ascii="宋体" w:hAnsi="宋体" w:cs="宋体"/>
                <w:color w:val="auto"/>
                <w:szCs w:val="21"/>
                <w:highlight w:val="none"/>
                <w:lang w:val="en-US" w:eastAsia="zh-CN"/>
              </w:rPr>
              <w:t>成交</w:t>
            </w:r>
            <w:r>
              <w:rPr>
                <w:rFonts w:hint="eastAsia" w:ascii="宋体" w:hAnsi="宋体" w:cs="宋体"/>
                <w:color w:val="auto"/>
                <w:szCs w:val="21"/>
                <w:highlight w:val="none"/>
              </w:rPr>
              <w:t>供应商交货完成经采购人验收合格后，</w:t>
            </w:r>
            <w:r>
              <w:rPr>
                <w:rFonts w:hint="eastAsia" w:ascii="宋体" w:hAnsi="宋体" w:cs="宋体"/>
                <w:color w:val="auto"/>
                <w:szCs w:val="21"/>
                <w:highlight w:val="none"/>
                <w:lang w:val="en-US" w:eastAsia="zh-CN"/>
              </w:rPr>
              <w:t>采购人</w:t>
            </w:r>
            <w:r>
              <w:rPr>
                <w:rFonts w:hint="eastAsia" w:ascii="宋体" w:hAnsi="宋体" w:cs="宋体"/>
                <w:color w:val="auto"/>
                <w:szCs w:val="21"/>
                <w:highlight w:val="none"/>
              </w:rPr>
              <w:t>收到有效且足额的发票后10个工作日内支付合同货款。</w:t>
            </w:r>
          </w:p>
        </w:tc>
      </w:tr>
      <w:tr w14:paraId="5F4B54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7681F6BD">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9</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1F8B2570">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履约保证金</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367CCF3F">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详见采购文件合同主要条款格式部分</w:t>
            </w:r>
          </w:p>
        </w:tc>
      </w:tr>
      <w:tr w14:paraId="6CBB6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34CBEB57">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10</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4B69469B">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包装和运输要求</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32DB112E">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根据《财政部等三部门联合印发商品包装和快递包装政府采购需求标准（试行）》财办库【2020】123号文规定，若投标产品使用塑料、纸质、木质等包装材料时应满足《商品包装政府采购需求标准（试行）》要求，若投标产品需要快递包装，快递封装材料应满足《快递包装政府采购需求标准（试行）》要求。</w:t>
            </w:r>
          </w:p>
          <w:p w14:paraId="7E085CC9">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运输要求详见采购文件合同主要条款格式部分</w:t>
            </w:r>
          </w:p>
        </w:tc>
      </w:tr>
      <w:tr w14:paraId="3AC38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17738100">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11</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547E70A4">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售后服务</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7226AD0E">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1．免费送货上门，厂家派工程师和技术人员进行免费现场安装、调试和免费培训工作。</w:t>
            </w:r>
          </w:p>
          <w:p w14:paraId="14E3A74D">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2.质保期：质量保证期限为货物验收后24个月，终身维修。</w:t>
            </w:r>
          </w:p>
          <w:p w14:paraId="015814D1">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3.响应时间不超过4小时，必要时厂方工程师到达现场时间不超过48小时，发生重大问题或其他无法迅速解决的问题应在1周内解决；</w:t>
            </w:r>
          </w:p>
          <w:p w14:paraId="07B9CAE8">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▲4．卖方须在交货日期30天内到买方提供的现场免费安装、调试设备并验收，直至技术指标与标书符合。</w:t>
            </w:r>
          </w:p>
          <w:p w14:paraId="682ED07A">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5. 培训：①免费提供现场培训，人数不限。内容包括仪器的基本原理、操作应用及仪器的维护保养知识，直到用户能正常使用和维护仪器；②免费提供一次系统培训(按卖方安排的指定地点)；</w:t>
            </w:r>
          </w:p>
          <w:p w14:paraId="7EDFC808">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6. 厂家长期提供技术支持，并免费提供所有公开发表的应用文献和最新仪器有关资料、通讯和用户论文集等。</w:t>
            </w:r>
          </w:p>
          <w:p w14:paraId="42911772">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7.</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在</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文件中必须提供标产品（仪器设备）生产厂家或国内代理商授权书、售后服务承诺书原件。</w:t>
            </w:r>
          </w:p>
        </w:tc>
      </w:tr>
      <w:tr w14:paraId="6DA04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19BE63D5">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12</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3B2134E8">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保险</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508C6CDB">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供应商负责办理运输和保险，将货物运抵交货地点。与运输、保险相关的费用由供应商承担。</w:t>
            </w:r>
          </w:p>
        </w:tc>
      </w:tr>
      <w:tr w14:paraId="5123FE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649" w:type="dxa"/>
            <w:tcBorders>
              <w:top w:val="single" w:color="000000" w:sz="4" w:space="0"/>
              <w:left w:val="single" w:color="000000" w:sz="4" w:space="0"/>
              <w:bottom w:val="single" w:color="000000" w:sz="4" w:space="0"/>
              <w:right w:val="single" w:color="000000" w:sz="4" w:space="0"/>
            </w:tcBorders>
            <w:noWrap w:val="0"/>
            <w:vAlign w:val="center"/>
          </w:tcPr>
          <w:p w14:paraId="575E1DB9">
            <w:pPr>
              <w:spacing w:line="360" w:lineRule="exact"/>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13</w:t>
            </w:r>
          </w:p>
        </w:tc>
        <w:tc>
          <w:tcPr>
            <w:tcW w:w="1690" w:type="dxa"/>
            <w:gridSpan w:val="2"/>
            <w:tcBorders>
              <w:top w:val="single" w:color="000000" w:sz="4" w:space="0"/>
              <w:left w:val="single" w:color="000000" w:sz="4" w:space="0"/>
              <w:bottom w:val="single" w:color="000000" w:sz="4" w:space="0"/>
              <w:right w:val="single" w:color="000000" w:sz="4" w:space="0"/>
            </w:tcBorders>
            <w:noWrap w:val="0"/>
            <w:vAlign w:val="center"/>
          </w:tcPr>
          <w:p w14:paraId="167EC8DD">
            <w:pPr>
              <w:spacing w:line="360" w:lineRule="exact"/>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违约责任</w:t>
            </w:r>
          </w:p>
        </w:tc>
        <w:tc>
          <w:tcPr>
            <w:tcW w:w="7156" w:type="dxa"/>
            <w:gridSpan w:val="3"/>
            <w:tcBorders>
              <w:top w:val="single" w:color="000000" w:sz="4" w:space="0"/>
              <w:left w:val="single" w:color="000000" w:sz="4" w:space="0"/>
              <w:bottom w:val="single" w:color="000000" w:sz="4" w:space="0"/>
              <w:right w:val="single" w:color="auto" w:sz="4" w:space="0"/>
            </w:tcBorders>
            <w:noWrap w:val="0"/>
            <w:vAlign w:val="center"/>
          </w:tcPr>
          <w:p w14:paraId="3C809F8D">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 xml:space="preserve">（一）技术参数不符合的 </w:t>
            </w:r>
          </w:p>
          <w:p w14:paraId="7CBB0821">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如</w:t>
            </w:r>
            <w:r>
              <w:rPr>
                <w:rFonts w:hint="eastAsia" w:ascii="宋体" w:hAnsi="宋体" w:cs="宋体"/>
                <w:color w:val="auto"/>
                <w:szCs w:val="21"/>
                <w:highlight w:val="none"/>
                <w:lang w:val="en-US" w:eastAsia="zh-CN"/>
              </w:rPr>
              <w:t>成交</w:t>
            </w:r>
            <w:r>
              <w:rPr>
                <w:rFonts w:hint="eastAsia" w:ascii="宋体" w:hAnsi="宋体" w:cs="宋体"/>
                <w:color w:val="auto"/>
                <w:szCs w:val="21"/>
                <w:highlight w:val="none"/>
              </w:rPr>
              <w:t>的产品经中心对仪器设备进行全面性能评估，对产品做性能验证，经评估产品的真实性能与采购响应文件的技术参数不相符的，</w:t>
            </w:r>
            <w:r>
              <w:rPr>
                <w:rFonts w:hint="eastAsia" w:ascii="宋体" w:hAnsi="宋体" w:cs="宋体"/>
                <w:color w:val="auto"/>
                <w:szCs w:val="21"/>
                <w:highlight w:val="none"/>
                <w:lang w:val="en-US" w:eastAsia="zh-CN"/>
              </w:rPr>
              <w:t>采购人</w:t>
            </w:r>
            <w:r>
              <w:rPr>
                <w:rFonts w:hint="eastAsia" w:ascii="宋体" w:hAnsi="宋体" w:cs="宋体"/>
                <w:color w:val="auto"/>
                <w:szCs w:val="21"/>
                <w:highlight w:val="none"/>
              </w:rPr>
              <w:t>可认定</w:t>
            </w:r>
            <w:r>
              <w:rPr>
                <w:rFonts w:hint="eastAsia" w:ascii="宋体" w:hAnsi="宋体" w:cs="宋体"/>
                <w:color w:val="auto"/>
                <w:szCs w:val="21"/>
                <w:highlight w:val="none"/>
                <w:lang w:val="en-US" w:eastAsia="zh-CN"/>
              </w:rPr>
              <w:t>成交供应商</w:t>
            </w:r>
            <w:r>
              <w:rPr>
                <w:rFonts w:hint="eastAsia" w:ascii="宋体" w:hAnsi="宋体" w:cs="宋体"/>
                <w:color w:val="auto"/>
                <w:szCs w:val="21"/>
                <w:highlight w:val="none"/>
              </w:rPr>
              <w:t>违约，</w:t>
            </w:r>
            <w:r>
              <w:rPr>
                <w:rFonts w:hint="eastAsia" w:ascii="宋体" w:hAnsi="宋体" w:cs="宋体"/>
                <w:color w:val="auto"/>
                <w:szCs w:val="21"/>
                <w:highlight w:val="none"/>
                <w:lang w:val="en-US" w:eastAsia="zh-CN"/>
              </w:rPr>
              <w:t>采购人</w:t>
            </w:r>
            <w:r>
              <w:rPr>
                <w:rFonts w:hint="eastAsia" w:ascii="宋体" w:hAnsi="宋体" w:cs="宋体"/>
                <w:color w:val="auto"/>
                <w:szCs w:val="21"/>
                <w:highlight w:val="none"/>
              </w:rPr>
              <w:t>可要求：</w:t>
            </w:r>
          </w:p>
          <w:p w14:paraId="19BE7786">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1.根据合同中约定的违约金或损害赔偿条款，要求</w:t>
            </w:r>
            <w:r>
              <w:rPr>
                <w:rFonts w:hint="eastAsia" w:ascii="宋体" w:hAnsi="宋体" w:cs="宋体"/>
                <w:color w:val="auto"/>
                <w:szCs w:val="21"/>
                <w:highlight w:val="none"/>
                <w:lang w:val="en-US" w:eastAsia="zh-CN"/>
              </w:rPr>
              <w:t>成交供应商</w:t>
            </w:r>
            <w:r>
              <w:rPr>
                <w:rFonts w:hint="eastAsia" w:ascii="宋体" w:hAnsi="宋体" w:cs="宋体"/>
                <w:color w:val="auto"/>
                <w:szCs w:val="21"/>
                <w:highlight w:val="none"/>
              </w:rPr>
              <w:t>支付相应的经济补偿，以弥补因产品不合格给</w:t>
            </w:r>
            <w:r>
              <w:rPr>
                <w:rFonts w:hint="eastAsia" w:ascii="宋体" w:hAnsi="宋体" w:cs="宋体"/>
                <w:color w:val="auto"/>
                <w:szCs w:val="21"/>
                <w:highlight w:val="none"/>
                <w:lang w:val="en-US" w:eastAsia="zh-CN"/>
              </w:rPr>
              <w:t>采购人</w:t>
            </w:r>
            <w:r>
              <w:rPr>
                <w:rFonts w:hint="eastAsia" w:ascii="宋体" w:hAnsi="宋体" w:cs="宋体"/>
                <w:color w:val="auto"/>
                <w:szCs w:val="21"/>
                <w:highlight w:val="none"/>
              </w:rPr>
              <w:t xml:space="preserve">造成的直接经济损失和其他合理支出。 </w:t>
            </w:r>
          </w:p>
          <w:p w14:paraId="735F1A6A">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2.若</w:t>
            </w:r>
            <w:r>
              <w:rPr>
                <w:rFonts w:hint="eastAsia" w:ascii="宋体" w:hAnsi="宋体" w:cs="宋体"/>
                <w:color w:val="auto"/>
                <w:szCs w:val="21"/>
                <w:highlight w:val="none"/>
                <w:lang w:val="en-US" w:eastAsia="zh-CN"/>
              </w:rPr>
              <w:t>成交供应商</w:t>
            </w:r>
            <w:r>
              <w:rPr>
                <w:rFonts w:hint="eastAsia" w:ascii="宋体" w:hAnsi="宋体" w:cs="宋体"/>
                <w:color w:val="auto"/>
                <w:szCs w:val="21"/>
                <w:highlight w:val="none"/>
              </w:rPr>
              <w:t>无法提供合格产品或拒绝履行整改义务，</w:t>
            </w:r>
            <w:r>
              <w:rPr>
                <w:rFonts w:hint="eastAsia" w:ascii="宋体" w:hAnsi="宋体" w:cs="宋体"/>
                <w:color w:val="auto"/>
                <w:szCs w:val="21"/>
                <w:highlight w:val="none"/>
                <w:lang w:val="en-US" w:eastAsia="zh-CN"/>
              </w:rPr>
              <w:t>采购人</w:t>
            </w:r>
            <w:r>
              <w:rPr>
                <w:rFonts w:hint="eastAsia" w:ascii="宋体" w:hAnsi="宋体" w:cs="宋体"/>
                <w:color w:val="auto"/>
                <w:szCs w:val="21"/>
                <w:highlight w:val="none"/>
              </w:rPr>
              <w:t>有权单方面终止合同，并保留追究法律责任的权利。</w:t>
            </w:r>
          </w:p>
          <w:p w14:paraId="25E19CD5">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（二）退换货处理</w:t>
            </w:r>
          </w:p>
          <w:p w14:paraId="460F27B6">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包装破损或标识不清：外包装损坏、密封不良或标签信息错误、模糊不清。</w:t>
            </w:r>
          </w:p>
          <w:p w14:paraId="2B0FCEB2">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出现以上问题之一</w:t>
            </w:r>
            <w:r>
              <w:rPr>
                <w:rFonts w:hint="eastAsia" w:ascii="宋体" w:hAnsi="宋体" w:cs="宋体"/>
                <w:color w:val="auto"/>
                <w:szCs w:val="21"/>
                <w:highlight w:val="none"/>
                <w:lang w:val="en-US" w:eastAsia="zh-CN"/>
              </w:rPr>
              <w:t>采购人</w:t>
            </w:r>
            <w:r>
              <w:rPr>
                <w:rFonts w:hint="eastAsia" w:ascii="宋体" w:hAnsi="宋体" w:cs="宋体"/>
                <w:color w:val="auto"/>
                <w:szCs w:val="21"/>
                <w:highlight w:val="none"/>
              </w:rPr>
              <w:t>有权退换货，并产生的退换货费用由</w:t>
            </w:r>
            <w:r>
              <w:rPr>
                <w:rFonts w:hint="eastAsia" w:ascii="宋体" w:hAnsi="宋体" w:cs="宋体"/>
                <w:color w:val="auto"/>
                <w:szCs w:val="21"/>
                <w:highlight w:val="none"/>
                <w:lang w:val="en-US" w:eastAsia="zh-CN"/>
              </w:rPr>
              <w:t>成交供应商</w:t>
            </w:r>
            <w:r>
              <w:rPr>
                <w:rFonts w:hint="eastAsia" w:ascii="宋体" w:hAnsi="宋体" w:cs="宋体"/>
                <w:color w:val="auto"/>
                <w:szCs w:val="21"/>
                <w:highlight w:val="none"/>
              </w:rPr>
              <w:t>承担。</w:t>
            </w:r>
          </w:p>
        </w:tc>
      </w:tr>
    </w:tbl>
    <w:p w14:paraId="30393A43">
      <w:pPr>
        <w:spacing w:line="528" w:lineRule="exact"/>
        <w:rPr>
          <w:color w:val="auto"/>
          <w:sz w:val="28"/>
          <w:szCs w:val="28"/>
          <w:highlight w:val="none"/>
        </w:rPr>
      </w:pPr>
      <w:r>
        <w:rPr>
          <w:color w:val="auto"/>
          <w:szCs w:val="21"/>
          <w:highlight w:val="none"/>
        </w:rPr>
        <w:br w:type="page"/>
      </w:r>
      <w:r>
        <w:rPr>
          <w:rFonts w:hint="eastAsia"/>
          <w:color w:val="auto"/>
          <w:sz w:val="28"/>
          <w:szCs w:val="28"/>
          <w:highlight w:val="none"/>
        </w:rPr>
        <w:t xml:space="preserve">附件1： </w:t>
      </w:r>
      <w:r>
        <w:rPr>
          <w:color w:val="auto"/>
          <w:sz w:val="28"/>
          <w:szCs w:val="28"/>
          <w:highlight w:val="none"/>
        </w:rPr>
        <w:t xml:space="preserve">                              </w:t>
      </w:r>
    </w:p>
    <w:p w14:paraId="0F83BBF7">
      <w:pPr>
        <w:spacing w:line="528" w:lineRule="exact"/>
        <w:ind w:firstLine="3500" w:firstLineChars="1250"/>
        <w:rPr>
          <w:color w:val="auto"/>
          <w:sz w:val="28"/>
          <w:szCs w:val="28"/>
          <w:highlight w:val="none"/>
        </w:rPr>
      </w:pPr>
      <w:r>
        <w:rPr>
          <w:rFonts w:hint="eastAsia"/>
          <w:color w:val="auto"/>
          <w:sz w:val="28"/>
          <w:szCs w:val="28"/>
          <w:highlight w:val="none"/>
        </w:rPr>
        <w:t>中小微企业划型标准</w:t>
      </w:r>
    </w:p>
    <w:tbl>
      <w:tblPr>
        <w:tblStyle w:val="51"/>
        <w:tblW w:w="8706" w:type="dxa"/>
        <w:tblInd w:w="250" w:type="dxa"/>
        <w:tblLayout w:type="fixed"/>
        <w:tblCellMar>
          <w:top w:w="0" w:type="dxa"/>
          <w:left w:w="108" w:type="dxa"/>
          <w:bottom w:w="0" w:type="dxa"/>
          <w:right w:w="108" w:type="dxa"/>
        </w:tblCellMar>
      </w:tblPr>
      <w:tblGrid>
        <w:gridCol w:w="1446"/>
        <w:gridCol w:w="1701"/>
        <w:gridCol w:w="1134"/>
        <w:gridCol w:w="1846"/>
        <w:gridCol w:w="1570"/>
        <w:gridCol w:w="1009"/>
      </w:tblGrid>
      <w:tr w14:paraId="4977F4FF">
        <w:tblPrEx>
          <w:tblCellMar>
            <w:top w:w="0" w:type="dxa"/>
            <w:left w:w="108" w:type="dxa"/>
            <w:bottom w:w="0" w:type="dxa"/>
            <w:right w:w="108" w:type="dxa"/>
          </w:tblCellMar>
        </w:tblPrEx>
        <w:trPr>
          <w:trHeight w:val="279" w:hRule="atLeast"/>
        </w:trPr>
        <w:tc>
          <w:tcPr>
            <w:tcW w:w="1446" w:type="dxa"/>
            <w:tcBorders>
              <w:top w:val="single" w:color="auto" w:sz="4" w:space="0"/>
              <w:left w:val="single" w:color="auto" w:sz="4" w:space="0"/>
              <w:bottom w:val="single" w:color="auto" w:sz="4" w:space="0"/>
              <w:right w:val="single" w:color="auto" w:sz="4" w:space="0"/>
            </w:tcBorders>
            <w:noWrap w:val="0"/>
            <w:vAlign w:val="center"/>
          </w:tcPr>
          <w:p w14:paraId="6E034803">
            <w:pPr>
              <w:widowControl/>
              <w:jc w:val="left"/>
              <w:rPr>
                <w:color w:val="auto"/>
                <w:szCs w:val="21"/>
                <w:highlight w:val="none"/>
              </w:rPr>
            </w:pPr>
            <w:r>
              <w:rPr>
                <w:rFonts w:hint="eastAsia"/>
                <w:color w:val="auto"/>
                <w:szCs w:val="21"/>
                <w:highlight w:val="none"/>
              </w:rPr>
              <w:t>行业名称</w:t>
            </w:r>
          </w:p>
        </w:tc>
        <w:tc>
          <w:tcPr>
            <w:tcW w:w="1701" w:type="dxa"/>
            <w:tcBorders>
              <w:top w:val="single" w:color="auto" w:sz="4" w:space="0"/>
              <w:left w:val="nil"/>
              <w:bottom w:val="single" w:color="auto" w:sz="4" w:space="0"/>
              <w:right w:val="single" w:color="auto" w:sz="4" w:space="0"/>
            </w:tcBorders>
            <w:noWrap w:val="0"/>
            <w:vAlign w:val="center"/>
          </w:tcPr>
          <w:p w14:paraId="07128563">
            <w:pPr>
              <w:widowControl/>
              <w:jc w:val="left"/>
              <w:rPr>
                <w:color w:val="auto"/>
                <w:szCs w:val="21"/>
                <w:highlight w:val="none"/>
              </w:rPr>
            </w:pPr>
            <w:r>
              <w:rPr>
                <w:rFonts w:hint="eastAsia"/>
                <w:color w:val="auto"/>
                <w:szCs w:val="21"/>
                <w:highlight w:val="none"/>
              </w:rPr>
              <w:t>指标名称</w:t>
            </w:r>
          </w:p>
        </w:tc>
        <w:tc>
          <w:tcPr>
            <w:tcW w:w="1134" w:type="dxa"/>
            <w:tcBorders>
              <w:top w:val="single" w:color="auto" w:sz="4" w:space="0"/>
              <w:left w:val="nil"/>
              <w:bottom w:val="single" w:color="auto" w:sz="4" w:space="0"/>
              <w:right w:val="single" w:color="auto" w:sz="4" w:space="0"/>
            </w:tcBorders>
            <w:noWrap w:val="0"/>
            <w:vAlign w:val="center"/>
          </w:tcPr>
          <w:p w14:paraId="66CD6AC8">
            <w:pPr>
              <w:widowControl/>
              <w:jc w:val="left"/>
              <w:rPr>
                <w:color w:val="auto"/>
                <w:szCs w:val="21"/>
                <w:highlight w:val="none"/>
              </w:rPr>
            </w:pPr>
            <w:r>
              <w:rPr>
                <w:rFonts w:hint="eastAsia"/>
                <w:color w:val="auto"/>
                <w:szCs w:val="21"/>
                <w:highlight w:val="none"/>
              </w:rPr>
              <w:t>计量单位</w:t>
            </w:r>
          </w:p>
        </w:tc>
        <w:tc>
          <w:tcPr>
            <w:tcW w:w="1846" w:type="dxa"/>
            <w:tcBorders>
              <w:top w:val="single" w:color="auto" w:sz="4" w:space="0"/>
              <w:left w:val="nil"/>
              <w:bottom w:val="single" w:color="auto" w:sz="4" w:space="0"/>
              <w:right w:val="single" w:color="auto" w:sz="4" w:space="0"/>
            </w:tcBorders>
            <w:noWrap w:val="0"/>
            <w:vAlign w:val="center"/>
          </w:tcPr>
          <w:p w14:paraId="0A8ED953">
            <w:pPr>
              <w:widowControl/>
              <w:jc w:val="left"/>
              <w:rPr>
                <w:color w:val="auto"/>
                <w:szCs w:val="21"/>
                <w:highlight w:val="none"/>
              </w:rPr>
            </w:pPr>
            <w:r>
              <w:rPr>
                <w:rFonts w:hint="eastAsia"/>
                <w:color w:val="auto"/>
                <w:szCs w:val="21"/>
                <w:highlight w:val="none"/>
              </w:rPr>
              <w:t>中型</w:t>
            </w:r>
          </w:p>
        </w:tc>
        <w:tc>
          <w:tcPr>
            <w:tcW w:w="1570" w:type="dxa"/>
            <w:tcBorders>
              <w:top w:val="single" w:color="auto" w:sz="4" w:space="0"/>
              <w:left w:val="nil"/>
              <w:bottom w:val="single" w:color="auto" w:sz="4" w:space="0"/>
              <w:right w:val="single" w:color="auto" w:sz="4" w:space="0"/>
            </w:tcBorders>
            <w:noWrap w:val="0"/>
            <w:vAlign w:val="center"/>
          </w:tcPr>
          <w:p w14:paraId="7364FD43">
            <w:pPr>
              <w:widowControl/>
              <w:jc w:val="left"/>
              <w:rPr>
                <w:color w:val="auto"/>
                <w:szCs w:val="21"/>
                <w:highlight w:val="none"/>
              </w:rPr>
            </w:pPr>
            <w:r>
              <w:rPr>
                <w:rFonts w:hint="eastAsia"/>
                <w:color w:val="auto"/>
                <w:szCs w:val="21"/>
                <w:highlight w:val="none"/>
              </w:rPr>
              <w:t>小型</w:t>
            </w:r>
          </w:p>
        </w:tc>
        <w:tc>
          <w:tcPr>
            <w:tcW w:w="1009" w:type="dxa"/>
            <w:tcBorders>
              <w:top w:val="single" w:color="auto" w:sz="4" w:space="0"/>
              <w:left w:val="nil"/>
              <w:bottom w:val="single" w:color="auto" w:sz="4" w:space="0"/>
              <w:right w:val="single" w:color="auto" w:sz="4" w:space="0"/>
            </w:tcBorders>
            <w:noWrap w:val="0"/>
            <w:vAlign w:val="center"/>
          </w:tcPr>
          <w:p w14:paraId="3912E237">
            <w:pPr>
              <w:widowControl/>
              <w:jc w:val="left"/>
              <w:rPr>
                <w:color w:val="auto"/>
                <w:szCs w:val="21"/>
                <w:highlight w:val="none"/>
              </w:rPr>
            </w:pPr>
            <w:r>
              <w:rPr>
                <w:rFonts w:hint="eastAsia"/>
                <w:color w:val="auto"/>
                <w:szCs w:val="21"/>
                <w:highlight w:val="none"/>
              </w:rPr>
              <w:t>微型</w:t>
            </w:r>
          </w:p>
        </w:tc>
      </w:tr>
      <w:tr w14:paraId="5A08F373">
        <w:tblPrEx>
          <w:tblCellMar>
            <w:top w:w="0" w:type="dxa"/>
            <w:left w:w="108" w:type="dxa"/>
            <w:bottom w:w="0" w:type="dxa"/>
            <w:right w:w="108" w:type="dxa"/>
          </w:tblCellMar>
        </w:tblPrEx>
        <w:trPr>
          <w:trHeight w:val="220" w:hRule="atLeast"/>
        </w:trPr>
        <w:tc>
          <w:tcPr>
            <w:tcW w:w="1446" w:type="dxa"/>
            <w:tcBorders>
              <w:top w:val="nil"/>
              <w:left w:val="single" w:color="auto" w:sz="4" w:space="0"/>
              <w:bottom w:val="single" w:color="auto" w:sz="4" w:space="0"/>
              <w:right w:val="single" w:color="auto" w:sz="4" w:space="0"/>
            </w:tcBorders>
            <w:noWrap w:val="0"/>
            <w:vAlign w:val="bottom"/>
          </w:tcPr>
          <w:p w14:paraId="2B3DFC30">
            <w:pPr>
              <w:widowControl/>
              <w:jc w:val="center"/>
              <w:rPr>
                <w:color w:val="auto"/>
                <w:szCs w:val="21"/>
                <w:highlight w:val="none"/>
              </w:rPr>
            </w:pPr>
            <w:r>
              <w:rPr>
                <w:rFonts w:hint="eastAsia"/>
                <w:color w:val="auto"/>
                <w:szCs w:val="21"/>
                <w:highlight w:val="none"/>
              </w:rPr>
              <w:t>农、林、牧、渔</w:t>
            </w:r>
          </w:p>
        </w:tc>
        <w:tc>
          <w:tcPr>
            <w:tcW w:w="1701" w:type="dxa"/>
            <w:tcBorders>
              <w:top w:val="nil"/>
              <w:left w:val="nil"/>
              <w:bottom w:val="single" w:color="auto" w:sz="4" w:space="0"/>
              <w:right w:val="single" w:color="auto" w:sz="4" w:space="0"/>
            </w:tcBorders>
            <w:noWrap w:val="0"/>
            <w:vAlign w:val="center"/>
          </w:tcPr>
          <w:p w14:paraId="41FC7183">
            <w:pPr>
              <w:widowControl/>
              <w:jc w:val="left"/>
              <w:rPr>
                <w:color w:val="auto"/>
                <w:szCs w:val="21"/>
                <w:highlight w:val="none"/>
              </w:rPr>
            </w:pPr>
            <w:r>
              <w:rPr>
                <w:rFonts w:hint="eastAsia"/>
                <w:color w:val="auto"/>
                <w:szCs w:val="21"/>
                <w:highlight w:val="none"/>
              </w:rPr>
              <w:t>营业收入（Y）</w:t>
            </w:r>
          </w:p>
        </w:tc>
        <w:tc>
          <w:tcPr>
            <w:tcW w:w="1134" w:type="dxa"/>
            <w:tcBorders>
              <w:top w:val="nil"/>
              <w:left w:val="nil"/>
              <w:bottom w:val="single" w:color="auto" w:sz="4" w:space="0"/>
              <w:right w:val="single" w:color="auto" w:sz="4" w:space="0"/>
            </w:tcBorders>
            <w:noWrap w:val="0"/>
            <w:vAlign w:val="center"/>
          </w:tcPr>
          <w:p w14:paraId="20DB3600">
            <w:pPr>
              <w:widowControl/>
              <w:jc w:val="left"/>
              <w:rPr>
                <w:color w:val="auto"/>
                <w:szCs w:val="21"/>
                <w:highlight w:val="none"/>
              </w:rPr>
            </w:pPr>
            <w:r>
              <w:rPr>
                <w:rFonts w:hint="eastAsia"/>
                <w:color w:val="auto"/>
                <w:szCs w:val="21"/>
                <w:highlight w:val="none"/>
              </w:rPr>
              <w:t>万元</w:t>
            </w:r>
          </w:p>
        </w:tc>
        <w:tc>
          <w:tcPr>
            <w:tcW w:w="1846" w:type="dxa"/>
            <w:tcBorders>
              <w:top w:val="nil"/>
              <w:left w:val="nil"/>
              <w:bottom w:val="single" w:color="auto" w:sz="4" w:space="0"/>
              <w:right w:val="single" w:color="auto" w:sz="4" w:space="0"/>
            </w:tcBorders>
            <w:noWrap w:val="0"/>
            <w:vAlign w:val="center"/>
          </w:tcPr>
          <w:p w14:paraId="1783A7FE">
            <w:pPr>
              <w:widowControl/>
              <w:jc w:val="left"/>
              <w:rPr>
                <w:color w:val="auto"/>
                <w:szCs w:val="21"/>
                <w:highlight w:val="none"/>
              </w:rPr>
            </w:pPr>
            <w:r>
              <w:rPr>
                <w:rFonts w:hint="eastAsia"/>
                <w:color w:val="auto"/>
                <w:szCs w:val="21"/>
                <w:highlight w:val="none"/>
              </w:rPr>
              <w:t>500≤Y＜20000</w:t>
            </w:r>
          </w:p>
        </w:tc>
        <w:tc>
          <w:tcPr>
            <w:tcW w:w="1570" w:type="dxa"/>
            <w:tcBorders>
              <w:top w:val="nil"/>
              <w:left w:val="nil"/>
              <w:bottom w:val="single" w:color="auto" w:sz="4" w:space="0"/>
              <w:right w:val="single" w:color="auto" w:sz="4" w:space="0"/>
            </w:tcBorders>
            <w:noWrap w:val="0"/>
            <w:vAlign w:val="center"/>
          </w:tcPr>
          <w:p w14:paraId="70FEAD96">
            <w:pPr>
              <w:widowControl/>
              <w:jc w:val="left"/>
              <w:rPr>
                <w:color w:val="auto"/>
                <w:szCs w:val="21"/>
                <w:highlight w:val="none"/>
              </w:rPr>
            </w:pPr>
            <w:r>
              <w:rPr>
                <w:rFonts w:hint="eastAsia"/>
                <w:color w:val="auto"/>
                <w:szCs w:val="21"/>
                <w:highlight w:val="none"/>
              </w:rPr>
              <w:t>50≤Y＜500</w:t>
            </w:r>
          </w:p>
        </w:tc>
        <w:tc>
          <w:tcPr>
            <w:tcW w:w="1009" w:type="dxa"/>
            <w:tcBorders>
              <w:top w:val="nil"/>
              <w:left w:val="nil"/>
              <w:bottom w:val="single" w:color="auto" w:sz="4" w:space="0"/>
              <w:right w:val="single" w:color="auto" w:sz="4" w:space="0"/>
            </w:tcBorders>
            <w:noWrap w:val="0"/>
            <w:vAlign w:val="center"/>
          </w:tcPr>
          <w:p w14:paraId="1173B565">
            <w:pPr>
              <w:widowControl/>
              <w:jc w:val="left"/>
              <w:rPr>
                <w:color w:val="auto"/>
                <w:szCs w:val="21"/>
                <w:highlight w:val="none"/>
              </w:rPr>
            </w:pPr>
            <w:r>
              <w:rPr>
                <w:rFonts w:hint="eastAsia"/>
                <w:color w:val="auto"/>
                <w:szCs w:val="21"/>
                <w:highlight w:val="none"/>
              </w:rPr>
              <w:t>Y＜50</w:t>
            </w:r>
          </w:p>
        </w:tc>
      </w:tr>
      <w:tr w14:paraId="53432A9C">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noWrap w:val="0"/>
            <w:vAlign w:val="bottom"/>
          </w:tcPr>
          <w:p w14:paraId="34FA3C56">
            <w:pPr>
              <w:widowControl/>
              <w:jc w:val="center"/>
              <w:rPr>
                <w:color w:val="auto"/>
                <w:szCs w:val="21"/>
                <w:highlight w:val="none"/>
              </w:rPr>
            </w:pPr>
            <w:r>
              <w:rPr>
                <w:rFonts w:hint="eastAsia"/>
                <w:color w:val="auto"/>
                <w:szCs w:val="21"/>
                <w:highlight w:val="none"/>
              </w:rPr>
              <w:t>工业</w:t>
            </w:r>
          </w:p>
        </w:tc>
        <w:tc>
          <w:tcPr>
            <w:tcW w:w="1701" w:type="dxa"/>
            <w:tcBorders>
              <w:top w:val="nil"/>
              <w:left w:val="nil"/>
              <w:bottom w:val="single" w:color="auto" w:sz="4" w:space="0"/>
              <w:right w:val="single" w:color="auto" w:sz="4" w:space="0"/>
            </w:tcBorders>
            <w:noWrap w:val="0"/>
            <w:vAlign w:val="center"/>
          </w:tcPr>
          <w:p w14:paraId="2AE7CC6E">
            <w:pPr>
              <w:widowControl/>
              <w:jc w:val="left"/>
              <w:rPr>
                <w:color w:val="auto"/>
                <w:szCs w:val="21"/>
                <w:highlight w:val="none"/>
              </w:rPr>
            </w:pPr>
            <w:r>
              <w:rPr>
                <w:rFonts w:hint="eastAsia"/>
                <w:color w:val="auto"/>
                <w:szCs w:val="21"/>
                <w:highlight w:val="none"/>
              </w:rPr>
              <w:t>从业人员（X）</w:t>
            </w:r>
          </w:p>
        </w:tc>
        <w:tc>
          <w:tcPr>
            <w:tcW w:w="1134" w:type="dxa"/>
            <w:tcBorders>
              <w:top w:val="nil"/>
              <w:left w:val="nil"/>
              <w:bottom w:val="single" w:color="auto" w:sz="4" w:space="0"/>
              <w:right w:val="single" w:color="auto" w:sz="4" w:space="0"/>
            </w:tcBorders>
            <w:noWrap w:val="0"/>
            <w:vAlign w:val="center"/>
          </w:tcPr>
          <w:p w14:paraId="512DA38C">
            <w:pPr>
              <w:widowControl/>
              <w:jc w:val="left"/>
              <w:rPr>
                <w:color w:val="auto"/>
                <w:szCs w:val="21"/>
                <w:highlight w:val="none"/>
              </w:rPr>
            </w:pPr>
            <w:r>
              <w:rPr>
                <w:rFonts w:hint="eastAsia"/>
                <w:color w:val="auto"/>
                <w:szCs w:val="21"/>
                <w:highlight w:val="none"/>
              </w:rPr>
              <w:t>人</w:t>
            </w:r>
          </w:p>
        </w:tc>
        <w:tc>
          <w:tcPr>
            <w:tcW w:w="1846" w:type="dxa"/>
            <w:tcBorders>
              <w:top w:val="nil"/>
              <w:left w:val="nil"/>
              <w:bottom w:val="single" w:color="auto" w:sz="4" w:space="0"/>
              <w:right w:val="single" w:color="auto" w:sz="4" w:space="0"/>
            </w:tcBorders>
            <w:noWrap w:val="0"/>
            <w:vAlign w:val="center"/>
          </w:tcPr>
          <w:p w14:paraId="03434F04">
            <w:pPr>
              <w:widowControl/>
              <w:jc w:val="left"/>
              <w:rPr>
                <w:color w:val="auto"/>
                <w:szCs w:val="21"/>
                <w:highlight w:val="none"/>
              </w:rPr>
            </w:pPr>
            <w:r>
              <w:rPr>
                <w:rFonts w:hint="eastAsia"/>
                <w:color w:val="auto"/>
                <w:szCs w:val="21"/>
                <w:highlight w:val="none"/>
              </w:rPr>
              <w:t>300≤X＜1000</w:t>
            </w:r>
          </w:p>
        </w:tc>
        <w:tc>
          <w:tcPr>
            <w:tcW w:w="1570" w:type="dxa"/>
            <w:tcBorders>
              <w:top w:val="nil"/>
              <w:left w:val="nil"/>
              <w:bottom w:val="single" w:color="auto" w:sz="4" w:space="0"/>
              <w:right w:val="single" w:color="auto" w:sz="4" w:space="0"/>
            </w:tcBorders>
            <w:noWrap w:val="0"/>
            <w:vAlign w:val="center"/>
          </w:tcPr>
          <w:p w14:paraId="2F0B1231">
            <w:pPr>
              <w:widowControl/>
              <w:jc w:val="left"/>
              <w:rPr>
                <w:color w:val="auto"/>
                <w:szCs w:val="21"/>
                <w:highlight w:val="none"/>
              </w:rPr>
            </w:pPr>
            <w:r>
              <w:rPr>
                <w:rFonts w:hint="eastAsia"/>
                <w:color w:val="auto"/>
                <w:szCs w:val="21"/>
                <w:highlight w:val="none"/>
              </w:rPr>
              <w:t>20≤X＜300</w:t>
            </w:r>
          </w:p>
        </w:tc>
        <w:tc>
          <w:tcPr>
            <w:tcW w:w="1009" w:type="dxa"/>
            <w:tcBorders>
              <w:top w:val="nil"/>
              <w:left w:val="nil"/>
              <w:bottom w:val="single" w:color="auto" w:sz="4" w:space="0"/>
              <w:right w:val="single" w:color="auto" w:sz="4" w:space="0"/>
            </w:tcBorders>
            <w:noWrap w:val="0"/>
            <w:vAlign w:val="center"/>
          </w:tcPr>
          <w:p w14:paraId="633653A1">
            <w:pPr>
              <w:widowControl/>
              <w:jc w:val="left"/>
              <w:rPr>
                <w:color w:val="auto"/>
                <w:szCs w:val="21"/>
                <w:highlight w:val="none"/>
              </w:rPr>
            </w:pPr>
            <w:r>
              <w:rPr>
                <w:rFonts w:hint="eastAsia"/>
                <w:color w:val="auto"/>
                <w:szCs w:val="21"/>
                <w:highlight w:val="none"/>
              </w:rPr>
              <w:t>X＜20</w:t>
            </w:r>
          </w:p>
        </w:tc>
      </w:tr>
      <w:tr w14:paraId="5DCFC8A6">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noWrap w:val="0"/>
            <w:vAlign w:val="center"/>
          </w:tcPr>
          <w:p w14:paraId="21F21281">
            <w:pPr>
              <w:widowControl/>
              <w:jc w:val="left"/>
              <w:rPr>
                <w:color w:val="auto"/>
                <w:szCs w:val="21"/>
                <w:highlight w:val="none"/>
              </w:rPr>
            </w:pPr>
          </w:p>
        </w:tc>
        <w:tc>
          <w:tcPr>
            <w:tcW w:w="1701" w:type="dxa"/>
            <w:tcBorders>
              <w:top w:val="nil"/>
              <w:left w:val="nil"/>
              <w:bottom w:val="single" w:color="auto" w:sz="4" w:space="0"/>
              <w:right w:val="single" w:color="auto" w:sz="4" w:space="0"/>
            </w:tcBorders>
            <w:noWrap w:val="0"/>
            <w:vAlign w:val="center"/>
          </w:tcPr>
          <w:p w14:paraId="1951B31C">
            <w:pPr>
              <w:widowControl/>
              <w:jc w:val="left"/>
              <w:rPr>
                <w:color w:val="auto"/>
                <w:szCs w:val="21"/>
                <w:highlight w:val="none"/>
              </w:rPr>
            </w:pPr>
            <w:r>
              <w:rPr>
                <w:rFonts w:hint="eastAsia"/>
                <w:color w:val="auto"/>
                <w:szCs w:val="21"/>
                <w:highlight w:val="none"/>
              </w:rPr>
              <w:t>营业收入（Y）</w:t>
            </w:r>
          </w:p>
        </w:tc>
        <w:tc>
          <w:tcPr>
            <w:tcW w:w="1134" w:type="dxa"/>
            <w:tcBorders>
              <w:top w:val="nil"/>
              <w:left w:val="nil"/>
              <w:bottom w:val="single" w:color="auto" w:sz="4" w:space="0"/>
              <w:right w:val="single" w:color="auto" w:sz="4" w:space="0"/>
            </w:tcBorders>
            <w:noWrap w:val="0"/>
            <w:vAlign w:val="center"/>
          </w:tcPr>
          <w:p w14:paraId="510D41D6">
            <w:pPr>
              <w:widowControl/>
              <w:jc w:val="left"/>
              <w:rPr>
                <w:color w:val="auto"/>
                <w:szCs w:val="21"/>
                <w:highlight w:val="none"/>
              </w:rPr>
            </w:pPr>
            <w:r>
              <w:rPr>
                <w:rFonts w:hint="eastAsia"/>
                <w:color w:val="auto"/>
                <w:szCs w:val="21"/>
                <w:highlight w:val="none"/>
              </w:rPr>
              <w:t>万元</w:t>
            </w:r>
          </w:p>
        </w:tc>
        <w:tc>
          <w:tcPr>
            <w:tcW w:w="1846" w:type="dxa"/>
            <w:tcBorders>
              <w:top w:val="nil"/>
              <w:left w:val="nil"/>
              <w:bottom w:val="single" w:color="auto" w:sz="4" w:space="0"/>
              <w:right w:val="single" w:color="auto" w:sz="4" w:space="0"/>
            </w:tcBorders>
            <w:noWrap w:val="0"/>
            <w:vAlign w:val="center"/>
          </w:tcPr>
          <w:p w14:paraId="290861B0">
            <w:pPr>
              <w:widowControl/>
              <w:jc w:val="left"/>
              <w:rPr>
                <w:color w:val="auto"/>
                <w:szCs w:val="21"/>
                <w:highlight w:val="none"/>
              </w:rPr>
            </w:pPr>
            <w:r>
              <w:rPr>
                <w:rFonts w:hint="eastAsia"/>
                <w:color w:val="auto"/>
                <w:szCs w:val="21"/>
                <w:highlight w:val="none"/>
              </w:rPr>
              <w:t>2000≤Y＜40000</w:t>
            </w:r>
          </w:p>
        </w:tc>
        <w:tc>
          <w:tcPr>
            <w:tcW w:w="1570" w:type="dxa"/>
            <w:tcBorders>
              <w:top w:val="nil"/>
              <w:left w:val="nil"/>
              <w:bottom w:val="single" w:color="auto" w:sz="4" w:space="0"/>
              <w:right w:val="single" w:color="auto" w:sz="4" w:space="0"/>
            </w:tcBorders>
            <w:noWrap w:val="0"/>
            <w:vAlign w:val="center"/>
          </w:tcPr>
          <w:p w14:paraId="4F579C96">
            <w:pPr>
              <w:widowControl/>
              <w:jc w:val="left"/>
              <w:rPr>
                <w:color w:val="auto"/>
                <w:szCs w:val="21"/>
                <w:highlight w:val="none"/>
              </w:rPr>
            </w:pPr>
            <w:r>
              <w:rPr>
                <w:rFonts w:hint="eastAsia"/>
                <w:color w:val="auto"/>
                <w:szCs w:val="21"/>
                <w:highlight w:val="none"/>
              </w:rPr>
              <w:t>300≤Y＜2000</w:t>
            </w:r>
          </w:p>
        </w:tc>
        <w:tc>
          <w:tcPr>
            <w:tcW w:w="1009" w:type="dxa"/>
            <w:tcBorders>
              <w:top w:val="nil"/>
              <w:left w:val="nil"/>
              <w:bottom w:val="single" w:color="auto" w:sz="4" w:space="0"/>
              <w:right w:val="single" w:color="auto" w:sz="4" w:space="0"/>
            </w:tcBorders>
            <w:noWrap w:val="0"/>
            <w:vAlign w:val="center"/>
          </w:tcPr>
          <w:p w14:paraId="268A859E">
            <w:pPr>
              <w:widowControl/>
              <w:jc w:val="left"/>
              <w:rPr>
                <w:color w:val="auto"/>
                <w:szCs w:val="21"/>
                <w:highlight w:val="none"/>
              </w:rPr>
            </w:pPr>
            <w:r>
              <w:rPr>
                <w:rFonts w:hint="eastAsia"/>
                <w:color w:val="auto"/>
                <w:szCs w:val="21"/>
                <w:highlight w:val="none"/>
              </w:rPr>
              <w:t>Y＜300</w:t>
            </w:r>
          </w:p>
        </w:tc>
      </w:tr>
      <w:tr w14:paraId="3C090EE5">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noWrap w:val="0"/>
            <w:vAlign w:val="bottom"/>
          </w:tcPr>
          <w:p w14:paraId="039D47AA">
            <w:pPr>
              <w:widowControl/>
              <w:jc w:val="center"/>
              <w:rPr>
                <w:color w:val="auto"/>
                <w:szCs w:val="21"/>
                <w:highlight w:val="none"/>
              </w:rPr>
            </w:pPr>
            <w:r>
              <w:rPr>
                <w:rFonts w:hint="eastAsia"/>
                <w:color w:val="auto"/>
                <w:szCs w:val="21"/>
                <w:highlight w:val="none"/>
              </w:rPr>
              <w:t>建筑业</w:t>
            </w:r>
          </w:p>
        </w:tc>
        <w:tc>
          <w:tcPr>
            <w:tcW w:w="1701" w:type="dxa"/>
            <w:tcBorders>
              <w:top w:val="nil"/>
              <w:left w:val="nil"/>
              <w:bottom w:val="single" w:color="auto" w:sz="4" w:space="0"/>
              <w:right w:val="single" w:color="auto" w:sz="4" w:space="0"/>
            </w:tcBorders>
            <w:noWrap w:val="0"/>
            <w:vAlign w:val="center"/>
          </w:tcPr>
          <w:p w14:paraId="73F1C575">
            <w:pPr>
              <w:widowControl/>
              <w:jc w:val="left"/>
              <w:rPr>
                <w:color w:val="auto"/>
                <w:szCs w:val="21"/>
                <w:highlight w:val="none"/>
              </w:rPr>
            </w:pPr>
            <w:r>
              <w:rPr>
                <w:rFonts w:hint="eastAsia"/>
                <w:color w:val="auto"/>
                <w:szCs w:val="21"/>
                <w:highlight w:val="none"/>
              </w:rPr>
              <w:t>营业收入（Y）</w:t>
            </w:r>
          </w:p>
        </w:tc>
        <w:tc>
          <w:tcPr>
            <w:tcW w:w="1134" w:type="dxa"/>
            <w:tcBorders>
              <w:top w:val="nil"/>
              <w:left w:val="nil"/>
              <w:bottom w:val="single" w:color="auto" w:sz="4" w:space="0"/>
              <w:right w:val="single" w:color="auto" w:sz="4" w:space="0"/>
            </w:tcBorders>
            <w:noWrap w:val="0"/>
            <w:vAlign w:val="center"/>
          </w:tcPr>
          <w:p w14:paraId="0CF0E65F">
            <w:pPr>
              <w:widowControl/>
              <w:jc w:val="left"/>
              <w:rPr>
                <w:color w:val="auto"/>
                <w:szCs w:val="21"/>
                <w:highlight w:val="none"/>
              </w:rPr>
            </w:pPr>
            <w:r>
              <w:rPr>
                <w:rFonts w:hint="eastAsia"/>
                <w:color w:val="auto"/>
                <w:szCs w:val="21"/>
                <w:highlight w:val="none"/>
              </w:rPr>
              <w:t>万元</w:t>
            </w:r>
          </w:p>
        </w:tc>
        <w:tc>
          <w:tcPr>
            <w:tcW w:w="1846" w:type="dxa"/>
            <w:tcBorders>
              <w:top w:val="nil"/>
              <w:left w:val="nil"/>
              <w:bottom w:val="single" w:color="auto" w:sz="4" w:space="0"/>
              <w:right w:val="single" w:color="auto" w:sz="4" w:space="0"/>
            </w:tcBorders>
            <w:noWrap w:val="0"/>
            <w:vAlign w:val="center"/>
          </w:tcPr>
          <w:p w14:paraId="5922C933">
            <w:pPr>
              <w:widowControl/>
              <w:jc w:val="left"/>
              <w:rPr>
                <w:color w:val="auto"/>
                <w:szCs w:val="21"/>
                <w:highlight w:val="none"/>
              </w:rPr>
            </w:pPr>
            <w:r>
              <w:rPr>
                <w:rFonts w:hint="eastAsia"/>
                <w:color w:val="auto"/>
                <w:szCs w:val="21"/>
                <w:highlight w:val="none"/>
              </w:rPr>
              <w:t>6000≤Y＜80000</w:t>
            </w:r>
          </w:p>
        </w:tc>
        <w:tc>
          <w:tcPr>
            <w:tcW w:w="1570" w:type="dxa"/>
            <w:tcBorders>
              <w:top w:val="nil"/>
              <w:left w:val="nil"/>
              <w:bottom w:val="single" w:color="auto" w:sz="4" w:space="0"/>
              <w:right w:val="single" w:color="auto" w:sz="4" w:space="0"/>
            </w:tcBorders>
            <w:noWrap w:val="0"/>
            <w:vAlign w:val="center"/>
          </w:tcPr>
          <w:p w14:paraId="2B12D0C8">
            <w:pPr>
              <w:widowControl/>
              <w:jc w:val="left"/>
              <w:rPr>
                <w:color w:val="auto"/>
                <w:szCs w:val="21"/>
                <w:highlight w:val="none"/>
              </w:rPr>
            </w:pPr>
            <w:r>
              <w:rPr>
                <w:rFonts w:hint="eastAsia"/>
                <w:color w:val="auto"/>
                <w:szCs w:val="21"/>
                <w:highlight w:val="none"/>
              </w:rPr>
              <w:t>300≤Y＜6000</w:t>
            </w:r>
          </w:p>
        </w:tc>
        <w:tc>
          <w:tcPr>
            <w:tcW w:w="1009" w:type="dxa"/>
            <w:tcBorders>
              <w:top w:val="nil"/>
              <w:left w:val="nil"/>
              <w:bottom w:val="single" w:color="auto" w:sz="4" w:space="0"/>
              <w:right w:val="single" w:color="auto" w:sz="4" w:space="0"/>
            </w:tcBorders>
            <w:noWrap w:val="0"/>
            <w:vAlign w:val="center"/>
          </w:tcPr>
          <w:p w14:paraId="518D4CE6">
            <w:pPr>
              <w:widowControl/>
              <w:jc w:val="left"/>
              <w:rPr>
                <w:color w:val="auto"/>
                <w:szCs w:val="21"/>
                <w:highlight w:val="none"/>
              </w:rPr>
            </w:pPr>
            <w:r>
              <w:rPr>
                <w:rFonts w:hint="eastAsia"/>
                <w:color w:val="auto"/>
                <w:szCs w:val="21"/>
                <w:highlight w:val="none"/>
              </w:rPr>
              <w:t>Y＜300</w:t>
            </w:r>
          </w:p>
        </w:tc>
      </w:tr>
      <w:tr w14:paraId="24D51D65">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noWrap w:val="0"/>
            <w:vAlign w:val="center"/>
          </w:tcPr>
          <w:p w14:paraId="33020FA7">
            <w:pPr>
              <w:widowControl/>
              <w:jc w:val="left"/>
              <w:rPr>
                <w:color w:val="auto"/>
                <w:szCs w:val="21"/>
                <w:highlight w:val="none"/>
              </w:rPr>
            </w:pPr>
          </w:p>
        </w:tc>
        <w:tc>
          <w:tcPr>
            <w:tcW w:w="1701" w:type="dxa"/>
            <w:tcBorders>
              <w:top w:val="nil"/>
              <w:left w:val="nil"/>
              <w:bottom w:val="single" w:color="auto" w:sz="4" w:space="0"/>
              <w:right w:val="single" w:color="auto" w:sz="4" w:space="0"/>
            </w:tcBorders>
            <w:noWrap w:val="0"/>
            <w:vAlign w:val="center"/>
          </w:tcPr>
          <w:p w14:paraId="3106257D">
            <w:pPr>
              <w:widowControl/>
              <w:jc w:val="left"/>
              <w:rPr>
                <w:color w:val="auto"/>
                <w:szCs w:val="21"/>
                <w:highlight w:val="none"/>
              </w:rPr>
            </w:pPr>
            <w:r>
              <w:rPr>
                <w:rFonts w:hint="eastAsia"/>
                <w:color w:val="auto"/>
                <w:szCs w:val="21"/>
                <w:highlight w:val="none"/>
              </w:rPr>
              <w:t>资产总额（Z）</w:t>
            </w:r>
          </w:p>
        </w:tc>
        <w:tc>
          <w:tcPr>
            <w:tcW w:w="1134" w:type="dxa"/>
            <w:tcBorders>
              <w:top w:val="nil"/>
              <w:left w:val="nil"/>
              <w:bottom w:val="single" w:color="auto" w:sz="4" w:space="0"/>
              <w:right w:val="single" w:color="auto" w:sz="4" w:space="0"/>
            </w:tcBorders>
            <w:noWrap w:val="0"/>
            <w:vAlign w:val="center"/>
          </w:tcPr>
          <w:p w14:paraId="668B51BA">
            <w:pPr>
              <w:widowControl/>
              <w:jc w:val="left"/>
              <w:rPr>
                <w:color w:val="auto"/>
                <w:szCs w:val="21"/>
                <w:highlight w:val="none"/>
              </w:rPr>
            </w:pPr>
            <w:r>
              <w:rPr>
                <w:rFonts w:hint="eastAsia"/>
                <w:color w:val="auto"/>
                <w:szCs w:val="21"/>
                <w:highlight w:val="none"/>
              </w:rPr>
              <w:t>万元</w:t>
            </w:r>
          </w:p>
        </w:tc>
        <w:tc>
          <w:tcPr>
            <w:tcW w:w="1846" w:type="dxa"/>
            <w:tcBorders>
              <w:top w:val="nil"/>
              <w:left w:val="nil"/>
              <w:bottom w:val="single" w:color="auto" w:sz="4" w:space="0"/>
              <w:right w:val="single" w:color="auto" w:sz="4" w:space="0"/>
            </w:tcBorders>
            <w:noWrap w:val="0"/>
            <w:vAlign w:val="center"/>
          </w:tcPr>
          <w:p w14:paraId="2A553E12">
            <w:pPr>
              <w:widowControl/>
              <w:jc w:val="left"/>
              <w:rPr>
                <w:color w:val="auto"/>
                <w:szCs w:val="21"/>
                <w:highlight w:val="none"/>
              </w:rPr>
            </w:pPr>
            <w:r>
              <w:rPr>
                <w:rFonts w:hint="eastAsia"/>
                <w:color w:val="auto"/>
                <w:szCs w:val="21"/>
                <w:highlight w:val="none"/>
              </w:rPr>
              <w:t>5000≤Z＜80000</w:t>
            </w:r>
          </w:p>
        </w:tc>
        <w:tc>
          <w:tcPr>
            <w:tcW w:w="1570" w:type="dxa"/>
            <w:tcBorders>
              <w:top w:val="nil"/>
              <w:left w:val="nil"/>
              <w:bottom w:val="single" w:color="auto" w:sz="4" w:space="0"/>
              <w:right w:val="single" w:color="auto" w:sz="4" w:space="0"/>
            </w:tcBorders>
            <w:noWrap w:val="0"/>
            <w:vAlign w:val="center"/>
          </w:tcPr>
          <w:p w14:paraId="3852A2AB">
            <w:pPr>
              <w:widowControl/>
              <w:jc w:val="left"/>
              <w:rPr>
                <w:color w:val="auto"/>
                <w:szCs w:val="21"/>
                <w:highlight w:val="none"/>
              </w:rPr>
            </w:pPr>
            <w:r>
              <w:rPr>
                <w:rFonts w:hint="eastAsia"/>
                <w:color w:val="auto"/>
                <w:szCs w:val="21"/>
                <w:highlight w:val="none"/>
              </w:rPr>
              <w:t>300≤Z＜5000</w:t>
            </w:r>
          </w:p>
        </w:tc>
        <w:tc>
          <w:tcPr>
            <w:tcW w:w="1009" w:type="dxa"/>
            <w:tcBorders>
              <w:top w:val="nil"/>
              <w:left w:val="nil"/>
              <w:bottom w:val="single" w:color="auto" w:sz="4" w:space="0"/>
              <w:right w:val="single" w:color="auto" w:sz="4" w:space="0"/>
            </w:tcBorders>
            <w:noWrap w:val="0"/>
            <w:vAlign w:val="center"/>
          </w:tcPr>
          <w:p w14:paraId="300B39B4">
            <w:pPr>
              <w:widowControl/>
              <w:jc w:val="left"/>
              <w:rPr>
                <w:color w:val="auto"/>
                <w:szCs w:val="21"/>
                <w:highlight w:val="none"/>
              </w:rPr>
            </w:pPr>
            <w:r>
              <w:rPr>
                <w:rFonts w:hint="eastAsia"/>
                <w:color w:val="auto"/>
                <w:szCs w:val="21"/>
                <w:highlight w:val="none"/>
              </w:rPr>
              <w:t>Z＜300</w:t>
            </w:r>
          </w:p>
        </w:tc>
      </w:tr>
      <w:tr w14:paraId="0064ACFD">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noWrap w:val="0"/>
            <w:vAlign w:val="bottom"/>
          </w:tcPr>
          <w:p w14:paraId="1B34824C">
            <w:pPr>
              <w:widowControl/>
              <w:ind w:firstLine="315" w:firstLineChars="150"/>
              <w:rPr>
                <w:color w:val="auto"/>
                <w:szCs w:val="21"/>
                <w:highlight w:val="none"/>
              </w:rPr>
            </w:pPr>
            <w:r>
              <w:rPr>
                <w:rFonts w:hint="eastAsia"/>
                <w:color w:val="auto"/>
                <w:szCs w:val="21"/>
                <w:highlight w:val="none"/>
              </w:rPr>
              <w:t>批发业</w:t>
            </w:r>
          </w:p>
        </w:tc>
        <w:tc>
          <w:tcPr>
            <w:tcW w:w="1701" w:type="dxa"/>
            <w:tcBorders>
              <w:top w:val="nil"/>
              <w:left w:val="nil"/>
              <w:bottom w:val="single" w:color="auto" w:sz="4" w:space="0"/>
              <w:right w:val="single" w:color="auto" w:sz="4" w:space="0"/>
            </w:tcBorders>
            <w:noWrap w:val="0"/>
            <w:vAlign w:val="center"/>
          </w:tcPr>
          <w:p w14:paraId="08D2E430">
            <w:pPr>
              <w:widowControl/>
              <w:jc w:val="left"/>
              <w:rPr>
                <w:color w:val="auto"/>
                <w:szCs w:val="21"/>
                <w:highlight w:val="none"/>
              </w:rPr>
            </w:pPr>
            <w:r>
              <w:rPr>
                <w:rFonts w:hint="eastAsia"/>
                <w:color w:val="auto"/>
                <w:szCs w:val="21"/>
                <w:highlight w:val="none"/>
              </w:rPr>
              <w:t>从业人员（X）</w:t>
            </w:r>
          </w:p>
        </w:tc>
        <w:tc>
          <w:tcPr>
            <w:tcW w:w="1134" w:type="dxa"/>
            <w:tcBorders>
              <w:top w:val="nil"/>
              <w:left w:val="nil"/>
              <w:bottom w:val="single" w:color="auto" w:sz="4" w:space="0"/>
              <w:right w:val="single" w:color="auto" w:sz="4" w:space="0"/>
            </w:tcBorders>
            <w:noWrap w:val="0"/>
            <w:vAlign w:val="center"/>
          </w:tcPr>
          <w:p w14:paraId="54BD0188">
            <w:pPr>
              <w:widowControl/>
              <w:jc w:val="left"/>
              <w:rPr>
                <w:color w:val="auto"/>
                <w:szCs w:val="21"/>
                <w:highlight w:val="none"/>
              </w:rPr>
            </w:pPr>
            <w:r>
              <w:rPr>
                <w:rFonts w:hint="eastAsia"/>
                <w:color w:val="auto"/>
                <w:szCs w:val="21"/>
                <w:highlight w:val="none"/>
              </w:rPr>
              <w:t>人</w:t>
            </w:r>
          </w:p>
        </w:tc>
        <w:tc>
          <w:tcPr>
            <w:tcW w:w="1846" w:type="dxa"/>
            <w:tcBorders>
              <w:top w:val="nil"/>
              <w:left w:val="nil"/>
              <w:bottom w:val="single" w:color="auto" w:sz="4" w:space="0"/>
              <w:right w:val="single" w:color="auto" w:sz="4" w:space="0"/>
            </w:tcBorders>
            <w:noWrap w:val="0"/>
            <w:vAlign w:val="center"/>
          </w:tcPr>
          <w:p w14:paraId="7D7C1F56">
            <w:pPr>
              <w:widowControl/>
              <w:jc w:val="left"/>
              <w:rPr>
                <w:color w:val="auto"/>
                <w:szCs w:val="21"/>
                <w:highlight w:val="none"/>
              </w:rPr>
            </w:pPr>
            <w:r>
              <w:rPr>
                <w:rFonts w:hint="eastAsia"/>
                <w:color w:val="auto"/>
                <w:szCs w:val="21"/>
                <w:highlight w:val="none"/>
              </w:rPr>
              <w:t>20≤X＜200</w:t>
            </w:r>
          </w:p>
        </w:tc>
        <w:tc>
          <w:tcPr>
            <w:tcW w:w="1570" w:type="dxa"/>
            <w:tcBorders>
              <w:top w:val="nil"/>
              <w:left w:val="nil"/>
              <w:bottom w:val="single" w:color="auto" w:sz="4" w:space="0"/>
              <w:right w:val="single" w:color="auto" w:sz="4" w:space="0"/>
            </w:tcBorders>
            <w:noWrap w:val="0"/>
            <w:vAlign w:val="center"/>
          </w:tcPr>
          <w:p w14:paraId="6839129A">
            <w:pPr>
              <w:widowControl/>
              <w:jc w:val="left"/>
              <w:rPr>
                <w:color w:val="auto"/>
                <w:szCs w:val="21"/>
                <w:highlight w:val="none"/>
              </w:rPr>
            </w:pPr>
            <w:r>
              <w:rPr>
                <w:rFonts w:hint="eastAsia"/>
                <w:color w:val="auto"/>
                <w:szCs w:val="21"/>
                <w:highlight w:val="none"/>
              </w:rPr>
              <w:t>5≤X＜20</w:t>
            </w:r>
          </w:p>
        </w:tc>
        <w:tc>
          <w:tcPr>
            <w:tcW w:w="1009" w:type="dxa"/>
            <w:tcBorders>
              <w:top w:val="nil"/>
              <w:left w:val="nil"/>
              <w:bottom w:val="single" w:color="auto" w:sz="4" w:space="0"/>
              <w:right w:val="single" w:color="auto" w:sz="4" w:space="0"/>
            </w:tcBorders>
            <w:noWrap w:val="0"/>
            <w:vAlign w:val="center"/>
          </w:tcPr>
          <w:p w14:paraId="54172EFB">
            <w:pPr>
              <w:widowControl/>
              <w:jc w:val="left"/>
              <w:rPr>
                <w:color w:val="auto"/>
                <w:szCs w:val="21"/>
                <w:highlight w:val="none"/>
              </w:rPr>
            </w:pPr>
            <w:r>
              <w:rPr>
                <w:rFonts w:hint="eastAsia"/>
                <w:color w:val="auto"/>
                <w:szCs w:val="21"/>
                <w:highlight w:val="none"/>
              </w:rPr>
              <w:t>X＜5</w:t>
            </w:r>
          </w:p>
        </w:tc>
      </w:tr>
      <w:tr w14:paraId="3A342B2E">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noWrap w:val="0"/>
            <w:vAlign w:val="center"/>
          </w:tcPr>
          <w:p w14:paraId="340E6549">
            <w:pPr>
              <w:widowControl/>
              <w:jc w:val="left"/>
              <w:rPr>
                <w:color w:val="auto"/>
                <w:szCs w:val="21"/>
                <w:highlight w:val="none"/>
              </w:rPr>
            </w:pPr>
          </w:p>
        </w:tc>
        <w:tc>
          <w:tcPr>
            <w:tcW w:w="1701" w:type="dxa"/>
            <w:tcBorders>
              <w:top w:val="nil"/>
              <w:left w:val="nil"/>
              <w:bottom w:val="single" w:color="auto" w:sz="4" w:space="0"/>
              <w:right w:val="single" w:color="auto" w:sz="4" w:space="0"/>
            </w:tcBorders>
            <w:noWrap w:val="0"/>
            <w:vAlign w:val="center"/>
          </w:tcPr>
          <w:p w14:paraId="0A0BD08A">
            <w:pPr>
              <w:widowControl/>
              <w:jc w:val="left"/>
              <w:rPr>
                <w:color w:val="auto"/>
                <w:szCs w:val="21"/>
                <w:highlight w:val="none"/>
              </w:rPr>
            </w:pPr>
            <w:r>
              <w:rPr>
                <w:rFonts w:hint="eastAsia"/>
                <w:color w:val="auto"/>
                <w:szCs w:val="21"/>
                <w:highlight w:val="none"/>
              </w:rPr>
              <w:t>营业收入（Y）</w:t>
            </w:r>
          </w:p>
        </w:tc>
        <w:tc>
          <w:tcPr>
            <w:tcW w:w="1134" w:type="dxa"/>
            <w:tcBorders>
              <w:top w:val="nil"/>
              <w:left w:val="nil"/>
              <w:bottom w:val="single" w:color="auto" w:sz="4" w:space="0"/>
              <w:right w:val="single" w:color="auto" w:sz="4" w:space="0"/>
            </w:tcBorders>
            <w:noWrap w:val="0"/>
            <w:vAlign w:val="center"/>
          </w:tcPr>
          <w:p w14:paraId="540F305F">
            <w:pPr>
              <w:widowControl/>
              <w:jc w:val="left"/>
              <w:rPr>
                <w:color w:val="auto"/>
                <w:szCs w:val="21"/>
                <w:highlight w:val="none"/>
              </w:rPr>
            </w:pPr>
            <w:r>
              <w:rPr>
                <w:rFonts w:hint="eastAsia"/>
                <w:color w:val="auto"/>
                <w:szCs w:val="21"/>
                <w:highlight w:val="none"/>
              </w:rPr>
              <w:t>万元</w:t>
            </w:r>
          </w:p>
        </w:tc>
        <w:tc>
          <w:tcPr>
            <w:tcW w:w="1846" w:type="dxa"/>
            <w:tcBorders>
              <w:top w:val="nil"/>
              <w:left w:val="nil"/>
              <w:bottom w:val="single" w:color="auto" w:sz="4" w:space="0"/>
              <w:right w:val="single" w:color="auto" w:sz="4" w:space="0"/>
            </w:tcBorders>
            <w:noWrap w:val="0"/>
            <w:vAlign w:val="center"/>
          </w:tcPr>
          <w:p w14:paraId="47B253C0">
            <w:pPr>
              <w:widowControl/>
              <w:jc w:val="left"/>
              <w:rPr>
                <w:color w:val="auto"/>
                <w:szCs w:val="21"/>
                <w:highlight w:val="none"/>
              </w:rPr>
            </w:pPr>
            <w:r>
              <w:rPr>
                <w:rFonts w:hint="eastAsia"/>
                <w:color w:val="auto"/>
                <w:szCs w:val="21"/>
                <w:highlight w:val="none"/>
              </w:rPr>
              <w:t>5000≤Y＜40000</w:t>
            </w:r>
          </w:p>
        </w:tc>
        <w:tc>
          <w:tcPr>
            <w:tcW w:w="1570" w:type="dxa"/>
            <w:tcBorders>
              <w:top w:val="nil"/>
              <w:left w:val="nil"/>
              <w:bottom w:val="single" w:color="auto" w:sz="4" w:space="0"/>
              <w:right w:val="single" w:color="auto" w:sz="4" w:space="0"/>
            </w:tcBorders>
            <w:noWrap w:val="0"/>
            <w:vAlign w:val="center"/>
          </w:tcPr>
          <w:p w14:paraId="7A3AF37C">
            <w:pPr>
              <w:widowControl/>
              <w:jc w:val="left"/>
              <w:rPr>
                <w:color w:val="auto"/>
                <w:szCs w:val="21"/>
                <w:highlight w:val="none"/>
              </w:rPr>
            </w:pPr>
            <w:r>
              <w:rPr>
                <w:rFonts w:hint="eastAsia"/>
                <w:color w:val="auto"/>
                <w:szCs w:val="21"/>
                <w:highlight w:val="none"/>
              </w:rPr>
              <w:t>1000≤Y＜5000</w:t>
            </w:r>
          </w:p>
        </w:tc>
        <w:tc>
          <w:tcPr>
            <w:tcW w:w="1009" w:type="dxa"/>
            <w:tcBorders>
              <w:top w:val="nil"/>
              <w:left w:val="nil"/>
              <w:bottom w:val="single" w:color="auto" w:sz="4" w:space="0"/>
              <w:right w:val="single" w:color="auto" w:sz="4" w:space="0"/>
            </w:tcBorders>
            <w:noWrap w:val="0"/>
            <w:vAlign w:val="center"/>
          </w:tcPr>
          <w:p w14:paraId="01C7B709">
            <w:pPr>
              <w:widowControl/>
              <w:jc w:val="left"/>
              <w:rPr>
                <w:color w:val="auto"/>
                <w:szCs w:val="21"/>
                <w:highlight w:val="none"/>
              </w:rPr>
            </w:pPr>
            <w:r>
              <w:rPr>
                <w:rFonts w:hint="eastAsia"/>
                <w:color w:val="auto"/>
                <w:szCs w:val="21"/>
                <w:highlight w:val="none"/>
              </w:rPr>
              <w:t>Y＜1000</w:t>
            </w:r>
          </w:p>
        </w:tc>
      </w:tr>
      <w:tr w14:paraId="3E9E5898">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noWrap w:val="0"/>
            <w:vAlign w:val="bottom"/>
          </w:tcPr>
          <w:p w14:paraId="46343D02">
            <w:pPr>
              <w:widowControl/>
              <w:jc w:val="center"/>
              <w:rPr>
                <w:color w:val="auto"/>
                <w:szCs w:val="21"/>
                <w:highlight w:val="none"/>
              </w:rPr>
            </w:pPr>
            <w:r>
              <w:rPr>
                <w:rFonts w:hint="eastAsia"/>
                <w:color w:val="auto"/>
                <w:szCs w:val="21"/>
                <w:highlight w:val="none"/>
              </w:rPr>
              <w:t>零售业</w:t>
            </w:r>
          </w:p>
        </w:tc>
        <w:tc>
          <w:tcPr>
            <w:tcW w:w="1701" w:type="dxa"/>
            <w:tcBorders>
              <w:top w:val="nil"/>
              <w:left w:val="nil"/>
              <w:bottom w:val="single" w:color="auto" w:sz="4" w:space="0"/>
              <w:right w:val="single" w:color="auto" w:sz="4" w:space="0"/>
            </w:tcBorders>
            <w:noWrap w:val="0"/>
            <w:vAlign w:val="center"/>
          </w:tcPr>
          <w:p w14:paraId="73E0A925">
            <w:pPr>
              <w:widowControl/>
              <w:jc w:val="left"/>
              <w:rPr>
                <w:color w:val="auto"/>
                <w:szCs w:val="21"/>
                <w:highlight w:val="none"/>
              </w:rPr>
            </w:pPr>
            <w:r>
              <w:rPr>
                <w:rFonts w:hint="eastAsia"/>
                <w:color w:val="auto"/>
                <w:szCs w:val="21"/>
                <w:highlight w:val="none"/>
              </w:rPr>
              <w:t>从业人员（X）</w:t>
            </w:r>
          </w:p>
        </w:tc>
        <w:tc>
          <w:tcPr>
            <w:tcW w:w="1134" w:type="dxa"/>
            <w:tcBorders>
              <w:top w:val="nil"/>
              <w:left w:val="nil"/>
              <w:bottom w:val="single" w:color="auto" w:sz="4" w:space="0"/>
              <w:right w:val="single" w:color="auto" w:sz="4" w:space="0"/>
            </w:tcBorders>
            <w:noWrap w:val="0"/>
            <w:vAlign w:val="center"/>
          </w:tcPr>
          <w:p w14:paraId="6C557BD4">
            <w:pPr>
              <w:widowControl/>
              <w:jc w:val="left"/>
              <w:rPr>
                <w:color w:val="auto"/>
                <w:szCs w:val="21"/>
                <w:highlight w:val="none"/>
              </w:rPr>
            </w:pPr>
            <w:r>
              <w:rPr>
                <w:rFonts w:hint="eastAsia"/>
                <w:color w:val="auto"/>
                <w:szCs w:val="21"/>
                <w:highlight w:val="none"/>
              </w:rPr>
              <w:t>人</w:t>
            </w:r>
          </w:p>
        </w:tc>
        <w:tc>
          <w:tcPr>
            <w:tcW w:w="1846" w:type="dxa"/>
            <w:tcBorders>
              <w:top w:val="nil"/>
              <w:left w:val="nil"/>
              <w:bottom w:val="single" w:color="auto" w:sz="4" w:space="0"/>
              <w:right w:val="single" w:color="auto" w:sz="4" w:space="0"/>
            </w:tcBorders>
            <w:noWrap w:val="0"/>
            <w:vAlign w:val="center"/>
          </w:tcPr>
          <w:p w14:paraId="5E15472F">
            <w:pPr>
              <w:widowControl/>
              <w:jc w:val="left"/>
              <w:rPr>
                <w:color w:val="auto"/>
                <w:szCs w:val="21"/>
                <w:highlight w:val="none"/>
              </w:rPr>
            </w:pPr>
            <w:r>
              <w:rPr>
                <w:rFonts w:hint="eastAsia"/>
                <w:color w:val="auto"/>
                <w:szCs w:val="21"/>
                <w:highlight w:val="none"/>
              </w:rPr>
              <w:t>50≤X＜300</w:t>
            </w:r>
          </w:p>
        </w:tc>
        <w:tc>
          <w:tcPr>
            <w:tcW w:w="1570" w:type="dxa"/>
            <w:tcBorders>
              <w:top w:val="nil"/>
              <w:left w:val="nil"/>
              <w:bottom w:val="single" w:color="auto" w:sz="4" w:space="0"/>
              <w:right w:val="single" w:color="auto" w:sz="4" w:space="0"/>
            </w:tcBorders>
            <w:noWrap w:val="0"/>
            <w:vAlign w:val="center"/>
          </w:tcPr>
          <w:p w14:paraId="3B281738">
            <w:pPr>
              <w:widowControl/>
              <w:jc w:val="left"/>
              <w:rPr>
                <w:color w:val="auto"/>
                <w:szCs w:val="21"/>
                <w:highlight w:val="none"/>
              </w:rPr>
            </w:pPr>
            <w:r>
              <w:rPr>
                <w:rFonts w:hint="eastAsia"/>
                <w:color w:val="auto"/>
                <w:szCs w:val="21"/>
                <w:highlight w:val="none"/>
              </w:rPr>
              <w:t>10≤X＜50</w:t>
            </w:r>
          </w:p>
        </w:tc>
        <w:tc>
          <w:tcPr>
            <w:tcW w:w="1009" w:type="dxa"/>
            <w:tcBorders>
              <w:top w:val="nil"/>
              <w:left w:val="nil"/>
              <w:bottom w:val="single" w:color="auto" w:sz="4" w:space="0"/>
              <w:right w:val="single" w:color="auto" w:sz="4" w:space="0"/>
            </w:tcBorders>
            <w:noWrap w:val="0"/>
            <w:vAlign w:val="center"/>
          </w:tcPr>
          <w:p w14:paraId="264A2598">
            <w:pPr>
              <w:widowControl/>
              <w:jc w:val="left"/>
              <w:rPr>
                <w:color w:val="auto"/>
                <w:szCs w:val="21"/>
                <w:highlight w:val="none"/>
              </w:rPr>
            </w:pPr>
            <w:r>
              <w:rPr>
                <w:rFonts w:hint="eastAsia"/>
                <w:color w:val="auto"/>
                <w:szCs w:val="21"/>
                <w:highlight w:val="none"/>
              </w:rPr>
              <w:t>X＜10</w:t>
            </w:r>
          </w:p>
        </w:tc>
      </w:tr>
      <w:tr w14:paraId="48FDA35C">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noWrap w:val="0"/>
            <w:vAlign w:val="center"/>
          </w:tcPr>
          <w:p w14:paraId="1953A674">
            <w:pPr>
              <w:widowControl/>
              <w:jc w:val="left"/>
              <w:rPr>
                <w:color w:val="auto"/>
                <w:szCs w:val="21"/>
                <w:highlight w:val="none"/>
              </w:rPr>
            </w:pPr>
          </w:p>
        </w:tc>
        <w:tc>
          <w:tcPr>
            <w:tcW w:w="1701" w:type="dxa"/>
            <w:tcBorders>
              <w:top w:val="nil"/>
              <w:left w:val="nil"/>
              <w:bottom w:val="single" w:color="auto" w:sz="4" w:space="0"/>
              <w:right w:val="single" w:color="auto" w:sz="4" w:space="0"/>
            </w:tcBorders>
            <w:noWrap w:val="0"/>
            <w:vAlign w:val="center"/>
          </w:tcPr>
          <w:p w14:paraId="1F6A2A68">
            <w:pPr>
              <w:widowControl/>
              <w:jc w:val="left"/>
              <w:rPr>
                <w:color w:val="auto"/>
                <w:szCs w:val="21"/>
                <w:highlight w:val="none"/>
              </w:rPr>
            </w:pPr>
            <w:r>
              <w:rPr>
                <w:rFonts w:hint="eastAsia"/>
                <w:color w:val="auto"/>
                <w:szCs w:val="21"/>
                <w:highlight w:val="none"/>
              </w:rPr>
              <w:t>营业收入（Y）</w:t>
            </w:r>
          </w:p>
        </w:tc>
        <w:tc>
          <w:tcPr>
            <w:tcW w:w="1134" w:type="dxa"/>
            <w:tcBorders>
              <w:top w:val="nil"/>
              <w:left w:val="nil"/>
              <w:bottom w:val="single" w:color="auto" w:sz="4" w:space="0"/>
              <w:right w:val="single" w:color="auto" w:sz="4" w:space="0"/>
            </w:tcBorders>
            <w:noWrap w:val="0"/>
            <w:vAlign w:val="center"/>
          </w:tcPr>
          <w:p w14:paraId="09212741">
            <w:pPr>
              <w:widowControl/>
              <w:jc w:val="left"/>
              <w:rPr>
                <w:color w:val="auto"/>
                <w:szCs w:val="21"/>
                <w:highlight w:val="none"/>
              </w:rPr>
            </w:pPr>
            <w:r>
              <w:rPr>
                <w:rFonts w:hint="eastAsia"/>
                <w:color w:val="auto"/>
                <w:szCs w:val="21"/>
                <w:highlight w:val="none"/>
              </w:rPr>
              <w:t>万元</w:t>
            </w:r>
          </w:p>
        </w:tc>
        <w:tc>
          <w:tcPr>
            <w:tcW w:w="1846" w:type="dxa"/>
            <w:tcBorders>
              <w:top w:val="nil"/>
              <w:left w:val="nil"/>
              <w:bottom w:val="single" w:color="auto" w:sz="4" w:space="0"/>
              <w:right w:val="single" w:color="auto" w:sz="4" w:space="0"/>
            </w:tcBorders>
            <w:noWrap w:val="0"/>
            <w:vAlign w:val="center"/>
          </w:tcPr>
          <w:p w14:paraId="5F357F14">
            <w:pPr>
              <w:widowControl/>
              <w:jc w:val="left"/>
              <w:rPr>
                <w:color w:val="auto"/>
                <w:szCs w:val="21"/>
                <w:highlight w:val="none"/>
              </w:rPr>
            </w:pPr>
            <w:r>
              <w:rPr>
                <w:rFonts w:hint="eastAsia"/>
                <w:color w:val="auto"/>
                <w:szCs w:val="21"/>
                <w:highlight w:val="none"/>
              </w:rPr>
              <w:t>500≤Y＜20000</w:t>
            </w:r>
          </w:p>
        </w:tc>
        <w:tc>
          <w:tcPr>
            <w:tcW w:w="1570" w:type="dxa"/>
            <w:tcBorders>
              <w:top w:val="nil"/>
              <w:left w:val="nil"/>
              <w:bottom w:val="single" w:color="auto" w:sz="4" w:space="0"/>
              <w:right w:val="single" w:color="auto" w:sz="4" w:space="0"/>
            </w:tcBorders>
            <w:noWrap w:val="0"/>
            <w:vAlign w:val="center"/>
          </w:tcPr>
          <w:p w14:paraId="10A7E730">
            <w:pPr>
              <w:widowControl/>
              <w:jc w:val="left"/>
              <w:rPr>
                <w:color w:val="auto"/>
                <w:szCs w:val="21"/>
                <w:highlight w:val="none"/>
              </w:rPr>
            </w:pPr>
            <w:r>
              <w:rPr>
                <w:rFonts w:hint="eastAsia"/>
                <w:color w:val="auto"/>
                <w:szCs w:val="21"/>
                <w:highlight w:val="none"/>
              </w:rPr>
              <w:t>100≤Y＜500</w:t>
            </w:r>
          </w:p>
        </w:tc>
        <w:tc>
          <w:tcPr>
            <w:tcW w:w="1009" w:type="dxa"/>
            <w:tcBorders>
              <w:top w:val="nil"/>
              <w:left w:val="nil"/>
              <w:bottom w:val="single" w:color="auto" w:sz="4" w:space="0"/>
              <w:right w:val="single" w:color="auto" w:sz="4" w:space="0"/>
            </w:tcBorders>
            <w:noWrap w:val="0"/>
            <w:vAlign w:val="center"/>
          </w:tcPr>
          <w:p w14:paraId="56FBD0EB">
            <w:pPr>
              <w:widowControl/>
              <w:jc w:val="left"/>
              <w:rPr>
                <w:color w:val="auto"/>
                <w:szCs w:val="21"/>
                <w:highlight w:val="none"/>
              </w:rPr>
            </w:pPr>
            <w:r>
              <w:rPr>
                <w:rFonts w:hint="eastAsia"/>
                <w:color w:val="auto"/>
                <w:szCs w:val="21"/>
                <w:highlight w:val="none"/>
              </w:rPr>
              <w:t>Y＜100</w:t>
            </w:r>
          </w:p>
        </w:tc>
      </w:tr>
      <w:tr w14:paraId="7E3DE160">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noWrap w:val="0"/>
            <w:vAlign w:val="bottom"/>
          </w:tcPr>
          <w:p w14:paraId="11C01785">
            <w:pPr>
              <w:widowControl/>
              <w:jc w:val="center"/>
              <w:rPr>
                <w:color w:val="auto"/>
                <w:szCs w:val="21"/>
                <w:highlight w:val="none"/>
              </w:rPr>
            </w:pPr>
            <w:r>
              <w:rPr>
                <w:rFonts w:hint="eastAsia"/>
                <w:color w:val="auto"/>
                <w:szCs w:val="21"/>
                <w:highlight w:val="none"/>
              </w:rPr>
              <w:t>交通运输业</w:t>
            </w:r>
          </w:p>
        </w:tc>
        <w:tc>
          <w:tcPr>
            <w:tcW w:w="1701" w:type="dxa"/>
            <w:tcBorders>
              <w:top w:val="nil"/>
              <w:left w:val="nil"/>
              <w:bottom w:val="single" w:color="auto" w:sz="4" w:space="0"/>
              <w:right w:val="single" w:color="auto" w:sz="4" w:space="0"/>
            </w:tcBorders>
            <w:noWrap w:val="0"/>
            <w:vAlign w:val="center"/>
          </w:tcPr>
          <w:p w14:paraId="7AA971B6">
            <w:pPr>
              <w:widowControl/>
              <w:jc w:val="left"/>
              <w:rPr>
                <w:color w:val="auto"/>
                <w:szCs w:val="21"/>
                <w:highlight w:val="none"/>
              </w:rPr>
            </w:pPr>
            <w:r>
              <w:rPr>
                <w:rFonts w:hint="eastAsia"/>
                <w:color w:val="auto"/>
                <w:szCs w:val="21"/>
                <w:highlight w:val="none"/>
              </w:rPr>
              <w:t>从业人员（X）</w:t>
            </w:r>
          </w:p>
        </w:tc>
        <w:tc>
          <w:tcPr>
            <w:tcW w:w="1134" w:type="dxa"/>
            <w:tcBorders>
              <w:top w:val="nil"/>
              <w:left w:val="nil"/>
              <w:bottom w:val="single" w:color="auto" w:sz="4" w:space="0"/>
              <w:right w:val="single" w:color="auto" w:sz="4" w:space="0"/>
            </w:tcBorders>
            <w:noWrap w:val="0"/>
            <w:vAlign w:val="center"/>
          </w:tcPr>
          <w:p w14:paraId="7D831136">
            <w:pPr>
              <w:widowControl/>
              <w:jc w:val="left"/>
              <w:rPr>
                <w:color w:val="auto"/>
                <w:szCs w:val="21"/>
                <w:highlight w:val="none"/>
              </w:rPr>
            </w:pPr>
            <w:r>
              <w:rPr>
                <w:rFonts w:hint="eastAsia"/>
                <w:color w:val="auto"/>
                <w:szCs w:val="21"/>
                <w:highlight w:val="none"/>
              </w:rPr>
              <w:t>人</w:t>
            </w:r>
          </w:p>
        </w:tc>
        <w:tc>
          <w:tcPr>
            <w:tcW w:w="1846" w:type="dxa"/>
            <w:tcBorders>
              <w:top w:val="nil"/>
              <w:left w:val="nil"/>
              <w:bottom w:val="single" w:color="auto" w:sz="4" w:space="0"/>
              <w:right w:val="single" w:color="auto" w:sz="4" w:space="0"/>
            </w:tcBorders>
            <w:noWrap w:val="0"/>
            <w:vAlign w:val="center"/>
          </w:tcPr>
          <w:p w14:paraId="1A8A1F21">
            <w:pPr>
              <w:widowControl/>
              <w:jc w:val="left"/>
              <w:rPr>
                <w:color w:val="auto"/>
                <w:szCs w:val="21"/>
                <w:highlight w:val="none"/>
              </w:rPr>
            </w:pPr>
            <w:r>
              <w:rPr>
                <w:rFonts w:hint="eastAsia"/>
                <w:color w:val="auto"/>
                <w:szCs w:val="21"/>
                <w:highlight w:val="none"/>
              </w:rPr>
              <w:t>300≤X＜1000</w:t>
            </w:r>
          </w:p>
        </w:tc>
        <w:tc>
          <w:tcPr>
            <w:tcW w:w="1570" w:type="dxa"/>
            <w:tcBorders>
              <w:top w:val="nil"/>
              <w:left w:val="nil"/>
              <w:bottom w:val="single" w:color="auto" w:sz="4" w:space="0"/>
              <w:right w:val="single" w:color="auto" w:sz="4" w:space="0"/>
            </w:tcBorders>
            <w:noWrap w:val="0"/>
            <w:vAlign w:val="center"/>
          </w:tcPr>
          <w:p w14:paraId="09843475">
            <w:pPr>
              <w:widowControl/>
              <w:jc w:val="left"/>
              <w:rPr>
                <w:color w:val="auto"/>
                <w:szCs w:val="21"/>
                <w:highlight w:val="none"/>
              </w:rPr>
            </w:pPr>
            <w:r>
              <w:rPr>
                <w:rFonts w:hint="eastAsia"/>
                <w:color w:val="auto"/>
                <w:szCs w:val="21"/>
                <w:highlight w:val="none"/>
              </w:rPr>
              <w:t>20≤X＜300</w:t>
            </w:r>
          </w:p>
        </w:tc>
        <w:tc>
          <w:tcPr>
            <w:tcW w:w="1009" w:type="dxa"/>
            <w:tcBorders>
              <w:top w:val="nil"/>
              <w:left w:val="nil"/>
              <w:bottom w:val="single" w:color="auto" w:sz="4" w:space="0"/>
              <w:right w:val="single" w:color="auto" w:sz="4" w:space="0"/>
            </w:tcBorders>
            <w:noWrap w:val="0"/>
            <w:vAlign w:val="center"/>
          </w:tcPr>
          <w:p w14:paraId="3DCA3132">
            <w:pPr>
              <w:widowControl/>
              <w:jc w:val="left"/>
              <w:rPr>
                <w:color w:val="auto"/>
                <w:szCs w:val="21"/>
                <w:highlight w:val="none"/>
              </w:rPr>
            </w:pPr>
            <w:r>
              <w:rPr>
                <w:rFonts w:hint="eastAsia"/>
                <w:color w:val="auto"/>
                <w:szCs w:val="21"/>
                <w:highlight w:val="none"/>
              </w:rPr>
              <w:t>X＜20</w:t>
            </w:r>
          </w:p>
        </w:tc>
      </w:tr>
      <w:tr w14:paraId="6B0F2EA5">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noWrap w:val="0"/>
            <w:vAlign w:val="center"/>
          </w:tcPr>
          <w:p w14:paraId="41B575B5">
            <w:pPr>
              <w:widowControl/>
              <w:jc w:val="left"/>
              <w:rPr>
                <w:color w:val="auto"/>
                <w:szCs w:val="21"/>
                <w:highlight w:val="none"/>
              </w:rPr>
            </w:pPr>
          </w:p>
        </w:tc>
        <w:tc>
          <w:tcPr>
            <w:tcW w:w="1701" w:type="dxa"/>
            <w:tcBorders>
              <w:top w:val="nil"/>
              <w:left w:val="nil"/>
              <w:bottom w:val="single" w:color="auto" w:sz="4" w:space="0"/>
              <w:right w:val="single" w:color="auto" w:sz="4" w:space="0"/>
            </w:tcBorders>
            <w:noWrap w:val="0"/>
            <w:vAlign w:val="center"/>
          </w:tcPr>
          <w:p w14:paraId="11FEC9AB">
            <w:pPr>
              <w:widowControl/>
              <w:jc w:val="left"/>
              <w:rPr>
                <w:color w:val="auto"/>
                <w:szCs w:val="21"/>
                <w:highlight w:val="none"/>
              </w:rPr>
            </w:pPr>
            <w:r>
              <w:rPr>
                <w:rFonts w:hint="eastAsia"/>
                <w:color w:val="auto"/>
                <w:szCs w:val="21"/>
                <w:highlight w:val="none"/>
              </w:rPr>
              <w:t>营业收入（Y）</w:t>
            </w:r>
          </w:p>
        </w:tc>
        <w:tc>
          <w:tcPr>
            <w:tcW w:w="1134" w:type="dxa"/>
            <w:tcBorders>
              <w:top w:val="nil"/>
              <w:left w:val="nil"/>
              <w:bottom w:val="single" w:color="auto" w:sz="4" w:space="0"/>
              <w:right w:val="single" w:color="auto" w:sz="4" w:space="0"/>
            </w:tcBorders>
            <w:noWrap w:val="0"/>
            <w:vAlign w:val="center"/>
          </w:tcPr>
          <w:p w14:paraId="677BE9F6">
            <w:pPr>
              <w:widowControl/>
              <w:jc w:val="left"/>
              <w:rPr>
                <w:color w:val="auto"/>
                <w:szCs w:val="21"/>
                <w:highlight w:val="none"/>
              </w:rPr>
            </w:pPr>
            <w:r>
              <w:rPr>
                <w:rFonts w:hint="eastAsia"/>
                <w:color w:val="auto"/>
                <w:szCs w:val="21"/>
                <w:highlight w:val="none"/>
              </w:rPr>
              <w:t>万元</w:t>
            </w:r>
          </w:p>
        </w:tc>
        <w:tc>
          <w:tcPr>
            <w:tcW w:w="1846" w:type="dxa"/>
            <w:tcBorders>
              <w:top w:val="nil"/>
              <w:left w:val="nil"/>
              <w:bottom w:val="single" w:color="auto" w:sz="4" w:space="0"/>
              <w:right w:val="single" w:color="auto" w:sz="4" w:space="0"/>
            </w:tcBorders>
            <w:noWrap w:val="0"/>
            <w:vAlign w:val="center"/>
          </w:tcPr>
          <w:p w14:paraId="183D1EC4">
            <w:pPr>
              <w:widowControl/>
              <w:jc w:val="left"/>
              <w:rPr>
                <w:color w:val="auto"/>
                <w:szCs w:val="21"/>
                <w:highlight w:val="none"/>
              </w:rPr>
            </w:pPr>
            <w:r>
              <w:rPr>
                <w:rFonts w:hint="eastAsia"/>
                <w:color w:val="auto"/>
                <w:szCs w:val="21"/>
                <w:highlight w:val="none"/>
              </w:rPr>
              <w:t>3000≤Y＜30000</w:t>
            </w:r>
          </w:p>
        </w:tc>
        <w:tc>
          <w:tcPr>
            <w:tcW w:w="1570" w:type="dxa"/>
            <w:tcBorders>
              <w:top w:val="nil"/>
              <w:left w:val="nil"/>
              <w:bottom w:val="single" w:color="auto" w:sz="4" w:space="0"/>
              <w:right w:val="single" w:color="auto" w:sz="4" w:space="0"/>
            </w:tcBorders>
            <w:noWrap w:val="0"/>
            <w:vAlign w:val="center"/>
          </w:tcPr>
          <w:p w14:paraId="57E76C93">
            <w:pPr>
              <w:widowControl/>
              <w:jc w:val="left"/>
              <w:rPr>
                <w:color w:val="auto"/>
                <w:szCs w:val="21"/>
                <w:highlight w:val="none"/>
              </w:rPr>
            </w:pPr>
            <w:r>
              <w:rPr>
                <w:rFonts w:hint="eastAsia"/>
                <w:color w:val="auto"/>
                <w:szCs w:val="21"/>
                <w:highlight w:val="none"/>
              </w:rPr>
              <w:t>200≤Y＜3000</w:t>
            </w:r>
          </w:p>
        </w:tc>
        <w:tc>
          <w:tcPr>
            <w:tcW w:w="1009" w:type="dxa"/>
            <w:tcBorders>
              <w:top w:val="nil"/>
              <w:left w:val="nil"/>
              <w:bottom w:val="single" w:color="auto" w:sz="4" w:space="0"/>
              <w:right w:val="single" w:color="auto" w:sz="4" w:space="0"/>
            </w:tcBorders>
            <w:noWrap w:val="0"/>
            <w:vAlign w:val="center"/>
          </w:tcPr>
          <w:p w14:paraId="4E84B4C2">
            <w:pPr>
              <w:widowControl/>
              <w:jc w:val="left"/>
              <w:rPr>
                <w:color w:val="auto"/>
                <w:szCs w:val="21"/>
                <w:highlight w:val="none"/>
              </w:rPr>
            </w:pPr>
            <w:r>
              <w:rPr>
                <w:rFonts w:hint="eastAsia"/>
                <w:color w:val="auto"/>
                <w:szCs w:val="21"/>
                <w:highlight w:val="none"/>
              </w:rPr>
              <w:t>Y＜200</w:t>
            </w:r>
          </w:p>
        </w:tc>
      </w:tr>
      <w:tr w14:paraId="34169DFB">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noWrap w:val="0"/>
            <w:vAlign w:val="bottom"/>
          </w:tcPr>
          <w:p w14:paraId="758848AC">
            <w:pPr>
              <w:widowControl/>
              <w:jc w:val="center"/>
              <w:rPr>
                <w:color w:val="auto"/>
                <w:szCs w:val="21"/>
                <w:highlight w:val="none"/>
              </w:rPr>
            </w:pPr>
            <w:r>
              <w:rPr>
                <w:rFonts w:hint="eastAsia"/>
                <w:color w:val="auto"/>
                <w:szCs w:val="21"/>
                <w:highlight w:val="none"/>
              </w:rPr>
              <w:t>仓储业</w:t>
            </w:r>
          </w:p>
        </w:tc>
        <w:tc>
          <w:tcPr>
            <w:tcW w:w="1701" w:type="dxa"/>
            <w:tcBorders>
              <w:top w:val="nil"/>
              <w:left w:val="nil"/>
              <w:bottom w:val="single" w:color="auto" w:sz="4" w:space="0"/>
              <w:right w:val="single" w:color="auto" w:sz="4" w:space="0"/>
            </w:tcBorders>
            <w:noWrap w:val="0"/>
            <w:vAlign w:val="center"/>
          </w:tcPr>
          <w:p w14:paraId="62462BD8">
            <w:pPr>
              <w:widowControl/>
              <w:jc w:val="left"/>
              <w:rPr>
                <w:color w:val="auto"/>
                <w:szCs w:val="21"/>
                <w:highlight w:val="none"/>
              </w:rPr>
            </w:pPr>
            <w:r>
              <w:rPr>
                <w:rFonts w:hint="eastAsia"/>
                <w:color w:val="auto"/>
                <w:szCs w:val="21"/>
                <w:highlight w:val="none"/>
              </w:rPr>
              <w:t>从业人员（X）</w:t>
            </w:r>
          </w:p>
        </w:tc>
        <w:tc>
          <w:tcPr>
            <w:tcW w:w="1134" w:type="dxa"/>
            <w:tcBorders>
              <w:top w:val="nil"/>
              <w:left w:val="nil"/>
              <w:bottom w:val="single" w:color="auto" w:sz="4" w:space="0"/>
              <w:right w:val="single" w:color="auto" w:sz="4" w:space="0"/>
            </w:tcBorders>
            <w:noWrap w:val="0"/>
            <w:vAlign w:val="center"/>
          </w:tcPr>
          <w:p w14:paraId="4489FF59">
            <w:pPr>
              <w:widowControl/>
              <w:jc w:val="left"/>
              <w:rPr>
                <w:color w:val="auto"/>
                <w:szCs w:val="21"/>
                <w:highlight w:val="none"/>
              </w:rPr>
            </w:pPr>
            <w:r>
              <w:rPr>
                <w:rFonts w:hint="eastAsia"/>
                <w:color w:val="auto"/>
                <w:szCs w:val="21"/>
                <w:highlight w:val="none"/>
              </w:rPr>
              <w:t>人</w:t>
            </w:r>
          </w:p>
        </w:tc>
        <w:tc>
          <w:tcPr>
            <w:tcW w:w="1846" w:type="dxa"/>
            <w:tcBorders>
              <w:top w:val="nil"/>
              <w:left w:val="nil"/>
              <w:bottom w:val="single" w:color="auto" w:sz="4" w:space="0"/>
              <w:right w:val="single" w:color="auto" w:sz="4" w:space="0"/>
            </w:tcBorders>
            <w:noWrap w:val="0"/>
            <w:vAlign w:val="center"/>
          </w:tcPr>
          <w:p w14:paraId="79F4B208">
            <w:pPr>
              <w:widowControl/>
              <w:jc w:val="left"/>
              <w:rPr>
                <w:color w:val="auto"/>
                <w:szCs w:val="21"/>
                <w:highlight w:val="none"/>
              </w:rPr>
            </w:pPr>
            <w:r>
              <w:rPr>
                <w:rFonts w:hint="eastAsia"/>
                <w:color w:val="auto"/>
                <w:szCs w:val="21"/>
                <w:highlight w:val="none"/>
              </w:rPr>
              <w:t>100≤X＜200</w:t>
            </w:r>
          </w:p>
        </w:tc>
        <w:tc>
          <w:tcPr>
            <w:tcW w:w="1570" w:type="dxa"/>
            <w:tcBorders>
              <w:top w:val="nil"/>
              <w:left w:val="nil"/>
              <w:bottom w:val="single" w:color="auto" w:sz="4" w:space="0"/>
              <w:right w:val="single" w:color="auto" w:sz="4" w:space="0"/>
            </w:tcBorders>
            <w:noWrap w:val="0"/>
            <w:vAlign w:val="center"/>
          </w:tcPr>
          <w:p w14:paraId="11E2BDA7">
            <w:pPr>
              <w:widowControl/>
              <w:jc w:val="left"/>
              <w:rPr>
                <w:color w:val="auto"/>
                <w:szCs w:val="21"/>
                <w:highlight w:val="none"/>
              </w:rPr>
            </w:pPr>
            <w:r>
              <w:rPr>
                <w:rFonts w:hint="eastAsia"/>
                <w:color w:val="auto"/>
                <w:szCs w:val="21"/>
                <w:highlight w:val="none"/>
              </w:rPr>
              <w:t>20≤X＜100</w:t>
            </w:r>
          </w:p>
        </w:tc>
        <w:tc>
          <w:tcPr>
            <w:tcW w:w="1009" w:type="dxa"/>
            <w:tcBorders>
              <w:top w:val="nil"/>
              <w:left w:val="nil"/>
              <w:bottom w:val="single" w:color="auto" w:sz="4" w:space="0"/>
              <w:right w:val="single" w:color="auto" w:sz="4" w:space="0"/>
            </w:tcBorders>
            <w:noWrap w:val="0"/>
            <w:vAlign w:val="center"/>
          </w:tcPr>
          <w:p w14:paraId="716548B1">
            <w:pPr>
              <w:widowControl/>
              <w:jc w:val="left"/>
              <w:rPr>
                <w:color w:val="auto"/>
                <w:szCs w:val="21"/>
                <w:highlight w:val="none"/>
              </w:rPr>
            </w:pPr>
            <w:r>
              <w:rPr>
                <w:rFonts w:hint="eastAsia"/>
                <w:color w:val="auto"/>
                <w:szCs w:val="21"/>
                <w:highlight w:val="none"/>
              </w:rPr>
              <w:t>X＜20</w:t>
            </w:r>
          </w:p>
        </w:tc>
      </w:tr>
      <w:tr w14:paraId="3D66E557">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noWrap w:val="0"/>
            <w:vAlign w:val="center"/>
          </w:tcPr>
          <w:p w14:paraId="0081E0FF">
            <w:pPr>
              <w:widowControl/>
              <w:jc w:val="left"/>
              <w:rPr>
                <w:color w:val="auto"/>
                <w:szCs w:val="21"/>
                <w:highlight w:val="none"/>
              </w:rPr>
            </w:pPr>
          </w:p>
        </w:tc>
        <w:tc>
          <w:tcPr>
            <w:tcW w:w="1701" w:type="dxa"/>
            <w:tcBorders>
              <w:top w:val="nil"/>
              <w:left w:val="nil"/>
              <w:bottom w:val="single" w:color="auto" w:sz="4" w:space="0"/>
              <w:right w:val="single" w:color="auto" w:sz="4" w:space="0"/>
            </w:tcBorders>
            <w:noWrap w:val="0"/>
            <w:vAlign w:val="center"/>
          </w:tcPr>
          <w:p w14:paraId="15D48F9D">
            <w:pPr>
              <w:widowControl/>
              <w:jc w:val="left"/>
              <w:rPr>
                <w:color w:val="auto"/>
                <w:szCs w:val="21"/>
                <w:highlight w:val="none"/>
              </w:rPr>
            </w:pPr>
            <w:r>
              <w:rPr>
                <w:rFonts w:hint="eastAsia"/>
                <w:color w:val="auto"/>
                <w:szCs w:val="21"/>
                <w:highlight w:val="none"/>
              </w:rPr>
              <w:t>营业收入（Y）</w:t>
            </w:r>
          </w:p>
        </w:tc>
        <w:tc>
          <w:tcPr>
            <w:tcW w:w="1134" w:type="dxa"/>
            <w:tcBorders>
              <w:top w:val="nil"/>
              <w:left w:val="nil"/>
              <w:bottom w:val="single" w:color="auto" w:sz="4" w:space="0"/>
              <w:right w:val="single" w:color="auto" w:sz="4" w:space="0"/>
            </w:tcBorders>
            <w:noWrap w:val="0"/>
            <w:vAlign w:val="center"/>
          </w:tcPr>
          <w:p w14:paraId="7D535A09">
            <w:pPr>
              <w:widowControl/>
              <w:jc w:val="left"/>
              <w:rPr>
                <w:color w:val="auto"/>
                <w:szCs w:val="21"/>
                <w:highlight w:val="none"/>
              </w:rPr>
            </w:pPr>
            <w:r>
              <w:rPr>
                <w:rFonts w:hint="eastAsia"/>
                <w:color w:val="auto"/>
                <w:szCs w:val="21"/>
                <w:highlight w:val="none"/>
              </w:rPr>
              <w:t>万元</w:t>
            </w:r>
          </w:p>
        </w:tc>
        <w:tc>
          <w:tcPr>
            <w:tcW w:w="1846" w:type="dxa"/>
            <w:tcBorders>
              <w:top w:val="nil"/>
              <w:left w:val="nil"/>
              <w:bottom w:val="single" w:color="auto" w:sz="4" w:space="0"/>
              <w:right w:val="single" w:color="auto" w:sz="4" w:space="0"/>
            </w:tcBorders>
            <w:noWrap w:val="0"/>
            <w:vAlign w:val="center"/>
          </w:tcPr>
          <w:p w14:paraId="53443663">
            <w:pPr>
              <w:widowControl/>
              <w:jc w:val="left"/>
              <w:rPr>
                <w:color w:val="auto"/>
                <w:szCs w:val="21"/>
                <w:highlight w:val="none"/>
              </w:rPr>
            </w:pPr>
            <w:r>
              <w:rPr>
                <w:rFonts w:hint="eastAsia"/>
                <w:color w:val="auto"/>
                <w:szCs w:val="21"/>
                <w:highlight w:val="none"/>
              </w:rPr>
              <w:t>1000≤Y＜30000</w:t>
            </w:r>
          </w:p>
        </w:tc>
        <w:tc>
          <w:tcPr>
            <w:tcW w:w="1570" w:type="dxa"/>
            <w:tcBorders>
              <w:top w:val="nil"/>
              <w:left w:val="nil"/>
              <w:bottom w:val="single" w:color="auto" w:sz="4" w:space="0"/>
              <w:right w:val="single" w:color="auto" w:sz="4" w:space="0"/>
            </w:tcBorders>
            <w:noWrap w:val="0"/>
            <w:vAlign w:val="center"/>
          </w:tcPr>
          <w:p w14:paraId="7691C846">
            <w:pPr>
              <w:widowControl/>
              <w:jc w:val="left"/>
              <w:rPr>
                <w:color w:val="auto"/>
                <w:szCs w:val="21"/>
                <w:highlight w:val="none"/>
              </w:rPr>
            </w:pPr>
            <w:r>
              <w:rPr>
                <w:rFonts w:hint="eastAsia"/>
                <w:color w:val="auto"/>
                <w:szCs w:val="21"/>
                <w:highlight w:val="none"/>
              </w:rPr>
              <w:t>100≤Y＜1000</w:t>
            </w:r>
          </w:p>
        </w:tc>
        <w:tc>
          <w:tcPr>
            <w:tcW w:w="1009" w:type="dxa"/>
            <w:tcBorders>
              <w:top w:val="nil"/>
              <w:left w:val="nil"/>
              <w:bottom w:val="single" w:color="auto" w:sz="4" w:space="0"/>
              <w:right w:val="single" w:color="auto" w:sz="4" w:space="0"/>
            </w:tcBorders>
            <w:noWrap w:val="0"/>
            <w:vAlign w:val="center"/>
          </w:tcPr>
          <w:p w14:paraId="5ACB8259">
            <w:pPr>
              <w:widowControl/>
              <w:jc w:val="left"/>
              <w:rPr>
                <w:color w:val="auto"/>
                <w:szCs w:val="21"/>
                <w:highlight w:val="none"/>
              </w:rPr>
            </w:pPr>
            <w:r>
              <w:rPr>
                <w:rFonts w:hint="eastAsia"/>
                <w:color w:val="auto"/>
                <w:szCs w:val="21"/>
                <w:highlight w:val="none"/>
              </w:rPr>
              <w:t>Y＜100</w:t>
            </w:r>
          </w:p>
        </w:tc>
      </w:tr>
      <w:tr w14:paraId="7A3F5A7F">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noWrap w:val="0"/>
            <w:vAlign w:val="bottom"/>
          </w:tcPr>
          <w:p w14:paraId="4854A079">
            <w:pPr>
              <w:widowControl/>
              <w:jc w:val="center"/>
              <w:rPr>
                <w:color w:val="auto"/>
                <w:szCs w:val="21"/>
                <w:highlight w:val="none"/>
              </w:rPr>
            </w:pPr>
            <w:r>
              <w:rPr>
                <w:rFonts w:hint="eastAsia"/>
                <w:color w:val="auto"/>
                <w:szCs w:val="21"/>
                <w:highlight w:val="none"/>
              </w:rPr>
              <w:t>邮政业</w:t>
            </w:r>
          </w:p>
        </w:tc>
        <w:tc>
          <w:tcPr>
            <w:tcW w:w="1701" w:type="dxa"/>
            <w:tcBorders>
              <w:top w:val="nil"/>
              <w:left w:val="nil"/>
              <w:bottom w:val="single" w:color="auto" w:sz="4" w:space="0"/>
              <w:right w:val="single" w:color="auto" w:sz="4" w:space="0"/>
            </w:tcBorders>
            <w:noWrap w:val="0"/>
            <w:vAlign w:val="center"/>
          </w:tcPr>
          <w:p w14:paraId="4B42F09D">
            <w:pPr>
              <w:widowControl/>
              <w:jc w:val="left"/>
              <w:rPr>
                <w:color w:val="auto"/>
                <w:szCs w:val="21"/>
                <w:highlight w:val="none"/>
              </w:rPr>
            </w:pPr>
            <w:r>
              <w:rPr>
                <w:rFonts w:hint="eastAsia"/>
                <w:color w:val="auto"/>
                <w:szCs w:val="21"/>
                <w:highlight w:val="none"/>
              </w:rPr>
              <w:t>从业人员（X）</w:t>
            </w:r>
          </w:p>
        </w:tc>
        <w:tc>
          <w:tcPr>
            <w:tcW w:w="1134" w:type="dxa"/>
            <w:tcBorders>
              <w:top w:val="nil"/>
              <w:left w:val="nil"/>
              <w:bottom w:val="single" w:color="auto" w:sz="4" w:space="0"/>
              <w:right w:val="single" w:color="auto" w:sz="4" w:space="0"/>
            </w:tcBorders>
            <w:noWrap w:val="0"/>
            <w:vAlign w:val="center"/>
          </w:tcPr>
          <w:p w14:paraId="2B2F5568">
            <w:pPr>
              <w:widowControl/>
              <w:jc w:val="left"/>
              <w:rPr>
                <w:color w:val="auto"/>
                <w:szCs w:val="21"/>
                <w:highlight w:val="none"/>
              </w:rPr>
            </w:pPr>
            <w:r>
              <w:rPr>
                <w:rFonts w:hint="eastAsia"/>
                <w:color w:val="auto"/>
                <w:szCs w:val="21"/>
                <w:highlight w:val="none"/>
              </w:rPr>
              <w:t>人</w:t>
            </w:r>
          </w:p>
        </w:tc>
        <w:tc>
          <w:tcPr>
            <w:tcW w:w="1846" w:type="dxa"/>
            <w:tcBorders>
              <w:top w:val="nil"/>
              <w:left w:val="nil"/>
              <w:bottom w:val="single" w:color="auto" w:sz="4" w:space="0"/>
              <w:right w:val="single" w:color="auto" w:sz="4" w:space="0"/>
            </w:tcBorders>
            <w:noWrap w:val="0"/>
            <w:vAlign w:val="center"/>
          </w:tcPr>
          <w:p w14:paraId="56604A24">
            <w:pPr>
              <w:widowControl/>
              <w:jc w:val="left"/>
              <w:rPr>
                <w:color w:val="auto"/>
                <w:szCs w:val="21"/>
                <w:highlight w:val="none"/>
              </w:rPr>
            </w:pPr>
            <w:r>
              <w:rPr>
                <w:rFonts w:hint="eastAsia"/>
                <w:color w:val="auto"/>
                <w:szCs w:val="21"/>
                <w:highlight w:val="none"/>
              </w:rPr>
              <w:t>300≤X＜1000</w:t>
            </w:r>
          </w:p>
        </w:tc>
        <w:tc>
          <w:tcPr>
            <w:tcW w:w="1570" w:type="dxa"/>
            <w:tcBorders>
              <w:top w:val="nil"/>
              <w:left w:val="nil"/>
              <w:bottom w:val="single" w:color="auto" w:sz="4" w:space="0"/>
              <w:right w:val="single" w:color="auto" w:sz="4" w:space="0"/>
            </w:tcBorders>
            <w:noWrap w:val="0"/>
            <w:vAlign w:val="center"/>
          </w:tcPr>
          <w:p w14:paraId="7CD8D153">
            <w:pPr>
              <w:widowControl/>
              <w:jc w:val="left"/>
              <w:rPr>
                <w:color w:val="auto"/>
                <w:szCs w:val="21"/>
                <w:highlight w:val="none"/>
              </w:rPr>
            </w:pPr>
            <w:r>
              <w:rPr>
                <w:rFonts w:hint="eastAsia"/>
                <w:color w:val="auto"/>
                <w:szCs w:val="21"/>
                <w:highlight w:val="none"/>
              </w:rPr>
              <w:t>20≤X＜300</w:t>
            </w:r>
          </w:p>
        </w:tc>
        <w:tc>
          <w:tcPr>
            <w:tcW w:w="1009" w:type="dxa"/>
            <w:tcBorders>
              <w:top w:val="nil"/>
              <w:left w:val="nil"/>
              <w:bottom w:val="single" w:color="auto" w:sz="4" w:space="0"/>
              <w:right w:val="single" w:color="auto" w:sz="4" w:space="0"/>
            </w:tcBorders>
            <w:noWrap w:val="0"/>
            <w:vAlign w:val="center"/>
          </w:tcPr>
          <w:p w14:paraId="50BC338A">
            <w:pPr>
              <w:widowControl/>
              <w:jc w:val="left"/>
              <w:rPr>
                <w:color w:val="auto"/>
                <w:szCs w:val="21"/>
                <w:highlight w:val="none"/>
              </w:rPr>
            </w:pPr>
            <w:r>
              <w:rPr>
                <w:rFonts w:hint="eastAsia"/>
                <w:color w:val="auto"/>
                <w:szCs w:val="21"/>
                <w:highlight w:val="none"/>
              </w:rPr>
              <w:t>X＜20</w:t>
            </w:r>
          </w:p>
        </w:tc>
      </w:tr>
      <w:tr w14:paraId="13E448CA">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noWrap w:val="0"/>
            <w:vAlign w:val="center"/>
          </w:tcPr>
          <w:p w14:paraId="7B9B5E28">
            <w:pPr>
              <w:widowControl/>
              <w:jc w:val="left"/>
              <w:rPr>
                <w:color w:val="auto"/>
                <w:szCs w:val="21"/>
                <w:highlight w:val="none"/>
              </w:rPr>
            </w:pPr>
          </w:p>
        </w:tc>
        <w:tc>
          <w:tcPr>
            <w:tcW w:w="1701" w:type="dxa"/>
            <w:tcBorders>
              <w:top w:val="nil"/>
              <w:left w:val="nil"/>
              <w:bottom w:val="single" w:color="auto" w:sz="4" w:space="0"/>
              <w:right w:val="single" w:color="auto" w:sz="4" w:space="0"/>
            </w:tcBorders>
            <w:noWrap w:val="0"/>
            <w:vAlign w:val="center"/>
          </w:tcPr>
          <w:p w14:paraId="70A0933E">
            <w:pPr>
              <w:widowControl/>
              <w:jc w:val="left"/>
              <w:rPr>
                <w:color w:val="auto"/>
                <w:szCs w:val="21"/>
                <w:highlight w:val="none"/>
              </w:rPr>
            </w:pPr>
            <w:r>
              <w:rPr>
                <w:rFonts w:hint="eastAsia"/>
                <w:color w:val="auto"/>
                <w:szCs w:val="21"/>
                <w:highlight w:val="none"/>
              </w:rPr>
              <w:t>营业收入（Y）</w:t>
            </w:r>
          </w:p>
        </w:tc>
        <w:tc>
          <w:tcPr>
            <w:tcW w:w="1134" w:type="dxa"/>
            <w:tcBorders>
              <w:top w:val="nil"/>
              <w:left w:val="nil"/>
              <w:bottom w:val="single" w:color="auto" w:sz="4" w:space="0"/>
              <w:right w:val="single" w:color="auto" w:sz="4" w:space="0"/>
            </w:tcBorders>
            <w:noWrap w:val="0"/>
            <w:vAlign w:val="center"/>
          </w:tcPr>
          <w:p w14:paraId="7E95F3B6">
            <w:pPr>
              <w:widowControl/>
              <w:jc w:val="left"/>
              <w:rPr>
                <w:color w:val="auto"/>
                <w:szCs w:val="21"/>
                <w:highlight w:val="none"/>
              </w:rPr>
            </w:pPr>
            <w:r>
              <w:rPr>
                <w:rFonts w:hint="eastAsia"/>
                <w:color w:val="auto"/>
                <w:szCs w:val="21"/>
                <w:highlight w:val="none"/>
              </w:rPr>
              <w:t>万元</w:t>
            </w:r>
          </w:p>
        </w:tc>
        <w:tc>
          <w:tcPr>
            <w:tcW w:w="1846" w:type="dxa"/>
            <w:tcBorders>
              <w:top w:val="nil"/>
              <w:left w:val="nil"/>
              <w:bottom w:val="single" w:color="auto" w:sz="4" w:space="0"/>
              <w:right w:val="single" w:color="auto" w:sz="4" w:space="0"/>
            </w:tcBorders>
            <w:noWrap w:val="0"/>
            <w:vAlign w:val="center"/>
          </w:tcPr>
          <w:p w14:paraId="59CFE84A">
            <w:pPr>
              <w:widowControl/>
              <w:jc w:val="left"/>
              <w:rPr>
                <w:color w:val="auto"/>
                <w:szCs w:val="21"/>
                <w:highlight w:val="none"/>
              </w:rPr>
            </w:pPr>
            <w:r>
              <w:rPr>
                <w:rFonts w:hint="eastAsia"/>
                <w:color w:val="auto"/>
                <w:szCs w:val="21"/>
                <w:highlight w:val="none"/>
              </w:rPr>
              <w:t>2000≤Y＜30000</w:t>
            </w:r>
          </w:p>
        </w:tc>
        <w:tc>
          <w:tcPr>
            <w:tcW w:w="1570" w:type="dxa"/>
            <w:tcBorders>
              <w:top w:val="nil"/>
              <w:left w:val="nil"/>
              <w:bottom w:val="single" w:color="auto" w:sz="4" w:space="0"/>
              <w:right w:val="single" w:color="auto" w:sz="4" w:space="0"/>
            </w:tcBorders>
            <w:noWrap w:val="0"/>
            <w:vAlign w:val="center"/>
          </w:tcPr>
          <w:p w14:paraId="66F7FFF1">
            <w:pPr>
              <w:widowControl/>
              <w:jc w:val="left"/>
              <w:rPr>
                <w:color w:val="auto"/>
                <w:szCs w:val="21"/>
                <w:highlight w:val="none"/>
              </w:rPr>
            </w:pPr>
            <w:r>
              <w:rPr>
                <w:rFonts w:hint="eastAsia"/>
                <w:color w:val="auto"/>
                <w:szCs w:val="21"/>
                <w:highlight w:val="none"/>
              </w:rPr>
              <w:t>100≤Y＜2000</w:t>
            </w:r>
          </w:p>
        </w:tc>
        <w:tc>
          <w:tcPr>
            <w:tcW w:w="1009" w:type="dxa"/>
            <w:tcBorders>
              <w:top w:val="nil"/>
              <w:left w:val="nil"/>
              <w:bottom w:val="single" w:color="auto" w:sz="4" w:space="0"/>
              <w:right w:val="single" w:color="auto" w:sz="4" w:space="0"/>
            </w:tcBorders>
            <w:noWrap w:val="0"/>
            <w:vAlign w:val="center"/>
          </w:tcPr>
          <w:p w14:paraId="005F1D0D">
            <w:pPr>
              <w:widowControl/>
              <w:jc w:val="left"/>
              <w:rPr>
                <w:color w:val="auto"/>
                <w:szCs w:val="21"/>
                <w:highlight w:val="none"/>
              </w:rPr>
            </w:pPr>
            <w:r>
              <w:rPr>
                <w:rFonts w:hint="eastAsia"/>
                <w:color w:val="auto"/>
                <w:szCs w:val="21"/>
                <w:highlight w:val="none"/>
              </w:rPr>
              <w:t>Y＜100</w:t>
            </w:r>
          </w:p>
        </w:tc>
      </w:tr>
      <w:tr w14:paraId="35910892">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noWrap w:val="0"/>
            <w:vAlign w:val="bottom"/>
          </w:tcPr>
          <w:p w14:paraId="7DBD837B">
            <w:pPr>
              <w:widowControl/>
              <w:jc w:val="center"/>
              <w:rPr>
                <w:color w:val="auto"/>
                <w:szCs w:val="21"/>
                <w:highlight w:val="none"/>
              </w:rPr>
            </w:pPr>
            <w:r>
              <w:rPr>
                <w:rFonts w:hint="eastAsia"/>
                <w:color w:val="auto"/>
                <w:szCs w:val="21"/>
                <w:highlight w:val="none"/>
              </w:rPr>
              <w:t>住宿业</w:t>
            </w:r>
          </w:p>
        </w:tc>
        <w:tc>
          <w:tcPr>
            <w:tcW w:w="1701" w:type="dxa"/>
            <w:tcBorders>
              <w:top w:val="nil"/>
              <w:left w:val="nil"/>
              <w:bottom w:val="single" w:color="auto" w:sz="4" w:space="0"/>
              <w:right w:val="single" w:color="auto" w:sz="4" w:space="0"/>
            </w:tcBorders>
            <w:noWrap w:val="0"/>
            <w:vAlign w:val="center"/>
          </w:tcPr>
          <w:p w14:paraId="6CABFF52">
            <w:pPr>
              <w:widowControl/>
              <w:jc w:val="left"/>
              <w:rPr>
                <w:color w:val="auto"/>
                <w:szCs w:val="21"/>
                <w:highlight w:val="none"/>
              </w:rPr>
            </w:pPr>
            <w:r>
              <w:rPr>
                <w:rFonts w:hint="eastAsia"/>
                <w:color w:val="auto"/>
                <w:szCs w:val="21"/>
                <w:highlight w:val="none"/>
              </w:rPr>
              <w:t>从业人员（X）</w:t>
            </w:r>
          </w:p>
        </w:tc>
        <w:tc>
          <w:tcPr>
            <w:tcW w:w="1134" w:type="dxa"/>
            <w:tcBorders>
              <w:top w:val="nil"/>
              <w:left w:val="nil"/>
              <w:bottom w:val="single" w:color="auto" w:sz="4" w:space="0"/>
              <w:right w:val="single" w:color="auto" w:sz="4" w:space="0"/>
            </w:tcBorders>
            <w:noWrap w:val="0"/>
            <w:vAlign w:val="center"/>
          </w:tcPr>
          <w:p w14:paraId="53506394">
            <w:pPr>
              <w:widowControl/>
              <w:jc w:val="left"/>
              <w:rPr>
                <w:color w:val="auto"/>
                <w:szCs w:val="21"/>
                <w:highlight w:val="none"/>
              </w:rPr>
            </w:pPr>
            <w:r>
              <w:rPr>
                <w:rFonts w:hint="eastAsia"/>
                <w:color w:val="auto"/>
                <w:szCs w:val="21"/>
                <w:highlight w:val="none"/>
              </w:rPr>
              <w:t>人</w:t>
            </w:r>
          </w:p>
        </w:tc>
        <w:tc>
          <w:tcPr>
            <w:tcW w:w="1846" w:type="dxa"/>
            <w:tcBorders>
              <w:top w:val="nil"/>
              <w:left w:val="nil"/>
              <w:bottom w:val="single" w:color="auto" w:sz="4" w:space="0"/>
              <w:right w:val="single" w:color="auto" w:sz="4" w:space="0"/>
            </w:tcBorders>
            <w:noWrap w:val="0"/>
            <w:vAlign w:val="center"/>
          </w:tcPr>
          <w:p w14:paraId="5254E568">
            <w:pPr>
              <w:widowControl/>
              <w:jc w:val="left"/>
              <w:rPr>
                <w:color w:val="auto"/>
                <w:szCs w:val="21"/>
                <w:highlight w:val="none"/>
              </w:rPr>
            </w:pPr>
            <w:r>
              <w:rPr>
                <w:rFonts w:hint="eastAsia"/>
                <w:color w:val="auto"/>
                <w:szCs w:val="21"/>
                <w:highlight w:val="none"/>
              </w:rPr>
              <w:t>100≤X＜300</w:t>
            </w:r>
          </w:p>
        </w:tc>
        <w:tc>
          <w:tcPr>
            <w:tcW w:w="1570" w:type="dxa"/>
            <w:tcBorders>
              <w:top w:val="nil"/>
              <w:left w:val="nil"/>
              <w:bottom w:val="single" w:color="auto" w:sz="4" w:space="0"/>
              <w:right w:val="single" w:color="auto" w:sz="4" w:space="0"/>
            </w:tcBorders>
            <w:noWrap w:val="0"/>
            <w:vAlign w:val="center"/>
          </w:tcPr>
          <w:p w14:paraId="51D720B0">
            <w:pPr>
              <w:widowControl/>
              <w:jc w:val="left"/>
              <w:rPr>
                <w:color w:val="auto"/>
                <w:szCs w:val="21"/>
                <w:highlight w:val="none"/>
              </w:rPr>
            </w:pPr>
            <w:r>
              <w:rPr>
                <w:rFonts w:hint="eastAsia"/>
                <w:color w:val="auto"/>
                <w:szCs w:val="21"/>
                <w:highlight w:val="none"/>
              </w:rPr>
              <w:t>10≤X＜100</w:t>
            </w:r>
          </w:p>
        </w:tc>
        <w:tc>
          <w:tcPr>
            <w:tcW w:w="1009" w:type="dxa"/>
            <w:tcBorders>
              <w:top w:val="nil"/>
              <w:left w:val="nil"/>
              <w:bottom w:val="single" w:color="auto" w:sz="4" w:space="0"/>
              <w:right w:val="single" w:color="auto" w:sz="4" w:space="0"/>
            </w:tcBorders>
            <w:noWrap w:val="0"/>
            <w:vAlign w:val="center"/>
          </w:tcPr>
          <w:p w14:paraId="5BF8BD4D">
            <w:pPr>
              <w:widowControl/>
              <w:jc w:val="left"/>
              <w:rPr>
                <w:color w:val="auto"/>
                <w:szCs w:val="21"/>
                <w:highlight w:val="none"/>
              </w:rPr>
            </w:pPr>
            <w:r>
              <w:rPr>
                <w:rFonts w:hint="eastAsia"/>
                <w:color w:val="auto"/>
                <w:szCs w:val="21"/>
                <w:highlight w:val="none"/>
              </w:rPr>
              <w:t>X＜10</w:t>
            </w:r>
          </w:p>
        </w:tc>
      </w:tr>
      <w:tr w14:paraId="61392691">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noWrap w:val="0"/>
            <w:vAlign w:val="center"/>
          </w:tcPr>
          <w:p w14:paraId="0F46D16A">
            <w:pPr>
              <w:widowControl/>
              <w:jc w:val="left"/>
              <w:rPr>
                <w:color w:val="auto"/>
                <w:szCs w:val="21"/>
                <w:highlight w:val="none"/>
              </w:rPr>
            </w:pPr>
          </w:p>
        </w:tc>
        <w:tc>
          <w:tcPr>
            <w:tcW w:w="1701" w:type="dxa"/>
            <w:tcBorders>
              <w:top w:val="nil"/>
              <w:left w:val="nil"/>
              <w:bottom w:val="single" w:color="auto" w:sz="4" w:space="0"/>
              <w:right w:val="single" w:color="auto" w:sz="4" w:space="0"/>
            </w:tcBorders>
            <w:noWrap w:val="0"/>
            <w:vAlign w:val="center"/>
          </w:tcPr>
          <w:p w14:paraId="27D2D898">
            <w:pPr>
              <w:widowControl/>
              <w:jc w:val="left"/>
              <w:rPr>
                <w:color w:val="auto"/>
                <w:szCs w:val="21"/>
                <w:highlight w:val="none"/>
              </w:rPr>
            </w:pPr>
            <w:r>
              <w:rPr>
                <w:rFonts w:hint="eastAsia"/>
                <w:color w:val="auto"/>
                <w:szCs w:val="21"/>
                <w:highlight w:val="none"/>
              </w:rPr>
              <w:t>营业收入（Y）</w:t>
            </w:r>
          </w:p>
        </w:tc>
        <w:tc>
          <w:tcPr>
            <w:tcW w:w="1134" w:type="dxa"/>
            <w:tcBorders>
              <w:top w:val="nil"/>
              <w:left w:val="nil"/>
              <w:bottom w:val="single" w:color="auto" w:sz="4" w:space="0"/>
              <w:right w:val="single" w:color="auto" w:sz="4" w:space="0"/>
            </w:tcBorders>
            <w:noWrap w:val="0"/>
            <w:vAlign w:val="center"/>
          </w:tcPr>
          <w:p w14:paraId="71EF56F3">
            <w:pPr>
              <w:widowControl/>
              <w:jc w:val="left"/>
              <w:rPr>
                <w:color w:val="auto"/>
                <w:szCs w:val="21"/>
                <w:highlight w:val="none"/>
              </w:rPr>
            </w:pPr>
            <w:r>
              <w:rPr>
                <w:rFonts w:hint="eastAsia"/>
                <w:color w:val="auto"/>
                <w:szCs w:val="21"/>
                <w:highlight w:val="none"/>
              </w:rPr>
              <w:t>万元</w:t>
            </w:r>
          </w:p>
        </w:tc>
        <w:tc>
          <w:tcPr>
            <w:tcW w:w="1846" w:type="dxa"/>
            <w:tcBorders>
              <w:top w:val="nil"/>
              <w:left w:val="nil"/>
              <w:bottom w:val="single" w:color="auto" w:sz="4" w:space="0"/>
              <w:right w:val="single" w:color="auto" w:sz="4" w:space="0"/>
            </w:tcBorders>
            <w:noWrap w:val="0"/>
            <w:vAlign w:val="center"/>
          </w:tcPr>
          <w:p w14:paraId="7323F4A2">
            <w:pPr>
              <w:widowControl/>
              <w:jc w:val="left"/>
              <w:rPr>
                <w:color w:val="auto"/>
                <w:szCs w:val="21"/>
                <w:highlight w:val="none"/>
              </w:rPr>
            </w:pPr>
            <w:r>
              <w:rPr>
                <w:rFonts w:hint="eastAsia"/>
                <w:color w:val="auto"/>
                <w:szCs w:val="21"/>
                <w:highlight w:val="none"/>
              </w:rPr>
              <w:t>2000≤Y＜10000</w:t>
            </w:r>
          </w:p>
        </w:tc>
        <w:tc>
          <w:tcPr>
            <w:tcW w:w="1570" w:type="dxa"/>
            <w:tcBorders>
              <w:top w:val="nil"/>
              <w:left w:val="nil"/>
              <w:bottom w:val="single" w:color="auto" w:sz="4" w:space="0"/>
              <w:right w:val="single" w:color="auto" w:sz="4" w:space="0"/>
            </w:tcBorders>
            <w:noWrap w:val="0"/>
            <w:vAlign w:val="center"/>
          </w:tcPr>
          <w:p w14:paraId="3E320E0F">
            <w:pPr>
              <w:widowControl/>
              <w:jc w:val="left"/>
              <w:rPr>
                <w:color w:val="auto"/>
                <w:szCs w:val="21"/>
                <w:highlight w:val="none"/>
              </w:rPr>
            </w:pPr>
            <w:r>
              <w:rPr>
                <w:rFonts w:hint="eastAsia"/>
                <w:color w:val="auto"/>
                <w:szCs w:val="21"/>
                <w:highlight w:val="none"/>
              </w:rPr>
              <w:t>100≤Y＜2000</w:t>
            </w:r>
          </w:p>
        </w:tc>
        <w:tc>
          <w:tcPr>
            <w:tcW w:w="1009" w:type="dxa"/>
            <w:tcBorders>
              <w:top w:val="nil"/>
              <w:left w:val="nil"/>
              <w:bottom w:val="single" w:color="auto" w:sz="4" w:space="0"/>
              <w:right w:val="single" w:color="auto" w:sz="4" w:space="0"/>
            </w:tcBorders>
            <w:noWrap w:val="0"/>
            <w:vAlign w:val="center"/>
          </w:tcPr>
          <w:p w14:paraId="706A6E71">
            <w:pPr>
              <w:widowControl/>
              <w:jc w:val="left"/>
              <w:rPr>
                <w:color w:val="auto"/>
                <w:szCs w:val="21"/>
                <w:highlight w:val="none"/>
              </w:rPr>
            </w:pPr>
            <w:r>
              <w:rPr>
                <w:rFonts w:hint="eastAsia"/>
                <w:color w:val="auto"/>
                <w:szCs w:val="21"/>
                <w:highlight w:val="none"/>
              </w:rPr>
              <w:t>Y＜100</w:t>
            </w:r>
          </w:p>
        </w:tc>
      </w:tr>
      <w:tr w14:paraId="58FEE81A">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noWrap w:val="0"/>
            <w:vAlign w:val="bottom"/>
          </w:tcPr>
          <w:p w14:paraId="283570E6">
            <w:pPr>
              <w:widowControl/>
              <w:jc w:val="center"/>
              <w:rPr>
                <w:color w:val="auto"/>
                <w:szCs w:val="21"/>
                <w:highlight w:val="none"/>
              </w:rPr>
            </w:pPr>
            <w:r>
              <w:rPr>
                <w:rFonts w:hint="eastAsia"/>
                <w:color w:val="auto"/>
                <w:szCs w:val="21"/>
                <w:highlight w:val="none"/>
              </w:rPr>
              <w:t>餐饮业</w:t>
            </w:r>
          </w:p>
        </w:tc>
        <w:tc>
          <w:tcPr>
            <w:tcW w:w="1701" w:type="dxa"/>
            <w:tcBorders>
              <w:top w:val="nil"/>
              <w:left w:val="nil"/>
              <w:bottom w:val="single" w:color="auto" w:sz="4" w:space="0"/>
              <w:right w:val="single" w:color="auto" w:sz="4" w:space="0"/>
            </w:tcBorders>
            <w:noWrap w:val="0"/>
            <w:vAlign w:val="center"/>
          </w:tcPr>
          <w:p w14:paraId="70D664EE">
            <w:pPr>
              <w:widowControl/>
              <w:jc w:val="left"/>
              <w:rPr>
                <w:color w:val="auto"/>
                <w:szCs w:val="21"/>
                <w:highlight w:val="none"/>
              </w:rPr>
            </w:pPr>
            <w:r>
              <w:rPr>
                <w:rFonts w:hint="eastAsia"/>
                <w:color w:val="auto"/>
                <w:szCs w:val="21"/>
                <w:highlight w:val="none"/>
              </w:rPr>
              <w:t>从业人员（X）</w:t>
            </w:r>
          </w:p>
        </w:tc>
        <w:tc>
          <w:tcPr>
            <w:tcW w:w="1134" w:type="dxa"/>
            <w:tcBorders>
              <w:top w:val="nil"/>
              <w:left w:val="nil"/>
              <w:bottom w:val="single" w:color="auto" w:sz="4" w:space="0"/>
              <w:right w:val="single" w:color="auto" w:sz="4" w:space="0"/>
            </w:tcBorders>
            <w:noWrap w:val="0"/>
            <w:vAlign w:val="center"/>
          </w:tcPr>
          <w:p w14:paraId="0E650CF0">
            <w:pPr>
              <w:widowControl/>
              <w:jc w:val="left"/>
              <w:rPr>
                <w:color w:val="auto"/>
                <w:szCs w:val="21"/>
                <w:highlight w:val="none"/>
              </w:rPr>
            </w:pPr>
            <w:r>
              <w:rPr>
                <w:rFonts w:hint="eastAsia"/>
                <w:color w:val="auto"/>
                <w:szCs w:val="21"/>
                <w:highlight w:val="none"/>
              </w:rPr>
              <w:t>人</w:t>
            </w:r>
          </w:p>
        </w:tc>
        <w:tc>
          <w:tcPr>
            <w:tcW w:w="1846" w:type="dxa"/>
            <w:tcBorders>
              <w:top w:val="nil"/>
              <w:left w:val="nil"/>
              <w:bottom w:val="single" w:color="auto" w:sz="4" w:space="0"/>
              <w:right w:val="single" w:color="auto" w:sz="4" w:space="0"/>
            </w:tcBorders>
            <w:noWrap w:val="0"/>
            <w:vAlign w:val="center"/>
          </w:tcPr>
          <w:p w14:paraId="3FDCB903">
            <w:pPr>
              <w:widowControl/>
              <w:jc w:val="left"/>
              <w:rPr>
                <w:color w:val="auto"/>
                <w:szCs w:val="21"/>
                <w:highlight w:val="none"/>
              </w:rPr>
            </w:pPr>
            <w:r>
              <w:rPr>
                <w:rFonts w:hint="eastAsia"/>
                <w:color w:val="auto"/>
                <w:szCs w:val="21"/>
                <w:highlight w:val="none"/>
              </w:rPr>
              <w:t>100≤X＜300</w:t>
            </w:r>
          </w:p>
        </w:tc>
        <w:tc>
          <w:tcPr>
            <w:tcW w:w="1570" w:type="dxa"/>
            <w:tcBorders>
              <w:top w:val="nil"/>
              <w:left w:val="nil"/>
              <w:bottom w:val="single" w:color="auto" w:sz="4" w:space="0"/>
              <w:right w:val="single" w:color="auto" w:sz="4" w:space="0"/>
            </w:tcBorders>
            <w:noWrap w:val="0"/>
            <w:vAlign w:val="center"/>
          </w:tcPr>
          <w:p w14:paraId="4176E323">
            <w:pPr>
              <w:widowControl/>
              <w:jc w:val="left"/>
              <w:rPr>
                <w:color w:val="auto"/>
                <w:szCs w:val="21"/>
                <w:highlight w:val="none"/>
              </w:rPr>
            </w:pPr>
            <w:r>
              <w:rPr>
                <w:rFonts w:hint="eastAsia"/>
                <w:color w:val="auto"/>
                <w:szCs w:val="21"/>
                <w:highlight w:val="none"/>
              </w:rPr>
              <w:t>10≤X＜100</w:t>
            </w:r>
          </w:p>
        </w:tc>
        <w:tc>
          <w:tcPr>
            <w:tcW w:w="1009" w:type="dxa"/>
            <w:tcBorders>
              <w:top w:val="nil"/>
              <w:left w:val="nil"/>
              <w:bottom w:val="single" w:color="auto" w:sz="4" w:space="0"/>
              <w:right w:val="single" w:color="auto" w:sz="4" w:space="0"/>
            </w:tcBorders>
            <w:noWrap w:val="0"/>
            <w:vAlign w:val="center"/>
          </w:tcPr>
          <w:p w14:paraId="4DAF9BC3">
            <w:pPr>
              <w:widowControl/>
              <w:jc w:val="left"/>
              <w:rPr>
                <w:color w:val="auto"/>
                <w:szCs w:val="21"/>
                <w:highlight w:val="none"/>
              </w:rPr>
            </w:pPr>
            <w:r>
              <w:rPr>
                <w:rFonts w:hint="eastAsia"/>
                <w:color w:val="auto"/>
                <w:szCs w:val="21"/>
                <w:highlight w:val="none"/>
              </w:rPr>
              <w:t>X＜10</w:t>
            </w:r>
          </w:p>
        </w:tc>
      </w:tr>
      <w:tr w14:paraId="0D416543">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noWrap w:val="0"/>
            <w:vAlign w:val="center"/>
          </w:tcPr>
          <w:p w14:paraId="325F933A">
            <w:pPr>
              <w:widowControl/>
              <w:jc w:val="left"/>
              <w:rPr>
                <w:color w:val="auto"/>
                <w:szCs w:val="21"/>
                <w:highlight w:val="none"/>
              </w:rPr>
            </w:pPr>
          </w:p>
        </w:tc>
        <w:tc>
          <w:tcPr>
            <w:tcW w:w="1701" w:type="dxa"/>
            <w:tcBorders>
              <w:top w:val="nil"/>
              <w:left w:val="nil"/>
              <w:bottom w:val="single" w:color="auto" w:sz="4" w:space="0"/>
              <w:right w:val="single" w:color="auto" w:sz="4" w:space="0"/>
            </w:tcBorders>
            <w:noWrap w:val="0"/>
            <w:vAlign w:val="center"/>
          </w:tcPr>
          <w:p w14:paraId="063FE7D9">
            <w:pPr>
              <w:widowControl/>
              <w:jc w:val="left"/>
              <w:rPr>
                <w:color w:val="auto"/>
                <w:szCs w:val="21"/>
                <w:highlight w:val="none"/>
              </w:rPr>
            </w:pPr>
            <w:r>
              <w:rPr>
                <w:rFonts w:hint="eastAsia"/>
                <w:color w:val="auto"/>
                <w:szCs w:val="21"/>
                <w:highlight w:val="none"/>
              </w:rPr>
              <w:t>营业收入（Y）</w:t>
            </w:r>
          </w:p>
        </w:tc>
        <w:tc>
          <w:tcPr>
            <w:tcW w:w="1134" w:type="dxa"/>
            <w:tcBorders>
              <w:top w:val="nil"/>
              <w:left w:val="nil"/>
              <w:bottom w:val="single" w:color="auto" w:sz="4" w:space="0"/>
              <w:right w:val="single" w:color="auto" w:sz="4" w:space="0"/>
            </w:tcBorders>
            <w:noWrap w:val="0"/>
            <w:vAlign w:val="center"/>
          </w:tcPr>
          <w:p w14:paraId="4A66E0B8">
            <w:pPr>
              <w:widowControl/>
              <w:jc w:val="left"/>
              <w:rPr>
                <w:color w:val="auto"/>
                <w:szCs w:val="21"/>
                <w:highlight w:val="none"/>
              </w:rPr>
            </w:pPr>
            <w:r>
              <w:rPr>
                <w:rFonts w:hint="eastAsia"/>
                <w:color w:val="auto"/>
                <w:szCs w:val="21"/>
                <w:highlight w:val="none"/>
              </w:rPr>
              <w:t>万元</w:t>
            </w:r>
          </w:p>
        </w:tc>
        <w:tc>
          <w:tcPr>
            <w:tcW w:w="1846" w:type="dxa"/>
            <w:tcBorders>
              <w:top w:val="nil"/>
              <w:left w:val="nil"/>
              <w:bottom w:val="single" w:color="auto" w:sz="4" w:space="0"/>
              <w:right w:val="single" w:color="auto" w:sz="4" w:space="0"/>
            </w:tcBorders>
            <w:noWrap w:val="0"/>
            <w:vAlign w:val="center"/>
          </w:tcPr>
          <w:p w14:paraId="10A23C52">
            <w:pPr>
              <w:widowControl/>
              <w:jc w:val="left"/>
              <w:rPr>
                <w:color w:val="auto"/>
                <w:szCs w:val="21"/>
                <w:highlight w:val="none"/>
              </w:rPr>
            </w:pPr>
            <w:r>
              <w:rPr>
                <w:rFonts w:hint="eastAsia"/>
                <w:color w:val="auto"/>
                <w:szCs w:val="21"/>
                <w:highlight w:val="none"/>
              </w:rPr>
              <w:t>2000≤Y＜10000</w:t>
            </w:r>
          </w:p>
        </w:tc>
        <w:tc>
          <w:tcPr>
            <w:tcW w:w="1570" w:type="dxa"/>
            <w:tcBorders>
              <w:top w:val="nil"/>
              <w:left w:val="nil"/>
              <w:bottom w:val="single" w:color="auto" w:sz="4" w:space="0"/>
              <w:right w:val="single" w:color="auto" w:sz="4" w:space="0"/>
            </w:tcBorders>
            <w:noWrap w:val="0"/>
            <w:vAlign w:val="center"/>
          </w:tcPr>
          <w:p w14:paraId="438DCF9C">
            <w:pPr>
              <w:widowControl/>
              <w:jc w:val="left"/>
              <w:rPr>
                <w:color w:val="auto"/>
                <w:szCs w:val="21"/>
                <w:highlight w:val="none"/>
              </w:rPr>
            </w:pPr>
            <w:r>
              <w:rPr>
                <w:rFonts w:hint="eastAsia"/>
                <w:color w:val="auto"/>
                <w:szCs w:val="21"/>
                <w:highlight w:val="none"/>
              </w:rPr>
              <w:t>100≤Y＜2000</w:t>
            </w:r>
          </w:p>
        </w:tc>
        <w:tc>
          <w:tcPr>
            <w:tcW w:w="1009" w:type="dxa"/>
            <w:tcBorders>
              <w:top w:val="nil"/>
              <w:left w:val="nil"/>
              <w:bottom w:val="single" w:color="auto" w:sz="4" w:space="0"/>
              <w:right w:val="single" w:color="auto" w:sz="4" w:space="0"/>
            </w:tcBorders>
            <w:noWrap w:val="0"/>
            <w:vAlign w:val="center"/>
          </w:tcPr>
          <w:p w14:paraId="5AD89347">
            <w:pPr>
              <w:widowControl/>
              <w:jc w:val="left"/>
              <w:rPr>
                <w:color w:val="auto"/>
                <w:szCs w:val="21"/>
                <w:highlight w:val="none"/>
              </w:rPr>
            </w:pPr>
            <w:r>
              <w:rPr>
                <w:rFonts w:hint="eastAsia"/>
                <w:color w:val="auto"/>
                <w:szCs w:val="21"/>
                <w:highlight w:val="none"/>
              </w:rPr>
              <w:t>Y＜100</w:t>
            </w:r>
          </w:p>
        </w:tc>
      </w:tr>
      <w:tr w14:paraId="49D6E338">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noWrap w:val="0"/>
            <w:vAlign w:val="bottom"/>
          </w:tcPr>
          <w:p w14:paraId="6712AD84">
            <w:pPr>
              <w:widowControl/>
              <w:jc w:val="center"/>
              <w:rPr>
                <w:color w:val="auto"/>
                <w:szCs w:val="21"/>
                <w:highlight w:val="none"/>
              </w:rPr>
            </w:pPr>
            <w:r>
              <w:rPr>
                <w:rFonts w:hint="eastAsia"/>
                <w:color w:val="auto"/>
                <w:szCs w:val="21"/>
                <w:highlight w:val="none"/>
              </w:rPr>
              <w:t>信息传输业</w:t>
            </w:r>
          </w:p>
        </w:tc>
        <w:tc>
          <w:tcPr>
            <w:tcW w:w="1701" w:type="dxa"/>
            <w:tcBorders>
              <w:top w:val="nil"/>
              <w:left w:val="nil"/>
              <w:bottom w:val="single" w:color="auto" w:sz="4" w:space="0"/>
              <w:right w:val="single" w:color="auto" w:sz="4" w:space="0"/>
            </w:tcBorders>
            <w:noWrap w:val="0"/>
            <w:vAlign w:val="center"/>
          </w:tcPr>
          <w:p w14:paraId="29935F69">
            <w:pPr>
              <w:widowControl/>
              <w:jc w:val="left"/>
              <w:rPr>
                <w:color w:val="auto"/>
                <w:szCs w:val="21"/>
                <w:highlight w:val="none"/>
              </w:rPr>
            </w:pPr>
            <w:r>
              <w:rPr>
                <w:rFonts w:hint="eastAsia"/>
                <w:color w:val="auto"/>
                <w:szCs w:val="21"/>
                <w:highlight w:val="none"/>
              </w:rPr>
              <w:t>从业人员（X）</w:t>
            </w:r>
          </w:p>
        </w:tc>
        <w:tc>
          <w:tcPr>
            <w:tcW w:w="1134" w:type="dxa"/>
            <w:tcBorders>
              <w:top w:val="nil"/>
              <w:left w:val="nil"/>
              <w:bottom w:val="single" w:color="auto" w:sz="4" w:space="0"/>
              <w:right w:val="single" w:color="auto" w:sz="4" w:space="0"/>
            </w:tcBorders>
            <w:noWrap w:val="0"/>
            <w:vAlign w:val="center"/>
          </w:tcPr>
          <w:p w14:paraId="0213C252">
            <w:pPr>
              <w:widowControl/>
              <w:jc w:val="left"/>
              <w:rPr>
                <w:color w:val="auto"/>
                <w:szCs w:val="21"/>
                <w:highlight w:val="none"/>
              </w:rPr>
            </w:pPr>
            <w:r>
              <w:rPr>
                <w:rFonts w:hint="eastAsia"/>
                <w:color w:val="auto"/>
                <w:szCs w:val="21"/>
                <w:highlight w:val="none"/>
              </w:rPr>
              <w:t>人</w:t>
            </w:r>
          </w:p>
        </w:tc>
        <w:tc>
          <w:tcPr>
            <w:tcW w:w="1846" w:type="dxa"/>
            <w:tcBorders>
              <w:top w:val="nil"/>
              <w:left w:val="nil"/>
              <w:bottom w:val="single" w:color="auto" w:sz="4" w:space="0"/>
              <w:right w:val="single" w:color="auto" w:sz="4" w:space="0"/>
            </w:tcBorders>
            <w:noWrap w:val="0"/>
            <w:vAlign w:val="center"/>
          </w:tcPr>
          <w:p w14:paraId="6B0E809B">
            <w:pPr>
              <w:widowControl/>
              <w:jc w:val="left"/>
              <w:rPr>
                <w:color w:val="auto"/>
                <w:szCs w:val="21"/>
                <w:highlight w:val="none"/>
              </w:rPr>
            </w:pPr>
            <w:r>
              <w:rPr>
                <w:rFonts w:hint="eastAsia"/>
                <w:color w:val="auto"/>
                <w:szCs w:val="21"/>
                <w:highlight w:val="none"/>
              </w:rPr>
              <w:t>100≤X＜2000</w:t>
            </w:r>
          </w:p>
        </w:tc>
        <w:tc>
          <w:tcPr>
            <w:tcW w:w="1570" w:type="dxa"/>
            <w:tcBorders>
              <w:top w:val="nil"/>
              <w:left w:val="nil"/>
              <w:bottom w:val="single" w:color="auto" w:sz="4" w:space="0"/>
              <w:right w:val="single" w:color="auto" w:sz="4" w:space="0"/>
            </w:tcBorders>
            <w:noWrap w:val="0"/>
            <w:vAlign w:val="center"/>
          </w:tcPr>
          <w:p w14:paraId="7D52EE8B">
            <w:pPr>
              <w:widowControl/>
              <w:jc w:val="left"/>
              <w:rPr>
                <w:color w:val="auto"/>
                <w:szCs w:val="21"/>
                <w:highlight w:val="none"/>
              </w:rPr>
            </w:pPr>
            <w:r>
              <w:rPr>
                <w:rFonts w:hint="eastAsia"/>
                <w:color w:val="auto"/>
                <w:szCs w:val="21"/>
                <w:highlight w:val="none"/>
              </w:rPr>
              <w:t>10≤X＜100</w:t>
            </w:r>
          </w:p>
        </w:tc>
        <w:tc>
          <w:tcPr>
            <w:tcW w:w="1009" w:type="dxa"/>
            <w:tcBorders>
              <w:top w:val="nil"/>
              <w:left w:val="nil"/>
              <w:bottom w:val="single" w:color="auto" w:sz="4" w:space="0"/>
              <w:right w:val="single" w:color="auto" w:sz="4" w:space="0"/>
            </w:tcBorders>
            <w:noWrap w:val="0"/>
            <w:vAlign w:val="center"/>
          </w:tcPr>
          <w:p w14:paraId="6DC89C74">
            <w:pPr>
              <w:widowControl/>
              <w:jc w:val="left"/>
              <w:rPr>
                <w:color w:val="auto"/>
                <w:szCs w:val="21"/>
                <w:highlight w:val="none"/>
              </w:rPr>
            </w:pPr>
            <w:r>
              <w:rPr>
                <w:rFonts w:hint="eastAsia"/>
                <w:color w:val="auto"/>
                <w:szCs w:val="21"/>
                <w:highlight w:val="none"/>
              </w:rPr>
              <w:t>X＜10</w:t>
            </w:r>
          </w:p>
        </w:tc>
      </w:tr>
      <w:tr w14:paraId="6FE45D27">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noWrap w:val="0"/>
            <w:vAlign w:val="center"/>
          </w:tcPr>
          <w:p w14:paraId="2C55BF44">
            <w:pPr>
              <w:widowControl/>
              <w:jc w:val="left"/>
              <w:rPr>
                <w:color w:val="auto"/>
                <w:szCs w:val="21"/>
                <w:highlight w:val="none"/>
              </w:rPr>
            </w:pPr>
          </w:p>
        </w:tc>
        <w:tc>
          <w:tcPr>
            <w:tcW w:w="1701" w:type="dxa"/>
            <w:tcBorders>
              <w:top w:val="nil"/>
              <w:left w:val="nil"/>
              <w:bottom w:val="single" w:color="auto" w:sz="4" w:space="0"/>
              <w:right w:val="single" w:color="auto" w:sz="4" w:space="0"/>
            </w:tcBorders>
            <w:noWrap w:val="0"/>
            <w:vAlign w:val="center"/>
          </w:tcPr>
          <w:p w14:paraId="2930589E">
            <w:pPr>
              <w:widowControl/>
              <w:jc w:val="left"/>
              <w:rPr>
                <w:color w:val="auto"/>
                <w:szCs w:val="21"/>
                <w:highlight w:val="none"/>
              </w:rPr>
            </w:pPr>
            <w:r>
              <w:rPr>
                <w:rFonts w:hint="eastAsia"/>
                <w:color w:val="auto"/>
                <w:szCs w:val="21"/>
                <w:highlight w:val="none"/>
              </w:rPr>
              <w:t>营业收入（Y）</w:t>
            </w:r>
          </w:p>
        </w:tc>
        <w:tc>
          <w:tcPr>
            <w:tcW w:w="1134" w:type="dxa"/>
            <w:tcBorders>
              <w:top w:val="nil"/>
              <w:left w:val="nil"/>
              <w:bottom w:val="single" w:color="auto" w:sz="4" w:space="0"/>
              <w:right w:val="single" w:color="auto" w:sz="4" w:space="0"/>
            </w:tcBorders>
            <w:noWrap w:val="0"/>
            <w:vAlign w:val="center"/>
          </w:tcPr>
          <w:p w14:paraId="0F6ADCCD">
            <w:pPr>
              <w:widowControl/>
              <w:jc w:val="left"/>
              <w:rPr>
                <w:color w:val="auto"/>
                <w:szCs w:val="21"/>
                <w:highlight w:val="none"/>
              </w:rPr>
            </w:pPr>
            <w:r>
              <w:rPr>
                <w:rFonts w:hint="eastAsia"/>
                <w:color w:val="auto"/>
                <w:szCs w:val="21"/>
                <w:highlight w:val="none"/>
              </w:rPr>
              <w:t>万元</w:t>
            </w:r>
          </w:p>
        </w:tc>
        <w:tc>
          <w:tcPr>
            <w:tcW w:w="1846" w:type="dxa"/>
            <w:tcBorders>
              <w:top w:val="nil"/>
              <w:left w:val="nil"/>
              <w:bottom w:val="single" w:color="auto" w:sz="4" w:space="0"/>
              <w:right w:val="single" w:color="auto" w:sz="4" w:space="0"/>
            </w:tcBorders>
            <w:noWrap w:val="0"/>
            <w:vAlign w:val="center"/>
          </w:tcPr>
          <w:p w14:paraId="0B92A9D5">
            <w:pPr>
              <w:widowControl/>
              <w:jc w:val="left"/>
              <w:rPr>
                <w:color w:val="auto"/>
                <w:szCs w:val="21"/>
                <w:highlight w:val="none"/>
              </w:rPr>
            </w:pPr>
            <w:r>
              <w:rPr>
                <w:rFonts w:hint="eastAsia"/>
                <w:color w:val="auto"/>
                <w:szCs w:val="21"/>
                <w:highlight w:val="none"/>
              </w:rPr>
              <w:t>1000≤Y＜100000</w:t>
            </w:r>
          </w:p>
        </w:tc>
        <w:tc>
          <w:tcPr>
            <w:tcW w:w="1570" w:type="dxa"/>
            <w:tcBorders>
              <w:top w:val="nil"/>
              <w:left w:val="nil"/>
              <w:bottom w:val="single" w:color="auto" w:sz="4" w:space="0"/>
              <w:right w:val="single" w:color="auto" w:sz="4" w:space="0"/>
            </w:tcBorders>
            <w:noWrap w:val="0"/>
            <w:vAlign w:val="center"/>
          </w:tcPr>
          <w:p w14:paraId="231408A4">
            <w:pPr>
              <w:widowControl/>
              <w:jc w:val="left"/>
              <w:rPr>
                <w:color w:val="auto"/>
                <w:szCs w:val="21"/>
                <w:highlight w:val="none"/>
              </w:rPr>
            </w:pPr>
            <w:r>
              <w:rPr>
                <w:rFonts w:hint="eastAsia"/>
                <w:color w:val="auto"/>
                <w:szCs w:val="21"/>
                <w:highlight w:val="none"/>
              </w:rPr>
              <w:t>100≤Y＜1000</w:t>
            </w:r>
          </w:p>
        </w:tc>
        <w:tc>
          <w:tcPr>
            <w:tcW w:w="1009" w:type="dxa"/>
            <w:tcBorders>
              <w:top w:val="nil"/>
              <w:left w:val="nil"/>
              <w:bottom w:val="single" w:color="auto" w:sz="4" w:space="0"/>
              <w:right w:val="single" w:color="auto" w:sz="4" w:space="0"/>
            </w:tcBorders>
            <w:noWrap w:val="0"/>
            <w:vAlign w:val="center"/>
          </w:tcPr>
          <w:p w14:paraId="72643E15">
            <w:pPr>
              <w:widowControl/>
              <w:jc w:val="left"/>
              <w:rPr>
                <w:color w:val="auto"/>
                <w:szCs w:val="21"/>
                <w:highlight w:val="none"/>
              </w:rPr>
            </w:pPr>
            <w:r>
              <w:rPr>
                <w:rFonts w:hint="eastAsia"/>
                <w:color w:val="auto"/>
                <w:szCs w:val="21"/>
                <w:highlight w:val="none"/>
              </w:rPr>
              <w:t>Y＜100</w:t>
            </w:r>
          </w:p>
        </w:tc>
      </w:tr>
      <w:tr w14:paraId="220E4DBD">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noWrap w:val="0"/>
            <w:vAlign w:val="bottom"/>
          </w:tcPr>
          <w:p w14:paraId="65120C99">
            <w:pPr>
              <w:widowControl/>
              <w:jc w:val="center"/>
              <w:rPr>
                <w:color w:val="auto"/>
                <w:szCs w:val="21"/>
                <w:highlight w:val="none"/>
              </w:rPr>
            </w:pPr>
            <w:r>
              <w:rPr>
                <w:rFonts w:hint="eastAsia"/>
                <w:color w:val="auto"/>
                <w:szCs w:val="21"/>
                <w:highlight w:val="none"/>
              </w:rPr>
              <w:t>软件和信息技术服务业</w:t>
            </w:r>
          </w:p>
        </w:tc>
        <w:tc>
          <w:tcPr>
            <w:tcW w:w="1701" w:type="dxa"/>
            <w:tcBorders>
              <w:top w:val="nil"/>
              <w:left w:val="nil"/>
              <w:bottom w:val="single" w:color="auto" w:sz="4" w:space="0"/>
              <w:right w:val="single" w:color="auto" w:sz="4" w:space="0"/>
            </w:tcBorders>
            <w:noWrap w:val="0"/>
            <w:vAlign w:val="center"/>
          </w:tcPr>
          <w:p w14:paraId="572276F9">
            <w:pPr>
              <w:widowControl/>
              <w:jc w:val="left"/>
              <w:rPr>
                <w:color w:val="auto"/>
                <w:szCs w:val="21"/>
                <w:highlight w:val="none"/>
              </w:rPr>
            </w:pPr>
            <w:r>
              <w:rPr>
                <w:rFonts w:hint="eastAsia"/>
                <w:color w:val="auto"/>
                <w:szCs w:val="21"/>
                <w:highlight w:val="none"/>
              </w:rPr>
              <w:t>从业人员（X）</w:t>
            </w:r>
          </w:p>
        </w:tc>
        <w:tc>
          <w:tcPr>
            <w:tcW w:w="1134" w:type="dxa"/>
            <w:tcBorders>
              <w:top w:val="nil"/>
              <w:left w:val="nil"/>
              <w:bottom w:val="single" w:color="auto" w:sz="4" w:space="0"/>
              <w:right w:val="single" w:color="auto" w:sz="4" w:space="0"/>
            </w:tcBorders>
            <w:noWrap w:val="0"/>
            <w:vAlign w:val="center"/>
          </w:tcPr>
          <w:p w14:paraId="00DA6B61">
            <w:pPr>
              <w:widowControl/>
              <w:jc w:val="left"/>
              <w:rPr>
                <w:color w:val="auto"/>
                <w:szCs w:val="21"/>
                <w:highlight w:val="none"/>
              </w:rPr>
            </w:pPr>
            <w:r>
              <w:rPr>
                <w:rFonts w:hint="eastAsia"/>
                <w:color w:val="auto"/>
                <w:szCs w:val="21"/>
                <w:highlight w:val="none"/>
              </w:rPr>
              <w:t>人</w:t>
            </w:r>
          </w:p>
        </w:tc>
        <w:tc>
          <w:tcPr>
            <w:tcW w:w="1846" w:type="dxa"/>
            <w:tcBorders>
              <w:top w:val="nil"/>
              <w:left w:val="nil"/>
              <w:bottom w:val="single" w:color="auto" w:sz="4" w:space="0"/>
              <w:right w:val="single" w:color="auto" w:sz="4" w:space="0"/>
            </w:tcBorders>
            <w:noWrap w:val="0"/>
            <w:vAlign w:val="center"/>
          </w:tcPr>
          <w:p w14:paraId="135780FC">
            <w:pPr>
              <w:widowControl/>
              <w:jc w:val="left"/>
              <w:rPr>
                <w:color w:val="auto"/>
                <w:szCs w:val="21"/>
                <w:highlight w:val="none"/>
              </w:rPr>
            </w:pPr>
            <w:r>
              <w:rPr>
                <w:rFonts w:hint="eastAsia"/>
                <w:color w:val="auto"/>
                <w:szCs w:val="21"/>
                <w:highlight w:val="none"/>
              </w:rPr>
              <w:t>100≤X＜300</w:t>
            </w:r>
          </w:p>
        </w:tc>
        <w:tc>
          <w:tcPr>
            <w:tcW w:w="1570" w:type="dxa"/>
            <w:tcBorders>
              <w:top w:val="nil"/>
              <w:left w:val="nil"/>
              <w:bottom w:val="single" w:color="auto" w:sz="4" w:space="0"/>
              <w:right w:val="single" w:color="auto" w:sz="4" w:space="0"/>
            </w:tcBorders>
            <w:noWrap w:val="0"/>
            <w:vAlign w:val="center"/>
          </w:tcPr>
          <w:p w14:paraId="3C54E4B8">
            <w:pPr>
              <w:widowControl/>
              <w:jc w:val="left"/>
              <w:rPr>
                <w:color w:val="auto"/>
                <w:szCs w:val="21"/>
                <w:highlight w:val="none"/>
              </w:rPr>
            </w:pPr>
            <w:r>
              <w:rPr>
                <w:rFonts w:hint="eastAsia"/>
                <w:color w:val="auto"/>
                <w:szCs w:val="21"/>
                <w:highlight w:val="none"/>
              </w:rPr>
              <w:t>10≤X＜100</w:t>
            </w:r>
          </w:p>
        </w:tc>
        <w:tc>
          <w:tcPr>
            <w:tcW w:w="1009" w:type="dxa"/>
            <w:tcBorders>
              <w:top w:val="nil"/>
              <w:left w:val="nil"/>
              <w:bottom w:val="single" w:color="auto" w:sz="4" w:space="0"/>
              <w:right w:val="single" w:color="auto" w:sz="4" w:space="0"/>
            </w:tcBorders>
            <w:noWrap w:val="0"/>
            <w:vAlign w:val="center"/>
          </w:tcPr>
          <w:p w14:paraId="1C7C6BB0">
            <w:pPr>
              <w:widowControl/>
              <w:jc w:val="left"/>
              <w:rPr>
                <w:color w:val="auto"/>
                <w:szCs w:val="21"/>
                <w:highlight w:val="none"/>
              </w:rPr>
            </w:pPr>
            <w:r>
              <w:rPr>
                <w:rFonts w:hint="eastAsia"/>
                <w:color w:val="auto"/>
                <w:szCs w:val="21"/>
                <w:highlight w:val="none"/>
              </w:rPr>
              <w:t>X＜10</w:t>
            </w:r>
          </w:p>
        </w:tc>
      </w:tr>
      <w:tr w14:paraId="3C8FA7E4">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noWrap w:val="0"/>
            <w:vAlign w:val="center"/>
          </w:tcPr>
          <w:p w14:paraId="26292299">
            <w:pPr>
              <w:widowControl/>
              <w:jc w:val="left"/>
              <w:rPr>
                <w:color w:val="auto"/>
                <w:szCs w:val="21"/>
                <w:highlight w:val="none"/>
              </w:rPr>
            </w:pPr>
          </w:p>
        </w:tc>
        <w:tc>
          <w:tcPr>
            <w:tcW w:w="1701" w:type="dxa"/>
            <w:tcBorders>
              <w:top w:val="nil"/>
              <w:left w:val="nil"/>
              <w:bottom w:val="single" w:color="auto" w:sz="4" w:space="0"/>
              <w:right w:val="single" w:color="auto" w:sz="4" w:space="0"/>
            </w:tcBorders>
            <w:noWrap w:val="0"/>
            <w:vAlign w:val="center"/>
          </w:tcPr>
          <w:p w14:paraId="3D2E9319">
            <w:pPr>
              <w:widowControl/>
              <w:jc w:val="left"/>
              <w:rPr>
                <w:color w:val="auto"/>
                <w:szCs w:val="21"/>
                <w:highlight w:val="none"/>
              </w:rPr>
            </w:pPr>
            <w:r>
              <w:rPr>
                <w:rFonts w:hint="eastAsia"/>
                <w:color w:val="auto"/>
                <w:szCs w:val="21"/>
                <w:highlight w:val="none"/>
              </w:rPr>
              <w:t>营业收入（Y）</w:t>
            </w:r>
          </w:p>
        </w:tc>
        <w:tc>
          <w:tcPr>
            <w:tcW w:w="1134" w:type="dxa"/>
            <w:tcBorders>
              <w:top w:val="nil"/>
              <w:left w:val="nil"/>
              <w:bottom w:val="single" w:color="auto" w:sz="4" w:space="0"/>
              <w:right w:val="single" w:color="auto" w:sz="4" w:space="0"/>
            </w:tcBorders>
            <w:noWrap w:val="0"/>
            <w:vAlign w:val="center"/>
          </w:tcPr>
          <w:p w14:paraId="69CDFD27">
            <w:pPr>
              <w:widowControl/>
              <w:jc w:val="left"/>
              <w:rPr>
                <w:color w:val="auto"/>
                <w:szCs w:val="21"/>
                <w:highlight w:val="none"/>
              </w:rPr>
            </w:pPr>
            <w:r>
              <w:rPr>
                <w:rFonts w:hint="eastAsia"/>
                <w:color w:val="auto"/>
                <w:szCs w:val="21"/>
                <w:highlight w:val="none"/>
              </w:rPr>
              <w:t>万元</w:t>
            </w:r>
          </w:p>
        </w:tc>
        <w:tc>
          <w:tcPr>
            <w:tcW w:w="1846" w:type="dxa"/>
            <w:tcBorders>
              <w:top w:val="nil"/>
              <w:left w:val="nil"/>
              <w:bottom w:val="single" w:color="auto" w:sz="4" w:space="0"/>
              <w:right w:val="single" w:color="auto" w:sz="4" w:space="0"/>
            </w:tcBorders>
            <w:noWrap w:val="0"/>
            <w:vAlign w:val="center"/>
          </w:tcPr>
          <w:p w14:paraId="0190610B">
            <w:pPr>
              <w:widowControl/>
              <w:jc w:val="left"/>
              <w:rPr>
                <w:color w:val="auto"/>
                <w:szCs w:val="21"/>
                <w:highlight w:val="none"/>
              </w:rPr>
            </w:pPr>
            <w:r>
              <w:rPr>
                <w:rFonts w:hint="eastAsia"/>
                <w:color w:val="auto"/>
                <w:szCs w:val="21"/>
                <w:highlight w:val="none"/>
              </w:rPr>
              <w:t>1000≤Y＜10000</w:t>
            </w:r>
          </w:p>
        </w:tc>
        <w:tc>
          <w:tcPr>
            <w:tcW w:w="1570" w:type="dxa"/>
            <w:tcBorders>
              <w:top w:val="nil"/>
              <w:left w:val="nil"/>
              <w:bottom w:val="single" w:color="auto" w:sz="4" w:space="0"/>
              <w:right w:val="single" w:color="auto" w:sz="4" w:space="0"/>
            </w:tcBorders>
            <w:noWrap w:val="0"/>
            <w:vAlign w:val="center"/>
          </w:tcPr>
          <w:p w14:paraId="35347728">
            <w:pPr>
              <w:widowControl/>
              <w:jc w:val="left"/>
              <w:rPr>
                <w:color w:val="auto"/>
                <w:szCs w:val="21"/>
                <w:highlight w:val="none"/>
              </w:rPr>
            </w:pPr>
            <w:r>
              <w:rPr>
                <w:rFonts w:hint="eastAsia"/>
                <w:color w:val="auto"/>
                <w:szCs w:val="21"/>
                <w:highlight w:val="none"/>
              </w:rPr>
              <w:t>50≤Y＜1000</w:t>
            </w:r>
          </w:p>
        </w:tc>
        <w:tc>
          <w:tcPr>
            <w:tcW w:w="1009" w:type="dxa"/>
            <w:tcBorders>
              <w:top w:val="nil"/>
              <w:left w:val="nil"/>
              <w:bottom w:val="single" w:color="auto" w:sz="4" w:space="0"/>
              <w:right w:val="single" w:color="auto" w:sz="4" w:space="0"/>
            </w:tcBorders>
            <w:noWrap w:val="0"/>
            <w:vAlign w:val="center"/>
          </w:tcPr>
          <w:p w14:paraId="2222F986">
            <w:pPr>
              <w:widowControl/>
              <w:jc w:val="left"/>
              <w:rPr>
                <w:color w:val="auto"/>
                <w:szCs w:val="21"/>
                <w:highlight w:val="none"/>
              </w:rPr>
            </w:pPr>
            <w:r>
              <w:rPr>
                <w:rFonts w:hint="eastAsia"/>
                <w:color w:val="auto"/>
                <w:szCs w:val="21"/>
                <w:highlight w:val="none"/>
              </w:rPr>
              <w:t>Y＜50</w:t>
            </w:r>
          </w:p>
        </w:tc>
      </w:tr>
      <w:tr w14:paraId="2EFAADDA">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noWrap w:val="0"/>
            <w:vAlign w:val="bottom"/>
          </w:tcPr>
          <w:p w14:paraId="63F070DE">
            <w:pPr>
              <w:widowControl/>
              <w:jc w:val="center"/>
              <w:rPr>
                <w:color w:val="auto"/>
                <w:szCs w:val="21"/>
                <w:highlight w:val="none"/>
              </w:rPr>
            </w:pPr>
            <w:r>
              <w:rPr>
                <w:rFonts w:hint="eastAsia"/>
                <w:color w:val="auto"/>
                <w:szCs w:val="21"/>
                <w:highlight w:val="none"/>
              </w:rPr>
              <w:t>房地产开发经营</w:t>
            </w:r>
          </w:p>
        </w:tc>
        <w:tc>
          <w:tcPr>
            <w:tcW w:w="1701" w:type="dxa"/>
            <w:tcBorders>
              <w:top w:val="nil"/>
              <w:left w:val="nil"/>
              <w:bottom w:val="single" w:color="auto" w:sz="4" w:space="0"/>
              <w:right w:val="single" w:color="auto" w:sz="4" w:space="0"/>
            </w:tcBorders>
            <w:noWrap w:val="0"/>
            <w:vAlign w:val="center"/>
          </w:tcPr>
          <w:p w14:paraId="3B1245F9">
            <w:pPr>
              <w:widowControl/>
              <w:jc w:val="left"/>
              <w:rPr>
                <w:color w:val="auto"/>
                <w:szCs w:val="21"/>
                <w:highlight w:val="none"/>
              </w:rPr>
            </w:pPr>
            <w:r>
              <w:rPr>
                <w:rFonts w:hint="eastAsia"/>
                <w:color w:val="auto"/>
                <w:szCs w:val="21"/>
                <w:highlight w:val="none"/>
              </w:rPr>
              <w:t>营业收入（Y）</w:t>
            </w:r>
          </w:p>
        </w:tc>
        <w:tc>
          <w:tcPr>
            <w:tcW w:w="1134" w:type="dxa"/>
            <w:tcBorders>
              <w:top w:val="nil"/>
              <w:left w:val="nil"/>
              <w:bottom w:val="single" w:color="auto" w:sz="4" w:space="0"/>
              <w:right w:val="single" w:color="auto" w:sz="4" w:space="0"/>
            </w:tcBorders>
            <w:noWrap w:val="0"/>
            <w:vAlign w:val="center"/>
          </w:tcPr>
          <w:p w14:paraId="0B9BA081">
            <w:pPr>
              <w:widowControl/>
              <w:jc w:val="left"/>
              <w:rPr>
                <w:color w:val="auto"/>
                <w:szCs w:val="21"/>
                <w:highlight w:val="none"/>
              </w:rPr>
            </w:pPr>
            <w:r>
              <w:rPr>
                <w:rFonts w:hint="eastAsia"/>
                <w:color w:val="auto"/>
                <w:szCs w:val="21"/>
                <w:highlight w:val="none"/>
              </w:rPr>
              <w:t>万元</w:t>
            </w:r>
          </w:p>
        </w:tc>
        <w:tc>
          <w:tcPr>
            <w:tcW w:w="1846" w:type="dxa"/>
            <w:tcBorders>
              <w:top w:val="nil"/>
              <w:left w:val="nil"/>
              <w:bottom w:val="single" w:color="auto" w:sz="4" w:space="0"/>
              <w:right w:val="single" w:color="auto" w:sz="4" w:space="0"/>
            </w:tcBorders>
            <w:noWrap w:val="0"/>
            <w:vAlign w:val="center"/>
          </w:tcPr>
          <w:p w14:paraId="70CB108F">
            <w:pPr>
              <w:widowControl/>
              <w:jc w:val="left"/>
              <w:rPr>
                <w:color w:val="auto"/>
                <w:szCs w:val="21"/>
                <w:highlight w:val="none"/>
              </w:rPr>
            </w:pPr>
            <w:r>
              <w:rPr>
                <w:rFonts w:hint="eastAsia"/>
                <w:color w:val="auto"/>
                <w:szCs w:val="21"/>
                <w:highlight w:val="none"/>
              </w:rPr>
              <w:t>1000≤Y＜200000</w:t>
            </w:r>
          </w:p>
        </w:tc>
        <w:tc>
          <w:tcPr>
            <w:tcW w:w="1570" w:type="dxa"/>
            <w:tcBorders>
              <w:top w:val="nil"/>
              <w:left w:val="nil"/>
              <w:bottom w:val="single" w:color="auto" w:sz="4" w:space="0"/>
              <w:right w:val="single" w:color="auto" w:sz="4" w:space="0"/>
            </w:tcBorders>
            <w:noWrap w:val="0"/>
            <w:vAlign w:val="center"/>
          </w:tcPr>
          <w:p w14:paraId="6B7460EB">
            <w:pPr>
              <w:widowControl/>
              <w:jc w:val="left"/>
              <w:rPr>
                <w:color w:val="auto"/>
                <w:szCs w:val="21"/>
                <w:highlight w:val="none"/>
              </w:rPr>
            </w:pPr>
            <w:r>
              <w:rPr>
                <w:rFonts w:hint="eastAsia"/>
                <w:color w:val="auto"/>
                <w:szCs w:val="21"/>
                <w:highlight w:val="none"/>
              </w:rPr>
              <w:t>100≤X＜1000</w:t>
            </w:r>
          </w:p>
        </w:tc>
        <w:tc>
          <w:tcPr>
            <w:tcW w:w="1009" w:type="dxa"/>
            <w:tcBorders>
              <w:top w:val="nil"/>
              <w:left w:val="nil"/>
              <w:bottom w:val="single" w:color="auto" w:sz="4" w:space="0"/>
              <w:right w:val="single" w:color="auto" w:sz="4" w:space="0"/>
            </w:tcBorders>
            <w:noWrap w:val="0"/>
            <w:vAlign w:val="center"/>
          </w:tcPr>
          <w:p w14:paraId="071DD849">
            <w:pPr>
              <w:widowControl/>
              <w:jc w:val="left"/>
              <w:rPr>
                <w:color w:val="auto"/>
                <w:szCs w:val="21"/>
                <w:highlight w:val="none"/>
              </w:rPr>
            </w:pPr>
            <w:r>
              <w:rPr>
                <w:rFonts w:hint="eastAsia"/>
                <w:color w:val="auto"/>
                <w:szCs w:val="21"/>
                <w:highlight w:val="none"/>
              </w:rPr>
              <w:t>X＜100</w:t>
            </w:r>
          </w:p>
        </w:tc>
      </w:tr>
      <w:tr w14:paraId="40341BA3">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noWrap w:val="0"/>
            <w:vAlign w:val="center"/>
          </w:tcPr>
          <w:p w14:paraId="192C1E9A">
            <w:pPr>
              <w:widowControl/>
              <w:jc w:val="left"/>
              <w:rPr>
                <w:color w:val="auto"/>
                <w:szCs w:val="21"/>
                <w:highlight w:val="none"/>
              </w:rPr>
            </w:pPr>
          </w:p>
        </w:tc>
        <w:tc>
          <w:tcPr>
            <w:tcW w:w="1701" w:type="dxa"/>
            <w:tcBorders>
              <w:top w:val="nil"/>
              <w:left w:val="nil"/>
              <w:bottom w:val="single" w:color="auto" w:sz="4" w:space="0"/>
              <w:right w:val="single" w:color="auto" w:sz="4" w:space="0"/>
            </w:tcBorders>
            <w:noWrap w:val="0"/>
            <w:vAlign w:val="center"/>
          </w:tcPr>
          <w:p w14:paraId="7EF8D061">
            <w:pPr>
              <w:widowControl/>
              <w:jc w:val="left"/>
              <w:rPr>
                <w:color w:val="auto"/>
                <w:szCs w:val="21"/>
                <w:highlight w:val="none"/>
              </w:rPr>
            </w:pPr>
            <w:r>
              <w:rPr>
                <w:rFonts w:hint="eastAsia"/>
                <w:color w:val="auto"/>
                <w:szCs w:val="21"/>
                <w:highlight w:val="none"/>
              </w:rPr>
              <w:t>资产总额（Z）</w:t>
            </w:r>
          </w:p>
        </w:tc>
        <w:tc>
          <w:tcPr>
            <w:tcW w:w="1134" w:type="dxa"/>
            <w:tcBorders>
              <w:top w:val="nil"/>
              <w:left w:val="nil"/>
              <w:bottom w:val="single" w:color="auto" w:sz="4" w:space="0"/>
              <w:right w:val="single" w:color="auto" w:sz="4" w:space="0"/>
            </w:tcBorders>
            <w:noWrap w:val="0"/>
            <w:vAlign w:val="center"/>
          </w:tcPr>
          <w:p w14:paraId="6C4D82B7">
            <w:pPr>
              <w:widowControl/>
              <w:jc w:val="left"/>
              <w:rPr>
                <w:color w:val="auto"/>
                <w:szCs w:val="21"/>
                <w:highlight w:val="none"/>
              </w:rPr>
            </w:pPr>
            <w:r>
              <w:rPr>
                <w:rFonts w:hint="eastAsia"/>
                <w:color w:val="auto"/>
                <w:szCs w:val="21"/>
                <w:highlight w:val="none"/>
              </w:rPr>
              <w:t>万元</w:t>
            </w:r>
          </w:p>
        </w:tc>
        <w:tc>
          <w:tcPr>
            <w:tcW w:w="1846" w:type="dxa"/>
            <w:tcBorders>
              <w:top w:val="nil"/>
              <w:left w:val="nil"/>
              <w:bottom w:val="single" w:color="auto" w:sz="4" w:space="0"/>
              <w:right w:val="single" w:color="auto" w:sz="4" w:space="0"/>
            </w:tcBorders>
            <w:noWrap w:val="0"/>
            <w:vAlign w:val="center"/>
          </w:tcPr>
          <w:p w14:paraId="6494F25B">
            <w:pPr>
              <w:widowControl/>
              <w:jc w:val="left"/>
              <w:rPr>
                <w:color w:val="auto"/>
                <w:szCs w:val="21"/>
                <w:highlight w:val="none"/>
              </w:rPr>
            </w:pPr>
            <w:r>
              <w:rPr>
                <w:rFonts w:hint="eastAsia"/>
                <w:color w:val="auto"/>
                <w:szCs w:val="21"/>
                <w:highlight w:val="none"/>
              </w:rPr>
              <w:t>5000≤Z＜10000</w:t>
            </w:r>
          </w:p>
        </w:tc>
        <w:tc>
          <w:tcPr>
            <w:tcW w:w="1570" w:type="dxa"/>
            <w:tcBorders>
              <w:top w:val="nil"/>
              <w:left w:val="nil"/>
              <w:bottom w:val="single" w:color="auto" w:sz="4" w:space="0"/>
              <w:right w:val="single" w:color="auto" w:sz="4" w:space="0"/>
            </w:tcBorders>
            <w:noWrap w:val="0"/>
            <w:vAlign w:val="center"/>
          </w:tcPr>
          <w:p w14:paraId="6799EF99">
            <w:pPr>
              <w:widowControl/>
              <w:jc w:val="left"/>
              <w:rPr>
                <w:color w:val="auto"/>
                <w:szCs w:val="21"/>
                <w:highlight w:val="none"/>
              </w:rPr>
            </w:pPr>
            <w:r>
              <w:rPr>
                <w:rFonts w:hint="eastAsia"/>
                <w:color w:val="auto"/>
                <w:szCs w:val="21"/>
                <w:highlight w:val="none"/>
              </w:rPr>
              <w:t>2000≤Y＜5000</w:t>
            </w:r>
          </w:p>
        </w:tc>
        <w:tc>
          <w:tcPr>
            <w:tcW w:w="1009" w:type="dxa"/>
            <w:tcBorders>
              <w:top w:val="nil"/>
              <w:left w:val="nil"/>
              <w:bottom w:val="single" w:color="auto" w:sz="4" w:space="0"/>
              <w:right w:val="single" w:color="auto" w:sz="4" w:space="0"/>
            </w:tcBorders>
            <w:noWrap w:val="0"/>
            <w:vAlign w:val="center"/>
          </w:tcPr>
          <w:p w14:paraId="45B7E564">
            <w:pPr>
              <w:widowControl/>
              <w:jc w:val="left"/>
              <w:rPr>
                <w:color w:val="auto"/>
                <w:szCs w:val="21"/>
                <w:highlight w:val="none"/>
              </w:rPr>
            </w:pPr>
            <w:r>
              <w:rPr>
                <w:rFonts w:hint="eastAsia"/>
                <w:color w:val="auto"/>
                <w:szCs w:val="21"/>
                <w:highlight w:val="none"/>
              </w:rPr>
              <w:t>Y＜2000</w:t>
            </w:r>
          </w:p>
        </w:tc>
      </w:tr>
      <w:tr w14:paraId="5CEB705B">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noWrap w:val="0"/>
            <w:vAlign w:val="bottom"/>
          </w:tcPr>
          <w:p w14:paraId="75D55CA1">
            <w:pPr>
              <w:widowControl/>
              <w:jc w:val="center"/>
              <w:rPr>
                <w:color w:val="auto"/>
                <w:szCs w:val="21"/>
                <w:highlight w:val="none"/>
              </w:rPr>
            </w:pPr>
            <w:r>
              <w:rPr>
                <w:rFonts w:hint="eastAsia"/>
                <w:color w:val="auto"/>
                <w:szCs w:val="21"/>
                <w:highlight w:val="none"/>
              </w:rPr>
              <w:t>物业管理</w:t>
            </w:r>
          </w:p>
        </w:tc>
        <w:tc>
          <w:tcPr>
            <w:tcW w:w="1701" w:type="dxa"/>
            <w:tcBorders>
              <w:top w:val="nil"/>
              <w:left w:val="nil"/>
              <w:bottom w:val="single" w:color="auto" w:sz="4" w:space="0"/>
              <w:right w:val="single" w:color="auto" w:sz="4" w:space="0"/>
            </w:tcBorders>
            <w:noWrap w:val="0"/>
            <w:vAlign w:val="center"/>
          </w:tcPr>
          <w:p w14:paraId="5F99E0F8">
            <w:pPr>
              <w:widowControl/>
              <w:jc w:val="left"/>
              <w:rPr>
                <w:color w:val="auto"/>
                <w:szCs w:val="21"/>
                <w:highlight w:val="none"/>
              </w:rPr>
            </w:pPr>
            <w:r>
              <w:rPr>
                <w:rFonts w:hint="eastAsia"/>
                <w:color w:val="auto"/>
                <w:szCs w:val="21"/>
                <w:highlight w:val="none"/>
              </w:rPr>
              <w:t>从业人员（X）</w:t>
            </w:r>
          </w:p>
        </w:tc>
        <w:tc>
          <w:tcPr>
            <w:tcW w:w="1134" w:type="dxa"/>
            <w:tcBorders>
              <w:top w:val="nil"/>
              <w:left w:val="nil"/>
              <w:bottom w:val="single" w:color="auto" w:sz="4" w:space="0"/>
              <w:right w:val="single" w:color="auto" w:sz="4" w:space="0"/>
            </w:tcBorders>
            <w:noWrap w:val="0"/>
            <w:vAlign w:val="center"/>
          </w:tcPr>
          <w:p w14:paraId="107B7093">
            <w:pPr>
              <w:widowControl/>
              <w:jc w:val="left"/>
              <w:rPr>
                <w:color w:val="auto"/>
                <w:szCs w:val="21"/>
                <w:highlight w:val="none"/>
              </w:rPr>
            </w:pPr>
            <w:r>
              <w:rPr>
                <w:rFonts w:hint="eastAsia"/>
                <w:color w:val="auto"/>
                <w:szCs w:val="21"/>
                <w:highlight w:val="none"/>
              </w:rPr>
              <w:t>人</w:t>
            </w:r>
          </w:p>
        </w:tc>
        <w:tc>
          <w:tcPr>
            <w:tcW w:w="1846" w:type="dxa"/>
            <w:tcBorders>
              <w:top w:val="nil"/>
              <w:left w:val="nil"/>
              <w:bottom w:val="single" w:color="auto" w:sz="4" w:space="0"/>
              <w:right w:val="single" w:color="auto" w:sz="4" w:space="0"/>
            </w:tcBorders>
            <w:noWrap w:val="0"/>
            <w:vAlign w:val="center"/>
          </w:tcPr>
          <w:p w14:paraId="68B45556">
            <w:pPr>
              <w:widowControl/>
              <w:jc w:val="left"/>
              <w:rPr>
                <w:color w:val="auto"/>
                <w:szCs w:val="21"/>
                <w:highlight w:val="none"/>
              </w:rPr>
            </w:pPr>
            <w:r>
              <w:rPr>
                <w:rFonts w:hint="eastAsia"/>
                <w:color w:val="auto"/>
                <w:szCs w:val="21"/>
                <w:highlight w:val="none"/>
              </w:rPr>
              <w:t>300≤X＜1000</w:t>
            </w:r>
          </w:p>
        </w:tc>
        <w:tc>
          <w:tcPr>
            <w:tcW w:w="1570" w:type="dxa"/>
            <w:tcBorders>
              <w:top w:val="nil"/>
              <w:left w:val="nil"/>
              <w:bottom w:val="single" w:color="auto" w:sz="4" w:space="0"/>
              <w:right w:val="single" w:color="auto" w:sz="4" w:space="0"/>
            </w:tcBorders>
            <w:noWrap w:val="0"/>
            <w:vAlign w:val="center"/>
          </w:tcPr>
          <w:p w14:paraId="10B6FA26">
            <w:pPr>
              <w:widowControl/>
              <w:jc w:val="left"/>
              <w:rPr>
                <w:color w:val="auto"/>
                <w:szCs w:val="21"/>
                <w:highlight w:val="none"/>
              </w:rPr>
            </w:pPr>
            <w:r>
              <w:rPr>
                <w:rFonts w:hint="eastAsia"/>
                <w:color w:val="auto"/>
                <w:szCs w:val="21"/>
                <w:highlight w:val="none"/>
              </w:rPr>
              <w:t>100≤X＜300</w:t>
            </w:r>
          </w:p>
        </w:tc>
        <w:tc>
          <w:tcPr>
            <w:tcW w:w="1009" w:type="dxa"/>
            <w:tcBorders>
              <w:top w:val="nil"/>
              <w:left w:val="nil"/>
              <w:bottom w:val="single" w:color="auto" w:sz="4" w:space="0"/>
              <w:right w:val="single" w:color="auto" w:sz="4" w:space="0"/>
            </w:tcBorders>
            <w:noWrap w:val="0"/>
            <w:vAlign w:val="center"/>
          </w:tcPr>
          <w:p w14:paraId="50FC53E4">
            <w:pPr>
              <w:widowControl/>
              <w:jc w:val="left"/>
              <w:rPr>
                <w:color w:val="auto"/>
                <w:szCs w:val="21"/>
                <w:highlight w:val="none"/>
              </w:rPr>
            </w:pPr>
            <w:r>
              <w:rPr>
                <w:rFonts w:hint="eastAsia"/>
                <w:color w:val="auto"/>
                <w:szCs w:val="21"/>
                <w:highlight w:val="none"/>
              </w:rPr>
              <w:t>X＜100</w:t>
            </w:r>
          </w:p>
        </w:tc>
      </w:tr>
      <w:tr w14:paraId="00511F7B">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noWrap w:val="0"/>
            <w:vAlign w:val="center"/>
          </w:tcPr>
          <w:p w14:paraId="1333425B">
            <w:pPr>
              <w:widowControl/>
              <w:jc w:val="left"/>
              <w:rPr>
                <w:color w:val="auto"/>
                <w:szCs w:val="21"/>
                <w:highlight w:val="none"/>
              </w:rPr>
            </w:pPr>
          </w:p>
        </w:tc>
        <w:tc>
          <w:tcPr>
            <w:tcW w:w="1701" w:type="dxa"/>
            <w:tcBorders>
              <w:top w:val="nil"/>
              <w:left w:val="nil"/>
              <w:bottom w:val="single" w:color="auto" w:sz="4" w:space="0"/>
              <w:right w:val="single" w:color="auto" w:sz="4" w:space="0"/>
            </w:tcBorders>
            <w:noWrap w:val="0"/>
            <w:vAlign w:val="center"/>
          </w:tcPr>
          <w:p w14:paraId="1D7F5A25">
            <w:pPr>
              <w:widowControl/>
              <w:jc w:val="left"/>
              <w:rPr>
                <w:color w:val="auto"/>
                <w:szCs w:val="21"/>
                <w:highlight w:val="none"/>
              </w:rPr>
            </w:pPr>
            <w:r>
              <w:rPr>
                <w:rFonts w:hint="eastAsia"/>
                <w:color w:val="auto"/>
                <w:szCs w:val="21"/>
                <w:highlight w:val="none"/>
              </w:rPr>
              <w:t>营业收入（Y）</w:t>
            </w:r>
          </w:p>
        </w:tc>
        <w:tc>
          <w:tcPr>
            <w:tcW w:w="1134" w:type="dxa"/>
            <w:tcBorders>
              <w:top w:val="nil"/>
              <w:left w:val="nil"/>
              <w:bottom w:val="single" w:color="auto" w:sz="4" w:space="0"/>
              <w:right w:val="single" w:color="auto" w:sz="4" w:space="0"/>
            </w:tcBorders>
            <w:noWrap w:val="0"/>
            <w:vAlign w:val="center"/>
          </w:tcPr>
          <w:p w14:paraId="6ADE14AB">
            <w:pPr>
              <w:widowControl/>
              <w:jc w:val="left"/>
              <w:rPr>
                <w:color w:val="auto"/>
                <w:szCs w:val="21"/>
                <w:highlight w:val="none"/>
              </w:rPr>
            </w:pPr>
            <w:r>
              <w:rPr>
                <w:rFonts w:hint="eastAsia"/>
                <w:color w:val="auto"/>
                <w:szCs w:val="21"/>
                <w:highlight w:val="none"/>
              </w:rPr>
              <w:t>万元</w:t>
            </w:r>
          </w:p>
        </w:tc>
        <w:tc>
          <w:tcPr>
            <w:tcW w:w="1846" w:type="dxa"/>
            <w:tcBorders>
              <w:top w:val="nil"/>
              <w:left w:val="nil"/>
              <w:bottom w:val="single" w:color="auto" w:sz="4" w:space="0"/>
              <w:right w:val="single" w:color="auto" w:sz="4" w:space="0"/>
            </w:tcBorders>
            <w:noWrap w:val="0"/>
            <w:vAlign w:val="center"/>
          </w:tcPr>
          <w:p w14:paraId="0EBF70AC">
            <w:pPr>
              <w:widowControl/>
              <w:jc w:val="left"/>
              <w:rPr>
                <w:color w:val="auto"/>
                <w:szCs w:val="21"/>
                <w:highlight w:val="none"/>
              </w:rPr>
            </w:pPr>
            <w:r>
              <w:rPr>
                <w:rFonts w:hint="eastAsia"/>
                <w:color w:val="auto"/>
                <w:szCs w:val="21"/>
                <w:highlight w:val="none"/>
              </w:rPr>
              <w:t>1000≤Y＜5000</w:t>
            </w:r>
          </w:p>
        </w:tc>
        <w:tc>
          <w:tcPr>
            <w:tcW w:w="1570" w:type="dxa"/>
            <w:tcBorders>
              <w:top w:val="nil"/>
              <w:left w:val="nil"/>
              <w:bottom w:val="single" w:color="auto" w:sz="4" w:space="0"/>
              <w:right w:val="single" w:color="auto" w:sz="4" w:space="0"/>
            </w:tcBorders>
            <w:noWrap w:val="0"/>
            <w:vAlign w:val="center"/>
          </w:tcPr>
          <w:p w14:paraId="5DF8CB6B">
            <w:pPr>
              <w:widowControl/>
              <w:jc w:val="left"/>
              <w:rPr>
                <w:color w:val="auto"/>
                <w:szCs w:val="21"/>
                <w:highlight w:val="none"/>
              </w:rPr>
            </w:pPr>
            <w:r>
              <w:rPr>
                <w:rFonts w:hint="eastAsia"/>
                <w:color w:val="auto"/>
                <w:szCs w:val="21"/>
                <w:highlight w:val="none"/>
              </w:rPr>
              <w:t>500≤Y＜1000</w:t>
            </w:r>
          </w:p>
        </w:tc>
        <w:tc>
          <w:tcPr>
            <w:tcW w:w="1009" w:type="dxa"/>
            <w:tcBorders>
              <w:top w:val="nil"/>
              <w:left w:val="nil"/>
              <w:bottom w:val="single" w:color="auto" w:sz="4" w:space="0"/>
              <w:right w:val="single" w:color="auto" w:sz="4" w:space="0"/>
            </w:tcBorders>
            <w:noWrap w:val="0"/>
            <w:vAlign w:val="center"/>
          </w:tcPr>
          <w:p w14:paraId="62BBEDFF">
            <w:pPr>
              <w:widowControl/>
              <w:jc w:val="left"/>
              <w:rPr>
                <w:color w:val="auto"/>
                <w:szCs w:val="21"/>
                <w:highlight w:val="none"/>
              </w:rPr>
            </w:pPr>
            <w:r>
              <w:rPr>
                <w:rFonts w:hint="eastAsia"/>
                <w:color w:val="auto"/>
                <w:szCs w:val="21"/>
                <w:highlight w:val="none"/>
              </w:rPr>
              <w:t>Y＜500</w:t>
            </w:r>
          </w:p>
        </w:tc>
      </w:tr>
      <w:tr w14:paraId="5ADD2B79">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noWrap w:val="0"/>
            <w:vAlign w:val="bottom"/>
          </w:tcPr>
          <w:p w14:paraId="0C221AAC">
            <w:pPr>
              <w:widowControl/>
              <w:jc w:val="center"/>
              <w:rPr>
                <w:color w:val="auto"/>
                <w:szCs w:val="21"/>
                <w:highlight w:val="none"/>
              </w:rPr>
            </w:pPr>
            <w:r>
              <w:rPr>
                <w:rFonts w:hint="eastAsia"/>
                <w:color w:val="auto"/>
                <w:szCs w:val="21"/>
                <w:highlight w:val="none"/>
              </w:rPr>
              <w:t>租赁和商务服务业</w:t>
            </w:r>
          </w:p>
        </w:tc>
        <w:tc>
          <w:tcPr>
            <w:tcW w:w="1701" w:type="dxa"/>
            <w:tcBorders>
              <w:top w:val="nil"/>
              <w:left w:val="nil"/>
              <w:bottom w:val="single" w:color="auto" w:sz="4" w:space="0"/>
              <w:right w:val="single" w:color="auto" w:sz="4" w:space="0"/>
            </w:tcBorders>
            <w:noWrap w:val="0"/>
            <w:vAlign w:val="center"/>
          </w:tcPr>
          <w:p w14:paraId="05A65539">
            <w:pPr>
              <w:widowControl/>
              <w:jc w:val="left"/>
              <w:rPr>
                <w:color w:val="auto"/>
                <w:szCs w:val="21"/>
                <w:highlight w:val="none"/>
              </w:rPr>
            </w:pPr>
            <w:r>
              <w:rPr>
                <w:rFonts w:hint="eastAsia"/>
                <w:color w:val="auto"/>
                <w:szCs w:val="21"/>
                <w:highlight w:val="none"/>
              </w:rPr>
              <w:t>从业人员（X）</w:t>
            </w:r>
          </w:p>
        </w:tc>
        <w:tc>
          <w:tcPr>
            <w:tcW w:w="1134" w:type="dxa"/>
            <w:tcBorders>
              <w:top w:val="nil"/>
              <w:left w:val="nil"/>
              <w:bottom w:val="single" w:color="auto" w:sz="4" w:space="0"/>
              <w:right w:val="single" w:color="auto" w:sz="4" w:space="0"/>
            </w:tcBorders>
            <w:noWrap w:val="0"/>
            <w:vAlign w:val="center"/>
          </w:tcPr>
          <w:p w14:paraId="52AFC78B">
            <w:pPr>
              <w:widowControl/>
              <w:jc w:val="left"/>
              <w:rPr>
                <w:color w:val="auto"/>
                <w:szCs w:val="21"/>
                <w:highlight w:val="none"/>
              </w:rPr>
            </w:pPr>
            <w:r>
              <w:rPr>
                <w:rFonts w:hint="eastAsia"/>
                <w:color w:val="auto"/>
                <w:szCs w:val="21"/>
                <w:highlight w:val="none"/>
              </w:rPr>
              <w:t>人</w:t>
            </w:r>
          </w:p>
        </w:tc>
        <w:tc>
          <w:tcPr>
            <w:tcW w:w="1846" w:type="dxa"/>
            <w:tcBorders>
              <w:top w:val="nil"/>
              <w:left w:val="nil"/>
              <w:bottom w:val="single" w:color="auto" w:sz="4" w:space="0"/>
              <w:right w:val="single" w:color="auto" w:sz="4" w:space="0"/>
            </w:tcBorders>
            <w:noWrap w:val="0"/>
            <w:vAlign w:val="center"/>
          </w:tcPr>
          <w:p w14:paraId="185BEE8B">
            <w:pPr>
              <w:widowControl/>
              <w:jc w:val="left"/>
              <w:rPr>
                <w:color w:val="auto"/>
                <w:szCs w:val="21"/>
                <w:highlight w:val="none"/>
              </w:rPr>
            </w:pPr>
            <w:r>
              <w:rPr>
                <w:rFonts w:hint="eastAsia"/>
                <w:color w:val="auto"/>
                <w:szCs w:val="21"/>
                <w:highlight w:val="none"/>
              </w:rPr>
              <w:t>100≤X＜300</w:t>
            </w:r>
          </w:p>
        </w:tc>
        <w:tc>
          <w:tcPr>
            <w:tcW w:w="1570" w:type="dxa"/>
            <w:tcBorders>
              <w:top w:val="nil"/>
              <w:left w:val="nil"/>
              <w:bottom w:val="single" w:color="auto" w:sz="4" w:space="0"/>
              <w:right w:val="single" w:color="auto" w:sz="4" w:space="0"/>
            </w:tcBorders>
            <w:noWrap w:val="0"/>
            <w:vAlign w:val="center"/>
          </w:tcPr>
          <w:p w14:paraId="353341FC">
            <w:pPr>
              <w:widowControl/>
              <w:jc w:val="left"/>
              <w:rPr>
                <w:color w:val="auto"/>
                <w:szCs w:val="21"/>
                <w:highlight w:val="none"/>
              </w:rPr>
            </w:pPr>
            <w:r>
              <w:rPr>
                <w:rFonts w:hint="eastAsia"/>
                <w:color w:val="auto"/>
                <w:szCs w:val="21"/>
                <w:highlight w:val="none"/>
              </w:rPr>
              <w:t>10≤X＜100</w:t>
            </w:r>
          </w:p>
        </w:tc>
        <w:tc>
          <w:tcPr>
            <w:tcW w:w="1009" w:type="dxa"/>
            <w:tcBorders>
              <w:top w:val="nil"/>
              <w:left w:val="nil"/>
              <w:bottom w:val="single" w:color="auto" w:sz="4" w:space="0"/>
              <w:right w:val="single" w:color="auto" w:sz="4" w:space="0"/>
            </w:tcBorders>
            <w:noWrap w:val="0"/>
            <w:vAlign w:val="center"/>
          </w:tcPr>
          <w:p w14:paraId="30C015F4">
            <w:pPr>
              <w:widowControl/>
              <w:jc w:val="left"/>
              <w:rPr>
                <w:color w:val="auto"/>
                <w:szCs w:val="21"/>
                <w:highlight w:val="none"/>
              </w:rPr>
            </w:pPr>
            <w:r>
              <w:rPr>
                <w:rFonts w:hint="eastAsia"/>
                <w:color w:val="auto"/>
                <w:szCs w:val="21"/>
                <w:highlight w:val="none"/>
              </w:rPr>
              <w:t>X＜10</w:t>
            </w:r>
          </w:p>
        </w:tc>
      </w:tr>
      <w:tr w14:paraId="76D0A219">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noWrap w:val="0"/>
            <w:vAlign w:val="center"/>
          </w:tcPr>
          <w:p w14:paraId="7D62F0C6">
            <w:pPr>
              <w:widowControl/>
              <w:jc w:val="left"/>
              <w:rPr>
                <w:color w:val="auto"/>
                <w:szCs w:val="21"/>
                <w:highlight w:val="none"/>
              </w:rPr>
            </w:pPr>
          </w:p>
        </w:tc>
        <w:tc>
          <w:tcPr>
            <w:tcW w:w="1701" w:type="dxa"/>
            <w:tcBorders>
              <w:top w:val="nil"/>
              <w:left w:val="nil"/>
              <w:bottom w:val="single" w:color="auto" w:sz="4" w:space="0"/>
              <w:right w:val="single" w:color="auto" w:sz="4" w:space="0"/>
            </w:tcBorders>
            <w:noWrap w:val="0"/>
            <w:vAlign w:val="center"/>
          </w:tcPr>
          <w:p w14:paraId="41717C14">
            <w:pPr>
              <w:widowControl/>
              <w:jc w:val="left"/>
              <w:rPr>
                <w:color w:val="auto"/>
                <w:szCs w:val="21"/>
                <w:highlight w:val="none"/>
              </w:rPr>
            </w:pPr>
            <w:r>
              <w:rPr>
                <w:rFonts w:hint="eastAsia"/>
                <w:color w:val="auto"/>
                <w:szCs w:val="21"/>
                <w:highlight w:val="none"/>
              </w:rPr>
              <w:t>资产总额（Z）</w:t>
            </w:r>
          </w:p>
        </w:tc>
        <w:tc>
          <w:tcPr>
            <w:tcW w:w="1134" w:type="dxa"/>
            <w:tcBorders>
              <w:top w:val="nil"/>
              <w:left w:val="nil"/>
              <w:bottom w:val="single" w:color="auto" w:sz="4" w:space="0"/>
              <w:right w:val="single" w:color="auto" w:sz="4" w:space="0"/>
            </w:tcBorders>
            <w:noWrap w:val="0"/>
            <w:vAlign w:val="center"/>
          </w:tcPr>
          <w:p w14:paraId="662A5695">
            <w:pPr>
              <w:widowControl/>
              <w:jc w:val="left"/>
              <w:rPr>
                <w:color w:val="auto"/>
                <w:szCs w:val="21"/>
                <w:highlight w:val="none"/>
              </w:rPr>
            </w:pPr>
            <w:r>
              <w:rPr>
                <w:rFonts w:hint="eastAsia"/>
                <w:color w:val="auto"/>
                <w:szCs w:val="21"/>
                <w:highlight w:val="none"/>
              </w:rPr>
              <w:t>万元</w:t>
            </w:r>
          </w:p>
        </w:tc>
        <w:tc>
          <w:tcPr>
            <w:tcW w:w="1846" w:type="dxa"/>
            <w:tcBorders>
              <w:top w:val="nil"/>
              <w:left w:val="nil"/>
              <w:bottom w:val="single" w:color="auto" w:sz="4" w:space="0"/>
              <w:right w:val="single" w:color="auto" w:sz="4" w:space="0"/>
            </w:tcBorders>
            <w:noWrap w:val="0"/>
            <w:vAlign w:val="center"/>
          </w:tcPr>
          <w:p w14:paraId="21597700">
            <w:pPr>
              <w:widowControl/>
              <w:jc w:val="left"/>
              <w:rPr>
                <w:color w:val="auto"/>
                <w:szCs w:val="21"/>
                <w:highlight w:val="none"/>
              </w:rPr>
            </w:pPr>
            <w:r>
              <w:rPr>
                <w:rFonts w:hint="eastAsia"/>
                <w:color w:val="auto"/>
                <w:szCs w:val="21"/>
                <w:highlight w:val="none"/>
              </w:rPr>
              <w:t>8000≤Z＜120000</w:t>
            </w:r>
          </w:p>
        </w:tc>
        <w:tc>
          <w:tcPr>
            <w:tcW w:w="1570" w:type="dxa"/>
            <w:tcBorders>
              <w:top w:val="nil"/>
              <w:left w:val="nil"/>
              <w:bottom w:val="single" w:color="auto" w:sz="4" w:space="0"/>
              <w:right w:val="single" w:color="auto" w:sz="4" w:space="0"/>
            </w:tcBorders>
            <w:noWrap w:val="0"/>
            <w:vAlign w:val="center"/>
          </w:tcPr>
          <w:p w14:paraId="4BF05A8D">
            <w:pPr>
              <w:widowControl/>
              <w:jc w:val="left"/>
              <w:rPr>
                <w:color w:val="auto"/>
                <w:szCs w:val="21"/>
                <w:highlight w:val="none"/>
              </w:rPr>
            </w:pPr>
            <w:r>
              <w:rPr>
                <w:rFonts w:hint="eastAsia"/>
                <w:color w:val="auto"/>
                <w:szCs w:val="21"/>
                <w:highlight w:val="none"/>
              </w:rPr>
              <w:t>100≤Z＜8000</w:t>
            </w:r>
          </w:p>
        </w:tc>
        <w:tc>
          <w:tcPr>
            <w:tcW w:w="1009" w:type="dxa"/>
            <w:tcBorders>
              <w:top w:val="nil"/>
              <w:left w:val="nil"/>
              <w:bottom w:val="single" w:color="auto" w:sz="4" w:space="0"/>
              <w:right w:val="single" w:color="auto" w:sz="4" w:space="0"/>
            </w:tcBorders>
            <w:noWrap w:val="0"/>
            <w:vAlign w:val="center"/>
          </w:tcPr>
          <w:p w14:paraId="2D7F7098">
            <w:pPr>
              <w:widowControl/>
              <w:jc w:val="left"/>
              <w:rPr>
                <w:color w:val="auto"/>
                <w:szCs w:val="21"/>
                <w:highlight w:val="none"/>
              </w:rPr>
            </w:pPr>
            <w:r>
              <w:rPr>
                <w:rFonts w:hint="eastAsia"/>
                <w:color w:val="auto"/>
                <w:szCs w:val="21"/>
                <w:highlight w:val="none"/>
              </w:rPr>
              <w:t>Y＜100</w:t>
            </w:r>
          </w:p>
        </w:tc>
      </w:tr>
      <w:tr w14:paraId="04ED7E7D">
        <w:tblPrEx>
          <w:tblCellMar>
            <w:top w:w="0" w:type="dxa"/>
            <w:left w:w="108" w:type="dxa"/>
            <w:bottom w:w="0" w:type="dxa"/>
            <w:right w:w="108" w:type="dxa"/>
          </w:tblCellMar>
        </w:tblPrEx>
        <w:trPr>
          <w:trHeight w:val="220" w:hRule="atLeast"/>
        </w:trPr>
        <w:tc>
          <w:tcPr>
            <w:tcW w:w="1446" w:type="dxa"/>
            <w:tcBorders>
              <w:top w:val="nil"/>
              <w:left w:val="single" w:color="auto" w:sz="4" w:space="0"/>
              <w:bottom w:val="single" w:color="auto" w:sz="4" w:space="0"/>
              <w:right w:val="single" w:color="auto" w:sz="4" w:space="0"/>
            </w:tcBorders>
            <w:noWrap w:val="0"/>
            <w:vAlign w:val="bottom"/>
          </w:tcPr>
          <w:p w14:paraId="55CA7C53">
            <w:pPr>
              <w:widowControl/>
              <w:jc w:val="center"/>
              <w:rPr>
                <w:color w:val="auto"/>
                <w:szCs w:val="21"/>
                <w:highlight w:val="none"/>
              </w:rPr>
            </w:pPr>
            <w:r>
              <w:rPr>
                <w:rFonts w:hint="eastAsia"/>
                <w:color w:val="auto"/>
                <w:szCs w:val="21"/>
                <w:highlight w:val="none"/>
              </w:rPr>
              <w:t>其他未列明行业</w:t>
            </w:r>
          </w:p>
        </w:tc>
        <w:tc>
          <w:tcPr>
            <w:tcW w:w="1701" w:type="dxa"/>
            <w:tcBorders>
              <w:top w:val="nil"/>
              <w:left w:val="nil"/>
              <w:bottom w:val="single" w:color="auto" w:sz="4" w:space="0"/>
              <w:right w:val="single" w:color="auto" w:sz="4" w:space="0"/>
            </w:tcBorders>
            <w:noWrap w:val="0"/>
            <w:vAlign w:val="center"/>
          </w:tcPr>
          <w:p w14:paraId="77D333B1">
            <w:pPr>
              <w:widowControl/>
              <w:jc w:val="left"/>
              <w:rPr>
                <w:color w:val="auto"/>
                <w:szCs w:val="21"/>
                <w:highlight w:val="none"/>
              </w:rPr>
            </w:pPr>
            <w:r>
              <w:rPr>
                <w:rFonts w:hint="eastAsia"/>
                <w:color w:val="auto"/>
                <w:szCs w:val="21"/>
                <w:highlight w:val="none"/>
              </w:rPr>
              <w:t>从业人员（X）</w:t>
            </w:r>
          </w:p>
        </w:tc>
        <w:tc>
          <w:tcPr>
            <w:tcW w:w="1134" w:type="dxa"/>
            <w:tcBorders>
              <w:top w:val="nil"/>
              <w:left w:val="nil"/>
              <w:bottom w:val="single" w:color="auto" w:sz="4" w:space="0"/>
              <w:right w:val="single" w:color="auto" w:sz="4" w:space="0"/>
            </w:tcBorders>
            <w:noWrap w:val="0"/>
            <w:vAlign w:val="center"/>
          </w:tcPr>
          <w:p w14:paraId="7ABBED34">
            <w:pPr>
              <w:widowControl/>
              <w:jc w:val="left"/>
              <w:rPr>
                <w:color w:val="auto"/>
                <w:szCs w:val="21"/>
                <w:highlight w:val="none"/>
              </w:rPr>
            </w:pPr>
            <w:r>
              <w:rPr>
                <w:rFonts w:hint="eastAsia"/>
                <w:color w:val="auto"/>
                <w:szCs w:val="21"/>
                <w:highlight w:val="none"/>
              </w:rPr>
              <w:t>人</w:t>
            </w:r>
          </w:p>
        </w:tc>
        <w:tc>
          <w:tcPr>
            <w:tcW w:w="1846" w:type="dxa"/>
            <w:tcBorders>
              <w:top w:val="nil"/>
              <w:left w:val="nil"/>
              <w:bottom w:val="single" w:color="auto" w:sz="4" w:space="0"/>
              <w:right w:val="single" w:color="auto" w:sz="4" w:space="0"/>
            </w:tcBorders>
            <w:noWrap w:val="0"/>
            <w:vAlign w:val="center"/>
          </w:tcPr>
          <w:p w14:paraId="7D12CA55">
            <w:pPr>
              <w:widowControl/>
              <w:jc w:val="left"/>
              <w:rPr>
                <w:color w:val="auto"/>
                <w:szCs w:val="21"/>
                <w:highlight w:val="none"/>
              </w:rPr>
            </w:pPr>
            <w:r>
              <w:rPr>
                <w:rFonts w:hint="eastAsia"/>
                <w:color w:val="auto"/>
                <w:szCs w:val="21"/>
                <w:highlight w:val="none"/>
              </w:rPr>
              <w:t>100≤X＜300</w:t>
            </w:r>
          </w:p>
        </w:tc>
        <w:tc>
          <w:tcPr>
            <w:tcW w:w="1570" w:type="dxa"/>
            <w:tcBorders>
              <w:top w:val="nil"/>
              <w:left w:val="nil"/>
              <w:bottom w:val="single" w:color="auto" w:sz="4" w:space="0"/>
              <w:right w:val="single" w:color="auto" w:sz="4" w:space="0"/>
            </w:tcBorders>
            <w:noWrap w:val="0"/>
            <w:vAlign w:val="center"/>
          </w:tcPr>
          <w:p w14:paraId="601950E4">
            <w:pPr>
              <w:widowControl/>
              <w:jc w:val="left"/>
              <w:rPr>
                <w:color w:val="auto"/>
                <w:szCs w:val="21"/>
                <w:highlight w:val="none"/>
              </w:rPr>
            </w:pPr>
            <w:r>
              <w:rPr>
                <w:rFonts w:hint="eastAsia"/>
                <w:color w:val="auto"/>
                <w:szCs w:val="21"/>
                <w:highlight w:val="none"/>
              </w:rPr>
              <w:t>10≤X＜100</w:t>
            </w:r>
          </w:p>
        </w:tc>
        <w:tc>
          <w:tcPr>
            <w:tcW w:w="1009" w:type="dxa"/>
            <w:tcBorders>
              <w:top w:val="nil"/>
              <w:left w:val="nil"/>
              <w:bottom w:val="single" w:color="auto" w:sz="4" w:space="0"/>
              <w:right w:val="single" w:color="auto" w:sz="4" w:space="0"/>
            </w:tcBorders>
            <w:noWrap w:val="0"/>
            <w:vAlign w:val="center"/>
          </w:tcPr>
          <w:p w14:paraId="18C27ACF">
            <w:pPr>
              <w:widowControl/>
              <w:jc w:val="left"/>
              <w:rPr>
                <w:color w:val="auto"/>
                <w:szCs w:val="21"/>
                <w:highlight w:val="none"/>
              </w:rPr>
            </w:pPr>
            <w:r>
              <w:rPr>
                <w:rFonts w:hint="eastAsia"/>
                <w:color w:val="auto"/>
                <w:szCs w:val="21"/>
                <w:highlight w:val="none"/>
              </w:rPr>
              <w:t>X＜10</w:t>
            </w:r>
          </w:p>
        </w:tc>
      </w:tr>
    </w:tbl>
    <w:p w14:paraId="066ED2FB">
      <w:pPr>
        <w:spacing w:line="360" w:lineRule="auto"/>
        <w:ind w:firstLine="525" w:firstLineChars="250"/>
        <w:rPr>
          <w:color w:val="auto"/>
          <w:szCs w:val="21"/>
          <w:highlight w:val="none"/>
        </w:rPr>
      </w:pPr>
      <w:r>
        <w:rPr>
          <w:rFonts w:hint="eastAsia"/>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7BC8357E">
      <w:pPr>
        <w:spacing w:line="360" w:lineRule="auto"/>
        <w:rPr>
          <w:color w:val="auto"/>
          <w:sz w:val="28"/>
          <w:szCs w:val="28"/>
          <w:highlight w:val="none"/>
        </w:rPr>
      </w:pPr>
      <w:r>
        <w:rPr>
          <w:color w:val="auto"/>
          <w:szCs w:val="21"/>
          <w:highlight w:val="none"/>
        </w:rPr>
        <w:br w:type="page"/>
      </w:r>
      <w:bookmarkStart w:id="26" w:name="_Hlk132788258"/>
      <w:r>
        <w:rPr>
          <w:rFonts w:hint="eastAsia"/>
          <w:color w:val="auto"/>
          <w:sz w:val="28"/>
          <w:szCs w:val="28"/>
          <w:highlight w:val="none"/>
        </w:rPr>
        <w:t>附件2：</w:t>
      </w:r>
    </w:p>
    <w:p w14:paraId="229E4EB8">
      <w:pPr>
        <w:spacing w:line="360" w:lineRule="auto"/>
        <w:rPr>
          <w:rFonts w:hint="eastAsia"/>
          <w:color w:val="auto"/>
          <w:szCs w:val="21"/>
          <w:highlight w:val="none"/>
        </w:rPr>
        <w:sectPr>
          <w:footerReference r:id="rId9" w:type="first"/>
          <w:headerReference r:id="rId7" w:type="default"/>
          <w:footerReference r:id="rId8" w:type="default"/>
          <w:pgSz w:w="11906" w:h="16838"/>
          <w:pgMar w:top="851" w:right="1133" w:bottom="1246" w:left="1418" w:header="851" w:footer="797" w:gutter="0"/>
          <w:cols w:space="720" w:num="1"/>
          <w:docGrid w:linePitch="312" w:charSpace="0"/>
        </w:sectPr>
      </w:pPr>
      <w:r>
        <w:rPr>
          <w:color w:val="auto"/>
          <w:highlight w:val="none"/>
        </w:rPr>
        <w:drawing>
          <wp:anchor distT="0" distB="0" distL="114300" distR="114300" simplePos="0" relativeHeight="251659264" behindDoc="0" locked="0" layoutInCell="1" allowOverlap="1">
            <wp:simplePos x="0" y="0"/>
            <wp:positionH relativeFrom="column">
              <wp:posOffset>1905</wp:posOffset>
            </wp:positionH>
            <wp:positionV relativeFrom="paragraph">
              <wp:posOffset>205105</wp:posOffset>
            </wp:positionV>
            <wp:extent cx="5573395" cy="8125460"/>
            <wp:effectExtent l="0" t="0" r="4445" b="12700"/>
            <wp:wrapSquare wrapText="bothSides"/>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7"/>
                    <a:stretch>
                      <a:fillRect/>
                    </a:stretch>
                  </pic:blipFill>
                  <pic:spPr>
                    <a:xfrm>
                      <a:off x="0" y="0"/>
                      <a:ext cx="5573395" cy="8125460"/>
                    </a:xfrm>
                    <a:prstGeom prst="rect">
                      <a:avLst/>
                    </a:prstGeom>
                    <a:noFill/>
                    <a:ln>
                      <a:noFill/>
                    </a:ln>
                  </pic:spPr>
                </pic:pic>
              </a:graphicData>
            </a:graphic>
          </wp:anchor>
        </w:drawing>
      </w:r>
      <w:bookmarkEnd w:id="26"/>
    </w:p>
    <w:bookmarkEnd w:id="24"/>
    <w:bookmarkEnd w:id="25"/>
    <w:p w14:paraId="3EE8BCD6">
      <w:pPr>
        <w:pStyle w:val="26"/>
        <w:snapToGrid w:val="0"/>
        <w:spacing w:before="120" w:after="120" w:line="320" w:lineRule="exact"/>
        <w:jc w:val="center"/>
        <w:outlineLvl w:val="0"/>
        <w:rPr>
          <w:rFonts w:ascii="Times New Roman" w:hAnsi="Times New Roman" w:cs="Times New Roman"/>
          <w:color w:val="auto"/>
          <w:sz w:val="32"/>
          <w:szCs w:val="32"/>
          <w:highlight w:val="none"/>
        </w:rPr>
      </w:pPr>
      <w:bookmarkStart w:id="27" w:name="_Toc164874508"/>
      <w:r>
        <w:rPr>
          <w:rFonts w:ascii="Times New Roman" w:hAnsi="Times New Roman" w:cs="Times New Roman"/>
          <w:color w:val="auto"/>
          <w:sz w:val="32"/>
          <w:szCs w:val="32"/>
          <w:highlight w:val="none"/>
        </w:rPr>
        <w:t>第三章  供应商须知</w:t>
      </w:r>
      <w:bookmarkEnd w:id="27"/>
      <w:bookmarkStart w:id="28" w:name="_投标人须知前附表"/>
      <w:bookmarkEnd w:id="28"/>
    </w:p>
    <w:p w14:paraId="2A5BC1A7">
      <w:pPr>
        <w:pStyle w:val="3"/>
        <w:spacing w:before="40" w:after="40"/>
        <w:jc w:val="center"/>
        <w:rPr>
          <w:rFonts w:hint="eastAsia" w:ascii="Times New Roman" w:hAnsi="Times New Roman" w:eastAsia="宋体"/>
          <w:color w:val="auto"/>
          <w:sz w:val="24"/>
          <w:szCs w:val="24"/>
          <w:highlight w:val="none"/>
        </w:rPr>
      </w:pPr>
      <w:r>
        <w:rPr>
          <w:rFonts w:ascii="Times New Roman" w:hAnsi="Times New Roman" w:eastAsia="宋体"/>
          <w:color w:val="auto"/>
          <w:sz w:val="24"/>
          <w:szCs w:val="24"/>
          <w:highlight w:val="none"/>
        </w:rPr>
        <w:t>供应商须知前附表</w:t>
      </w:r>
    </w:p>
    <w:tbl>
      <w:tblPr>
        <w:tblStyle w:val="51"/>
        <w:tblW w:w="9214"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37"/>
        <w:gridCol w:w="1248"/>
        <w:gridCol w:w="7229"/>
      </w:tblGrid>
      <w:tr w14:paraId="4CE9E5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737" w:type="dxa"/>
            <w:tcBorders>
              <w:top w:val="single" w:color="auto" w:sz="4" w:space="0"/>
              <w:left w:val="single" w:color="auto" w:sz="4" w:space="0"/>
              <w:bottom w:val="single" w:color="auto" w:sz="4" w:space="0"/>
              <w:right w:val="single" w:color="auto" w:sz="4" w:space="0"/>
            </w:tcBorders>
            <w:noWrap w:val="0"/>
            <w:vAlign w:val="center"/>
          </w:tcPr>
          <w:p w14:paraId="1131E194">
            <w:pPr>
              <w:jc w:val="center"/>
              <w:rPr>
                <w:b/>
                <w:color w:val="auto"/>
                <w:szCs w:val="21"/>
                <w:highlight w:val="none"/>
              </w:rPr>
            </w:pPr>
            <w:r>
              <w:rPr>
                <w:b/>
                <w:color w:val="auto"/>
                <w:szCs w:val="21"/>
                <w:highlight w:val="none"/>
              </w:rPr>
              <w:t>条款号</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48FE28C7">
            <w:pPr>
              <w:jc w:val="center"/>
              <w:rPr>
                <w:b/>
                <w:color w:val="auto"/>
                <w:szCs w:val="21"/>
                <w:highlight w:val="none"/>
              </w:rPr>
            </w:pPr>
            <w:r>
              <w:rPr>
                <w:b/>
                <w:color w:val="auto"/>
                <w:szCs w:val="21"/>
                <w:highlight w:val="none"/>
              </w:rPr>
              <w:t>要点</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1BC53043">
            <w:pPr>
              <w:jc w:val="center"/>
              <w:rPr>
                <w:b/>
                <w:color w:val="auto"/>
                <w:szCs w:val="21"/>
                <w:highlight w:val="none"/>
              </w:rPr>
            </w:pPr>
            <w:r>
              <w:rPr>
                <w:b/>
                <w:color w:val="auto"/>
                <w:szCs w:val="21"/>
                <w:highlight w:val="none"/>
              </w:rPr>
              <w:t>内容、要求</w:t>
            </w:r>
          </w:p>
        </w:tc>
      </w:tr>
      <w:tr w14:paraId="76715D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737" w:type="dxa"/>
            <w:tcBorders>
              <w:top w:val="single" w:color="auto" w:sz="4" w:space="0"/>
              <w:left w:val="single" w:color="auto" w:sz="4" w:space="0"/>
              <w:bottom w:val="single" w:color="auto" w:sz="4" w:space="0"/>
              <w:right w:val="single" w:color="auto" w:sz="4" w:space="0"/>
            </w:tcBorders>
            <w:noWrap w:val="0"/>
            <w:vAlign w:val="center"/>
          </w:tcPr>
          <w:p w14:paraId="684C4D89">
            <w:pPr>
              <w:spacing w:line="300" w:lineRule="exact"/>
              <w:jc w:val="center"/>
              <w:rPr>
                <w:b/>
                <w:color w:val="auto"/>
                <w:szCs w:val="21"/>
                <w:highlight w:val="none"/>
              </w:rPr>
            </w:pPr>
            <w:r>
              <w:rPr>
                <w:b/>
                <w:color w:val="auto"/>
                <w:szCs w:val="21"/>
                <w:highlight w:val="none"/>
              </w:rPr>
              <w:t>1.3.1</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749A766C">
            <w:pPr>
              <w:spacing w:line="300" w:lineRule="exact"/>
              <w:jc w:val="center"/>
              <w:rPr>
                <w:color w:val="auto"/>
                <w:szCs w:val="21"/>
                <w:highlight w:val="none"/>
              </w:rPr>
            </w:pPr>
            <w:r>
              <w:rPr>
                <w:color w:val="auto"/>
                <w:szCs w:val="21"/>
                <w:highlight w:val="none"/>
              </w:rPr>
              <w:t>项目基本信息</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31C3132C">
            <w:pPr>
              <w:spacing w:line="300" w:lineRule="exact"/>
              <w:jc w:val="left"/>
              <w:rPr>
                <w:rFonts w:hint="eastAsia"/>
                <w:color w:val="auto"/>
                <w:szCs w:val="21"/>
                <w:highlight w:val="none"/>
                <w:lang w:eastAsia="zh-CN"/>
              </w:rPr>
            </w:pPr>
            <w:r>
              <w:rPr>
                <w:rFonts w:hint="eastAsia"/>
                <w:color w:val="auto"/>
                <w:szCs w:val="21"/>
                <w:highlight w:val="none"/>
                <w:lang w:eastAsia="zh-CN"/>
              </w:rPr>
              <w:t>项目名称：崇左市疾病预防控制中心2025年第一批实验室设备采购</w:t>
            </w:r>
          </w:p>
          <w:p w14:paraId="671A63FE">
            <w:pPr>
              <w:spacing w:line="300" w:lineRule="exact"/>
              <w:jc w:val="left"/>
              <w:rPr>
                <w:rFonts w:hint="eastAsia"/>
                <w:color w:val="auto"/>
                <w:szCs w:val="21"/>
                <w:highlight w:val="none"/>
                <w:lang w:eastAsia="zh-CN"/>
              </w:rPr>
            </w:pPr>
            <w:r>
              <w:rPr>
                <w:rFonts w:hint="eastAsia"/>
                <w:color w:val="auto"/>
                <w:szCs w:val="21"/>
                <w:highlight w:val="none"/>
                <w:lang w:eastAsia="zh-CN"/>
              </w:rPr>
              <w:t>项目编号：CZZC2025-J1-990229-JDZB</w:t>
            </w:r>
            <w:r>
              <w:rPr>
                <w:rFonts w:hint="eastAsia"/>
                <w:color w:val="auto"/>
                <w:szCs w:val="21"/>
                <w:highlight w:val="none"/>
                <w:lang w:val="en-US" w:eastAsia="zh-CN"/>
              </w:rPr>
              <w:t xml:space="preserve"> </w:t>
            </w:r>
          </w:p>
          <w:p w14:paraId="30239193">
            <w:pPr>
              <w:spacing w:line="300" w:lineRule="exact"/>
              <w:jc w:val="left"/>
              <w:rPr>
                <w:rFonts w:hint="eastAsia" w:eastAsia="宋体"/>
                <w:color w:val="auto"/>
                <w:szCs w:val="21"/>
                <w:highlight w:val="none"/>
                <w:lang w:eastAsia="zh-CN"/>
              </w:rPr>
            </w:pPr>
            <w:r>
              <w:rPr>
                <w:rFonts w:hint="eastAsia"/>
                <w:color w:val="auto"/>
                <w:szCs w:val="21"/>
                <w:highlight w:val="none"/>
                <w:lang w:eastAsia="zh-CN"/>
              </w:rPr>
              <w:t>采购计划号：崇左采备[2025]1549号-001</w:t>
            </w:r>
            <w:r>
              <w:rPr>
                <w:rFonts w:hint="eastAsia"/>
                <w:color w:val="auto"/>
                <w:szCs w:val="21"/>
                <w:highlight w:val="none"/>
                <w:lang w:val="en-US" w:eastAsia="zh-CN"/>
              </w:rPr>
              <w:t xml:space="preserve"> </w:t>
            </w:r>
          </w:p>
        </w:tc>
      </w:tr>
      <w:tr w14:paraId="50BD9E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737" w:type="dxa"/>
            <w:tcBorders>
              <w:top w:val="single" w:color="auto" w:sz="4" w:space="0"/>
              <w:left w:val="single" w:color="auto" w:sz="4" w:space="0"/>
              <w:bottom w:val="single" w:color="auto" w:sz="4" w:space="0"/>
              <w:right w:val="single" w:color="auto" w:sz="4" w:space="0"/>
            </w:tcBorders>
            <w:noWrap w:val="0"/>
            <w:vAlign w:val="center"/>
          </w:tcPr>
          <w:p w14:paraId="0C4ADAF9">
            <w:pPr>
              <w:spacing w:line="300" w:lineRule="exact"/>
              <w:jc w:val="center"/>
              <w:rPr>
                <w:b/>
                <w:color w:val="auto"/>
                <w:szCs w:val="21"/>
                <w:highlight w:val="none"/>
              </w:rPr>
            </w:pPr>
            <w:r>
              <w:rPr>
                <w:b/>
                <w:color w:val="auto"/>
                <w:szCs w:val="21"/>
                <w:highlight w:val="none"/>
              </w:rPr>
              <w:t>1.3.2</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5A6DD508">
            <w:pPr>
              <w:spacing w:line="300" w:lineRule="exact"/>
              <w:jc w:val="center"/>
              <w:rPr>
                <w:color w:val="auto"/>
                <w:szCs w:val="21"/>
                <w:highlight w:val="none"/>
                <w:lang w:val="zh-CN"/>
              </w:rPr>
            </w:pPr>
            <w:r>
              <w:rPr>
                <w:rFonts w:hint="eastAsia"/>
                <w:color w:val="auto"/>
                <w:szCs w:val="21"/>
                <w:highlight w:val="none"/>
                <w:lang w:val="zh-CN"/>
              </w:rPr>
              <w:t>采购方式</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58A27FC9">
            <w:pPr>
              <w:spacing w:line="300" w:lineRule="exact"/>
              <w:jc w:val="left"/>
              <w:rPr>
                <w:color w:val="auto"/>
                <w:szCs w:val="21"/>
                <w:highlight w:val="none"/>
              </w:rPr>
            </w:pPr>
            <w:r>
              <w:rPr>
                <w:rFonts w:hint="eastAsia"/>
                <w:color w:val="auto"/>
                <w:szCs w:val="21"/>
                <w:highlight w:val="none"/>
              </w:rPr>
              <w:t>竞争性谈判。</w:t>
            </w:r>
          </w:p>
        </w:tc>
      </w:tr>
      <w:tr w14:paraId="7BFF59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37" w:type="dxa"/>
            <w:tcBorders>
              <w:top w:val="single" w:color="auto" w:sz="4" w:space="0"/>
              <w:left w:val="single" w:color="auto" w:sz="4" w:space="0"/>
              <w:bottom w:val="single" w:color="auto" w:sz="4" w:space="0"/>
              <w:right w:val="single" w:color="auto" w:sz="4" w:space="0"/>
            </w:tcBorders>
            <w:noWrap w:val="0"/>
            <w:vAlign w:val="center"/>
          </w:tcPr>
          <w:p w14:paraId="3F0B5BFA">
            <w:pPr>
              <w:spacing w:line="300" w:lineRule="exact"/>
              <w:jc w:val="center"/>
              <w:rPr>
                <w:b/>
                <w:color w:val="auto"/>
                <w:szCs w:val="21"/>
                <w:highlight w:val="none"/>
              </w:rPr>
            </w:pPr>
            <w:r>
              <w:rPr>
                <w:rFonts w:hint="eastAsia"/>
                <w:b/>
                <w:color w:val="auto"/>
                <w:szCs w:val="21"/>
                <w:highlight w:val="none"/>
              </w:rPr>
              <w:t>1</w:t>
            </w:r>
            <w:r>
              <w:rPr>
                <w:b/>
                <w:color w:val="auto"/>
                <w:szCs w:val="21"/>
                <w:highlight w:val="none"/>
              </w:rPr>
              <w:t>.4</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54E8C4B7">
            <w:pPr>
              <w:spacing w:line="300" w:lineRule="exact"/>
              <w:jc w:val="center"/>
              <w:rPr>
                <w:color w:val="auto"/>
                <w:szCs w:val="21"/>
                <w:highlight w:val="none"/>
                <w:lang w:val="zh-CN"/>
              </w:rPr>
            </w:pPr>
            <w:r>
              <w:rPr>
                <w:rFonts w:hint="eastAsia"/>
                <w:color w:val="auto"/>
                <w:szCs w:val="21"/>
                <w:highlight w:val="none"/>
                <w:lang w:val="zh-CN"/>
              </w:rPr>
              <w:t>促进中小企业发展措施</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497D7046">
            <w:pPr>
              <w:spacing w:line="312" w:lineRule="auto"/>
              <w:jc w:val="left"/>
              <w:rPr>
                <w:rFonts w:hint="eastAsia"/>
                <w:color w:val="auto"/>
                <w:szCs w:val="21"/>
                <w:highlight w:val="none"/>
                <w:lang w:eastAsia="zh-CN"/>
              </w:rPr>
            </w:pPr>
            <w:r>
              <w:rPr>
                <w:rFonts w:hint="eastAsia"/>
                <w:color w:val="auto"/>
                <w:szCs w:val="21"/>
                <w:highlight w:val="none"/>
              </w:rPr>
              <w:t>本分标属于专门面向中小企业采购的项目，货物制造商应为中小微企业或监狱企业或残疾人福利性单位</w:t>
            </w:r>
            <w:r>
              <w:rPr>
                <w:rFonts w:hint="eastAsia"/>
                <w:color w:val="auto"/>
                <w:szCs w:val="21"/>
                <w:highlight w:val="none"/>
                <w:lang w:eastAsia="zh-CN"/>
              </w:rPr>
              <w:t>。</w:t>
            </w:r>
          </w:p>
        </w:tc>
      </w:tr>
      <w:tr w14:paraId="781FE3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37" w:type="dxa"/>
            <w:tcBorders>
              <w:top w:val="single" w:color="auto" w:sz="4" w:space="0"/>
              <w:left w:val="single" w:color="auto" w:sz="4" w:space="0"/>
              <w:bottom w:val="single" w:color="auto" w:sz="4" w:space="0"/>
              <w:right w:val="single" w:color="auto" w:sz="4" w:space="0"/>
            </w:tcBorders>
            <w:noWrap w:val="0"/>
            <w:vAlign w:val="center"/>
          </w:tcPr>
          <w:p w14:paraId="14443F74">
            <w:pPr>
              <w:spacing w:line="300" w:lineRule="exact"/>
              <w:jc w:val="center"/>
              <w:rPr>
                <w:b/>
                <w:color w:val="auto"/>
                <w:szCs w:val="21"/>
                <w:highlight w:val="none"/>
              </w:rPr>
            </w:pPr>
            <w:r>
              <w:rPr>
                <w:b/>
                <w:color w:val="auto"/>
                <w:szCs w:val="21"/>
                <w:highlight w:val="none"/>
              </w:rPr>
              <w:t>1.5.1</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5DE7880F">
            <w:pPr>
              <w:spacing w:line="300" w:lineRule="exact"/>
              <w:jc w:val="center"/>
              <w:rPr>
                <w:color w:val="auto"/>
                <w:szCs w:val="21"/>
                <w:highlight w:val="none"/>
              </w:rPr>
            </w:pPr>
            <w:r>
              <w:rPr>
                <w:color w:val="auto"/>
                <w:szCs w:val="21"/>
                <w:highlight w:val="none"/>
                <w:lang w:val="zh-CN"/>
              </w:rPr>
              <w:t>供应商资格条件</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294EA251">
            <w:pPr>
              <w:spacing w:line="300" w:lineRule="exact"/>
              <w:jc w:val="left"/>
              <w:rPr>
                <w:color w:val="auto"/>
                <w:szCs w:val="21"/>
                <w:highlight w:val="none"/>
              </w:rPr>
            </w:pPr>
            <w:r>
              <w:rPr>
                <w:rFonts w:hint="eastAsia"/>
                <w:color w:val="auto"/>
                <w:szCs w:val="21"/>
                <w:highlight w:val="none"/>
              </w:rPr>
              <w:t>详</w:t>
            </w:r>
            <w:r>
              <w:rPr>
                <w:color w:val="auto"/>
                <w:szCs w:val="21"/>
                <w:highlight w:val="none"/>
              </w:rPr>
              <w:t>见谈判公告</w:t>
            </w:r>
            <w:r>
              <w:rPr>
                <w:rFonts w:hint="eastAsia"/>
                <w:color w:val="auto"/>
                <w:szCs w:val="21"/>
                <w:highlight w:val="none"/>
              </w:rPr>
              <w:t>。</w:t>
            </w:r>
          </w:p>
        </w:tc>
      </w:tr>
      <w:tr w14:paraId="0229CF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6" w:hRule="atLeast"/>
        </w:trPr>
        <w:tc>
          <w:tcPr>
            <w:tcW w:w="737" w:type="dxa"/>
            <w:tcBorders>
              <w:top w:val="single" w:color="auto" w:sz="4" w:space="0"/>
              <w:left w:val="single" w:color="auto" w:sz="4" w:space="0"/>
              <w:right w:val="single" w:color="auto" w:sz="4" w:space="0"/>
            </w:tcBorders>
            <w:noWrap w:val="0"/>
            <w:vAlign w:val="center"/>
          </w:tcPr>
          <w:p w14:paraId="3012BE25">
            <w:pPr>
              <w:spacing w:line="300" w:lineRule="exact"/>
              <w:jc w:val="center"/>
              <w:rPr>
                <w:b/>
                <w:color w:val="auto"/>
                <w:szCs w:val="21"/>
                <w:highlight w:val="none"/>
              </w:rPr>
            </w:pPr>
            <w:bookmarkStart w:id="29" w:name="_Hlk85555568"/>
            <w:r>
              <w:rPr>
                <w:b/>
                <w:color w:val="auto"/>
                <w:szCs w:val="21"/>
                <w:highlight w:val="none"/>
              </w:rPr>
              <w:t>1.5.3</w:t>
            </w:r>
          </w:p>
        </w:tc>
        <w:tc>
          <w:tcPr>
            <w:tcW w:w="1248" w:type="dxa"/>
            <w:tcBorders>
              <w:top w:val="single" w:color="auto" w:sz="4" w:space="0"/>
              <w:left w:val="single" w:color="auto" w:sz="4" w:space="0"/>
              <w:right w:val="single" w:color="auto" w:sz="4" w:space="0"/>
            </w:tcBorders>
            <w:noWrap w:val="0"/>
            <w:vAlign w:val="center"/>
          </w:tcPr>
          <w:p w14:paraId="16BDFAB2">
            <w:pPr>
              <w:spacing w:line="300" w:lineRule="exact"/>
              <w:jc w:val="center"/>
              <w:rPr>
                <w:color w:val="auto"/>
                <w:szCs w:val="21"/>
                <w:highlight w:val="none"/>
              </w:rPr>
            </w:pPr>
            <w:r>
              <w:rPr>
                <w:rFonts w:hint="eastAsia"/>
                <w:color w:val="auto"/>
                <w:szCs w:val="21"/>
                <w:highlight w:val="none"/>
              </w:rPr>
              <w:t>联合体</w:t>
            </w:r>
          </w:p>
        </w:tc>
        <w:tc>
          <w:tcPr>
            <w:tcW w:w="7229" w:type="dxa"/>
            <w:tcBorders>
              <w:top w:val="single" w:color="auto" w:sz="4" w:space="0"/>
              <w:left w:val="single" w:color="auto" w:sz="4" w:space="0"/>
              <w:right w:val="single" w:color="auto" w:sz="4" w:space="0"/>
            </w:tcBorders>
            <w:noWrap w:val="0"/>
            <w:vAlign w:val="center"/>
          </w:tcPr>
          <w:p w14:paraId="054DE7F4">
            <w:pPr>
              <w:spacing w:line="300" w:lineRule="exact"/>
              <w:jc w:val="left"/>
              <w:rPr>
                <w:color w:val="auto"/>
                <w:szCs w:val="21"/>
                <w:highlight w:val="none"/>
              </w:rPr>
            </w:pPr>
            <w:r>
              <w:rPr>
                <w:rFonts w:hint="eastAsia"/>
                <w:color w:val="auto"/>
                <w:szCs w:val="21"/>
                <w:highlight w:val="none"/>
              </w:rPr>
              <w:t>是否接受联合体详见谈判公告</w:t>
            </w:r>
          </w:p>
        </w:tc>
      </w:tr>
      <w:bookmarkEnd w:id="29"/>
      <w:tr w14:paraId="2BB444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37" w:type="dxa"/>
            <w:tcBorders>
              <w:top w:val="single" w:color="auto" w:sz="4" w:space="0"/>
              <w:left w:val="single" w:color="auto" w:sz="4" w:space="0"/>
              <w:bottom w:val="single" w:color="auto" w:sz="4" w:space="0"/>
              <w:right w:val="single" w:color="auto" w:sz="4" w:space="0"/>
            </w:tcBorders>
            <w:noWrap w:val="0"/>
            <w:vAlign w:val="center"/>
          </w:tcPr>
          <w:p w14:paraId="62AE1105">
            <w:pPr>
              <w:spacing w:line="300" w:lineRule="exact"/>
              <w:jc w:val="center"/>
              <w:rPr>
                <w:b/>
                <w:color w:val="auto"/>
                <w:szCs w:val="21"/>
                <w:highlight w:val="none"/>
              </w:rPr>
            </w:pPr>
            <w:r>
              <w:rPr>
                <w:b/>
                <w:color w:val="auto"/>
                <w:szCs w:val="21"/>
                <w:highlight w:val="none"/>
              </w:rPr>
              <w:t>1.6</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086570EE">
            <w:pPr>
              <w:spacing w:line="300" w:lineRule="exact"/>
              <w:jc w:val="center"/>
              <w:rPr>
                <w:color w:val="auto"/>
                <w:szCs w:val="21"/>
                <w:highlight w:val="none"/>
              </w:rPr>
            </w:pPr>
            <w:r>
              <w:rPr>
                <w:rFonts w:hint="eastAsia"/>
                <w:color w:val="auto"/>
                <w:szCs w:val="21"/>
                <w:highlight w:val="none"/>
              </w:rPr>
              <w:t>踏勘</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32F3339D">
            <w:pPr>
              <w:spacing w:line="300" w:lineRule="exact"/>
              <w:jc w:val="left"/>
              <w:rPr>
                <w:color w:val="auto"/>
                <w:szCs w:val="21"/>
                <w:highlight w:val="none"/>
              </w:rPr>
            </w:pPr>
            <w:r>
              <w:rPr>
                <w:color w:val="auto"/>
                <w:szCs w:val="21"/>
                <w:highlight w:val="none"/>
              </w:rPr>
              <w:sym w:font="Wingdings 2" w:char="F052"/>
            </w:r>
            <w:r>
              <w:rPr>
                <w:rFonts w:hint="eastAsia"/>
                <w:color w:val="auto"/>
                <w:szCs w:val="21"/>
                <w:highlight w:val="none"/>
              </w:rPr>
              <w:t xml:space="preserve">否    </w:t>
            </w:r>
          </w:p>
        </w:tc>
      </w:tr>
      <w:tr w14:paraId="2B880A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37" w:type="dxa"/>
            <w:tcBorders>
              <w:top w:val="single" w:color="auto" w:sz="4" w:space="0"/>
              <w:left w:val="single" w:color="auto" w:sz="4" w:space="0"/>
              <w:bottom w:val="single" w:color="auto" w:sz="4" w:space="0"/>
              <w:right w:val="single" w:color="auto" w:sz="4" w:space="0"/>
            </w:tcBorders>
            <w:noWrap w:val="0"/>
            <w:vAlign w:val="center"/>
          </w:tcPr>
          <w:p w14:paraId="308023E0">
            <w:pPr>
              <w:spacing w:line="300" w:lineRule="exact"/>
              <w:jc w:val="center"/>
              <w:rPr>
                <w:b/>
                <w:color w:val="auto"/>
                <w:szCs w:val="21"/>
                <w:highlight w:val="none"/>
              </w:rPr>
            </w:pPr>
            <w:r>
              <w:rPr>
                <w:b/>
                <w:color w:val="auto"/>
                <w:szCs w:val="21"/>
                <w:highlight w:val="none"/>
              </w:rPr>
              <w:t>1.7.2</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209C3D7A">
            <w:pPr>
              <w:spacing w:line="300" w:lineRule="exact"/>
              <w:jc w:val="center"/>
              <w:rPr>
                <w:color w:val="auto"/>
                <w:szCs w:val="21"/>
                <w:highlight w:val="none"/>
              </w:rPr>
            </w:pPr>
            <w:r>
              <w:rPr>
                <w:color w:val="auto"/>
                <w:szCs w:val="21"/>
                <w:highlight w:val="none"/>
              </w:rPr>
              <w:t>分包</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71889E46">
            <w:pPr>
              <w:spacing w:line="300" w:lineRule="exact"/>
              <w:jc w:val="left"/>
              <w:rPr>
                <w:rFonts w:hint="eastAsia"/>
                <w:color w:val="auto"/>
                <w:szCs w:val="21"/>
                <w:highlight w:val="none"/>
                <w:u w:val="single"/>
              </w:rPr>
            </w:pPr>
            <w:r>
              <w:rPr>
                <w:rFonts w:hint="eastAsia"/>
                <w:color w:val="auto"/>
                <w:szCs w:val="21"/>
                <w:highlight w:val="none"/>
              </w:rPr>
              <w:t>是否接受分包详见谈判公告</w:t>
            </w:r>
          </w:p>
        </w:tc>
      </w:tr>
      <w:tr w14:paraId="208CA5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37" w:type="dxa"/>
            <w:tcBorders>
              <w:top w:val="single" w:color="auto" w:sz="4" w:space="0"/>
              <w:left w:val="single" w:color="auto" w:sz="4" w:space="0"/>
              <w:bottom w:val="single" w:color="auto" w:sz="4" w:space="0"/>
              <w:right w:val="single" w:color="auto" w:sz="4" w:space="0"/>
            </w:tcBorders>
            <w:noWrap w:val="0"/>
            <w:vAlign w:val="center"/>
          </w:tcPr>
          <w:p w14:paraId="71270E01">
            <w:pPr>
              <w:spacing w:line="300" w:lineRule="exact"/>
              <w:jc w:val="center"/>
              <w:rPr>
                <w:b/>
                <w:color w:val="auto"/>
                <w:szCs w:val="21"/>
                <w:highlight w:val="none"/>
              </w:rPr>
            </w:pPr>
            <w:r>
              <w:rPr>
                <w:b/>
                <w:color w:val="auto"/>
                <w:szCs w:val="21"/>
                <w:highlight w:val="none"/>
              </w:rPr>
              <w:t>2.3</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79735904">
            <w:pPr>
              <w:spacing w:line="300" w:lineRule="exact"/>
              <w:jc w:val="center"/>
              <w:rPr>
                <w:color w:val="auto"/>
                <w:szCs w:val="21"/>
                <w:highlight w:val="none"/>
              </w:rPr>
            </w:pPr>
            <w:r>
              <w:rPr>
                <w:color w:val="auto"/>
                <w:szCs w:val="21"/>
                <w:highlight w:val="none"/>
              </w:rPr>
              <w:t>采购文件澄清、修改</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1802BC67">
            <w:pPr>
              <w:spacing w:line="300" w:lineRule="exact"/>
              <w:jc w:val="left"/>
              <w:rPr>
                <w:color w:val="auto"/>
                <w:szCs w:val="21"/>
                <w:highlight w:val="none"/>
              </w:rPr>
            </w:pPr>
            <w:r>
              <w:rPr>
                <w:color w:val="auto"/>
                <w:szCs w:val="21"/>
                <w:highlight w:val="none"/>
              </w:rPr>
              <w:t>在谈判公告发布媒介发布</w:t>
            </w:r>
            <w:r>
              <w:rPr>
                <w:rFonts w:hint="eastAsia"/>
                <w:color w:val="auto"/>
                <w:szCs w:val="21"/>
                <w:highlight w:val="none"/>
              </w:rPr>
              <w:t>。</w:t>
            </w:r>
          </w:p>
        </w:tc>
      </w:tr>
      <w:tr w14:paraId="52CED0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737" w:type="dxa"/>
            <w:tcBorders>
              <w:top w:val="single" w:color="auto" w:sz="4" w:space="0"/>
              <w:left w:val="single" w:color="auto" w:sz="4" w:space="0"/>
              <w:bottom w:val="single" w:color="auto" w:sz="4" w:space="0"/>
              <w:right w:val="single" w:color="auto" w:sz="4" w:space="0"/>
            </w:tcBorders>
            <w:noWrap w:val="0"/>
            <w:vAlign w:val="center"/>
          </w:tcPr>
          <w:p w14:paraId="7ABDE871">
            <w:pPr>
              <w:spacing w:line="300" w:lineRule="exact"/>
              <w:jc w:val="center"/>
              <w:rPr>
                <w:b/>
                <w:color w:val="auto"/>
                <w:szCs w:val="21"/>
                <w:highlight w:val="none"/>
              </w:rPr>
            </w:pPr>
            <w:r>
              <w:rPr>
                <w:b/>
                <w:color w:val="auto"/>
                <w:szCs w:val="21"/>
                <w:highlight w:val="none"/>
              </w:rPr>
              <w:t>2.3</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2B3960E6">
            <w:pPr>
              <w:spacing w:line="300" w:lineRule="exact"/>
              <w:jc w:val="center"/>
              <w:rPr>
                <w:color w:val="auto"/>
                <w:szCs w:val="21"/>
                <w:highlight w:val="none"/>
              </w:rPr>
            </w:pPr>
            <w:r>
              <w:rPr>
                <w:color w:val="auto"/>
                <w:szCs w:val="21"/>
                <w:highlight w:val="none"/>
              </w:rPr>
              <w:t>确认收到澄清、修改发布的方式</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0A9AE186">
            <w:pPr>
              <w:spacing w:line="300" w:lineRule="exact"/>
              <w:jc w:val="left"/>
              <w:rPr>
                <w:color w:val="auto"/>
                <w:szCs w:val="21"/>
                <w:highlight w:val="none"/>
              </w:rPr>
            </w:pPr>
            <w:r>
              <w:rPr>
                <w:color w:val="auto"/>
                <w:szCs w:val="21"/>
                <w:highlight w:val="none"/>
              </w:rPr>
              <w:t>澄清、修改文件</w:t>
            </w:r>
            <w:r>
              <w:rPr>
                <w:rFonts w:hint="eastAsia"/>
                <w:color w:val="auto"/>
                <w:szCs w:val="21"/>
                <w:highlight w:val="none"/>
              </w:rPr>
              <w:t>自谈判公告</w:t>
            </w:r>
            <w:r>
              <w:rPr>
                <w:color w:val="auto"/>
                <w:szCs w:val="21"/>
                <w:highlight w:val="none"/>
              </w:rPr>
              <w:t>发布媒</w:t>
            </w:r>
            <w:r>
              <w:rPr>
                <w:rFonts w:hint="eastAsia"/>
                <w:color w:val="auto"/>
                <w:szCs w:val="21"/>
                <w:highlight w:val="none"/>
              </w:rPr>
              <w:t>体</w:t>
            </w:r>
            <w:r>
              <w:rPr>
                <w:color w:val="auto"/>
                <w:szCs w:val="21"/>
                <w:highlight w:val="none"/>
              </w:rPr>
              <w:t>发布之日起，视为供应商已收到该澄清、修改。供应商未及时关注</w:t>
            </w:r>
            <w:r>
              <w:rPr>
                <w:rFonts w:hint="eastAsia"/>
                <w:color w:val="auto"/>
                <w:szCs w:val="21"/>
                <w:highlight w:val="none"/>
              </w:rPr>
              <w:t>谈判公告</w:t>
            </w:r>
            <w:r>
              <w:rPr>
                <w:color w:val="auto"/>
                <w:szCs w:val="21"/>
                <w:highlight w:val="none"/>
              </w:rPr>
              <w:t>发布媒</w:t>
            </w:r>
            <w:r>
              <w:rPr>
                <w:rFonts w:hint="eastAsia"/>
                <w:color w:val="auto"/>
                <w:szCs w:val="21"/>
                <w:highlight w:val="none"/>
              </w:rPr>
              <w:t>体</w:t>
            </w:r>
            <w:r>
              <w:rPr>
                <w:color w:val="auto"/>
                <w:szCs w:val="21"/>
                <w:highlight w:val="none"/>
              </w:rPr>
              <w:t>造成的损失，由供应商自行负责。</w:t>
            </w:r>
          </w:p>
        </w:tc>
      </w:tr>
      <w:tr w14:paraId="2ECD06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737" w:type="dxa"/>
            <w:tcBorders>
              <w:top w:val="single" w:color="auto" w:sz="4" w:space="0"/>
              <w:left w:val="single" w:color="auto" w:sz="4" w:space="0"/>
              <w:bottom w:val="single" w:color="auto" w:sz="4" w:space="0"/>
              <w:right w:val="single" w:color="auto" w:sz="4" w:space="0"/>
            </w:tcBorders>
            <w:noWrap w:val="0"/>
            <w:vAlign w:val="center"/>
          </w:tcPr>
          <w:p w14:paraId="7D5AD2A8">
            <w:pPr>
              <w:spacing w:line="300" w:lineRule="exact"/>
              <w:jc w:val="center"/>
              <w:rPr>
                <w:b/>
                <w:color w:val="auto"/>
                <w:szCs w:val="21"/>
                <w:highlight w:val="none"/>
              </w:rPr>
            </w:pPr>
            <w:r>
              <w:rPr>
                <w:b/>
                <w:color w:val="auto"/>
                <w:szCs w:val="21"/>
                <w:highlight w:val="none"/>
              </w:rPr>
              <w:t>3.4.1</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7A8138E0">
            <w:pPr>
              <w:spacing w:line="300" w:lineRule="exact"/>
              <w:jc w:val="center"/>
              <w:rPr>
                <w:color w:val="auto"/>
                <w:szCs w:val="21"/>
                <w:highlight w:val="none"/>
              </w:rPr>
            </w:pPr>
            <w:r>
              <w:rPr>
                <w:color w:val="auto"/>
                <w:szCs w:val="21"/>
                <w:highlight w:val="none"/>
              </w:rPr>
              <w:t>响应有效期</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247CEC1C">
            <w:pPr>
              <w:spacing w:line="300" w:lineRule="exact"/>
              <w:jc w:val="left"/>
              <w:rPr>
                <w:color w:val="auto"/>
                <w:szCs w:val="21"/>
                <w:highlight w:val="none"/>
              </w:rPr>
            </w:pPr>
            <w:r>
              <w:rPr>
                <w:color w:val="auto"/>
                <w:szCs w:val="21"/>
                <w:highlight w:val="none"/>
              </w:rPr>
              <w:t>响应截止之日起90天。</w:t>
            </w:r>
          </w:p>
        </w:tc>
      </w:tr>
      <w:tr w14:paraId="60C2EF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37" w:type="dxa"/>
            <w:tcBorders>
              <w:top w:val="single" w:color="auto" w:sz="4" w:space="0"/>
              <w:left w:val="single" w:color="auto" w:sz="4" w:space="0"/>
              <w:bottom w:val="single" w:color="auto" w:sz="4" w:space="0"/>
              <w:right w:val="single" w:color="auto" w:sz="4" w:space="0"/>
            </w:tcBorders>
            <w:noWrap w:val="0"/>
            <w:vAlign w:val="center"/>
          </w:tcPr>
          <w:p w14:paraId="5C6666F5">
            <w:pPr>
              <w:spacing w:line="300" w:lineRule="exact"/>
              <w:jc w:val="center"/>
              <w:rPr>
                <w:b/>
                <w:color w:val="auto"/>
                <w:szCs w:val="21"/>
                <w:highlight w:val="none"/>
              </w:rPr>
            </w:pPr>
            <w:r>
              <w:rPr>
                <w:b/>
                <w:color w:val="auto"/>
                <w:szCs w:val="21"/>
                <w:highlight w:val="none"/>
              </w:rPr>
              <w:t>3.5</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2CFCFADA">
            <w:pPr>
              <w:spacing w:line="300" w:lineRule="exact"/>
              <w:jc w:val="center"/>
              <w:rPr>
                <w:color w:val="auto"/>
                <w:szCs w:val="21"/>
                <w:highlight w:val="none"/>
              </w:rPr>
            </w:pPr>
            <w:r>
              <w:rPr>
                <w:color w:val="auto"/>
                <w:szCs w:val="21"/>
                <w:highlight w:val="none"/>
              </w:rPr>
              <w:t>谈判保证金</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04D20002">
            <w:pPr>
              <w:spacing w:line="300" w:lineRule="exact"/>
              <w:jc w:val="left"/>
              <w:rPr>
                <w:rFonts w:hint="eastAsia"/>
                <w:color w:val="auto"/>
                <w:szCs w:val="21"/>
                <w:highlight w:val="none"/>
              </w:rPr>
            </w:pPr>
            <w:r>
              <w:rPr>
                <w:rFonts w:hint="eastAsia"/>
                <w:color w:val="auto"/>
                <w:szCs w:val="21"/>
                <w:highlight w:val="none"/>
              </w:rPr>
              <w:t>无（谈判文件中所有涉及谈判保证金的内容都默认删除）</w:t>
            </w:r>
          </w:p>
        </w:tc>
      </w:tr>
      <w:tr w14:paraId="3D1C4D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5" w:hRule="atLeast"/>
        </w:trPr>
        <w:tc>
          <w:tcPr>
            <w:tcW w:w="737" w:type="dxa"/>
            <w:tcBorders>
              <w:left w:val="single" w:color="auto" w:sz="4" w:space="0"/>
              <w:right w:val="single" w:color="auto" w:sz="4" w:space="0"/>
            </w:tcBorders>
            <w:noWrap w:val="0"/>
            <w:vAlign w:val="center"/>
          </w:tcPr>
          <w:p w14:paraId="67EAA405">
            <w:pPr>
              <w:spacing w:line="300" w:lineRule="exact"/>
              <w:jc w:val="center"/>
              <w:rPr>
                <w:b/>
                <w:color w:val="auto"/>
                <w:szCs w:val="21"/>
                <w:highlight w:val="none"/>
              </w:rPr>
            </w:pPr>
            <w:r>
              <w:rPr>
                <w:rFonts w:hint="eastAsia"/>
                <w:b/>
                <w:color w:val="auto"/>
                <w:szCs w:val="21"/>
                <w:highlight w:val="none"/>
              </w:rPr>
              <w:t>3</w:t>
            </w:r>
            <w:r>
              <w:rPr>
                <w:b/>
                <w:color w:val="auto"/>
                <w:szCs w:val="21"/>
                <w:highlight w:val="none"/>
              </w:rPr>
              <w:t>.6</w:t>
            </w:r>
          </w:p>
        </w:tc>
        <w:tc>
          <w:tcPr>
            <w:tcW w:w="1248" w:type="dxa"/>
            <w:tcBorders>
              <w:top w:val="single" w:color="auto" w:sz="4" w:space="0"/>
              <w:left w:val="single" w:color="auto" w:sz="4" w:space="0"/>
              <w:right w:val="single" w:color="auto" w:sz="4" w:space="0"/>
            </w:tcBorders>
            <w:noWrap w:val="0"/>
            <w:vAlign w:val="center"/>
          </w:tcPr>
          <w:p w14:paraId="171C02FB">
            <w:pPr>
              <w:spacing w:line="300" w:lineRule="exact"/>
              <w:jc w:val="center"/>
              <w:rPr>
                <w:color w:val="auto"/>
                <w:szCs w:val="21"/>
                <w:highlight w:val="none"/>
              </w:rPr>
            </w:pPr>
            <w:r>
              <w:rPr>
                <w:rFonts w:hint="eastAsia"/>
                <w:color w:val="auto"/>
                <w:szCs w:val="21"/>
                <w:highlight w:val="none"/>
              </w:rPr>
              <w:t>响应文件的编制</w:t>
            </w:r>
          </w:p>
        </w:tc>
        <w:tc>
          <w:tcPr>
            <w:tcW w:w="7229" w:type="dxa"/>
            <w:tcBorders>
              <w:top w:val="single" w:color="auto" w:sz="4" w:space="0"/>
              <w:left w:val="single" w:color="auto" w:sz="4" w:space="0"/>
              <w:right w:val="single" w:color="auto" w:sz="4" w:space="0"/>
            </w:tcBorders>
            <w:noWrap w:val="0"/>
            <w:vAlign w:val="center"/>
          </w:tcPr>
          <w:p w14:paraId="6A5BE9C8">
            <w:pPr>
              <w:spacing w:line="300" w:lineRule="exact"/>
              <w:jc w:val="left"/>
              <w:rPr>
                <w:color w:val="auto"/>
                <w:szCs w:val="21"/>
                <w:highlight w:val="none"/>
              </w:rPr>
            </w:pPr>
            <w:r>
              <w:rPr>
                <w:rFonts w:hint="eastAsia" w:hAnsi="宋体"/>
                <w:color w:val="auto"/>
                <w:szCs w:val="21"/>
                <w:highlight w:val="none"/>
              </w:rPr>
              <w:t>响应文件应按第六章响应文件格式分别编制并使用下载的广西政府采购云平台新版客户端上传。</w:t>
            </w:r>
          </w:p>
        </w:tc>
      </w:tr>
      <w:tr w14:paraId="5A7FAB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737" w:type="dxa"/>
            <w:tcBorders>
              <w:top w:val="single" w:color="auto" w:sz="4" w:space="0"/>
              <w:left w:val="single" w:color="auto" w:sz="4" w:space="0"/>
              <w:bottom w:val="single" w:color="auto" w:sz="4" w:space="0"/>
              <w:right w:val="single" w:color="auto" w:sz="4" w:space="0"/>
            </w:tcBorders>
            <w:noWrap w:val="0"/>
            <w:vAlign w:val="center"/>
          </w:tcPr>
          <w:p w14:paraId="345BCBBA">
            <w:pPr>
              <w:spacing w:line="300" w:lineRule="exact"/>
              <w:jc w:val="center"/>
              <w:rPr>
                <w:b/>
                <w:color w:val="auto"/>
                <w:szCs w:val="21"/>
                <w:highlight w:val="none"/>
              </w:rPr>
            </w:pPr>
            <w:r>
              <w:rPr>
                <w:b/>
                <w:color w:val="auto"/>
                <w:szCs w:val="21"/>
                <w:highlight w:val="none"/>
              </w:rPr>
              <w:t>3.7</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2416FC0E">
            <w:pPr>
              <w:spacing w:line="300" w:lineRule="exact"/>
              <w:jc w:val="center"/>
              <w:rPr>
                <w:color w:val="auto"/>
                <w:szCs w:val="21"/>
                <w:highlight w:val="none"/>
              </w:rPr>
            </w:pPr>
            <w:r>
              <w:rPr>
                <w:color w:val="auto"/>
                <w:szCs w:val="21"/>
                <w:highlight w:val="none"/>
              </w:rPr>
              <w:t>响应文件递交</w:t>
            </w:r>
            <w:r>
              <w:rPr>
                <w:rFonts w:hint="eastAsia"/>
                <w:color w:val="auto"/>
                <w:szCs w:val="21"/>
                <w:highlight w:val="none"/>
              </w:rPr>
              <w:t>截止时间及截标时间</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5345C6B4">
            <w:pPr>
              <w:spacing w:line="300" w:lineRule="exact"/>
              <w:jc w:val="left"/>
              <w:rPr>
                <w:color w:val="auto"/>
                <w:szCs w:val="21"/>
                <w:highlight w:val="none"/>
              </w:rPr>
            </w:pPr>
            <w:r>
              <w:rPr>
                <w:rFonts w:hint="eastAsia"/>
                <w:color w:val="auto"/>
                <w:kern w:val="0"/>
                <w:szCs w:val="21"/>
                <w:highlight w:val="none"/>
              </w:rPr>
              <w:t>见谈判公告要求</w:t>
            </w:r>
            <w:r>
              <w:rPr>
                <w:rFonts w:hint="eastAsia"/>
                <w:color w:val="auto"/>
                <w:szCs w:val="21"/>
                <w:highlight w:val="none"/>
              </w:rPr>
              <w:t>。</w:t>
            </w:r>
          </w:p>
        </w:tc>
      </w:tr>
      <w:tr w14:paraId="364389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37" w:type="dxa"/>
            <w:tcBorders>
              <w:top w:val="single" w:color="auto" w:sz="4" w:space="0"/>
              <w:left w:val="single" w:color="auto" w:sz="4" w:space="0"/>
              <w:bottom w:val="single" w:color="auto" w:sz="4" w:space="0"/>
              <w:right w:val="single" w:color="auto" w:sz="4" w:space="0"/>
            </w:tcBorders>
            <w:noWrap w:val="0"/>
            <w:vAlign w:val="center"/>
          </w:tcPr>
          <w:p w14:paraId="1A171F43">
            <w:pPr>
              <w:spacing w:line="300" w:lineRule="exact"/>
              <w:jc w:val="center"/>
              <w:rPr>
                <w:b/>
                <w:color w:val="auto"/>
                <w:szCs w:val="21"/>
                <w:highlight w:val="none"/>
              </w:rPr>
            </w:pPr>
            <w:r>
              <w:rPr>
                <w:rFonts w:hint="eastAsia"/>
                <w:b/>
                <w:color w:val="auto"/>
                <w:szCs w:val="21"/>
                <w:highlight w:val="none"/>
              </w:rPr>
              <w:t>4</w:t>
            </w:r>
            <w:r>
              <w:rPr>
                <w:b/>
                <w:color w:val="auto"/>
                <w:szCs w:val="21"/>
                <w:highlight w:val="none"/>
              </w:rPr>
              <w:t>.2</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31B52852">
            <w:pPr>
              <w:spacing w:line="300" w:lineRule="exact"/>
              <w:jc w:val="center"/>
              <w:rPr>
                <w:color w:val="auto"/>
                <w:szCs w:val="20"/>
                <w:highlight w:val="none"/>
              </w:rPr>
            </w:pPr>
            <w:r>
              <w:rPr>
                <w:rFonts w:hint="eastAsia"/>
                <w:color w:val="auto"/>
                <w:szCs w:val="21"/>
                <w:highlight w:val="none"/>
              </w:rPr>
              <w:t>备份响应文件</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444C44D2">
            <w:pPr>
              <w:spacing w:line="276" w:lineRule="auto"/>
              <w:rPr>
                <w:rFonts w:ascii="宋体" w:hAnsi="宋体"/>
                <w:color w:val="auto"/>
                <w:szCs w:val="21"/>
                <w:highlight w:val="none"/>
              </w:rPr>
            </w:pPr>
            <w:r>
              <w:rPr>
                <w:rFonts w:hint="eastAsia" w:ascii="宋体" w:hAnsi="宋体"/>
                <w:color w:val="auto"/>
                <w:szCs w:val="21"/>
                <w:highlight w:val="none"/>
              </w:rPr>
              <w:t>本项目</w:t>
            </w:r>
            <w:r>
              <w:rPr>
                <w:rFonts w:hint="eastAsia"/>
                <w:color w:val="auto"/>
                <w:szCs w:val="21"/>
                <w:highlight w:val="none"/>
              </w:rPr>
              <w:t xml:space="preserve">□接受   </w:t>
            </w:r>
            <w:r>
              <w:rPr>
                <w:color w:val="auto"/>
                <w:sz w:val="22"/>
                <w:szCs w:val="22"/>
                <w:highlight w:val="none"/>
              </w:rPr>
              <w:sym w:font="Wingdings 2" w:char="F052"/>
            </w:r>
            <w:r>
              <w:rPr>
                <w:rFonts w:hint="eastAsia"/>
                <w:color w:val="auto"/>
                <w:szCs w:val="21"/>
                <w:highlight w:val="none"/>
              </w:rPr>
              <w:t>不接受</w:t>
            </w:r>
            <w:r>
              <w:rPr>
                <w:rFonts w:hint="eastAsia" w:ascii="宋体" w:hAnsi="宋体"/>
                <w:color w:val="auto"/>
                <w:szCs w:val="21"/>
                <w:highlight w:val="none"/>
              </w:rPr>
              <w:t>备份响应文件</w:t>
            </w:r>
          </w:p>
          <w:p w14:paraId="57C4006F">
            <w:pPr>
              <w:spacing w:line="276" w:lineRule="auto"/>
              <w:rPr>
                <w:rFonts w:hint="eastAsia"/>
                <w:color w:val="auto"/>
                <w:sz w:val="22"/>
                <w:szCs w:val="22"/>
                <w:highlight w:val="none"/>
              </w:rPr>
            </w:pPr>
            <w:r>
              <w:rPr>
                <w:rFonts w:hint="eastAsia" w:ascii="宋体" w:hAnsi="宋体"/>
                <w:color w:val="auto"/>
                <w:szCs w:val="21"/>
                <w:highlight w:val="none"/>
              </w:rPr>
              <w:t>以广西政府采购云平台自动生成的备份文件为依据，当项目允许接受备份响应文件时，供应商才可以按规定上传备份响应文件。</w:t>
            </w:r>
          </w:p>
        </w:tc>
      </w:tr>
      <w:tr w14:paraId="3AE859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37" w:type="dxa"/>
            <w:tcBorders>
              <w:top w:val="single" w:color="auto" w:sz="4" w:space="0"/>
              <w:left w:val="single" w:color="auto" w:sz="4" w:space="0"/>
              <w:bottom w:val="single" w:color="auto" w:sz="4" w:space="0"/>
              <w:right w:val="single" w:color="auto" w:sz="4" w:space="0"/>
            </w:tcBorders>
            <w:noWrap w:val="0"/>
            <w:vAlign w:val="center"/>
          </w:tcPr>
          <w:p w14:paraId="2EB87214">
            <w:pPr>
              <w:spacing w:line="300" w:lineRule="exact"/>
              <w:jc w:val="center"/>
              <w:rPr>
                <w:b/>
                <w:color w:val="auto"/>
                <w:szCs w:val="21"/>
                <w:highlight w:val="none"/>
              </w:rPr>
            </w:pPr>
            <w:r>
              <w:rPr>
                <w:rFonts w:hint="eastAsia"/>
                <w:b/>
                <w:color w:val="auto"/>
                <w:szCs w:val="21"/>
                <w:highlight w:val="none"/>
              </w:rPr>
              <w:t>4</w:t>
            </w:r>
            <w:r>
              <w:rPr>
                <w:b/>
                <w:color w:val="auto"/>
                <w:szCs w:val="21"/>
                <w:highlight w:val="none"/>
              </w:rPr>
              <w:t>.3</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357A960C">
            <w:pPr>
              <w:spacing w:line="300" w:lineRule="exact"/>
              <w:jc w:val="center"/>
              <w:rPr>
                <w:color w:val="auto"/>
                <w:szCs w:val="21"/>
                <w:highlight w:val="none"/>
              </w:rPr>
            </w:pPr>
            <w:r>
              <w:rPr>
                <w:rFonts w:hint="eastAsia"/>
                <w:color w:val="auto"/>
                <w:szCs w:val="20"/>
                <w:highlight w:val="none"/>
              </w:rPr>
              <w:t>演示</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7A8D1C7E">
            <w:pPr>
              <w:spacing w:line="276" w:lineRule="auto"/>
              <w:rPr>
                <w:color w:val="auto"/>
                <w:szCs w:val="21"/>
                <w:highlight w:val="none"/>
              </w:rPr>
            </w:pPr>
            <w:r>
              <w:rPr>
                <w:color w:val="auto"/>
                <w:sz w:val="22"/>
                <w:szCs w:val="22"/>
                <w:highlight w:val="none"/>
              </w:rPr>
              <w:sym w:font="Wingdings 2" w:char="F052"/>
            </w:r>
            <w:r>
              <w:rPr>
                <w:rFonts w:hint="eastAsia"/>
                <w:color w:val="auto"/>
                <w:szCs w:val="21"/>
                <w:highlight w:val="none"/>
              </w:rPr>
              <w:t>否   □是</w:t>
            </w:r>
          </w:p>
          <w:p w14:paraId="65D32B31">
            <w:pPr>
              <w:spacing w:line="276" w:lineRule="auto"/>
              <w:rPr>
                <w:color w:val="auto"/>
                <w:szCs w:val="21"/>
                <w:highlight w:val="none"/>
                <w:u w:val="single"/>
              </w:rPr>
            </w:pPr>
            <w:r>
              <w:rPr>
                <w:rFonts w:hint="eastAsia"/>
                <w:color w:val="auto"/>
                <w:szCs w:val="21"/>
                <w:highlight w:val="none"/>
              </w:rPr>
              <w:t>演示内容：</w:t>
            </w:r>
            <w:r>
              <w:rPr>
                <w:rFonts w:hint="eastAsia"/>
                <w:color w:val="auto"/>
                <w:szCs w:val="21"/>
                <w:highlight w:val="none"/>
                <w:u w:val="single"/>
              </w:rPr>
              <w:t xml:space="preserve"> </w:t>
            </w:r>
            <w:r>
              <w:rPr>
                <w:color w:val="auto"/>
                <w:szCs w:val="21"/>
                <w:highlight w:val="none"/>
                <w:u w:val="single"/>
              </w:rPr>
              <w:t xml:space="preserve">              </w:t>
            </w:r>
          </w:p>
          <w:p w14:paraId="442F090C">
            <w:pPr>
              <w:spacing w:line="276" w:lineRule="auto"/>
              <w:rPr>
                <w:color w:val="auto"/>
                <w:szCs w:val="21"/>
                <w:highlight w:val="none"/>
              </w:rPr>
            </w:pPr>
            <w:r>
              <w:rPr>
                <w:rFonts w:hint="eastAsia"/>
                <w:color w:val="auto"/>
                <w:szCs w:val="21"/>
                <w:highlight w:val="none"/>
              </w:rPr>
              <w:t>演示形式：</w:t>
            </w:r>
            <w:r>
              <w:rPr>
                <w:color w:val="auto"/>
                <w:szCs w:val="21"/>
                <w:highlight w:val="none"/>
              </w:rPr>
              <w:t xml:space="preserve"> </w:t>
            </w:r>
          </w:p>
        </w:tc>
      </w:tr>
      <w:tr w14:paraId="5DEE6B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37" w:type="dxa"/>
            <w:tcBorders>
              <w:top w:val="single" w:color="auto" w:sz="4" w:space="0"/>
              <w:left w:val="single" w:color="auto" w:sz="4" w:space="0"/>
              <w:bottom w:val="single" w:color="auto" w:sz="4" w:space="0"/>
              <w:right w:val="single" w:color="auto" w:sz="4" w:space="0"/>
            </w:tcBorders>
            <w:noWrap w:val="0"/>
            <w:vAlign w:val="center"/>
          </w:tcPr>
          <w:p w14:paraId="52DABB12">
            <w:pPr>
              <w:spacing w:line="300" w:lineRule="exact"/>
              <w:jc w:val="center"/>
              <w:rPr>
                <w:b/>
                <w:color w:val="auto"/>
                <w:szCs w:val="21"/>
                <w:highlight w:val="none"/>
              </w:rPr>
            </w:pPr>
            <w:r>
              <w:rPr>
                <w:rFonts w:hint="eastAsia"/>
                <w:b/>
                <w:color w:val="auto"/>
                <w:szCs w:val="21"/>
                <w:highlight w:val="none"/>
              </w:rPr>
              <w:t>4</w:t>
            </w:r>
            <w:r>
              <w:rPr>
                <w:b/>
                <w:color w:val="auto"/>
                <w:szCs w:val="21"/>
                <w:highlight w:val="none"/>
              </w:rPr>
              <w:t>.4</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7AC5C8E5">
            <w:pPr>
              <w:spacing w:line="300" w:lineRule="exact"/>
              <w:jc w:val="center"/>
              <w:rPr>
                <w:color w:val="auto"/>
                <w:szCs w:val="21"/>
                <w:highlight w:val="none"/>
              </w:rPr>
            </w:pPr>
            <w:r>
              <w:rPr>
                <w:rFonts w:hint="eastAsia"/>
                <w:color w:val="auto"/>
                <w:szCs w:val="20"/>
                <w:highlight w:val="none"/>
              </w:rPr>
              <w:t>样品</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5920F07E">
            <w:pPr>
              <w:spacing w:line="276" w:lineRule="auto"/>
              <w:rPr>
                <w:color w:val="auto"/>
                <w:szCs w:val="21"/>
                <w:highlight w:val="none"/>
              </w:rPr>
            </w:pPr>
            <w:r>
              <w:rPr>
                <w:color w:val="auto"/>
                <w:sz w:val="24"/>
                <w:highlight w:val="none"/>
              </w:rPr>
              <w:sym w:font="Wingdings 2" w:char="F052"/>
            </w:r>
            <w:r>
              <w:rPr>
                <w:rFonts w:hint="eastAsia"/>
                <w:color w:val="auto"/>
                <w:szCs w:val="21"/>
                <w:highlight w:val="none"/>
              </w:rPr>
              <w:t>否   □是</w:t>
            </w:r>
          </w:p>
          <w:p w14:paraId="743E615F">
            <w:pPr>
              <w:spacing w:line="276" w:lineRule="auto"/>
              <w:rPr>
                <w:color w:val="auto"/>
                <w:szCs w:val="21"/>
                <w:highlight w:val="none"/>
                <w:u w:val="single"/>
              </w:rPr>
            </w:pPr>
            <w:r>
              <w:rPr>
                <w:rFonts w:hint="eastAsia"/>
                <w:color w:val="auto"/>
                <w:szCs w:val="21"/>
                <w:highlight w:val="none"/>
              </w:rPr>
              <w:t>样品制作的标准和要求：</w:t>
            </w:r>
            <w:r>
              <w:rPr>
                <w:rFonts w:hint="eastAsia"/>
                <w:color w:val="auto"/>
                <w:szCs w:val="21"/>
                <w:highlight w:val="none"/>
                <w:u w:val="single"/>
              </w:rPr>
              <w:t xml:space="preserve"> </w:t>
            </w:r>
            <w:r>
              <w:rPr>
                <w:color w:val="auto"/>
                <w:szCs w:val="21"/>
                <w:highlight w:val="none"/>
                <w:u w:val="single"/>
              </w:rPr>
              <w:t xml:space="preserve">              </w:t>
            </w:r>
          </w:p>
          <w:p w14:paraId="7F411743">
            <w:pPr>
              <w:spacing w:line="276" w:lineRule="auto"/>
              <w:rPr>
                <w:color w:val="auto"/>
                <w:szCs w:val="21"/>
                <w:highlight w:val="none"/>
                <w:u w:val="single"/>
              </w:rPr>
            </w:pPr>
            <w:r>
              <w:rPr>
                <w:rFonts w:hint="eastAsia"/>
                <w:color w:val="auto"/>
                <w:szCs w:val="21"/>
                <w:highlight w:val="none"/>
              </w:rPr>
              <w:t>样品检测机构的要求：</w:t>
            </w:r>
            <w:r>
              <w:rPr>
                <w:rFonts w:hint="eastAsia"/>
                <w:color w:val="auto"/>
                <w:szCs w:val="21"/>
                <w:highlight w:val="none"/>
                <w:u w:val="single"/>
              </w:rPr>
              <w:t xml:space="preserve"> </w:t>
            </w:r>
            <w:r>
              <w:rPr>
                <w:color w:val="auto"/>
                <w:szCs w:val="21"/>
                <w:highlight w:val="none"/>
                <w:u w:val="single"/>
              </w:rPr>
              <w:t xml:space="preserve">               </w:t>
            </w:r>
          </w:p>
          <w:p w14:paraId="75501714">
            <w:pPr>
              <w:spacing w:line="276" w:lineRule="auto"/>
              <w:rPr>
                <w:color w:val="auto"/>
                <w:szCs w:val="21"/>
                <w:highlight w:val="none"/>
                <w:u w:val="single"/>
              </w:rPr>
            </w:pPr>
            <w:r>
              <w:rPr>
                <w:rFonts w:hint="eastAsia"/>
                <w:color w:val="auto"/>
                <w:szCs w:val="21"/>
                <w:highlight w:val="none"/>
              </w:rPr>
              <w:t>检测内容：</w:t>
            </w:r>
            <w:r>
              <w:rPr>
                <w:rFonts w:hint="eastAsia"/>
                <w:color w:val="auto"/>
                <w:szCs w:val="21"/>
                <w:highlight w:val="none"/>
                <w:u w:val="single"/>
              </w:rPr>
              <w:t xml:space="preserve"> </w:t>
            </w:r>
            <w:r>
              <w:rPr>
                <w:color w:val="auto"/>
                <w:szCs w:val="21"/>
                <w:highlight w:val="none"/>
                <w:u w:val="single"/>
              </w:rPr>
              <w:t xml:space="preserve">                    </w:t>
            </w:r>
          </w:p>
          <w:p w14:paraId="4FE05E41">
            <w:pPr>
              <w:spacing w:line="276" w:lineRule="auto"/>
              <w:rPr>
                <w:color w:val="auto"/>
                <w:szCs w:val="21"/>
                <w:highlight w:val="none"/>
              </w:rPr>
            </w:pPr>
            <w:r>
              <w:rPr>
                <w:rFonts w:hint="eastAsia"/>
                <w:color w:val="auto"/>
                <w:szCs w:val="21"/>
                <w:highlight w:val="none"/>
              </w:rPr>
              <w:t>样品递交方式：</w:t>
            </w:r>
            <w:r>
              <w:rPr>
                <w:color w:val="auto"/>
                <w:szCs w:val="21"/>
                <w:highlight w:val="none"/>
              </w:rPr>
              <w:t xml:space="preserve"> </w:t>
            </w:r>
          </w:p>
        </w:tc>
      </w:tr>
      <w:tr w14:paraId="31C3D1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37" w:type="dxa"/>
            <w:tcBorders>
              <w:top w:val="single" w:color="auto" w:sz="4" w:space="0"/>
              <w:left w:val="single" w:color="auto" w:sz="4" w:space="0"/>
              <w:bottom w:val="single" w:color="auto" w:sz="4" w:space="0"/>
              <w:right w:val="single" w:color="auto" w:sz="4" w:space="0"/>
            </w:tcBorders>
            <w:noWrap w:val="0"/>
            <w:vAlign w:val="center"/>
          </w:tcPr>
          <w:p w14:paraId="049BE489">
            <w:pPr>
              <w:spacing w:line="300" w:lineRule="exact"/>
              <w:jc w:val="center"/>
              <w:rPr>
                <w:b/>
                <w:color w:val="auto"/>
                <w:szCs w:val="21"/>
                <w:highlight w:val="none"/>
              </w:rPr>
            </w:pPr>
            <w:r>
              <w:rPr>
                <w:rFonts w:hint="eastAsia"/>
                <w:b/>
                <w:color w:val="auto"/>
                <w:szCs w:val="21"/>
                <w:highlight w:val="none"/>
              </w:rPr>
              <w:t>6.</w:t>
            </w:r>
            <w:r>
              <w:rPr>
                <w:b/>
                <w:color w:val="auto"/>
                <w:szCs w:val="21"/>
                <w:highlight w:val="none"/>
              </w:rPr>
              <w:t>3</w:t>
            </w:r>
            <w:r>
              <w:rPr>
                <w:rFonts w:hint="eastAsia"/>
                <w:b/>
                <w:color w:val="auto"/>
                <w:szCs w:val="21"/>
                <w:highlight w:val="none"/>
              </w:rPr>
              <w:t>.</w:t>
            </w:r>
            <w:r>
              <w:rPr>
                <w:b/>
                <w:color w:val="auto"/>
                <w:szCs w:val="21"/>
                <w:highlight w:val="none"/>
              </w:rPr>
              <w:t>5</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2643F980">
            <w:pPr>
              <w:spacing w:line="300" w:lineRule="exact"/>
              <w:jc w:val="center"/>
              <w:rPr>
                <w:color w:val="auto"/>
                <w:szCs w:val="21"/>
                <w:highlight w:val="none"/>
              </w:rPr>
            </w:pPr>
            <w:r>
              <w:rPr>
                <w:rFonts w:hint="eastAsia"/>
                <w:color w:val="auto"/>
                <w:szCs w:val="21"/>
                <w:highlight w:val="none"/>
              </w:rPr>
              <w:t>相同品牌推荐方式</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3426CEB9">
            <w:pPr>
              <w:spacing w:line="276" w:lineRule="auto"/>
              <w:rPr>
                <w:color w:val="auto"/>
                <w:szCs w:val="21"/>
                <w:highlight w:val="none"/>
              </w:rPr>
            </w:pPr>
            <w:r>
              <w:rPr>
                <w:color w:val="auto"/>
                <w:sz w:val="22"/>
                <w:szCs w:val="22"/>
                <w:highlight w:val="none"/>
              </w:rPr>
              <w:sym w:font="Wingdings 2" w:char="F052"/>
            </w:r>
            <w:r>
              <w:rPr>
                <w:rFonts w:hint="eastAsia"/>
                <w:color w:val="auto"/>
                <w:szCs w:val="21"/>
                <w:highlight w:val="none"/>
              </w:rPr>
              <w:t>采购人委托谈判小组确定   □采购人确定</w:t>
            </w:r>
          </w:p>
        </w:tc>
      </w:tr>
      <w:tr w14:paraId="3CA894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37" w:type="dxa"/>
            <w:tcBorders>
              <w:top w:val="single" w:color="auto" w:sz="4" w:space="0"/>
              <w:left w:val="single" w:color="auto" w:sz="4" w:space="0"/>
              <w:bottom w:val="single" w:color="auto" w:sz="4" w:space="0"/>
              <w:right w:val="single" w:color="auto" w:sz="4" w:space="0"/>
            </w:tcBorders>
            <w:noWrap w:val="0"/>
            <w:vAlign w:val="center"/>
          </w:tcPr>
          <w:p w14:paraId="0A7BD224">
            <w:pPr>
              <w:spacing w:line="300" w:lineRule="exact"/>
              <w:jc w:val="center"/>
              <w:rPr>
                <w:b/>
                <w:color w:val="auto"/>
                <w:szCs w:val="21"/>
                <w:highlight w:val="none"/>
              </w:rPr>
            </w:pPr>
            <w:r>
              <w:rPr>
                <w:b/>
                <w:color w:val="auto"/>
                <w:szCs w:val="21"/>
                <w:highlight w:val="none"/>
              </w:rPr>
              <w:t>6.5</w:t>
            </w:r>
            <w:r>
              <w:rPr>
                <w:rFonts w:hint="eastAsia"/>
                <w:b/>
                <w:color w:val="auto"/>
                <w:szCs w:val="21"/>
                <w:highlight w:val="none"/>
              </w:rPr>
              <w:t>.1</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26978CCB">
            <w:pPr>
              <w:spacing w:line="300" w:lineRule="exact"/>
              <w:jc w:val="center"/>
              <w:rPr>
                <w:color w:val="auto"/>
                <w:szCs w:val="21"/>
                <w:highlight w:val="none"/>
              </w:rPr>
            </w:pPr>
            <w:r>
              <w:rPr>
                <w:rFonts w:hint="eastAsia"/>
                <w:color w:val="auto"/>
                <w:szCs w:val="21"/>
                <w:highlight w:val="none"/>
              </w:rPr>
              <w:t>结果</w:t>
            </w:r>
            <w:r>
              <w:rPr>
                <w:color w:val="auto"/>
                <w:szCs w:val="21"/>
                <w:highlight w:val="none"/>
              </w:rPr>
              <w:t>公告</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5E1A0DB9">
            <w:pPr>
              <w:spacing w:line="300" w:lineRule="exact"/>
              <w:jc w:val="left"/>
              <w:rPr>
                <w:color w:val="auto"/>
                <w:szCs w:val="21"/>
                <w:highlight w:val="none"/>
              </w:rPr>
            </w:pPr>
            <w:r>
              <w:rPr>
                <w:color w:val="auto"/>
                <w:szCs w:val="21"/>
                <w:highlight w:val="none"/>
              </w:rPr>
              <w:t>采购代理机构在采购人依法确认成交供应商后2个工作日内在</w:t>
            </w:r>
            <w:r>
              <w:rPr>
                <w:rFonts w:hint="eastAsia"/>
                <w:color w:val="auto"/>
                <w:szCs w:val="21"/>
                <w:highlight w:val="none"/>
              </w:rPr>
              <w:t>谈判</w:t>
            </w:r>
            <w:r>
              <w:rPr>
                <w:color w:val="auto"/>
                <w:szCs w:val="21"/>
                <w:highlight w:val="none"/>
              </w:rPr>
              <w:t>公告发布的媒体上发布</w:t>
            </w:r>
            <w:r>
              <w:rPr>
                <w:rFonts w:hint="eastAsia"/>
                <w:color w:val="auto"/>
                <w:szCs w:val="21"/>
                <w:highlight w:val="none"/>
              </w:rPr>
              <w:t>结果</w:t>
            </w:r>
            <w:r>
              <w:rPr>
                <w:color w:val="auto"/>
                <w:szCs w:val="21"/>
                <w:highlight w:val="none"/>
              </w:rPr>
              <w:t>公告</w:t>
            </w:r>
            <w:r>
              <w:rPr>
                <w:rFonts w:hint="eastAsia"/>
                <w:color w:val="auto"/>
                <w:szCs w:val="21"/>
                <w:highlight w:val="none"/>
              </w:rPr>
              <w:t>。</w:t>
            </w:r>
          </w:p>
        </w:tc>
      </w:tr>
      <w:tr w14:paraId="56771E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37" w:type="dxa"/>
            <w:tcBorders>
              <w:top w:val="single" w:color="auto" w:sz="4" w:space="0"/>
              <w:left w:val="single" w:color="auto" w:sz="4" w:space="0"/>
              <w:bottom w:val="single" w:color="auto" w:sz="4" w:space="0"/>
              <w:right w:val="single" w:color="auto" w:sz="4" w:space="0"/>
            </w:tcBorders>
            <w:noWrap w:val="0"/>
            <w:vAlign w:val="center"/>
          </w:tcPr>
          <w:p w14:paraId="48BAD8E6">
            <w:pPr>
              <w:spacing w:line="300" w:lineRule="exact"/>
              <w:jc w:val="center"/>
              <w:rPr>
                <w:b/>
                <w:color w:val="auto"/>
                <w:szCs w:val="21"/>
                <w:highlight w:val="none"/>
              </w:rPr>
            </w:pPr>
            <w:r>
              <w:rPr>
                <w:b/>
                <w:color w:val="auto"/>
                <w:szCs w:val="21"/>
                <w:highlight w:val="none"/>
              </w:rPr>
              <w:t>6.5.2</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41A0791E">
            <w:pPr>
              <w:spacing w:line="300" w:lineRule="exact"/>
              <w:jc w:val="center"/>
              <w:rPr>
                <w:color w:val="auto"/>
                <w:szCs w:val="21"/>
                <w:highlight w:val="none"/>
              </w:rPr>
            </w:pPr>
            <w:r>
              <w:rPr>
                <w:rFonts w:hint="eastAsia"/>
                <w:color w:val="auto"/>
                <w:szCs w:val="21"/>
                <w:highlight w:val="none"/>
              </w:rPr>
              <w:t>成交通知书</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6E1DDD6A">
            <w:pPr>
              <w:spacing w:line="300" w:lineRule="exact"/>
              <w:jc w:val="left"/>
              <w:rPr>
                <w:color w:val="auto"/>
                <w:szCs w:val="21"/>
                <w:highlight w:val="none"/>
              </w:rPr>
            </w:pPr>
            <w:r>
              <w:rPr>
                <w:rFonts w:hint="eastAsia"/>
                <w:color w:val="auto"/>
                <w:szCs w:val="21"/>
                <w:highlight w:val="none"/>
              </w:rPr>
              <w:t>采购代理机构通过广西政府采购云平台发出</w:t>
            </w:r>
            <w:r>
              <w:rPr>
                <w:color w:val="auto"/>
                <w:szCs w:val="21"/>
                <w:highlight w:val="none"/>
              </w:rPr>
              <w:t>成交通知书。</w:t>
            </w:r>
          </w:p>
          <w:p w14:paraId="1ADFE206">
            <w:pPr>
              <w:spacing w:line="300" w:lineRule="exact"/>
              <w:jc w:val="left"/>
              <w:rPr>
                <w:color w:val="auto"/>
                <w:szCs w:val="21"/>
                <w:highlight w:val="none"/>
              </w:rPr>
            </w:pPr>
            <w:r>
              <w:rPr>
                <w:rFonts w:hint="eastAsia"/>
                <w:color w:val="auto"/>
                <w:szCs w:val="21"/>
                <w:highlight w:val="none"/>
              </w:rPr>
              <w:t>成交通知书在广西政府采购云平台推送之日起，视为成交供应商已收到，成交供应商自行承担未及时查收的后果。</w:t>
            </w:r>
          </w:p>
        </w:tc>
      </w:tr>
      <w:tr w14:paraId="7DE502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37" w:type="dxa"/>
            <w:tcBorders>
              <w:top w:val="single" w:color="auto" w:sz="4" w:space="0"/>
              <w:left w:val="single" w:color="auto" w:sz="4" w:space="0"/>
              <w:bottom w:val="single" w:color="auto" w:sz="4" w:space="0"/>
              <w:right w:val="single" w:color="auto" w:sz="4" w:space="0"/>
            </w:tcBorders>
            <w:noWrap w:val="0"/>
            <w:vAlign w:val="center"/>
          </w:tcPr>
          <w:p w14:paraId="50C48046">
            <w:pPr>
              <w:spacing w:line="300" w:lineRule="exact"/>
              <w:jc w:val="center"/>
              <w:rPr>
                <w:b/>
                <w:color w:val="auto"/>
                <w:szCs w:val="21"/>
                <w:highlight w:val="none"/>
              </w:rPr>
            </w:pPr>
            <w:r>
              <w:rPr>
                <w:b/>
                <w:color w:val="auto"/>
                <w:szCs w:val="21"/>
                <w:highlight w:val="none"/>
              </w:rPr>
              <w:t>8.1</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16198553">
            <w:pPr>
              <w:spacing w:line="300" w:lineRule="exact"/>
              <w:jc w:val="center"/>
              <w:rPr>
                <w:color w:val="auto"/>
                <w:szCs w:val="21"/>
                <w:highlight w:val="none"/>
              </w:rPr>
            </w:pPr>
            <w:r>
              <w:rPr>
                <w:rFonts w:hint="eastAsia"/>
                <w:color w:val="auto"/>
                <w:szCs w:val="21"/>
                <w:highlight w:val="none"/>
              </w:rPr>
              <w:t>质疑</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11B9ABB9">
            <w:pPr>
              <w:spacing w:line="300" w:lineRule="exact"/>
              <w:jc w:val="left"/>
              <w:rPr>
                <w:color w:val="auto"/>
                <w:szCs w:val="21"/>
                <w:highlight w:val="none"/>
              </w:rPr>
            </w:pPr>
            <w:r>
              <w:rPr>
                <w:rFonts w:hint="eastAsia"/>
                <w:color w:val="auto"/>
                <w:szCs w:val="21"/>
                <w:highlight w:val="none"/>
              </w:rPr>
              <w:t>（1）供应商</w:t>
            </w:r>
            <w:r>
              <w:rPr>
                <w:color w:val="auto"/>
                <w:szCs w:val="21"/>
                <w:highlight w:val="none"/>
              </w:rPr>
              <w:t>认为</w:t>
            </w:r>
            <w:r>
              <w:rPr>
                <w:rFonts w:hint="eastAsia"/>
                <w:color w:val="auto"/>
                <w:szCs w:val="21"/>
                <w:highlight w:val="none"/>
              </w:rPr>
              <w:t>采购文件</w:t>
            </w:r>
            <w:r>
              <w:rPr>
                <w:color w:val="auto"/>
                <w:szCs w:val="21"/>
                <w:highlight w:val="none"/>
              </w:rPr>
              <w:t>、</w:t>
            </w:r>
            <w:r>
              <w:rPr>
                <w:rFonts w:hint="eastAsia"/>
                <w:color w:val="auto"/>
                <w:szCs w:val="21"/>
                <w:highlight w:val="none"/>
              </w:rPr>
              <w:t>采购</w:t>
            </w:r>
            <w:r>
              <w:rPr>
                <w:color w:val="auto"/>
                <w:szCs w:val="21"/>
                <w:highlight w:val="none"/>
              </w:rPr>
              <w:t>过程、中标</w:t>
            </w:r>
            <w:r>
              <w:rPr>
                <w:rFonts w:hint="eastAsia"/>
                <w:color w:val="auto"/>
                <w:szCs w:val="21"/>
                <w:highlight w:val="none"/>
              </w:rPr>
              <w:t>或者成交</w:t>
            </w:r>
            <w:r>
              <w:rPr>
                <w:color w:val="auto"/>
                <w:szCs w:val="21"/>
                <w:highlight w:val="none"/>
              </w:rPr>
              <w:t>结果使自己的权益受到损害的，可以在知道或者应知其权益受到损害之日起7个工作日内，</w:t>
            </w:r>
            <w:r>
              <w:rPr>
                <w:rFonts w:hint="eastAsia"/>
                <w:color w:val="auto"/>
                <w:szCs w:val="21"/>
                <w:highlight w:val="none"/>
              </w:rPr>
              <w:t>通过以下方式</w:t>
            </w:r>
            <w:r>
              <w:rPr>
                <w:color w:val="auto"/>
                <w:szCs w:val="21"/>
                <w:highlight w:val="none"/>
              </w:rPr>
              <w:t>向采购人、采购代理机构提出质疑。提出质疑的</w:t>
            </w:r>
            <w:r>
              <w:rPr>
                <w:rFonts w:hint="eastAsia"/>
                <w:color w:val="auto"/>
                <w:szCs w:val="21"/>
                <w:highlight w:val="none"/>
              </w:rPr>
              <w:t>供应商</w:t>
            </w:r>
            <w:r>
              <w:rPr>
                <w:color w:val="auto"/>
                <w:szCs w:val="21"/>
                <w:highlight w:val="none"/>
              </w:rPr>
              <w:t>必须是参与本项目采购活动的供应商</w:t>
            </w:r>
            <w:r>
              <w:rPr>
                <w:rFonts w:hint="eastAsia"/>
                <w:color w:val="auto"/>
                <w:szCs w:val="21"/>
                <w:highlight w:val="none"/>
              </w:rPr>
              <w:t>，并须在</w:t>
            </w:r>
            <w:r>
              <w:rPr>
                <w:color w:val="auto"/>
                <w:szCs w:val="21"/>
                <w:highlight w:val="none"/>
              </w:rPr>
              <w:t>法定质疑期内一次性提出针对同一采购程序环节的质疑。质疑函应使用财政部发布的</w:t>
            </w:r>
            <w:r>
              <w:rPr>
                <w:rFonts w:hint="eastAsia"/>
                <w:color w:val="auto"/>
                <w:szCs w:val="21"/>
                <w:highlight w:val="none"/>
              </w:rPr>
              <w:t>政府采购供应商质疑函范本，并应按照“质疑函制作说明”进行制作。</w:t>
            </w:r>
          </w:p>
          <w:p w14:paraId="39D3CFA6">
            <w:pPr>
              <w:spacing w:line="300" w:lineRule="exact"/>
              <w:jc w:val="left"/>
              <w:rPr>
                <w:color w:val="auto"/>
                <w:szCs w:val="21"/>
                <w:highlight w:val="none"/>
              </w:rPr>
            </w:pPr>
            <w:r>
              <w:rPr>
                <w:rFonts w:hint="eastAsia"/>
                <w:color w:val="auto"/>
                <w:szCs w:val="21"/>
                <w:highlight w:val="none"/>
              </w:rPr>
              <w:t>（2）</w:t>
            </w:r>
            <w:r>
              <w:rPr>
                <w:color w:val="auto"/>
                <w:szCs w:val="21"/>
                <w:highlight w:val="none"/>
              </w:rPr>
              <w:t>本项目不接受传真、移动通信</w:t>
            </w:r>
            <w:r>
              <w:rPr>
                <w:rFonts w:hint="eastAsia"/>
                <w:color w:val="auto"/>
                <w:szCs w:val="21"/>
                <w:highlight w:val="none"/>
              </w:rPr>
              <w:t>、广西政府采购云平台</w:t>
            </w:r>
            <w:r>
              <w:rPr>
                <w:color w:val="auto"/>
                <w:szCs w:val="21"/>
                <w:highlight w:val="none"/>
              </w:rPr>
              <w:t>等</w:t>
            </w:r>
            <w:r>
              <w:rPr>
                <w:rFonts w:hint="eastAsia"/>
                <w:color w:val="auto"/>
                <w:szCs w:val="21"/>
                <w:highlight w:val="none"/>
              </w:rPr>
              <w:t>方式</w:t>
            </w:r>
            <w:r>
              <w:rPr>
                <w:color w:val="auto"/>
                <w:szCs w:val="21"/>
                <w:highlight w:val="none"/>
              </w:rPr>
              <w:t>送达的质疑材料</w:t>
            </w:r>
            <w:r>
              <w:rPr>
                <w:rFonts w:hint="eastAsia"/>
                <w:color w:val="auto"/>
                <w:szCs w:val="21"/>
                <w:highlight w:val="none"/>
              </w:rPr>
              <w:t>，供应商可通过现场或邮寄方式递交书面质疑材料。供应商应于质疑有效期内将质疑函原件递交或邮寄至谈判公告中采购代理机构信息中的联系人。</w:t>
            </w:r>
          </w:p>
        </w:tc>
      </w:tr>
      <w:tr w14:paraId="0D3CC6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49" w:hRule="atLeast"/>
        </w:trPr>
        <w:tc>
          <w:tcPr>
            <w:tcW w:w="737" w:type="dxa"/>
            <w:tcBorders>
              <w:top w:val="single" w:color="auto" w:sz="4" w:space="0"/>
              <w:left w:val="single" w:color="auto" w:sz="4" w:space="0"/>
              <w:bottom w:val="single" w:color="auto" w:sz="4" w:space="0"/>
              <w:right w:val="single" w:color="auto" w:sz="4" w:space="0"/>
            </w:tcBorders>
            <w:noWrap w:val="0"/>
            <w:vAlign w:val="center"/>
          </w:tcPr>
          <w:p w14:paraId="51D9F8F3">
            <w:pPr>
              <w:spacing w:line="300" w:lineRule="exact"/>
              <w:jc w:val="center"/>
              <w:rPr>
                <w:b/>
                <w:color w:val="auto"/>
                <w:szCs w:val="21"/>
                <w:highlight w:val="none"/>
              </w:rPr>
            </w:pPr>
            <w:r>
              <w:rPr>
                <w:b/>
                <w:color w:val="auto"/>
                <w:szCs w:val="21"/>
                <w:highlight w:val="none"/>
              </w:rPr>
              <w:t>9.1</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137E153B">
            <w:pPr>
              <w:spacing w:line="300" w:lineRule="exact"/>
              <w:jc w:val="center"/>
              <w:rPr>
                <w:color w:val="auto"/>
                <w:szCs w:val="21"/>
                <w:highlight w:val="none"/>
              </w:rPr>
            </w:pPr>
            <w:r>
              <w:rPr>
                <w:color w:val="auto"/>
                <w:szCs w:val="20"/>
                <w:highlight w:val="none"/>
              </w:rPr>
              <w:t>代理服务费</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0509C9CC">
            <w:pPr>
              <w:rPr>
                <w:color w:val="auto"/>
                <w:szCs w:val="21"/>
                <w:highlight w:val="none"/>
              </w:rPr>
            </w:pPr>
            <w:r>
              <w:rPr>
                <w:color w:val="auto"/>
                <w:szCs w:val="21"/>
                <w:highlight w:val="none"/>
              </w:rPr>
              <w:t>（1）</w:t>
            </w:r>
            <w:r>
              <w:rPr>
                <w:color w:val="auto"/>
                <w:szCs w:val="20"/>
                <w:highlight w:val="none"/>
              </w:rPr>
              <w:t>代理服务费</w:t>
            </w:r>
          </w:p>
          <w:p w14:paraId="6A6C8D74">
            <w:pPr>
              <w:spacing w:line="300" w:lineRule="exact"/>
              <w:jc w:val="left"/>
              <w:rPr>
                <w:color w:val="auto"/>
                <w:szCs w:val="21"/>
                <w:highlight w:val="none"/>
                <w:u w:val="single"/>
              </w:rPr>
            </w:pPr>
            <w:r>
              <w:rPr>
                <w:color w:val="auto"/>
                <w:szCs w:val="21"/>
                <w:highlight w:val="none"/>
              </w:rPr>
              <w:sym w:font="Wingdings 2" w:char="F052"/>
            </w:r>
            <w:r>
              <w:rPr>
                <w:color w:val="auto"/>
                <w:szCs w:val="21"/>
                <w:highlight w:val="none"/>
              </w:rPr>
              <w:t>采购代理机构向成交供应商收取代理服务费。本项目代理服务费</w:t>
            </w:r>
            <w:r>
              <w:rPr>
                <w:rFonts w:hint="eastAsia"/>
                <w:color w:val="auto"/>
                <w:szCs w:val="21"/>
                <w:highlight w:val="none"/>
              </w:rPr>
              <w:t>按照</w:t>
            </w:r>
            <w:r>
              <w:rPr>
                <w:color w:val="auto"/>
                <w:szCs w:val="21"/>
                <w:highlight w:val="none"/>
              </w:rPr>
              <w:t>《招标代理服务费管理暂行办法》 (计价格﹝2002﹞1980号)、《国家发展改革委关于降低部分建设项目收费标准规范收费行为等有关问题的通知》(发改价格﹝2011﹞534号)</w:t>
            </w:r>
            <w:r>
              <w:rPr>
                <w:rFonts w:hint="eastAsia"/>
                <w:color w:val="auto"/>
                <w:szCs w:val="21"/>
                <w:highlight w:val="none"/>
              </w:rPr>
              <w:t>的</w:t>
            </w:r>
            <w:r>
              <w:rPr>
                <w:color w:val="auto"/>
                <w:szCs w:val="21"/>
                <w:highlight w:val="none"/>
              </w:rPr>
              <w:t>规定</w:t>
            </w:r>
            <w:r>
              <w:rPr>
                <w:rFonts w:hint="eastAsia"/>
                <w:color w:val="auto"/>
                <w:szCs w:val="21"/>
                <w:highlight w:val="none"/>
              </w:rPr>
              <w:t>采用</w:t>
            </w:r>
            <w:r>
              <w:rPr>
                <w:color w:val="auto"/>
                <w:szCs w:val="21"/>
                <w:highlight w:val="none"/>
              </w:rPr>
              <w:t>差额定率累进</w:t>
            </w:r>
            <w:r>
              <w:rPr>
                <w:rFonts w:hint="eastAsia"/>
                <w:color w:val="auto"/>
                <w:szCs w:val="21"/>
                <w:highlight w:val="none"/>
              </w:rPr>
              <w:t>法</w:t>
            </w:r>
            <w:r>
              <w:rPr>
                <w:color w:val="auto"/>
                <w:szCs w:val="21"/>
                <w:highlight w:val="none"/>
              </w:rPr>
              <w:t>计算</w:t>
            </w:r>
            <w:r>
              <w:rPr>
                <w:rFonts w:hint="eastAsia"/>
                <w:color w:val="auto"/>
                <w:szCs w:val="21"/>
                <w:highlight w:val="none"/>
              </w:rPr>
              <w:t>。</w:t>
            </w:r>
          </w:p>
          <w:p w14:paraId="66A7C4A8">
            <w:pPr>
              <w:spacing w:line="300" w:lineRule="exact"/>
              <w:jc w:val="left"/>
              <w:rPr>
                <w:color w:val="auto"/>
                <w:szCs w:val="21"/>
                <w:highlight w:val="none"/>
              </w:rPr>
            </w:pPr>
            <w:r>
              <w:rPr>
                <w:color w:val="auto"/>
                <w:szCs w:val="21"/>
                <w:highlight w:val="none"/>
              </w:rPr>
              <w:t>（2）成交供应商在成交通知书发出前以银行转账或现金形式支付代理服务费；</w:t>
            </w:r>
          </w:p>
          <w:p w14:paraId="5175CBC6">
            <w:pPr>
              <w:spacing w:line="300" w:lineRule="exact"/>
              <w:jc w:val="left"/>
              <w:rPr>
                <w:rFonts w:hint="eastAsia"/>
                <w:color w:val="auto"/>
                <w:kern w:val="0"/>
                <w:szCs w:val="21"/>
                <w:highlight w:val="none"/>
              </w:rPr>
            </w:pPr>
            <w:r>
              <w:rPr>
                <w:rFonts w:hint="eastAsia"/>
                <w:color w:val="auto"/>
                <w:kern w:val="0"/>
                <w:szCs w:val="21"/>
                <w:highlight w:val="none"/>
              </w:rPr>
              <w:t>开户银行：广西北部湾银行南宁市金湖支行</w:t>
            </w:r>
          </w:p>
          <w:p w14:paraId="085135EB">
            <w:pPr>
              <w:spacing w:line="300" w:lineRule="exact"/>
              <w:jc w:val="left"/>
              <w:rPr>
                <w:rFonts w:hint="eastAsia"/>
                <w:color w:val="auto"/>
                <w:kern w:val="0"/>
                <w:szCs w:val="21"/>
                <w:highlight w:val="none"/>
              </w:rPr>
            </w:pPr>
            <w:r>
              <w:rPr>
                <w:rFonts w:hint="eastAsia"/>
                <w:color w:val="auto"/>
                <w:kern w:val="0"/>
                <w:szCs w:val="21"/>
                <w:highlight w:val="none"/>
              </w:rPr>
              <w:t>（银行地址：南宁市金湖路57号文德大厦1楼）</w:t>
            </w:r>
          </w:p>
          <w:p w14:paraId="310D6C91">
            <w:pPr>
              <w:spacing w:line="300" w:lineRule="exact"/>
              <w:jc w:val="left"/>
              <w:rPr>
                <w:rFonts w:hint="eastAsia"/>
                <w:color w:val="auto"/>
                <w:kern w:val="0"/>
                <w:szCs w:val="21"/>
                <w:highlight w:val="none"/>
              </w:rPr>
            </w:pPr>
            <w:r>
              <w:rPr>
                <w:rFonts w:hint="eastAsia"/>
                <w:color w:val="auto"/>
                <w:kern w:val="0"/>
                <w:szCs w:val="21"/>
                <w:highlight w:val="none"/>
              </w:rPr>
              <w:t>开户名称：广西机电设备招标有限公司</w:t>
            </w:r>
          </w:p>
          <w:p w14:paraId="4A87B3DA">
            <w:pPr>
              <w:spacing w:line="300" w:lineRule="exact"/>
              <w:jc w:val="left"/>
              <w:rPr>
                <w:rFonts w:hint="eastAsia"/>
                <w:color w:val="auto"/>
                <w:kern w:val="0"/>
                <w:szCs w:val="21"/>
                <w:highlight w:val="none"/>
              </w:rPr>
            </w:pPr>
            <w:r>
              <w:rPr>
                <w:rFonts w:hint="eastAsia"/>
                <w:color w:val="auto"/>
                <w:kern w:val="0"/>
                <w:szCs w:val="21"/>
                <w:highlight w:val="none"/>
              </w:rPr>
              <w:t>银行账号：1705012090027723 (联行号 313611017053)</w:t>
            </w:r>
          </w:p>
          <w:p w14:paraId="0A2ED250">
            <w:pPr>
              <w:spacing w:line="300" w:lineRule="exact"/>
              <w:jc w:val="left"/>
              <w:rPr>
                <w:rFonts w:hint="eastAsia"/>
                <w:color w:val="auto"/>
                <w:kern w:val="0"/>
                <w:szCs w:val="21"/>
                <w:highlight w:val="none"/>
              </w:rPr>
            </w:pPr>
            <w:r>
              <w:rPr>
                <w:rFonts w:hint="eastAsia"/>
                <w:color w:val="auto"/>
                <w:kern w:val="0"/>
                <w:szCs w:val="21"/>
                <w:highlight w:val="none"/>
              </w:rPr>
              <w:t>财务联系人：吴茜（电话：0771-2821398）</w:t>
            </w:r>
          </w:p>
        </w:tc>
      </w:tr>
      <w:tr w14:paraId="7F0236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2" w:hRule="atLeast"/>
        </w:trPr>
        <w:tc>
          <w:tcPr>
            <w:tcW w:w="737" w:type="dxa"/>
            <w:tcBorders>
              <w:top w:val="single" w:color="auto" w:sz="4" w:space="0"/>
              <w:left w:val="single" w:color="auto" w:sz="4" w:space="0"/>
              <w:bottom w:val="single" w:color="auto" w:sz="4" w:space="0"/>
              <w:right w:val="single" w:color="auto" w:sz="4" w:space="0"/>
            </w:tcBorders>
            <w:noWrap w:val="0"/>
            <w:vAlign w:val="center"/>
          </w:tcPr>
          <w:p w14:paraId="590A286C">
            <w:pPr>
              <w:spacing w:line="300" w:lineRule="exact"/>
              <w:jc w:val="center"/>
              <w:rPr>
                <w:b/>
                <w:color w:val="auto"/>
                <w:szCs w:val="21"/>
                <w:highlight w:val="none"/>
              </w:rPr>
            </w:pPr>
            <w:r>
              <w:rPr>
                <w:b/>
                <w:color w:val="auto"/>
                <w:szCs w:val="21"/>
                <w:highlight w:val="none"/>
              </w:rPr>
              <w:t>9.3</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393255B8">
            <w:pPr>
              <w:spacing w:line="300" w:lineRule="exact"/>
              <w:jc w:val="center"/>
              <w:rPr>
                <w:color w:val="auto"/>
                <w:szCs w:val="20"/>
                <w:highlight w:val="none"/>
              </w:rPr>
            </w:pPr>
            <w:r>
              <w:rPr>
                <w:rFonts w:hint="eastAsia"/>
                <w:color w:val="auto"/>
                <w:szCs w:val="20"/>
                <w:highlight w:val="none"/>
              </w:rPr>
              <w:t>附件</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58E62247">
            <w:pPr>
              <w:spacing w:line="276" w:lineRule="auto"/>
              <w:rPr>
                <w:color w:val="auto"/>
                <w:szCs w:val="21"/>
                <w:highlight w:val="none"/>
              </w:rPr>
            </w:pPr>
            <w:r>
              <w:rPr>
                <w:color w:val="auto"/>
                <w:sz w:val="22"/>
                <w:szCs w:val="22"/>
                <w:highlight w:val="none"/>
              </w:rPr>
              <w:sym w:font="Wingdings 2" w:char="F052"/>
            </w:r>
            <w:r>
              <w:rPr>
                <w:rFonts w:hint="eastAsia"/>
                <w:color w:val="auto"/>
                <w:szCs w:val="21"/>
                <w:highlight w:val="none"/>
              </w:rPr>
              <w:t>无</w:t>
            </w:r>
          </w:p>
          <w:p w14:paraId="49EABE76">
            <w:pPr>
              <w:spacing w:line="276" w:lineRule="auto"/>
              <w:rPr>
                <w:color w:val="auto"/>
                <w:szCs w:val="21"/>
                <w:highlight w:val="none"/>
                <w:u w:val="single"/>
              </w:rPr>
            </w:pPr>
            <w:r>
              <w:rPr>
                <w:rFonts w:hint="eastAsia"/>
                <w:color w:val="auto"/>
                <w:szCs w:val="21"/>
                <w:highlight w:val="none"/>
              </w:rPr>
              <w:t>□有，详见：</w:t>
            </w:r>
            <w:r>
              <w:rPr>
                <w:rFonts w:hint="eastAsia"/>
                <w:color w:val="auto"/>
                <w:szCs w:val="21"/>
                <w:highlight w:val="none"/>
                <w:u w:val="single"/>
              </w:rPr>
              <w:t xml:space="preserve"> </w:t>
            </w:r>
            <w:r>
              <w:rPr>
                <w:color w:val="auto"/>
                <w:szCs w:val="21"/>
                <w:highlight w:val="none"/>
                <w:u w:val="single"/>
              </w:rPr>
              <w:t xml:space="preserve">         </w:t>
            </w:r>
          </w:p>
        </w:tc>
      </w:tr>
      <w:tr w14:paraId="1BDE65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6" w:hRule="atLeast"/>
        </w:trPr>
        <w:tc>
          <w:tcPr>
            <w:tcW w:w="737" w:type="dxa"/>
            <w:tcBorders>
              <w:top w:val="single" w:color="auto" w:sz="4" w:space="0"/>
              <w:left w:val="single" w:color="auto" w:sz="4" w:space="0"/>
              <w:bottom w:val="single" w:color="auto" w:sz="4" w:space="0"/>
              <w:right w:val="single" w:color="auto" w:sz="4" w:space="0"/>
            </w:tcBorders>
            <w:noWrap w:val="0"/>
            <w:vAlign w:val="center"/>
          </w:tcPr>
          <w:p w14:paraId="3863A974">
            <w:pPr>
              <w:spacing w:line="300" w:lineRule="exact"/>
              <w:jc w:val="center"/>
              <w:rPr>
                <w:b/>
                <w:color w:val="auto"/>
                <w:szCs w:val="21"/>
                <w:highlight w:val="none"/>
              </w:rPr>
            </w:pPr>
            <w:r>
              <w:rPr>
                <w:b/>
                <w:color w:val="auto"/>
                <w:szCs w:val="21"/>
                <w:highlight w:val="none"/>
              </w:rPr>
              <w:t>9.3</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75B8EA07">
            <w:pPr>
              <w:spacing w:line="300" w:lineRule="exact"/>
              <w:jc w:val="center"/>
              <w:rPr>
                <w:color w:val="auto"/>
                <w:szCs w:val="20"/>
                <w:highlight w:val="none"/>
              </w:rPr>
            </w:pPr>
            <w:r>
              <w:rPr>
                <w:rFonts w:hint="eastAsia"/>
                <w:color w:val="auto"/>
                <w:szCs w:val="20"/>
                <w:highlight w:val="none"/>
              </w:rPr>
              <w:t>图纸</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359A552B">
            <w:pPr>
              <w:spacing w:line="276" w:lineRule="auto"/>
              <w:rPr>
                <w:color w:val="auto"/>
                <w:szCs w:val="21"/>
                <w:highlight w:val="none"/>
              </w:rPr>
            </w:pPr>
            <w:r>
              <w:rPr>
                <w:color w:val="auto"/>
                <w:sz w:val="22"/>
                <w:szCs w:val="22"/>
                <w:highlight w:val="none"/>
              </w:rPr>
              <w:sym w:font="Wingdings 2" w:char="F052"/>
            </w:r>
            <w:r>
              <w:rPr>
                <w:rFonts w:hint="eastAsia"/>
                <w:color w:val="auto"/>
                <w:szCs w:val="21"/>
                <w:highlight w:val="none"/>
              </w:rPr>
              <w:t>无</w:t>
            </w:r>
          </w:p>
          <w:p w14:paraId="04B78757">
            <w:pPr>
              <w:spacing w:line="276" w:lineRule="auto"/>
              <w:rPr>
                <w:color w:val="auto"/>
                <w:szCs w:val="21"/>
                <w:highlight w:val="none"/>
                <w:u w:val="single"/>
              </w:rPr>
            </w:pPr>
            <w:r>
              <w:rPr>
                <w:rFonts w:hint="eastAsia"/>
                <w:color w:val="auto"/>
                <w:szCs w:val="21"/>
                <w:highlight w:val="none"/>
              </w:rPr>
              <w:t>□有，详见：</w:t>
            </w:r>
            <w:r>
              <w:rPr>
                <w:rFonts w:hint="eastAsia"/>
                <w:color w:val="auto"/>
                <w:szCs w:val="21"/>
                <w:highlight w:val="none"/>
                <w:u w:val="single"/>
              </w:rPr>
              <w:t xml:space="preserve"> </w:t>
            </w:r>
            <w:r>
              <w:rPr>
                <w:color w:val="auto"/>
                <w:szCs w:val="21"/>
                <w:highlight w:val="none"/>
                <w:u w:val="single"/>
              </w:rPr>
              <w:t xml:space="preserve">            </w:t>
            </w:r>
          </w:p>
        </w:tc>
      </w:tr>
      <w:tr w14:paraId="254508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737" w:type="dxa"/>
            <w:tcBorders>
              <w:top w:val="single" w:color="auto" w:sz="4" w:space="0"/>
              <w:left w:val="single" w:color="auto" w:sz="4" w:space="0"/>
              <w:bottom w:val="single" w:color="auto" w:sz="4" w:space="0"/>
              <w:right w:val="single" w:color="auto" w:sz="4" w:space="0"/>
            </w:tcBorders>
            <w:noWrap w:val="0"/>
            <w:vAlign w:val="center"/>
          </w:tcPr>
          <w:p w14:paraId="071BDAF0">
            <w:pPr>
              <w:spacing w:line="300" w:lineRule="exact"/>
              <w:jc w:val="center"/>
              <w:rPr>
                <w:b/>
                <w:color w:val="auto"/>
                <w:szCs w:val="21"/>
                <w:highlight w:val="none"/>
              </w:rPr>
            </w:pPr>
            <w:r>
              <w:rPr>
                <w:b/>
                <w:color w:val="auto"/>
                <w:szCs w:val="21"/>
                <w:highlight w:val="none"/>
              </w:rPr>
              <w:t>9.4</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4FEBD463">
            <w:pPr>
              <w:spacing w:line="300" w:lineRule="exact"/>
              <w:jc w:val="center"/>
              <w:rPr>
                <w:color w:val="auto"/>
                <w:szCs w:val="20"/>
                <w:highlight w:val="none"/>
              </w:rPr>
            </w:pPr>
            <w:r>
              <w:rPr>
                <w:rFonts w:hint="eastAsia"/>
                <w:color w:val="auto"/>
                <w:szCs w:val="20"/>
                <w:highlight w:val="none"/>
              </w:rPr>
              <w:t>其他事项</w:t>
            </w:r>
          </w:p>
        </w:tc>
        <w:tc>
          <w:tcPr>
            <w:tcW w:w="7229" w:type="dxa"/>
            <w:tcBorders>
              <w:top w:val="single" w:color="auto" w:sz="4" w:space="0"/>
              <w:left w:val="single" w:color="auto" w:sz="4" w:space="0"/>
              <w:bottom w:val="single" w:color="auto" w:sz="4" w:space="0"/>
              <w:right w:val="single" w:color="auto" w:sz="4" w:space="0"/>
            </w:tcBorders>
            <w:noWrap w:val="0"/>
            <w:vAlign w:val="center"/>
          </w:tcPr>
          <w:p w14:paraId="0FBB122C">
            <w:pPr>
              <w:spacing w:line="276" w:lineRule="auto"/>
              <w:rPr>
                <w:color w:val="auto"/>
                <w:sz w:val="24"/>
                <w:highlight w:val="none"/>
              </w:rPr>
            </w:pPr>
            <w:r>
              <w:rPr>
                <w:rFonts w:hint="eastAsia"/>
                <w:color w:val="auto"/>
                <w:szCs w:val="21"/>
                <w:highlight w:val="none"/>
              </w:rPr>
              <w:t>本文件中内容如有前后不一致，以在采购文件先出现的为准。</w:t>
            </w:r>
          </w:p>
        </w:tc>
      </w:tr>
    </w:tbl>
    <w:p w14:paraId="0DDECD14">
      <w:pPr>
        <w:rPr>
          <w:color w:val="auto"/>
          <w:highlight w:val="none"/>
        </w:rPr>
      </w:pPr>
    </w:p>
    <w:p w14:paraId="30114B9A">
      <w:pPr>
        <w:widowControl/>
        <w:spacing w:line="720" w:lineRule="exact"/>
        <w:jc w:val="left"/>
        <w:rPr>
          <w:rFonts w:ascii="黑体" w:hAnsi="黑体" w:eastAsia="黑体" w:cs="黑体"/>
          <w:color w:val="auto"/>
          <w:sz w:val="32"/>
          <w:szCs w:val="32"/>
          <w:highlight w:val="none"/>
        </w:rPr>
      </w:pPr>
      <w:r>
        <w:rPr>
          <w:color w:val="auto"/>
          <w:highlight w:val="none"/>
        </w:rPr>
        <w:br w:type="page"/>
      </w:r>
      <w:r>
        <w:rPr>
          <w:rFonts w:hint="eastAsia" w:ascii="黑体" w:hAnsi="黑体" w:eastAsia="黑体" w:cs="黑体"/>
          <w:color w:val="auto"/>
          <w:sz w:val="32"/>
          <w:szCs w:val="32"/>
          <w:highlight w:val="none"/>
          <w:lang w:val="zh-CN"/>
        </w:rPr>
        <w:t>附件</w:t>
      </w:r>
      <w:r>
        <w:rPr>
          <w:rFonts w:hint="eastAsia" w:ascii="黑体" w:hAnsi="黑体" w:eastAsia="黑体" w:cs="黑体"/>
          <w:color w:val="auto"/>
          <w:sz w:val="32"/>
          <w:szCs w:val="32"/>
          <w:highlight w:val="none"/>
        </w:rPr>
        <w:t>1</w:t>
      </w:r>
    </w:p>
    <w:p w14:paraId="4D0D548B">
      <w:pPr>
        <w:suppressAutoHyphens/>
        <w:rPr>
          <w:rFonts w:hint="eastAsia" w:ascii="Calibri" w:hAnsi="Calibri"/>
          <w:color w:val="auto"/>
          <w:highlight w:val="none"/>
        </w:rPr>
      </w:pPr>
    </w:p>
    <w:p w14:paraId="1A456DD0">
      <w:pPr>
        <w:spacing w:line="580" w:lineRule="exact"/>
        <w:jc w:val="center"/>
        <w:rPr>
          <w:rFonts w:ascii="方正小标宋_GBK" w:hAnsi="宋体" w:eastAsia="方正小标宋_GBK"/>
          <w:color w:val="auto"/>
          <w:sz w:val="44"/>
          <w:szCs w:val="44"/>
          <w:highlight w:val="none"/>
        </w:rPr>
      </w:pPr>
      <w:r>
        <w:rPr>
          <w:rFonts w:hint="eastAsia" w:ascii="方正小标宋_GBK" w:hAnsi="宋体" w:eastAsia="方正小标宋_GBK"/>
          <w:color w:val="auto"/>
          <w:sz w:val="44"/>
          <w:szCs w:val="44"/>
          <w:highlight w:val="none"/>
        </w:rPr>
        <w:t>崇左市线上“政采贷”政策告知函</w:t>
      </w:r>
    </w:p>
    <w:p w14:paraId="1E36A05F">
      <w:pPr>
        <w:spacing w:line="580" w:lineRule="exact"/>
        <w:ind w:firstLine="640" w:firstLineChars="200"/>
        <w:rPr>
          <w:rFonts w:hint="eastAsia" w:ascii="宋体" w:hAnsi="宋体" w:eastAsia="华文仿宋"/>
          <w:color w:val="auto"/>
          <w:sz w:val="32"/>
          <w:szCs w:val="32"/>
          <w:highlight w:val="none"/>
        </w:rPr>
      </w:pPr>
    </w:p>
    <w:p w14:paraId="7873B9F3">
      <w:pPr>
        <w:spacing w:line="58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各供应商：</w:t>
      </w:r>
    </w:p>
    <w:p w14:paraId="346D6603">
      <w:pPr>
        <w:spacing w:line="58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欢迎贵公司参与崇左市政府采购活动！</w:t>
      </w:r>
    </w:p>
    <w:p w14:paraId="2F79270F">
      <w:pPr>
        <w:spacing w:line="58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银行业金融机构申请贷款，融资机构将根据《中国人民银行南宁中心支行 广西壮族自治区财政厅关于推广线上“政采贷”融资模式的通知》（南宁银发〔2021〕258号），按照双方自愿的原则提供便捷、优惠的贷款服务。</w:t>
      </w:r>
    </w:p>
    <w:p w14:paraId="1A2CFA36">
      <w:pPr>
        <w:spacing w:line="58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相关金融产品和银行业金融机构联系方式，可在中征应收账款融资服务平台查询（网址：</w:t>
      </w:r>
      <w:r>
        <w:rPr>
          <w:rFonts w:ascii="仿宋_GB2312" w:hAnsi="仿宋_GB2312" w:eastAsia="仿宋_GB2312" w:cs="仿宋_GB2312"/>
          <w:color w:val="auto"/>
          <w:sz w:val="32"/>
          <w:szCs w:val="32"/>
          <w:highlight w:val="none"/>
        </w:rPr>
        <w:fldChar w:fldCharType="begin"/>
      </w:r>
      <w:r>
        <w:rPr>
          <w:rFonts w:ascii="仿宋_GB2312" w:hAnsi="仿宋_GB2312" w:eastAsia="仿宋_GB2312" w:cs="仿宋_GB2312"/>
          <w:color w:val="auto"/>
          <w:sz w:val="32"/>
          <w:szCs w:val="32"/>
          <w:highlight w:val="none"/>
        </w:rPr>
        <w:instrText xml:space="preserve"> HYPERLINK "https://www.crcrfsp.com/" </w:instrText>
      </w:r>
      <w:r>
        <w:rPr>
          <w:rFonts w:ascii="仿宋_GB2312" w:hAnsi="仿宋_GB2312" w:eastAsia="仿宋_GB2312" w:cs="仿宋_GB2312"/>
          <w:color w:val="auto"/>
          <w:sz w:val="32"/>
          <w:szCs w:val="32"/>
          <w:highlight w:val="none"/>
        </w:rPr>
        <w:fldChar w:fldCharType="separate"/>
      </w:r>
      <w:r>
        <w:rPr>
          <w:rStyle w:val="57"/>
          <w:rFonts w:hint="eastAsia" w:ascii="仿宋_GB2312" w:hAnsi="仿宋_GB2312" w:eastAsia="仿宋_GB2312" w:cs="仿宋_GB2312"/>
          <w:color w:val="auto"/>
          <w:sz w:val="32"/>
          <w:szCs w:val="32"/>
          <w:highlight w:val="none"/>
        </w:rPr>
        <w:t>https://www.crcrfsp.com/</w:t>
      </w:r>
      <w:r>
        <w:rPr>
          <w:rFonts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rPr>
        <w:t>，客服电话：400-009-0001）。</w:t>
      </w:r>
    </w:p>
    <w:p w14:paraId="3484B800">
      <w:pPr>
        <w:suppressAutoHyphens/>
        <w:rPr>
          <w:rFonts w:hint="eastAsia" w:ascii="仿宋_GB2312" w:hAnsi="仿宋_GB2312" w:eastAsia="仿宋_GB2312" w:cs="仿宋_GB2312"/>
          <w:color w:val="auto"/>
          <w:szCs w:val="32"/>
          <w:highlight w:val="none"/>
        </w:rPr>
      </w:pPr>
    </w:p>
    <w:p w14:paraId="03FFF24C">
      <w:pPr>
        <w:rPr>
          <w:rFonts w:hint="eastAsia" w:ascii="仿宋_GB2312" w:hAnsi="仿宋_GB2312" w:eastAsia="华文仿宋" w:cs="仿宋_GB2312"/>
          <w:color w:val="auto"/>
          <w:sz w:val="32"/>
          <w:szCs w:val="32"/>
          <w:highlight w:val="none"/>
        </w:rPr>
      </w:pPr>
    </w:p>
    <w:p w14:paraId="7C61A0CF">
      <w:pPr>
        <w:suppressAutoHyphens/>
        <w:rPr>
          <w:rFonts w:hint="eastAsia" w:ascii="仿宋_GB2312" w:hAnsi="仿宋_GB2312" w:cs="仿宋_GB2312"/>
          <w:color w:val="auto"/>
          <w:szCs w:val="32"/>
          <w:highlight w:val="none"/>
        </w:rPr>
      </w:pPr>
    </w:p>
    <w:p w14:paraId="42830295">
      <w:pPr>
        <w:rPr>
          <w:rFonts w:hint="eastAsia" w:ascii="仿宋_GB2312" w:hAnsi="仿宋_GB2312" w:eastAsia="华文仿宋" w:cs="仿宋_GB2312"/>
          <w:color w:val="auto"/>
          <w:sz w:val="32"/>
          <w:szCs w:val="32"/>
          <w:highlight w:val="none"/>
        </w:rPr>
      </w:pPr>
    </w:p>
    <w:p w14:paraId="3460E72E">
      <w:pPr>
        <w:rPr>
          <w:rFonts w:hint="eastAsia" w:ascii="仿宋_GB2312" w:hAnsi="仿宋_GB2312" w:eastAsia="华文仿宋" w:cs="仿宋_GB2312"/>
          <w:color w:val="auto"/>
          <w:sz w:val="32"/>
          <w:szCs w:val="32"/>
          <w:highlight w:val="none"/>
        </w:rPr>
      </w:pPr>
    </w:p>
    <w:p w14:paraId="6AD3F25A">
      <w:pPr>
        <w:suppressAutoHyphens/>
        <w:rPr>
          <w:rFonts w:hint="eastAsia" w:ascii="仿宋_GB2312" w:hAnsi="仿宋_GB2312" w:cs="仿宋_GB2312"/>
          <w:color w:val="auto"/>
          <w:szCs w:val="32"/>
          <w:highlight w:val="none"/>
        </w:rPr>
      </w:pPr>
    </w:p>
    <w:p w14:paraId="3B7DFACB">
      <w:pPr>
        <w:spacing w:line="540" w:lineRule="exact"/>
        <w:rPr>
          <w:rFonts w:hint="eastAsia" w:ascii="黑体" w:hAnsi="黑体" w:eastAsia="黑体" w:cs="黑体"/>
          <w:color w:val="auto"/>
          <w:sz w:val="32"/>
          <w:szCs w:val="32"/>
          <w:highlight w:val="none"/>
        </w:rPr>
      </w:pPr>
    </w:p>
    <w:p w14:paraId="3DE24D6C">
      <w:pPr>
        <w:spacing w:line="540" w:lineRule="exact"/>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br w:type="page"/>
      </w:r>
      <w:r>
        <w:rPr>
          <w:rFonts w:hint="eastAsia" w:ascii="黑体" w:hAnsi="黑体" w:eastAsia="黑体" w:cs="黑体"/>
          <w:color w:val="auto"/>
          <w:sz w:val="32"/>
          <w:szCs w:val="32"/>
          <w:highlight w:val="none"/>
        </w:rPr>
        <w:t>附件2</w:t>
      </w:r>
    </w:p>
    <w:p w14:paraId="2A7A138E">
      <w:pPr>
        <w:suppressAutoHyphens/>
        <w:rPr>
          <w:rFonts w:hint="eastAsia" w:ascii="Calibri" w:hAnsi="Calibri"/>
          <w:color w:val="auto"/>
          <w:highlight w:val="none"/>
        </w:rPr>
      </w:pPr>
    </w:p>
    <w:p w14:paraId="7969F544">
      <w:pPr>
        <w:spacing w:line="600" w:lineRule="exact"/>
        <w:jc w:val="center"/>
        <w:rPr>
          <w:rFonts w:ascii="黑体" w:hAnsi="黑体" w:eastAsia="黑体" w:cs="黑体"/>
          <w:color w:val="auto"/>
          <w:sz w:val="44"/>
          <w:szCs w:val="44"/>
          <w:highlight w:val="none"/>
        </w:rPr>
      </w:pPr>
      <w:r>
        <w:rPr>
          <w:rFonts w:hint="eastAsia" w:ascii="方正小标宋_GBK" w:hAnsi="宋体" w:eastAsia="方正小标宋_GBK"/>
          <w:color w:val="auto"/>
          <w:sz w:val="44"/>
          <w:szCs w:val="44"/>
          <w:highlight w:val="none"/>
        </w:rPr>
        <w:t>崇左市线上“政采贷”业务流程图</w:t>
      </w:r>
    </w:p>
    <w:p w14:paraId="6B47DA84">
      <w:pPr>
        <w:rPr>
          <w:rFonts w:hint="eastAsia" w:ascii="宋体" w:hAnsi="宋体" w:eastAsia="华文仿宋"/>
          <w:color w:val="auto"/>
          <w:sz w:val="32"/>
          <w:szCs w:val="32"/>
          <w:highlight w:val="none"/>
        </w:rPr>
      </w:pPr>
      <w:r>
        <w:rPr>
          <w:rFonts w:ascii="宋体" w:hAnsi="宋体" w:eastAsia="仿宋_GB2312"/>
          <w:color w:val="auto"/>
          <w:sz w:val="32"/>
          <w:szCs w:val="32"/>
          <w:highlight w:val="none"/>
        </w:rPr>
        <w:drawing>
          <wp:inline distT="0" distB="0" distL="114300" distR="114300">
            <wp:extent cx="4924425" cy="7000875"/>
            <wp:effectExtent l="0" t="0" r="13335" b="9525"/>
            <wp:docPr id="2" name="图片 1" descr="流程图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流程图1011"/>
                    <pic:cNvPicPr>
                      <a:picLocks noChangeAspect="1"/>
                    </pic:cNvPicPr>
                  </pic:nvPicPr>
                  <pic:blipFill>
                    <a:blip r:embed="rId18"/>
                    <a:stretch>
                      <a:fillRect/>
                    </a:stretch>
                  </pic:blipFill>
                  <pic:spPr>
                    <a:xfrm>
                      <a:off x="0" y="0"/>
                      <a:ext cx="4924425" cy="7000875"/>
                    </a:xfrm>
                    <a:prstGeom prst="rect">
                      <a:avLst/>
                    </a:prstGeom>
                    <a:noFill/>
                    <a:ln>
                      <a:noFill/>
                    </a:ln>
                  </pic:spPr>
                </pic:pic>
              </a:graphicData>
            </a:graphic>
          </wp:inline>
        </w:drawing>
      </w:r>
    </w:p>
    <w:p w14:paraId="7D71E716">
      <w:pPr>
        <w:widowControl/>
        <w:ind w:firstLine="640" w:firstLineChars="200"/>
        <w:rPr>
          <w:rFonts w:hint="eastAsia" w:ascii="宋体" w:hAnsi="宋体" w:eastAsia="华文仿宋"/>
          <w:color w:val="auto"/>
          <w:sz w:val="32"/>
          <w:szCs w:val="32"/>
          <w:highlight w:val="none"/>
        </w:rPr>
      </w:pPr>
    </w:p>
    <w:p w14:paraId="556898C0">
      <w:pPr>
        <w:widowControl/>
        <w:spacing w:line="720" w:lineRule="exact"/>
        <w:jc w:val="left"/>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lang w:val="zh-CN"/>
        </w:rPr>
        <w:br w:type="page"/>
      </w:r>
      <w:r>
        <w:rPr>
          <w:rFonts w:hint="eastAsia" w:ascii="黑体" w:hAnsi="黑体" w:eastAsia="黑体" w:cs="黑体"/>
          <w:color w:val="auto"/>
          <w:sz w:val="32"/>
          <w:szCs w:val="32"/>
          <w:highlight w:val="none"/>
          <w:lang w:val="zh-CN"/>
        </w:rPr>
        <w:t>附件</w:t>
      </w:r>
      <w:r>
        <w:rPr>
          <w:rFonts w:hint="eastAsia" w:ascii="黑体" w:hAnsi="黑体" w:eastAsia="黑体" w:cs="黑体"/>
          <w:color w:val="auto"/>
          <w:sz w:val="32"/>
          <w:szCs w:val="32"/>
          <w:highlight w:val="none"/>
        </w:rPr>
        <w:t>3</w:t>
      </w:r>
    </w:p>
    <w:p w14:paraId="6F9A34B2">
      <w:pPr>
        <w:suppressAutoHyphens/>
        <w:rPr>
          <w:rFonts w:hint="eastAsia" w:ascii="Calibri" w:hAnsi="Calibri"/>
          <w:color w:val="auto"/>
          <w:highlight w:val="none"/>
        </w:rPr>
      </w:pPr>
    </w:p>
    <w:p w14:paraId="4F4B9A48">
      <w:pPr>
        <w:suppressAutoHyphens/>
        <w:jc w:val="center"/>
        <w:rPr>
          <w:rFonts w:ascii="方正小标宋_GBK" w:hAnsi="方正小标宋_GBK" w:eastAsia="方正小标宋_GBK" w:cs="方正小标宋_GBK"/>
          <w:color w:val="auto"/>
          <w:sz w:val="36"/>
          <w:szCs w:val="36"/>
          <w:highlight w:val="none"/>
        </w:rPr>
      </w:pPr>
      <w:r>
        <w:rPr>
          <w:rFonts w:hint="eastAsia" w:ascii="方正小标宋_GBK" w:hAnsi="方正小标宋_GBK" w:eastAsia="方正小标宋_GBK" w:cs="方正小标宋_GBK"/>
          <w:color w:val="auto"/>
          <w:sz w:val="36"/>
          <w:szCs w:val="36"/>
          <w:highlight w:val="none"/>
        </w:rPr>
        <w:t>崇左市金融机构线上“政采贷”业务办理联络表</w:t>
      </w:r>
    </w:p>
    <w:tbl>
      <w:tblPr>
        <w:tblStyle w:val="51"/>
        <w:tblW w:w="8310" w:type="dxa"/>
        <w:tblInd w:w="96" w:type="dxa"/>
        <w:tblLayout w:type="fixed"/>
        <w:tblCellMar>
          <w:top w:w="0" w:type="dxa"/>
          <w:left w:w="108" w:type="dxa"/>
          <w:bottom w:w="0" w:type="dxa"/>
          <w:right w:w="108" w:type="dxa"/>
        </w:tblCellMar>
      </w:tblPr>
      <w:tblGrid>
        <w:gridCol w:w="2673"/>
        <w:gridCol w:w="3513"/>
        <w:gridCol w:w="2124"/>
      </w:tblGrid>
      <w:tr w14:paraId="22FAE2C6">
        <w:tblPrEx>
          <w:tblCellMar>
            <w:top w:w="0" w:type="dxa"/>
            <w:left w:w="108" w:type="dxa"/>
            <w:bottom w:w="0" w:type="dxa"/>
            <w:right w:w="108" w:type="dxa"/>
          </w:tblCellMar>
        </w:tblPrEx>
        <w:trPr>
          <w:trHeight w:val="90" w:hRule="atLeast"/>
        </w:trPr>
        <w:tc>
          <w:tcPr>
            <w:tcW w:w="2674" w:type="dxa"/>
            <w:tcBorders>
              <w:top w:val="single" w:color="000000" w:sz="4" w:space="0"/>
              <w:left w:val="single" w:color="000000" w:sz="4" w:space="0"/>
              <w:bottom w:val="single" w:color="000000" w:sz="4" w:space="0"/>
              <w:right w:val="single" w:color="000000" w:sz="4" w:space="0"/>
            </w:tcBorders>
            <w:noWrap w:val="0"/>
            <w:vAlign w:val="center"/>
          </w:tcPr>
          <w:p w14:paraId="0B3D5EA7">
            <w:pPr>
              <w:widowControl/>
              <w:spacing w:line="400" w:lineRule="exact"/>
              <w:jc w:val="center"/>
              <w:textAlignment w:val="center"/>
              <w:rPr>
                <w:rFonts w:ascii="宋体" w:hAnsi="宋体" w:cs="宋体"/>
                <w:b/>
                <w:bCs/>
                <w:color w:val="auto"/>
                <w:sz w:val="28"/>
                <w:szCs w:val="28"/>
                <w:highlight w:val="none"/>
              </w:rPr>
            </w:pPr>
            <w:r>
              <w:rPr>
                <w:rFonts w:hint="eastAsia" w:ascii="宋体" w:hAnsi="宋体" w:cs="宋体"/>
                <w:b/>
                <w:bCs/>
                <w:color w:val="auto"/>
                <w:kern w:val="0"/>
                <w:sz w:val="28"/>
                <w:szCs w:val="28"/>
                <w:highlight w:val="none"/>
                <w:lang w:bidi="ar"/>
              </w:rPr>
              <w:t>金融机构名称</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47C7EEC">
            <w:pPr>
              <w:widowControl/>
              <w:spacing w:line="400" w:lineRule="exact"/>
              <w:jc w:val="center"/>
              <w:textAlignment w:val="center"/>
              <w:rPr>
                <w:rFonts w:ascii="宋体" w:hAnsi="宋体" w:cs="宋体"/>
                <w:b/>
                <w:bCs/>
                <w:color w:val="auto"/>
                <w:sz w:val="28"/>
                <w:szCs w:val="28"/>
                <w:highlight w:val="none"/>
              </w:rPr>
            </w:pPr>
            <w:r>
              <w:rPr>
                <w:rFonts w:hint="eastAsia" w:ascii="宋体" w:hAnsi="宋体" w:cs="宋体"/>
                <w:b/>
                <w:bCs/>
                <w:color w:val="auto"/>
                <w:kern w:val="0"/>
                <w:sz w:val="28"/>
                <w:szCs w:val="28"/>
                <w:highlight w:val="none"/>
                <w:lang w:bidi="ar"/>
              </w:rPr>
              <w:t>地址</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4120AF3">
            <w:pPr>
              <w:widowControl/>
              <w:spacing w:line="400" w:lineRule="exact"/>
              <w:jc w:val="center"/>
              <w:textAlignment w:val="center"/>
              <w:rPr>
                <w:rFonts w:ascii="宋体" w:hAnsi="宋体" w:cs="宋体"/>
                <w:b/>
                <w:bCs/>
                <w:color w:val="auto"/>
                <w:sz w:val="28"/>
                <w:szCs w:val="28"/>
                <w:highlight w:val="none"/>
              </w:rPr>
            </w:pPr>
            <w:r>
              <w:rPr>
                <w:rFonts w:hint="eastAsia" w:ascii="宋体" w:hAnsi="宋体" w:cs="宋体"/>
                <w:b/>
                <w:bCs/>
                <w:color w:val="auto"/>
                <w:kern w:val="0"/>
                <w:sz w:val="28"/>
                <w:szCs w:val="28"/>
                <w:highlight w:val="none"/>
                <w:lang w:bidi="ar"/>
              </w:rPr>
              <w:t>业务咨询电话</w:t>
            </w:r>
          </w:p>
        </w:tc>
      </w:tr>
      <w:tr w14:paraId="0873C680">
        <w:tblPrEx>
          <w:tblCellMar>
            <w:top w:w="0" w:type="dxa"/>
            <w:left w:w="108" w:type="dxa"/>
            <w:bottom w:w="0" w:type="dxa"/>
            <w:right w:w="108" w:type="dxa"/>
          </w:tblCellMar>
        </w:tblPrEx>
        <w:trPr>
          <w:trHeight w:val="365" w:hRule="atLeast"/>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5CF34240">
            <w:pPr>
              <w:widowControl/>
              <w:jc w:val="left"/>
              <w:textAlignment w:val="center"/>
              <w:rPr>
                <w:rFonts w:ascii="宋体" w:hAnsi="宋体" w:cs="宋体"/>
                <w:color w:val="auto"/>
                <w:szCs w:val="21"/>
                <w:highlight w:val="none"/>
              </w:rPr>
            </w:pPr>
            <w:r>
              <w:rPr>
                <w:rFonts w:hint="eastAsia" w:ascii="宋体" w:hAnsi="宋体" w:cs="宋体"/>
                <w:b/>
                <w:bCs/>
                <w:color w:val="auto"/>
                <w:szCs w:val="21"/>
                <w:highlight w:val="none"/>
              </w:rPr>
              <w:t>崇左市本级及江州区</w:t>
            </w:r>
          </w:p>
        </w:tc>
      </w:tr>
      <w:tr w14:paraId="56692461">
        <w:tblPrEx>
          <w:tblCellMar>
            <w:top w:w="0" w:type="dxa"/>
            <w:left w:w="108" w:type="dxa"/>
            <w:bottom w:w="0" w:type="dxa"/>
            <w:right w:w="108" w:type="dxa"/>
          </w:tblCellMar>
        </w:tblPrEx>
        <w:trPr>
          <w:trHeight w:val="35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5F84ED0">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工商银行崇左分行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490E8B4">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崇左市骆越大道6号（东盟国际城）裙楼2号楼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C9BAA3C">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0771-7820436 0771-7820439</w:t>
            </w:r>
          </w:p>
        </w:tc>
      </w:tr>
      <w:tr w14:paraId="487FA7C9">
        <w:tblPrEx>
          <w:tblCellMar>
            <w:top w:w="0" w:type="dxa"/>
            <w:left w:w="108" w:type="dxa"/>
            <w:bottom w:w="0" w:type="dxa"/>
            <w:right w:w="108" w:type="dxa"/>
          </w:tblCellMar>
        </w:tblPrEx>
        <w:trPr>
          <w:trHeight w:val="9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6FCBFAE">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农业银行崇左分行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BD612E1">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江州区友谊大道26号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6FA2D4B">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0771-7917212</w:t>
            </w:r>
          </w:p>
        </w:tc>
      </w:tr>
      <w:tr w14:paraId="556FBC92">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856C261">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农业银行江州支行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2CFAB18">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江州区江南路48号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06A2496">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0771-7917054</w:t>
            </w:r>
          </w:p>
        </w:tc>
      </w:tr>
      <w:tr w14:paraId="6BC11924">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BFFD1A5">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建行崇左分行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560BA30">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崇左市江州区江南路73号建行大厦</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9EDFB54">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0771-7831103</w:t>
            </w:r>
          </w:p>
        </w:tc>
      </w:tr>
      <w:tr w14:paraId="5076317D">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2019F11">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中国银行崇左分行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68BB985">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崇左市江州区龙胤大厦五楼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C4F635D">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0771-7928650 0771-7920613</w:t>
            </w:r>
          </w:p>
        </w:tc>
      </w:tr>
      <w:tr w14:paraId="68C69C7D">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0E6202F">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崇左农商行授信审批部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58453F8">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崇左市城西路109号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EE5D608">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0771-7925660</w:t>
            </w:r>
          </w:p>
        </w:tc>
      </w:tr>
      <w:tr w14:paraId="31FFE05B">
        <w:tblPrEx>
          <w:tblCellMar>
            <w:top w:w="0" w:type="dxa"/>
            <w:left w:w="108" w:type="dxa"/>
            <w:bottom w:w="0" w:type="dxa"/>
            <w:right w:w="108" w:type="dxa"/>
          </w:tblCellMar>
        </w:tblPrEx>
        <w:trPr>
          <w:trHeight w:val="9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C39F285">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中国邮政储蓄银行崇左市分行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F98899E">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崇左市江州区骆越大道2号中国邮政储蓄银行崇左市分行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3387E71">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0771-7968699</w:t>
            </w:r>
          </w:p>
        </w:tc>
      </w:tr>
      <w:tr w14:paraId="5BB34284">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2211B57">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桂林银行崇左分行营业部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6483101">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广西壮族自治区崇左市江州区友谊大道中段龙胤·财富广场101商铺（龙胤大厦六楼营业部）</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71CC3A2">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0771-7916636</w:t>
            </w:r>
          </w:p>
        </w:tc>
      </w:tr>
      <w:tr w14:paraId="0AF00E19">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AB3A08B">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桂林银行江州支行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C475451">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崇左市江州区建设路41号桂林银行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7946D4C">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0771-7988895</w:t>
            </w:r>
          </w:p>
        </w:tc>
      </w:tr>
      <w:tr w14:paraId="3F77DFD4">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010A320">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广西北部湾银行崇左分行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C53B07B">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崇左市友谊大道中段西侧龙胤财富广场三期财富中心122号商铺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C99D161">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0771-7960855</w:t>
            </w:r>
          </w:p>
        </w:tc>
      </w:tr>
      <w:tr w14:paraId="50326EE8">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3C6E6DF">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广西北部湾银行崇左市中泰产业园支行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72D06C9">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广西壮族自治区崇左市江州区中泰产业园企业总部基地企业服务中心一楼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CDDE1FA">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0771-7821126</w:t>
            </w:r>
          </w:p>
        </w:tc>
      </w:tr>
      <w:tr w14:paraId="5AFB1585">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9A4D9CB">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广西北部湾银行崇左市丽江支行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9FD8A47">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崇左市江州区丽江路丽江明珠滨江花苑三期106-109号商铺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C48C81A">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0771-7831866</w:t>
            </w:r>
          </w:p>
        </w:tc>
      </w:tr>
      <w:tr w14:paraId="5E46EF60">
        <w:tblPrEx>
          <w:tblCellMar>
            <w:top w:w="0" w:type="dxa"/>
            <w:left w:w="108" w:type="dxa"/>
            <w:bottom w:w="0" w:type="dxa"/>
            <w:right w:w="108" w:type="dxa"/>
          </w:tblCellMar>
        </w:tblPrEx>
        <w:trPr>
          <w:trHeight w:val="350" w:hRule="atLeast"/>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1307C4B8">
            <w:pPr>
              <w:widowControl/>
              <w:jc w:val="left"/>
              <w:textAlignment w:val="center"/>
              <w:rPr>
                <w:rFonts w:ascii="宋体" w:hAnsi="宋体" w:cs="宋体"/>
                <w:color w:val="auto"/>
                <w:szCs w:val="21"/>
                <w:highlight w:val="none"/>
              </w:rPr>
            </w:pPr>
            <w:r>
              <w:rPr>
                <w:rFonts w:hint="eastAsia" w:ascii="宋体" w:hAnsi="宋体" w:cs="宋体"/>
                <w:b/>
                <w:bCs/>
                <w:color w:val="auto"/>
                <w:szCs w:val="21"/>
                <w:highlight w:val="none"/>
              </w:rPr>
              <w:t>扶绥县</w:t>
            </w:r>
          </w:p>
        </w:tc>
      </w:tr>
      <w:tr w14:paraId="098DD367">
        <w:tblPrEx>
          <w:tblCellMar>
            <w:top w:w="0" w:type="dxa"/>
            <w:left w:w="108" w:type="dxa"/>
            <w:bottom w:w="0" w:type="dxa"/>
            <w:right w:w="108" w:type="dxa"/>
          </w:tblCellMar>
        </w:tblPrEx>
        <w:trPr>
          <w:trHeight w:val="38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788600A">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工商银行扶绥县支行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149403C">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扶绥县新宁镇同正大道94号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EBCE9A4">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0771-7535612</w:t>
            </w:r>
          </w:p>
        </w:tc>
      </w:tr>
      <w:tr w14:paraId="32450851">
        <w:tblPrEx>
          <w:tblCellMar>
            <w:top w:w="0" w:type="dxa"/>
            <w:left w:w="108" w:type="dxa"/>
            <w:bottom w:w="0" w:type="dxa"/>
            <w:right w:w="108" w:type="dxa"/>
          </w:tblCellMar>
        </w:tblPrEx>
        <w:trPr>
          <w:trHeight w:val="44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79F89CF">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农业银行扶绥县支行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9145BF0">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扶绥县新宁镇新华路126号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23E616E">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0771-7917330</w:t>
            </w:r>
          </w:p>
        </w:tc>
      </w:tr>
      <w:tr w14:paraId="0D96FA8A">
        <w:tblPrEx>
          <w:tblCellMar>
            <w:top w:w="0" w:type="dxa"/>
            <w:left w:w="108" w:type="dxa"/>
            <w:bottom w:w="0" w:type="dxa"/>
            <w:right w:w="108" w:type="dxa"/>
          </w:tblCellMar>
        </w:tblPrEx>
        <w:trPr>
          <w:trHeight w:val="749"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FABF360">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建行扶绥支行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2946EE0">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扶绥县南密路6号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93DF33D">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0771-7516511 0771-7531157</w:t>
            </w:r>
          </w:p>
        </w:tc>
      </w:tr>
      <w:tr w14:paraId="596537F7">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D603818">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建行扶绥空港支行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FD34BC6">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扶绥县双拥路3号东信华府18号楼一层</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8FBF6B9">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0771-7525822</w:t>
            </w:r>
          </w:p>
        </w:tc>
      </w:tr>
      <w:tr w14:paraId="3D588439">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D9F6942">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中国银行扶绥支行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AD07134">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扶绥县-扶绥大道16号山水城市广场一层商铺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06BBBB4">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0771-5025887</w:t>
            </w:r>
          </w:p>
        </w:tc>
      </w:tr>
      <w:tr w14:paraId="69246258">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D8DE36B">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扶绥农商行三农零售与乡村振兴金融部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FD27987">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扶绥县新宁镇永宁路2-1号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C6F9D51">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0771-7533041</w:t>
            </w:r>
          </w:p>
        </w:tc>
      </w:tr>
      <w:tr w14:paraId="5BD59EDB">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C53ACBC">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中国邮政储蓄银行扶绥县支行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BFA8D00">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扶绥县松江路138号中国邮政储蓄银行扶绥县支行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4D3F87D">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0771-7536178 0771-7536177</w:t>
            </w:r>
          </w:p>
        </w:tc>
      </w:tr>
      <w:tr w14:paraId="17D3604D">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C7EA851">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桂林银行崇左扶绥支行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F264ADE">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广西崇左市扶绥县新宁镇松江路20号（桂林银行崇左扶绥支行）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4C872FE">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0771-7661101</w:t>
            </w:r>
          </w:p>
        </w:tc>
      </w:tr>
      <w:tr w14:paraId="78693C85">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D80725F">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广西北部湾银行扶绥县支行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A7D8306">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崇左市扶绥县新宁镇同正大道333号碧园·未来城商业综合体13号楼一楼1050、1051号商铺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AA30DD0">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0771-7500768</w:t>
            </w:r>
          </w:p>
        </w:tc>
      </w:tr>
      <w:tr w14:paraId="3BAA731F">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E8C5530">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扶绥深通村镇银行业发部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E033880">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扶绥县大景城1号楼正门旁</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AE7FB1A">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0771-7525678</w:t>
            </w:r>
          </w:p>
        </w:tc>
      </w:tr>
      <w:tr w14:paraId="01851176">
        <w:tblPrEx>
          <w:tblCellMar>
            <w:top w:w="0" w:type="dxa"/>
            <w:left w:w="108" w:type="dxa"/>
            <w:bottom w:w="0" w:type="dxa"/>
            <w:right w:w="108" w:type="dxa"/>
          </w:tblCellMar>
        </w:tblPrEx>
        <w:trPr>
          <w:trHeight w:val="47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4DB2203">
            <w:pPr>
              <w:widowControl/>
              <w:jc w:val="left"/>
              <w:textAlignment w:val="center"/>
              <w:rPr>
                <w:rFonts w:ascii="宋体" w:hAnsi="宋体" w:cs="宋体"/>
                <w:color w:val="auto"/>
                <w:szCs w:val="21"/>
                <w:highlight w:val="none"/>
              </w:rPr>
            </w:pPr>
            <w:r>
              <w:rPr>
                <w:rFonts w:hint="eastAsia" w:ascii="宋体" w:hAnsi="宋体" w:cs="宋体"/>
                <w:b/>
                <w:bCs/>
                <w:color w:val="auto"/>
                <w:szCs w:val="21"/>
                <w:highlight w:val="none"/>
              </w:rPr>
              <w:t>宁明县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0B3BE4A">
            <w:pPr>
              <w:widowControl/>
              <w:jc w:val="left"/>
              <w:textAlignment w:val="center"/>
              <w:rPr>
                <w:rFonts w:ascii="宋体" w:hAnsi="宋体" w:cs="宋体"/>
                <w:color w:val="auto"/>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487D684">
            <w:pPr>
              <w:widowControl/>
              <w:jc w:val="center"/>
              <w:textAlignment w:val="center"/>
              <w:rPr>
                <w:rFonts w:ascii="宋体" w:hAnsi="宋体" w:cs="宋体"/>
                <w:color w:val="auto"/>
                <w:szCs w:val="21"/>
                <w:highlight w:val="none"/>
              </w:rPr>
            </w:pPr>
          </w:p>
        </w:tc>
      </w:tr>
      <w:tr w14:paraId="00C86CCE">
        <w:tblPrEx>
          <w:tblCellMar>
            <w:top w:w="0" w:type="dxa"/>
            <w:left w:w="108" w:type="dxa"/>
            <w:bottom w:w="0" w:type="dxa"/>
            <w:right w:w="108" w:type="dxa"/>
          </w:tblCellMar>
        </w:tblPrEx>
        <w:trPr>
          <w:trHeight w:val="36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27A70E9">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工商银行宁明县支行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50661F7">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宁明县城中镇兴远街70号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7BF411A">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0771-8620729</w:t>
            </w:r>
          </w:p>
        </w:tc>
      </w:tr>
      <w:tr w14:paraId="03D9E5A6">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2B632EC">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农业银行宁明县支行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BA4DAA4">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宁明县城中镇明阳街11号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990D03F">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0771-7917093</w:t>
            </w:r>
          </w:p>
        </w:tc>
      </w:tr>
      <w:tr w14:paraId="4512BDAB">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EB18F6F">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建行宁明支行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DB99CA0">
            <w:pPr>
              <w:widowControl/>
              <w:spacing w:after="90" w:line="23" w:lineRule="atLeast"/>
              <w:jc w:val="left"/>
              <w:rPr>
                <w:rFonts w:ascii="宋体" w:hAnsi="宋体" w:cs="宋体"/>
                <w:color w:val="auto"/>
                <w:szCs w:val="21"/>
                <w:highlight w:val="none"/>
              </w:rPr>
            </w:pPr>
            <w:r>
              <w:rPr>
                <w:rFonts w:hint="eastAsia" w:ascii="宋体" w:hAnsi="宋体" w:cs="宋体"/>
                <w:color w:val="auto"/>
                <w:kern w:val="0"/>
                <w:szCs w:val="21"/>
                <w:highlight w:val="none"/>
                <w:lang w:bidi="ar"/>
              </w:rPr>
              <w:t>宁明县城中镇兴宁大道77号明江财富广场一层1-13号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073E60D">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0771-8629006</w:t>
            </w:r>
          </w:p>
        </w:tc>
      </w:tr>
      <w:tr w14:paraId="1A70AC10">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C281C9F">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宁明农商行三农零售与乡村振兴金融部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606E0F7">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宁明县城中镇明阳街3号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103CB27">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0771-8628166</w:t>
            </w:r>
          </w:p>
        </w:tc>
      </w:tr>
      <w:tr w14:paraId="135AB056">
        <w:tblPrEx>
          <w:tblCellMar>
            <w:top w:w="0" w:type="dxa"/>
            <w:left w:w="108" w:type="dxa"/>
            <w:bottom w:w="0" w:type="dxa"/>
            <w:right w:w="108" w:type="dxa"/>
          </w:tblCellMar>
        </w:tblPrEx>
        <w:trPr>
          <w:trHeight w:val="439"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EA94167">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桂林银行崇左宁明支行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F0FDAB2">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宁明县城中镇兴宁大道中70号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227E1CB">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0771-8630787</w:t>
            </w:r>
          </w:p>
        </w:tc>
      </w:tr>
      <w:tr w14:paraId="1C27A060">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481EFE0">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广西北部湾银行宁明支行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47CBA5F">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崇左市宁明县城中镇兴宁大道中79号（明都大酒店）A幢楼1楼铺面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4035199">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0771-8622237</w:t>
            </w:r>
          </w:p>
        </w:tc>
      </w:tr>
      <w:tr w14:paraId="492CE300">
        <w:tblPrEx>
          <w:tblCellMar>
            <w:top w:w="0" w:type="dxa"/>
            <w:left w:w="108" w:type="dxa"/>
            <w:bottom w:w="0" w:type="dxa"/>
            <w:right w:w="108" w:type="dxa"/>
          </w:tblCellMar>
        </w:tblPrEx>
        <w:trPr>
          <w:trHeight w:val="377" w:hRule="atLeast"/>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2102C285">
            <w:pPr>
              <w:widowControl/>
              <w:jc w:val="left"/>
              <w:textAlignment w:val="center"/>
              <w:rPr>
                <w:rFonts w:ascii="宋体" w:hAnsi="宋体" w:cs="宋体"/>
                <w:color w:val="auto"/>
                <w:szCs w:val="21"/>
                <w:highlight w:val="none"/>
              </w:rPr>
            </w:pPr>
            <w:r>
              <w:rPr>
                <w:rFonts w:hint="eastAsia" w:ascii="宋体" w:hAnsi="宋体" w:cs="宋体"/>
                <w:b/>
                <w:bCs/>
                <w:color w:val="auto"/>
                <w:szCs w:val="21"/>
                <w:highlight w:val="none"/>
              </w:rPr>
              <w:t>大新县</w:t>
            </w:r>
          </w:p>
        </w:tc>
      </w:tr>
      <w:tr w14:paraId="2418A533">
        <w:tblPrEx>
          <w:tblCellMar>
            <w:top w:w="0" w:type="dxa"/>
            <w:left w:w="108" w:type="dxa"/>
            <w:bottom w:w="0" w:type="dxa"/>
            <w:right w:w="108" w:type="dxa"/>
          </w:tblCellMar>
        </w:tblPrEx>
        <w:trPr>
          <w:trHeight w:val="391"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B255856">
            <w:pPr>
              <w:widowControl/>
              <w:jc w:val="left"/>
              <w:textAlignment w:val="center"/>
              <w:rPr>
                <w:rFonts w:ascii="宋体" w:hAnsi="宋体" w:cs="宋体"/>
                <w:color w:val="auto"/>
                <w:kern w:val="0"/>
                <w:szCs w:val="21"/>
                <w:highlight w:val="none"/>
                <w:lang w:bidi="ar"/>
              </w:rPr>
            </w:pPr>
            <w:r>
              <w:rPr>
                <w:rFonts w:hint="eastAsia" w:ascii="宋体" w:hAnsi="宋体" w:cs="宋体"/>
                <w:color w:val="auto"/>
                <w:szCs w:val="21"/>
                <w:highlight w:val="none"/>
              </w:rPr>
              <w:t>工商银行大新县支行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A8635FC">
            <w:pPr>
              <w:widowControl/>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大新县桃城镇民生街98号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9DA1FF0">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0771-3628078</w:t>
            </w:r>
          </w:p>
        </w:tc>
      </w:tr>
      <w:tr w14:paraId="00C6F99C">
        <w:tblPrEx>
          <w:tblCellMar>
            <w:top w:w="0" w:type="dxa"/>
            <w:left w:w="108" w:type="dxa"/>
            <w:bottom w:w="0" w:type="dxa"/>
            <w:right w:w="108" w:type="dxa"/>
          </w:tblCellMar>
        </w:tblPrEx>
        <w:trPr>
          <w:trHeight w:val="458"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00B7A0A">
            <w:pPr>
              <w:widowControl/>
              <w:jc w:val="left"/>
              <w:textAlignment w:val="center"/>
              <w:rPr>
                <w:rFonts w:ascii="宋体" w:hAnsi="宋体" w:cs="宋体"/>
                <w:color w:val="auto"/>
                <w:kern w:val="0"/>
                <w:szCs w:val="21"/>
                <w:highlight w:val="none"/>
                <w:lang w:bidi="ar"/>
              </w:rPr>
            </w:pPr>
            <w:r>
              <w:rPr>
                <w:rFonts w:hint="eastAsia" w:ascii="宋体" w:hAnsi="宋体" w:cs="宋体"/>
                <w:color w:val="auto"/>
                <w:szCs w:val="21"/>
                <w:highlight w:val="none"/>
              </w:rPr>
              <w:t>农业银行大新县支行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9B4217A">
            <w:pPr>
              <w:widowControl/>
              <w:jc w:val="left"/>
              <w:textAlignment w:val="center"/>
              <w:rPr>
                <w:rFonts w:ascii="宋体" w:hAnsi="宋体" w:cs="宋体"/>
                <w:color w:val="auto"/>
                <w:kern w:val="0"/>
                <w:szCs w:val="21"/>
                <w:highlight w:val="none"/>
                <w:lang w:bidi="ar"/>
              </w:rPr>
            </w:pPr>
            <w:r>
              <w:rPr>
                <w:rFonts w:hint="eastAsia" w:ascii="宋体" w:hAnsi="宋体" w:cs="宋体"/>
                <w:color w:val="auto"/>
                <w:szCs w:val="21"/>
                <w:highlight w:val="none"/>
              </w:rPr>
              <w:t>大新县桃城镇伦理路223号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4171B6C">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0771-</w:t>
            </w:r>
            <w:r>
              <w:rPr>
                <w:rFonts w:hint="eastAsia" w:ascii="宋体" w:hAnsi="宋体" w:cs="宋体"/>
                <w:color w:val="auto"/>
                <w:szCs w:val="21"/>
                <w:highlight w:val="none"/>
              </w:rPr>
              <w:t>7917015</w:t>
            </w:r>
          </w:p>
        </w:tc>
      </w:tr>
      <w:tr w14:paraId="436533DE">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033543B">
            <w:pPr>
              <w:widowControl/>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建行大新支行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8ACF2A4">
            <w:pPr>
              <w:widowControl/>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大新县民生街7号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2C87234">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0771-3689766</w:t>
            </w:r>
          </w:p>
        </w:tc>
      </w:tr>
      <w:tr w14:paraId="16860BF6">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DF036E5">
            <w:pPr>
              <w:widowControl/>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大新农商行三农零售与乡村振兴金融部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56200E1">
            <w:pPr>
              <w:widowControl/>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大新县城养利路131号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3499365">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0771-3623887</w:t>
            </w:r>
          </w:p>
        </w:tc>
      </w:tr>
      <w:tr w14:paraId="31FD7F10">
        <w:tblPrEx>
          <w:tblCellMar>
            <w:top w:w="0" w:type="dxa"/>
            <w:left w:w="108" w:type="dxa"/>
            <w:bottom w:w="0" w:type="dxa"/>
            <w:right w:w="108" w:type="dxa"/>
          </w:tblCellMar>
        </w:tblPrEx>
        <w:trPr>
          <w:trHeight w:val="6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EBCE0C2">
            <w:pPr>
              <w:widowControl/>
              <w:jc w:val="left"/>
              <w:textAlignment w:val="center"/>
              <w:rPr>
                <w:rFonts w:ascii="宋体" w:hAnsi="宋体" w:cs="宋体"/>
                <w:color w:val="auto"/>
                <w:kern w:val="0"/>
                <w:szCs w:val="21"/>
                <w:highlight w:val="none"/>
                <w:lang w:bidi="ar"/>
              </w:rPr>
            </w:pPr>
            <w:r>
              <w:rPr>
                <w:rFonts w:hint="eastAsia" w:ascii="宋体" w:hAnsi="宋体" w:cs="宋体"/>
                <w:color w:val="auto"/>
                <w:szCs w:val="21"/>
                <w:highlight w:val="none"/>
              </w:rPr>
              <w:t>桂林银行崇左大新支行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FFB0244">
            <w:pPr>
              <w:widowControl/>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崇左市大新县桃城镇民生街7号东盟商业广场1楼桂林银行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AABD013">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0771-3621996</w:t>
            </w:r>
          </w:p>
        </w:tc>
      </w:tr>
      <w:tr w14:paraId="39337A30">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95EFD0E">
            <w:pPr>
              <w:widowControl/>
              <w:jc w:val="left"/>
              <w:textAlignment w:val="center"/>
              <w:rPr>
                <w:rFonts w:ascii="宋体" w:hAnsi="宋体" w:cs="宋体"/>
                <w:color w:val="auto"/>
                <w:kern w:val="0"/>
                <w:szCs w:val="21"/>
                <w:highlight w:val="none"/>
                <w:lang w:bidi="ar"/>
              </w:rPr>
            </w:pPr>
            <w:r>
              <w:rPr>
                <w:rFonts w:hint="eastAsia" w:ascii="宋体" w:hAnsi="宋体" w:cs="宋体"/>
                <w:color w:val="auto"/>
                <w:szCs w:val="21"/>
                <w:highlight w:val="none"/>
              </w:rPr>
              <w:t>广西北部湾银行大新支行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9424862">
            <w:pPr>
              <w:widowControl/>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崇左市大新县桃城镇伦理路230号1楼铺面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AE31A3F">
            <w:pPr>
              <w:widowControl/>
              <w:jc w:val="center"/>
              <w:textAlignment w:val="center"/>
              <w:rPr>
                <w:rFonts w:ascii="宋体" w:hAnsi="宋体" w:cs="宋体"/>
                <w:color w:val="auto"/>
                <w:kern w:val="0"/>
                <w:szCs w:val="21"/>
                <w:highlight w:val="none"/>
                <w:lang w:bidi="ar"/>
              </w:rPr>
            </w:pPr>
            <w:r>
              <w:rPr>
                <w:rFonts w:hint="eastAsia" w:ascii="宋体" w:hAnsi="宋体" w:cs="宋体"/>
                <w:color w:val="auto"/>
                <w:szCs w:val="21"/>
                <w:highlight w:val="none"/>
              </w:rPr>
              <w:t>0771-3628366</w:t>
            </w:r>
          </w:p>
        </w:tc>
      </w:tr>
      <w:tr w14:paraId="59B3952A">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366B4BF">
            <w:pPr>
              <w:widowControl/>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崇左大新长江村镇银行营业部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DC71974">
            <w:pPr>
              <w:widowControl/>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大新县桃城镇德天大道74-1号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30A19C9">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0771-3698002</w:t>
            </w:r>
          </w:p>
        </w:tc>
      </w:tr>
      <w:tr w14:paraId="42E79828">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24061F7">
            <w:pPr>
              <w:widowControl/>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崇左大新长江村镇银行百汇支行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89B2563">
            <w:pPr>
              <w:widowControl/>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大新县桃城镇伦那路8号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F6E0C77">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0771-3626199</w:t>
            </w:r>
          </w:p>
        </w:tc>
      </w:tr>
      <w:tr w14:paraId="7D54F3B5">
        <w:tblPrEx>
          <w:tblCellMar>
            <w:top w:w="0" w:type="dxa"/>
            <w:left w:w="108" w:type="dxa"/>
            <w:bottom w:w="0" w:type="dxa"/>
            <w:right w:w="108" w:type="dxa"/>
          </w:tblCellMar>
        </w:tblPrEx>
        <w:trPr>
          <w:trHeight w:val="35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BF86937">
            <w:pPr>
              <w:widowControl/>
              <w:jc w:val="left"/>
              <w:textAlignment w:val="center"/>
              <w:rPr>
                <w:rFonts w:ascii="宋体" w:hAnsi="宋体" w:cs="宋体"/>
                <w:color w:val="auto"/>
                <w:szCs w:val="21"/>
                <w:highlight w:val="none"/>
              </w:rPr>
            </w:pPr>
            <w:r>
              <w:rPr>
                <w:rFonts w:hint="eastAsia" w:ascii="宋体" w:hAnsi="宋体" w:cs="宋体"/>
                <w:b/>
                <w:bCs/>
                <w:color w:val="auto"/>
                <w:szCs w:val="21"/>
                <w:highlight w:val="none"/>
              </w:rPr>
              <w:t>龙州县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AE5EA11">
            <w:pPr>
              <w:widowControl/>
              <w:jc w:val="left"/>
              <w:textAlignment w:val="center"/>
              <w:rPr>
                <w:rFonts w:ascii="宋体" w:hAnsi="宋体" w:cs="宋体"/>
                <w:color w:val="auto"/>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F48C364">
            <w:pPr>
              <w:widowControl/>
              <w:jc w:val="center"/>
              <w:textAlignment w:val="center"/>
              <w:rPr>
                <w:rFonts w:ascii="宋体" w:hAnsi="宋体" w:cs="宋体"/>
                <w:color w:val="auto"/>
                <w:szCs w:val="21"/>
                <w:highlight w:val="none"/>
              </w:rPr>
            </w:pPr>
          </w:p>
        </w:tc>
      </w:tr>
      <w:tr w14:paraId="418F8FA6">
        <w:tblPrEx>
          <w:tblCellMar>
            <w:top w:w="0" w:type="dxa"/>
            <w:left w:w="108" w:type="dxa"/>
            <w:bottom w:w="0" w:type="dxa"/>
            <w:right w:w="108" w:type="dxa"/>
          </w:tblCellMar>
        </w:tblPrEx>
        <w:trPr>
          <w:trHeight w:val="428"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92E161B">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工商银行龙州县支行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50F28BB">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龙州县龙江街60号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BEF42A8">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0771-8868619</w:t>
            </w:r>
          </w:p>
        </w:tc>
      </w:tr>
      <w:tr w14:paraId="017DEB46">
        <w:tblPrEx>
          <w:tblCellMar>
            <w:top w:w="0" w:type="dxa"/>
            <w:left w:w="108" w:type="dxa"/>
            <w:bottom w:w="0" w:type="dxa"/>
            <w:right w:w="108" w:type="dxa"/>
          </w:tblCellMar>
        </w:tblPrEx>
        <w:trPr>
          <w:trHeight w:val="544"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4EEFEBD">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农业银行龙州县支行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5FE161E">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龙州县龙州镇康平街26号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2B0D5D1">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0771-8812504</w:t>
            </w:r>
          </w:p>
        </w:tc>
      </w:tr>
      <w:tr w14:paraId="29F0D997">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89E40AD">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建行龙州支行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DBB046E">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龙州县龙夏路2号龙州商业广场D栋1号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43EBB86">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0771-8820525</w:t>
            </w:r>
          </w:p>
        </w:tc>
      </w:tr>
      <w:tr w14:paraId="63AAF944">
        <w:tblPrEx>
          <w:tblCellMar>
            <w:top w:w="0" w:type="dxa"/>
            <w:left w:w="108" w:type="dxa"/>
            <w:bottom w:w="0" w:type="dxa"/>
            <w:right w:w="108" w:type="dxa"/>
          </w:tblCellMar>
        </w:tblPrEx>
        <w:trPr>
          <w:trHeight w:val="41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20E7C9E">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龙州农商行公司机构金融部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6DAB174">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龙州县龙州镇独山路172号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202AA90">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0771-8813013</w:t>
            </w:r>
          </w:p>
        </w:tc>
      </w:tr>
      <w:tr w14:paraId="2AF89619">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F569CE6">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桂林银行崇左龙州支行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632D360">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龙州县龙州镇同顾大道1号同顾·中央公园20栋10号—13号房</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AAF1455">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0771-8871021</w:t>
            </w:r>
          </w:p>
        </w:tc>
      </w:tr>
      <w:tr w14:paraId="0CD41CE1">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A7CA122">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广西北部湾银行龙州支行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7B43A8F">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崇左市龙州县龙州镇龙夏路1号、3号、5号（南湖商务酒店）一楼铺面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FAA2421">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0771-8811533</w:t>
            </w:r>
          </w:p>
        </w:tc>
      </w:tr>
      <w:tr w14:paraId="73EB771E">
        <w:tblPrEx>
          <w:tblCellMar>
            <w:top w:w="0" w:type="dxa"/>
            <w:left w:w="108" w:type="dxa"/>
            <w:bottom w:w="0" w:type="dxa"/>
            <w:right w:w="108" w:type="dxa"/>
          </w:tblCellMar>
        </w:tblPrEx>
        <w:trPr>
          <w:trHeight w:val="48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C590801">
            <w:pPr>
              <w:widowControl/>
              <w:textAlignment w:val="center"/>
              <w:rPr>
                <w:rFonts w:ascii="宋体" w:hAnsi="宋体" w:cs="宋体"/>
                <w:color w:val="auto"/>
                <w:szCs w:val="21"/>
                <w:highlight w:val="none"/>
              </w:rPr>
            </w:pPr>
            <w:r>
              <w:rPr>
                <w:rFonts w:hint="eastAsia" w:ascii="宋体" w:hAnsi="宋体" w:cs="宋体"/>
                <w:b/>
                <w:bCs/>
                <w:color w:val="auto"/>
                <w:szCs w:val="21"/>
                <w:highlight w:val="none"/>
              </w:rPr>
              <w:t>天等县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98BB585">
            <w:pPr>
              <w:widowControl/>
              <w:jc w:val="left"/>
              <w:textAlignment w:val="center"/>
              <w:rPr>
                <w:rFonts w:ascii="宋体" w:hAnsi="宋体" w:cs="宋体"/>
                <w:color w:val="auto"/>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B655932">
            <w:pPr>
              <w:widowControl/>
              <w:jc w:val="center"/>
              <w:textAlignment w:val="center"/>
              <w:rPr>
                <w:rFonts w:ascii="宋体" w:hAnsi="宋体" w:cs="宋体"/>
                <w:color w:val="auto"/>
                <w:szCs w:val="21"/>
                <w:highlight w:val="none"/>
              </w:rPr>
            </w:pPr>
          </w:p>
        </w:tc>
      </w:tr>
      <w:tr w14:paraId="10C01B42">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12A2863">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工商银行天等县支行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27F87B3">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天等县天等镇朝阳东路054号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5A5FF93">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0771-3532211</w:t>
            </w:r>
          </w:p>
        </w:tc>
      </w:tr>
      <w:tr w14:paraId="155DED0B">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9F5B1F2">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农业银行天等县支行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B290D0F">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 xml:space="preserve"> 天等县天等镇天宝北路007号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066929A">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0771-7917046</w:t>
            </w:r>
          </w:p>
        </w:tc>
      </w:tr>
      <w:tr w14:paraId="0DC71C2F">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300DFAA">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天等农商行公司机构金融部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13926C1">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天等县天等镇仕民路48号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5EA4732">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0771-3521361</w:t>
            </w:r>
          </w:p>
        </w:tc>
      </w:tr>
      <w:tr w14:paraId="00F8CC63">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A1E57F2">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桂林银行崇左天等支行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A013767">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广西崇左市天等县天等镇天宝北路天府中央城5号楼115号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30270C4">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0771-3522157</w:t>
            </w:r>
          </w:p>
        </w:tc>
      </w:tr>
      <w:tr w14:paraId="0FCDF526">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33CF4B3">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广西北部湾银行天等支行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E6F185A">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崇左市天等县天宝南路002号天富商业广场28栋一层商铺6-17号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520594D">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0771-3528688</w:t>
            </w:r>
          </w:p>
        </w:tc>
      </w:tr>
      <w:tr w14:paraId="335CF385">
        <w:tblPrEx>
          <w:tblCellMar>
            <w:top w:w="0" w:type="dxa"/>
            <w:left w:w="108" w:type="dxa"/>
            <w:bottom w:w="0" w:type="dxa"/>
            <w:right w:w="108" w:type="dxa"/>
          </w:tblCellMar>
        </w:tblPrEx>
        <w:trPr>
          <w:trHeight w:val="335" w:hRule="atLeast"/>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06C4EE9D">
            <w:pPr>
              <w:widowControl/>
              <w:jc w:val="left"/>
              <w:textAlignment w:val="center"/>
              <w:rPr>
                <w:rFonts w:ascii="宋体" w:hAnsi="宋体" w:cs="宋体"/>
                <w:color w:val="auto"/>
                <w:szCs w:val="21"/>
                <w:highlight w:val="none"/>
              </w:rPr>
            </w:pPr>
            <w:r>
              <w:rPr>
                <w:rFonts w:hint="eastAsia" w:ascii="宋体" w:hAnsi="宋体" w:cs="宋体"/>
                <w:b/>
                <w:bCs/>
                <w:color w:val="auto"/>
                <w:szCs w:val="21"/>
                <w:highlight w:val="none"/>
              </w:rPr>
              <w:t>凭祥市</w:t>
            </w:r>
          </w:p>
        </w:tc>
      </w:tr>
      <w:tr w14:paraId="26F61135">
        <w:tblPrEx>
          <w:tblCellMar>
            <w:top w:w="0" w:type="dxa"/>
            <w:left w:w="108" w:type="dxa"/>
            <w:bottom w:w="0" w:type="dxa"/>
            <w:right w:w="108" w:type="dxa"/>
          </w:tblCellMar>
        </w:tblPrEx>
        <w:trPr>
          <w:trHeight w:val="44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14DDF2F">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工商银行凭祥分行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C82F926">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凭祥市新华路5号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AA7995D">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0771-8529259</w:t>
            </w:r>
          </w:p>
        </w:tc>
      </w:tr>
      <w:tr w14:paraId="3E97F93F">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DF3A0BE">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农业银行凭祥支行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44625E9">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凭祥市北大路216号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2CFCBDA">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0771-7917258</w:t>
            </w:r>
          </w:p>
        </w:tc>
      </w:tr>
      <w:tr w14:paraId="0CEB9B44">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6082817">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建行凭祥支行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F93D078">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凭祥市屏山路138号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EB7536A">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0771-8525068 0771-8536852</w:t>
            </w:r>
          </w:p>
        </w:tc>
      </w:tr>
      <w:tr w14:paraId="2AF137B3">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5101C1F">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建行凭祥中区支行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4AF3ECE">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凭祥市金象大道香格里拉3幢3-01至3-03号商铺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99FF28">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0771-8551161</w:t>
            </w:r>
          </w:p>
        </w:tc>
      </w:tr>
      <w:tr w14:paraId="765AACBB">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8BACA1C">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建行凭祥浦寨支行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E5BC4A6">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凭祥市浦寨商业城万泰一楼8-9号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39AB750">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0771-8561665</w:t>
            </w:r>
          </w:p>
        </w:tc>
      </w:tr>
      <w:tr w14:paraId="463A7ADA">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F228546">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中国银行凭祥支行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C766A55">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凭祥市-北环路112号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08E6961">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0771-8520356</w:t>
            </w:r>
          </w:p>
        </w:tc>
      </w:tr>
      <w:tr w14:paraId="3674E9FA">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E3C6157">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凭祥农商行业务拓展部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83D3362">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凭祥市友谊关大道13号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68C970C">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0771-8535667</w:t>
            </w:r>
          </w:p>
        </w:tc>
      </w:tr>
      <w:tr w14:paraId="5B9EBCB6">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5146158">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桂林银行广西自贸试验区崇左片区凭祥支行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4134B4A">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凭祥市北大路一支40号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34BACB2">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0771-8520550</w:t>
            </w:r>
          </w:p>
        </w:tc>
      </w:tr>
      <w:tr w14:paraId="1B6C2FCF">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6E42771">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广西北部湾银行广西自贸试验区崇左片区凭祥支行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03E76D7">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凭祥市北大路一支60-1号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554F552">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0771-8556667</w:t>
            </w:r>
          </w:p>
        </w:tc>
      </w:tr>
    </w:tbl>
    <w:p w14:paraId="2F942388">
      <w:pPr>
        <w:spacing w:line="360" w:lineRule="auto"/>
        <w:ind w:firstLine="420" w:firstLineChars="200"/>
        <w:textAlignment w:val="center"/>
        <w:rPr>
          <w:rFonts w:hint="eastAsia" w:ascii="宋体" w:hAnsi="宋体"/>
          <w:color w:val="auto"/>
          <w:kern w:val="0"/>
          <w:szCs w:val="21"/>
          <w:highlight w:val="none"/>
        </w:rPr>
      </w:pPr>
    </w:p>
    <w:p w14:paraId="1CBC8C65">
      <w:pPr>
        <w:rPr>
          <w:color w:val="auto"/>
          <w:highlight w:val="none"/>
        </w:rPr>
      </w:pPr>
    </w:p>
    <w:p w14:paraId="68AC08DF">
      <w:pPr>
        <w:spacing w:before="120" w:line="320" w:lineRule="atLeast"/>
        <w:outlineLvl w:val="1"/>
        <w:rPr>
          <w:b/>
          <w:bCs/>
          <w:color w:val="auto"/>
          <w:kern w:val="0"/>
          <w:szCs w:val="21"/>
          <w:highlight w:val="none"/>
        </w:rPr>
      </w:pPr>
      <w:r>
        <w:rPr>
          <w:color w:val="auto"/>
          <w:highlight w:val="none"/>
        </w:rPr>
        <w:br w:type="page"/>
      </w:r>
      <w:bookmarkStart w:id="30" w:name="_Hlk88949215"/>
      <w:bookmarkStart w:id="31" w:name="_Hlk89180124"/>
      <w:r>
        <w:rPr>
          <w:b/>
          <w:bCs/>
          <w:color w:val="auto"/>
          <w:kern w:val="0"/>
          <w:szCs w:val="21"/>
          <w:highlight w:val="none"/>
        </w:rPr>
        <w:t>1．总则</w:t>
      </w:r>
    </w:p>
    <w:p w14:paraId="6CA8C6C4">
      <w:pPr>
        <w:spacing w:before="120" w:line="320" w:lineRule="atLeast"/>
        <w:ind w:firstLine="422" w:firstLineChars="200"/>
        <w:outlineLvl w:val="2"/>
        <w:rPr>
          <w:b/>
          <w:bCs/>
          <w:color w:val="auto"/>
          <w:kern w:val="0"/>
          <w:szCs w:val="21"/>
          <w:highlight w:val="none"/>
        </w:rPr>
      </w:pPr>
      <w:bookmarkStart w:id="32" w:name="_Toc254970668"/>
      <w:bookmarkStart w:id="33" w:name="_Toc254970527"/>
      <w:r>
        <w:rPr>
          <w:b/>
          <w:bCs/>
          <w:color w:val="auto"/>
          <w:kern w:val="0"/>
          <w:szCs w:val="21"/>
          <w:highlight w:val="none"/>
        </w:rPr>
        <w:t>1.1适用范围</w:t>
      </w:r>
      <w:bookmarkEnd w:id="32"/>
      <w:bookmarkEnd w:id="33"/>
    </w:p>
    <w:p w14:paraId="5EA6AB0D">
      <w:pPr>
        <w:spacing w:before="120" w:line="320" w:lineRule="atLeast"/>
        <w:ind w:firstLine="420" w:firstLineChars="200"/>
        <w:rPr>
          <w:color w:val="auto"/>
          <w:szCs w:val="21"/>
          <w:highlight w:val="none"/>
        </w:rPr>
      </w:pPr>
      <w:r>
        <w:rPr>
          <w:color w:val="auto"/>
          <w:szCs w:val="21"/>
          <w:highlight w:val="none"/>
        </w:rPr>
        <w:t>本采购文件适用于供应商须知前附表所述项目的</w:t>
      </w:r>
      <w:r>
        <w:rPr>
          <w:rFonts w:hint="eastAsia"/>
          <w:color w:val="auto"/>
          <w:szCs w:val="21"/>
          <w:highlight w:val="none"/>
        </w:rPr>
        <w:t>政府采购活动。</w:t>
      </w:r>
    </w:p>
    <w:p w14:paraId="46299E8C">
      <w:pPr>
        <w:spacing w:before="120" w:line="320" w:lineRule="atLeast"/>
        <w:ind w:firstLine="422" w:firstLineChars="200"/>
        <w:outlineLvl w:val="2"/>
        <w:rPr>
          <w:b/>
          <w:bCs/>
          <w:color w:val="auto"/>
          <w:kern w:val="0"/>
          <w:szCs w:val="21"/>
          <w:highlight w:val="none"/>
        </w:rPr>
      </w:pPr>
      <w:bookmarkStart w:id="34" w:name="_Toc254970528"/>
      <w:bookmarkStart w:id="35" w:name="_Toc254970669"/>
      <w:r>
        <w:rPr>
          <w:b/>
          <w:bCs/>
          <w:color w:val="auto"/>
          <w:kern w:val="0"/>
          <w:szCs w:val="21"/>
          <w:highlight w:val="none"/>
        </w:rPr>
        <w:t>1.2定义</w:t>
      </w:r>
      <w:bookmarkEnd w:id="34"/>
      <w:bookmarkEnd w:id="35"/>
    </w:p>
    <w:p w14:paraId="3BF8F299">
      <w:pPr>
        <w:spacing w:before="120" w:line="320" w:lineRule="atLeast"/>
        <w:ind w:firstLine="420" w:firstLineChars="200"/>
        <w:rPr>
          <w:color w:val="auto"/>
          <w:szCs w:val="21"/>
          <w:highlight w:val="none"/>
        </w:rPr>
      </w:pPr>
      <w:r>
        <w:rPr>
          <w:color w:val="auto"/>
          <w:szCs w:val="21"/>
          <w:highlight w:val="none"/>
        </w:rPr>
        <w:t>1.2.1“采购人”系指依法进行政府采购的国家机关、事业单位、团体组织。</w:t>
      </w:r>
    </w:p>
    <w:p w14:paraId="1710FCAF">
      <w:pPr>
        <w:spacing w:before="120" w:line="320" w:lineRule="atLeast"/>
        <w:ind w:firstLine="420" w:firstLineChars="200"/>
        <w:rPr>
          <w:color w:val="auto"/>
          <w:szCs w:val="21"/>
          <w:highlight w:val="none"/>
        </w:rPr>
      </w:pPr>
      <w:r>
        <w:rPr>
          <w:color w:val="auto"/>
          <w:szCs w:val="21"/>
          <w:highlight w:val="none"/>
        </w:rPr>
        <w:t>1.2.2“供应商”系</w:t>
      </w:r>
      <w:r>
        <w:rPr>
          <w:color w:val="auto"/>
          <w:highlight w:val="none"/>
        </w:rPr>
        <w:t>指响应招标、参加响应竞争的法人、其他组织或者自然人</w:t>
      </w:r>
      <w:r>
        <w:rPr>
          <w:color w:val="auto"/>
          <w:szCs w:val="21"/>
          <w:highlight w:val="none"/>
        </w:rPr>
        <w:t>。</w:t>
      </w:r>
    </w:p>
    <w:p w14:paraId="16CE0651">
      <w:pPr>
        <w:spacing w:before="120" w:line="360" w:lineRule="auto"/>
        <w:ind w:firstLine="420" w:firstLineChars="200"/>
        <w:rPr>
          <w:rFonts w:hint="eastAsia"/>
          <w:color w:val="auto"/>
          <w:highlight w:val="none"/>
        </w:rPr>
      </w:pPr>
      <w:r>
        <w:rPr>
          <w:rFonts w:hint="eastAsia"/>
          <w:color w:val="auto"/>
          <w:highlight w:val="none"/>
        </w:rPr>
        <w:t>1.2.3</w:t>
      </w:r>
      <w:r>
        <w:rPr>
          <w:color w:val="auto"/>
          <w:highlight w:val="none"/>
        </w:rPr>
        <w:t>本</w:t>
      </w:r>
      <w:r>
        <w:rPr>
          <w:rFonts w:hint="eastAsia"/>
          <w:color w:val="auto"/>
          <w:highlight w:val="none"/>
        </w:rPr>
        <w:t>文件</w:t>
      </w:r>
      <w:r>
        <w:rPr>
          <w:color w:val="auto"/>
          <w:highlight w:val="none"/>
        </w:rPr>
        <w:t>中的</w:t>
      </w:r>
      <w:r>
        <w:rPr>
          <w:rFonts w:hint="eastAsia"/>
          <w:color w:val="auto"/>
          <w:highlight w:val="none"/>
        </w:rPr>
        <w:t>“法定代表人”若无特别说明，当</w:t>
      </w:r>
      <w:r>
        <w:rPr>
          <w:color w:val="auto"/>
          <w:highlight w:val="none"/>
        </w:rPr>
        <w:t>供应商是</w:t>
      </w:r>
      <w:r>
        <w:rPr>
          <w:rFonts w:hint="eastAsia"/>
          <w:color w:val="auto"/>
          <w:highlight w:val="none"/>
        </w:rPr>
        <w:t>企业的，是指企业法人营业执照上的法定代表人；当</w:t>
      </w:r>
      <w:r>
        <w:rPr>
          <w:color w:val="auto"/>
          <w:highlight w:val="none"/>
        </w:rPr>
        <w:t>供应商是</w:t>
      </w:r>
      <w:r>
        <w:rPr>
          <w:rFonts w:hint="eastAsia"/>
          <w:color w:val="auto"/>
          <w:highlight w:val="none"/>
        </w:rPr>
        <w:t>事业单位的，是指事业单位法人证书上的法定代表人；当</w:t>
      </w:r>
      <w:r>
        <w:rPr>
          <w:color w:val="auto"/>
          <w:highlight w:val="none"/>
        </w:rPr>
        <w:t>供应商是</w:t>
      </w:r>
      <w:r>
        <w:rPr>
          <w:rFonts w:hint="eastAsia"/>
          <w:color w:val="auto"/>
          <w:highlight w:val="none"/>
        </w:rPr>
        <w:t>社会团体、民办非企业的，是指法人登记证书中的法定代表人；当</w:t>
      </w:r>
      <w:r>
        <w:rPr>
          <w:color w:val="auto"/>
          <w:highlight w:val="none"/>
        </w:rPr>
        <w:t>供应商是</w:t>
      </w:r>
      <w:r>
        <w:rPr>
          <w:rFonts w:hint="eastAsia"/>
          <w:color w:val="auto"/>
          <w:highlight w:val="none"/>
        </w:rPr>
        <w:t>个体工商户的，是指个体工商户营业执照上的经营者；</w:t>
      </w:r>
      <w:r>
        <w:rPr>
          <w:color w:val="auto"/>
          <w:highlight w:val="none"/>
        </w:rPr>
        <w:t>当供应商是自然人</w:t>
      </w:r>
      <w:r>
        <w:rPr>
          <w:rFonts w:hint="eastAsia"/>
          <w:color w:val="auto"/>
          <w:highlight w:val="none"/>
        </w:rPr>
        <w:t>的，是指参与本项目响应的自然人本人。</w:t>
      </w:r>
    </w:p>
    <w:p w14:paraId="7D5D9A1A">
      <w:pPr>
        <w:spacing w:before="120" w:line="360" w:lineRule="auto"/>
        <w:ind w:firstLine="420" w:firstLineChars="200"/>
        <w:rPr>
          <w:rFonts w:hint="eastAsia"/>
          <w:color w:val="auto"/>
          <w:highlight w:val="none"/>
        </w:rPr>
      </w:pPr>
      <w:r>
        <w:rPr>
          <w:color w:val="auto"/>
          <w:highlight w:val="none"/>
        </w:rPr>
        <w:t xml:space="preserve">    </w:t>
      </w:r>
      <w:r>
        <w:rPr>
          <w:rFonts w:hint="eastAsia"/>
          <w:color w:val="auto"/>
          <w:highlight w:val="none"/>
        </w:rPr>
        <w:t>1.2.4本文件中的“公章”是指根据我国对公章的管理规定，用供应商法定主体行为名称制作的印章，除本文件有特殊规定外，供应商的财务章、部门章、分公司章、工会章、合同章、投标专用章、业务专用章及银行的转账章、现金收讫章、现金付讫章等其他形式印章均不能代替公章。本文件中的“签章”是指电子签名的一种表现形式，利用图像处理技术将电子签名操作转化为与纸质文件盖章操作相同的可视效果，同时利用电子签名技术保障电子信息的真实性和完整性以及签名人的不可否认性。</w:t>
      </w:r>
    </w:p>
    <w:p w14:paraId="304D02EB">
      <w:pPr>
        <w:widowControl/>
        <w:spacing w:line="360" w:lineRule="auto"/>
        <w:ind w:firstLine="420" w:firstLineChars="200"/>
        <w:jc w:val="left"/>
        <w:rPr>
          <w:color w:val="auto"/>
          <w:szCs w:val="21"/>
          <w:highlight w:val="none"/>
        </w:rPr>
      </w:pPr>
      <w:r>
        <w:rPr>
          <w:color w:val="auto"/>
          <w:szCs w:val="21"/>
          <w:highlight w:val="none"/>
        </w:rPr>
        <w:t>1.2.</w:t>
      </w:r>
      <w:r>
        <w:rPr>
          <w:rFonts w:hint="eastAsia"/>
          <w:color w:val="auto"/>
          <w:szCs w:val="21"/>
          <w:highlight w:val="none"/>
        </w:rPr>
        <w:t>5</w:t>
      </w:r>
      <w:r>
        <w:rPr>
          <w:color w:val="auto"/>
          <w:szCs w:val="21"/>
          <w:highlight w:val="none"/>
        </w:rPr>
        <w:t>“书面形式”如无特殊规定，</w:t>
      </w:r>
      <w:r>
        <w:rPr>
          <w:rFonts w:hint="eastAsia"/>
          <w:color w:val="auto"/>
          <w:szCs w:val="21"/>
          <w:highlight w:val="none"/>
        </w:rPr>
        <w:t>书面形式是合同书、信件、电报、电传等可以有形地表现所载内容的形式。以电子数据交换、电子邮件等方式能够有形地表现所载内容，并可以随时调取查用的数据电文，视为书面形式。</w:t>
      </w:r>
      <w:r>
        <w:rPr>
          <w:color w:val="auto"/>
          <w:szCs w:val="21"/>
          <w:highlight w:val="none"/>
        </w:rPr>
        <w:t xml:space="preserve">采购文件如有特殊规定，以采购文件规定为准。 </w:t>
      </w:r>
    </w:p>
    <w:p w14:paraId="0A111546">
      <w:pPr>
        <w:spacing w:before="120" w:line="320" w:lineRule="atLeast"/>
        <w:ind w:firstLine="420" w:firstLineChars="200"/>
        <w:rPr>
          <w:color w:val="auto"/>
          <w:szCs w:val="21"/>
          <w:highlight w:val="none"/>
        </w:rPr>
      </w:pPr>
      <w:r>
        <w:rPr>
          <w:color w:val="auto"/>
          <w:szCs w:val="21"/>
          <w:highlight w:val="none"/>
        </w:rPr>
        <w:t>1.2.</w:t>
      </w:r>
      <w:r>
        <w:rPr>
          <w:rFonts w:hint="eastAsia"/>
          <w:color w:val="auto"/>
          <w:szCs w:val="21"/>
          <w:highlight w:val="none"/>
        </w:rPr>
        <w:t>6本项目的技术商务要求重要性分为“▲”（如有）、“#”（如有）和一般无标识指标。▲代表实质性要求指标，</w:t>
      </w:r>
      <w:r>
        <w:rPr>
          <w:rFonts w:hint="eastAsia"/>
          <w:b/>
          <w:bCs/>
          <w:color w:val="auto"/>
          <w:szCs w:val="21"/>
          <w:highlight w:val="none"/>
        </w:rPr>
        <w:t>不满足该指标项将导致响应被否决</w:t>
      </w:r>
      <w:r>
        <w:rPr>
          <w:rFonts w:hint="eastAsia"/>
          <w:color w:val="auto"/>
          <w:szCs w:val="21"/>
          <w:highlight w:val="none"/>
        </w:rPr>
        <w:t>，#代表重要指标，无标识则表示一般指标项。</w:t>
      </w:r>
    </w:p>
    <w:p w14:paraId="7A0D577B">
      <w:pPr>
        <w:spacing w:before="120" w:line="320" w:lineRule="atLeast"/>
        <w:ind w:firstLine="420" w:firstLineChars="200"/>
        <w:rPr>
          <w:color w:val="auto"/>
          <w:szCs w:val="21"/>
          <w:highlight w:val="none"/>
        </w:rPr>
      </w:pPr>
      <w:r>
        <w:rPr>
          <w:color w:val="auto"/>
          <w:szCs w:val="21"/>
          <w:highlight w:val="none"/>
        </w:rPr>
        <w:t>1.2.</w:t>
      </w:r>
      <w:r>
        <w:rPr>
          <w:rFonts w:hint="eastAsia"/>
          <w:color w:val="auto"/>
          <w:szCs w:val="21"/>
          <w:highlight w:val="none"/>
        </w:rPr>
        <w:t>7 本</w:t>
      </w:r>
      <w:r>
        <w:rPr>
          <w:color w:val="auto"/>
          <w:szCs w:val="21"/>
          <w:highlight w:val="none"/>
        </w:rPr>
        <w:t>采购文件</w:t>
      </w:r>
      <w:r>
        <w:rPr>
          <w:rFonts w:hint="eastAsia"/>
          <w:color w:val="auto"/>
          <w:szCs w:val="21"/>
          <w:highlight w:val="none"/>
        </w:rPr>
        <w:t>出现多种选项的条款，以“</w:t>
      </w:r>
      <w:r>
        <w:rPr>
          <w:color w:val="auto"/>
          <w:highlight w:val="none"/>
        </w:rPr>
        <w:sym w:font="Wingdings 2" w:char="F052"/>
      </w:r>
      <w:r>
        <w:rPr>
          <w:rFonts w:hint="eastAsia"/>
          <w:color w:val="auto"/>
          <w:szCs w:val="21"/>
          <w:highlight w:val="none"/>
        </w:rPr>
        <w:t>”表示本条款所选择的方式。</w:t>
      </w:r>
    </w:p>
    <w:p w14:paraId="288CAA0F">
      <w:pPr>
        <w:spacing w:before="120" w:line="320" w:lineRule="atLeast"/>
        <w:ind w:firstLine="420" w:firstLineChars="200"/>
        <w:rPr>
          <w:rFonts w:hint="eastAsia"/>
          <w:color w:val="auto"/>
          <w:szCs w:val="21"/>
          <w:highlight w:val="none"/>
        </w:rPr>
      </w:pPr>
      <w:r>
        <w:rPr>
          <w:rFonts w:hint="eastAsia"/>
          <w:color w:val="auto"/>
          <w:szCs w:val="21"/>
          <w:highlight w:val="none"/>
        </w:rPr>
        <w:t>1.</w:t>
      </w:r>
      <w:r>
        <w:rPr>
          <w:color w:val="auto"/>
          <w:szCs w:val="21"/>
          <w:highlight w:val="none"/>
        </w:rPr>
        <w:t>2</w:t>
      </w:r>
      <w:r>
        <w:rPr>
          <w:rFonts w:hint="eastAsia"/>
          <w:color w:val="auto"/>
          <w:szCs w:val="21"/>
          <w:highlight w:val="none"/>
        </w:rPr>
        <w:t>.</w:t>
      </w:r>
      <w:r>
        <w:rPr>
          <w:color w:val="auto"/>
          <w:szCs w:val="21"/>
          <w:highlight w:val="none"/>
        </w:rPr>
        <w:t>8 “</w:t>
      </w:r>
      <w:r>
        <w:rPr>
          <w:rFonts w:hint="eastAsia"/>
          <w:color w:val="auto"/>
          <w:szCs w:val="21"/>
          <w:highlight w:val="none"/>
        </w:rPr>
        <w:t>电子交易平台</w:t>
      </w:r>
      <w:r>
        <w:rPr>
          <w:color w:val="auto"/>
          <w:szCs w:val="21"/>
          <w:highlight w:val="none"/>
        </w:rPr>
        <w:t>”</w:t>
      </w:r>
      <w:r>
        <w:rPr>
          <w:rFonts w:hint="eastAsia"/>
          <w:color w:val="auto"/>
          <w:szCs w:val="21"/>
          <w:highlight w:val="none"/>
        </w:rPr>
        <w:t>是指以数据电文形式在线完成采购活动的信息平台，本采购文件中也称</w:t>
      </w:r>
      <w:r>
        <w:rPr>
          <w:color w:val="auto"/>
          <w:szCs w:val="21"/>
          <w:highlight w:val="none"/>
        </w:rPr>
        <w:t>“</w:t>
      </w:r>
      <w:r>
        <w:rPr>
          <w:rFonts w:hint="eastAsia"/>
          <w:color w:val="auto"/>
          <w:szCs w:val="21"/>
          <w:highlight w:val="none"/>
        </w:rPr>
        <w:t>广西政府采购云平台</w:t>
      </w:r>
      <w:r>
        <w:rPr>
          <w:color w:val="auto"/>
          <w:szCs w:val="21"/>
          <w:highlight w:val="none"/>
        </w:rPr>
        <w:t>”</w:t>
      </w:r>
      <w:r>
        <w:rPr>
          <w:rFonts w:hint="eastAsia"/>
          <w:color w:val="auto"/>
          <w:szCs w:val="21"/>
          <w:highlight w:val="none"/>
        </w:rPr>
        <w:t>。</w:t>
      </w:r>
    </w:p>
    <w:p w14:paraId="1CA6456E">
      <w:pPr>
        <w:spacing w:before="120" w:line="320" w:lineRule="atLeast"/>
        <w:ind w:firstLine="422" w:firstLineChars="200"/>
        <w:outlineLvl w:val="2"/>
        <w:rPr>
          <w:b/>
          <w:bCs/>
          <w:color w:val="auto"/>
          <w:kern w:val="0"/>
          <w:szCs w:val="21"/>
          <w:highlight w:val="none"/>
        </w:rPr>
      </w:pPr>
      <w:r>
        <w:rPr>
          <w:rFonts w:hint="eastAsia"/>
          <w:b/>
          <w:bCs/>
          <w:color w:val="auto"/>
          <w:kern w:val="0"/>
          <w:szCs w:val="21"/>
          <w:highlight w:val="none"/>
        </w:rPr>
        <w:t>1</w:t>
      </w:r>
      <w:r>
        <w:rPr>
          <w:b/>
          <w:bCs/>
          <w:color w:val="auto"/>
          <w:kern w:val="0"/>
          <w:szCs w:val="21"/>
          <w:highlight w:val="none"/>
        </w:rPr>
        <w:t>.3</w:t>
      </w:r>
      <w:r>
        <w:rPr>
          <w:rFonts w:hint="eastAsia"/>
          <w:b/>
          <w:bCs/>
          <w:color w:val="auto"/>
          <w:kern w:val="0"/>
          <w:szCs w:val="21"/>
          <w:highlight w:val="none"/>
        </w:rPr>
        <w:t>项目信息</w:t>
      </w:r>
    </w:p>
    <w:p w14:paraId="7ADA5D37">
      <w:pPr>
        <w:spacing w:before="120" w:line="320" w:lineRule="atLeast"/>
        <w:ind w:firstLine="420" w:firstLineChars="200"/>
        <w:rPr>
          <w:color w:val="auto"/>
          <w:szCs w:val="21"/>
          <w:highlight w:val="none"/>
        </w:rPr>
      </w:pPr>
      <w:r>
        <w:rPr>
          <w:rFonts w:hint="eastAsia"/>
          <w:color w:val="auto"/>
          <w:szCs w:val="21"/>
          <w:highlight w:val="none"/>
        </w:rPr>
        <w:t>1</w:t>
      </w:r>
      <w:r>
        <w:rPr>
          <w:color w:val="auto"/>
          <w:szCs w:val="21"/>
          <w:highlight w:val="none"/>
        </w:rPr>
        <w:t>.3.1</w:t>
      </w:r>
      <w:r>
        <w:rPr>
          <w:rFonts w:hint="eastAsia"/>
          <w:color w:val="auto"/>
          <w:szCs w:val="21"/>
          <w:highlight w:val="none"/>
        </w:rPr>
        <w:t>项目名称及编号：详见供应商须知前附表</w:t>
      </w:r>
    </w:p>
    <w:p w14:paraId="2D7741EF">
      <w:pPr>
        <w:spacing w:before="120" w:line="320" w:lineRule="atLeast"/>
        <w:ind w:firstLine="420" w:firstLineChars="200"/>
        <w:rPr>
          <w:color w:val="auto"/>
          <w:szCs w:val="21"/>
          <w:highlight w:val="none"/>
        </w:rPr>
      </w:pPr>
      <w:r>
        <w:rPr>
          <w:rFonts w:hint="eastAsia"/>
          <w:color w:val="auto"/>
          <w:szCs w:val="21"/>
          <w:highlight w:val="none"/>
        </w:rPr>
        <w:t>1</w:t>
      </w:r>
      <w:r>
        <w:rPr>
          <w:color w:val="auto"/>
          <w:szCs w:val="21"/>
          <w:highlight w:val="none"/>
        </w:rPr>
        <w:t>.3.2</w:t>
      </w:r>
      <w:r>
        <w:rPr>
          <w:rFonts w:hint="eastAsia"/>
          <w:color w:val="auto"/>
          <w:szCs w:val="21"/>
          <w:highlight w:val="none"/>
        </w:rPr>
        <w:t>采购方式：详见供应商须知前附表</w:t>
      </w:r>
    </w:p>
    <w:p w14:paraId="063D9171">
      <w:pPr>
        <w:spacing w:before="120" w:line="320" w:lineRule="atLeast"/>
        <w:ind w:firstLine="422" w:firstLineChars="200"/>
        <w:outlineLvl w:val="2"/>
        <w:rPr>
          <w:rFonts w:hint="eastAsia"/>
          <w:b/>
          <w:bCs/>
          <w:color w:val="auto"/>
          <w:kern w:val="0"/>
          <w:szCs w:val="21"/>
          <w:highlight w:val="none"/>
        </w:rPr>
      </w:pPr>
      <w:r>
        <w:rPr>
          <w:rFonts w:hint="eastAsia"/>
          <w:b/>
          <w:bCs/>
          <w:color w:val="auto"/>
          <w:kern w:val="0"/>
          <w:szCs w:val="21"/>
          <w:highlight w:val="none"/>
        </w:rPr>
        <w:t>1.4促进中小企业发展政策</w:t>
      </w:r>
    </w:p>
    <w:p w14:paraId="4CC52E14">
      <w:pPr>
        <w:spacing w:before="120" w:line="320" w:lineRule="atLeast"/>
        <w:ind w:firstLine="420" w:firstLineChars="200"/>
        <w:rPr>
          <w:rFonts w:hint="eastAsia"/>
          <w:color w:val="auto"/>
          <w:szCs w:val="21"/>
          <w:highlight w:val="none"/>
        </w:rPr>
      </w:pPr>
      <w:r>
        <w:rPr>
          <w:rFonts w:hint="eastAsia"/>
          <w:color w:val="auto"/>
          <w:szCs w:val="21"/>
          <w:highlight w:val="none"/>
        </w:rPr>
        <w:t>1.4.1本项目落实促进中小企业发展政策措施在前附表规定。依据促进中小企业发展政策获得政府采购合同的，小微企业不得将合同分包给大中型企业，中型企业不得将合同分包给大型企业。</w:t>
      </w:r>
    </w:p>
    <w:p w14:paraId="3407C5FE">
      <w:pPr>
        <w:spacing w:before="120" w:line="320" w:lineRule="atLeast"/>
        <w:ind w:firstLine="420" w:firstLineChars="200"/>
        <w:rPr>
          <w:rFonts w:hint="eastAsia"/>
          <w:color w:val="auto"/>
          <w:szCs w:val="21"/>
          <w:highlight w:val="none"/>
        </w:rPr>
      </w:pPr>
      <w:r>
        <w:rPr>
          <w:rFonts w:hint="eastAsia"/>
          <w:color w:val="auto"/>
          <w:szCs w:val="21"/>
          <w:highlight w:val="none"/>
        </w:rPr>
        <w:t>根据《政府采购促进中小企业发展管理办法》（财库[2020]46号）第九条以及《广西壮族自治区财政厅 广西壮族自治区工业和信息化厅转发财政部 工业和信息化部政府采购促进中小企业发展管理办法的通知》（桂财采[2021]70号）规定，价格扣除比例在第四章评审方法及标准中规定，对小型企业和微型企业同等对待，不作区分。</w:t>
      </w:r>
    </w:p>
    <w:p w14:paraId="255A3944">
      <w:pPr>
        <w:spacing w:before="120" w:line="320" w:lineRule="atLeast"/>
        <w:ind w:firstLine="420" w:firstLineChars="200"/>
        <w:rPr>
          <w:rFonts w:hint="eastAsia"/>
          <w:color w:val="auto"/>
          <w:szCs w:val="21"/>
          <w:highlight w:val="none"/>
        </w:rPr>
      </w:pPr>
      <w:r>
        <w:rPr>
          <w:rFonts w:hint="eastAsia"/>
          <w:color w:val="auto"/>
          <w:szCs w:val="21"/>
          <w:highlight w:val="none"/>
        </w:rPr>
        <w:t>1.4.2中小企业定义</w:t>
      </w:r>
    </w:p>
    <w:p w14:paraId="45E24DBC">
      <w:pPr>
        <w:spacing w:before="120" w:line="320" w:lineRule="atLeast"/>
        <w:ind w:firstLine="420" w:firstLineChars="200"/>
        <w:rPr>
          <w:rFonts w:hint="eastAsia"/>
          <w:color w:val="auto"/>
          <w:szCs w:val="21"/>
          <w:highlight w:val="none"/>
        </w:rPr>
      </w:pPr>
      <w:r>
        <w:rPr>
          <w:rFonts w:hint="eastAsia"/>
          <w:color w:val="auto"/>
          <w:szCs w:val="21"/>
          <w:highlight w:val="none"/>
        </w:rPr>
        <w:t>1.4.2.1中小企业是指在中华人民共和国境内依法设立，依据国务院批准的中小企业划分标准确定的中型企业、小型企业和微型企业，但与大企业的负责人为同一人，或者与大企业存在直接控股、管理关系的除外。</w:t>
      </w:r>
    </w:p>
    <w:p w14:paraId="0285568C">
      <w:pPr>
        <w:spacing w:before="120" w:line="320" w:lineRule="atLeast"/>
        <w:ind w:firstLine="420" w:firstLineChars="200"/>
        <w:rPr>
          <w:rFonts w:hint="eastAsia"/>
          <w:color w:val="auto"/>
          <w:szCs w:val="21"/>
          <w:highlight w:val="none"/>
        </w:rPr>
      </w:pPr>
      <w:r>
        <w:rPr>
          <w:rFonts w:hint="eastAsia"/>
          <w:color w:val="auto"/>
          <w:szCs w:val="21"/>
          <w:highlight w:val="none"/>
        </w:rPr>
        <w:t>1.4.</w:t>
      </w:r>
      <w:r>
        <w:rPr>
          <w:color w:val="auto"/>
          <w:szCs w:val="21"/>
          <w:highlight w:val="none"/>
        </w:rPr>
        <w:t>2</w:t>
      </w:r>
      <w:r>
        <w:rPr>
          <w:rFonts w:hint="eastAsia"/>
          <w:color w:val="auto"/>
          <w:szCs w:val="21"/>
          <w:highlight w:val="none"/>
        </w:rPr>
        <w:t>.2供应商提供的货物、工程或者服务符合下列情形的，享受本款规定的促进中小企业发展政策：</w:t>
      </w:r>
    </w:p>
    <w:p w14:paraId="744B3043">
      <w:pPr>
        <w:spacing w:before="120" w:line="320" w:lineRule="atLeast"/>
        <w:ind w:firstLine="420" w:firstLineChars="200"/>
        <w:rPr>
          <w:rFonts w:hint="eastAsia"/>
          <w:color w:val="auto"/>
          <w:szCs w:val="21"/>
          <w:highlight w:val="none"/>
        </w:rPr>
      </w:pPr>
      <w:r>
        <w:rPr>
          <w:rFonts w:hint="eastAsia"/>
          <w:color w:val="auto"/>
          <w:szCs w:val="21"/>
          <w:highlight w:val="none"/>
        </w:rPr>
        <w:t>在货物采购项目中，货物由中小企业制造，即货物由中小企业生产且使用该中小企业商号或者注册商标；</w:t>
      </w:r>
    </w:p>
    <w:p w14:paraId="22827719">
      <w:pPr>
        <w:spacing w:before="120" w:line="320" w:lineRule="atLeast"/>
        <w:ind w:firstLine="420" w:firstLineChars="200"/>
        <w:rPr>
          <w:rFonts w:hint="eastAsia"/>
          <w:color w:val="auto"/>
          <w:szCs w:val="21"/>
          <w:highlight w:val="none"/>
        </w:rPr>
      </w:pPr>
      <w:r>
        <w:rPr>
          <w:rFonts w:hint="eastAsia"/>
          <w:color w:val="auto"/>
          <w:szCs w:val="21"/>
          <w:highlight w:val="none"/>
        </w:rPr>
        <w:t>在工程采购项目中，工程由中小企业承建，即工程施工单位为中小企业；</w:t>
      </w:r>
    </w:p>
    <w:p w14:paraId="2A56184F">
      <w:pPr>
        <w:spacing w:before="120" w:line="320" w:lineRule="atLeast"/>
        <w:ind w:firstLine="420" w:firstLineChars="200"/>
        <w:rPr>
          <w:rFonts w:hint="eastAsia"/>
          <w:color w:val="auto"/>
          <w:szCs w:val="21"/>
          <w:highlight w:val="none"/>
        </w:rPr>
      </w:pPr>
      <w:r>
        <w:rPr>
          <w:rFonts w:hint="eastAsia"/>
          <w:color w:val="auto"/>
          <w:szCs w:val="21"/>
          <w:highlight w:val="none"/>
        </w:rPr>
        <w:t>在服务采购项目中，服务由中小企业承接，即提供服务的人员为中小企业依照《中华人民共和国劳动合同法》订立劳动合同的从业人员。</w:t>
      </w:r>
    </w:p>
    <w:p w14:paraId="5CFF3A35">
      <w:pPr>
        <w:spacing w:before="120" w:line="320" w:lineRule="atLeast"/>
        <w:ind w:firstLine="420" w:firstLineChars="200"/>
        <w:rPr>
          <w:rFonts w:hint="eastAsia"/>
          <w:color w:val="auto"/>
          <w:szCs w:val="21"/>
          <w:highlight w:val="none"/>
        </w:rPr>
      </w:pPr>
      <w:r>
        <w:rPr>
          <w:rFonts w:hint="eastAsia"/>
          <w:color w:val="auto"/>
          <w:szCs w:val="21"/>
          <w:highlight w:val="none"/>
        </w:rPr>
        <w:t>在货物采购项目中，供应商提供的货物既有中小企业制造货物，也有大型企业制造货物的，不享受本款规定的促进中小企业发展政策。</w:t>
      </w:r>
    </w:p>
    <w:p w14:paraId="4CBC6E29">
      <w:pPr>
        <w:spacing w:before="120" w:line="320" w:lineRule="atLeast"/>
        <w:ind w:firstLine="420" w:firstLineChars="200"/>
        <w:rPr>
          <w:rFonts w:hint="eastAsia"/>
          <w:color w:val="auto"/>
          <w:szCs w:val="21"/>
          <w:highlight w:val="none"/>
        </w:rPr>
      </w:pPr>
      <w:r>
        <w:rPr>
          <w:rFonts w:hint="eastAsia"/>
          <w:color w:val="auto"/>
          <w:szCs w:val="21"/>
          <w:highlight w:val="none"/>
        </w:rPr>
        <w:t>1.4.</w:t>
      </w:r>
      <w:r>
        <w:rPr>
          <w:color w:val="auto"/>
          <w:szCs w:val="21"/>
          <w:highlight w:val="none"/>
        </w:rPr>
        <w:t>2</w:t>
      </w:r>
      <w:r>
        <w:rPr>
          <w:rFonts w:hint="eastAsia"/>
          <w:color w:val="auto"/>
          <w:szCs w:val="21"/>
          <w:highlight w:val="none"/>
        </w:rPr>
        <w:t>.3本项目标的所属行业在第二章采购需求中规定。供应商根据中小企业划分标准（《关于印发中小企业划型标准规定的通知》（工信部联企业〔2011〕300号）判断是否为中小企业。（见附件）</w:t>
      </w:r>
    </w:p>
    <w:p w14:paraId="10A55866">
      <w:pPr>
        <w:spacing w:before="120" w:line="320" w:lineRule="atLeast"/>
        <w:ind w:firstLine="420" w:firstLineChars="200"/>
        <w:rPr>
          <w:rFonts w:hint="eastAsia"/>
          <w:color w:val="auto"/>
          <w:szCs w:val="21"/>
          <w:highlight w:val="none"/>
        </w:rPr>
      </w:pPr>
      <w:r>
        <w:rPr>
          <w:rFonts w:hint="eastAsia"/>
          <w:color w:val="auto"/>
          <w:szCs w:val="21"/>
          <w:highlight w:val="none"/>
        </w:rPr>
        <w:t>符合条件的货物制造商、工程施工单位、服务承接单位为中小企业的，应按采购文件规定在响应文件中提供声明函。</w:t>
      </w:r>
    </w:p>
    <w:p w14:paraId="42931B30">
      <w:pPr>
        <w:spacing w:before="120" w:line="320" w:lineRule="atLeast"/>
        <w:ind w:firstLine="420" w:firstLineChars="200"/>
        <w:rPr>
          <w:rFonts w:hint="eastAsia"/>
          <w:color w:val="auto"/>
          <w:szCs w:val="21"/>
          <w:highlight w:val="none"/>
        </w:rPr>
      </w:pPr>
      <w:r>
        <w:rPr>
          <w:rFonts w:hint="eastAsia"/>
          <w:color w:val="auto"/>
          <w:szCs w:val="21"/>
          <w:highlight w:val="none"/>
        </w:rPr>
        <w:t>1.4.</w:t>
      </w:r>
      <w:r>
        <w:rPr>
          <w:color w:val="auto"/>
          <w:szCs w:val="21"/>
          <w:highlight w:val="none"/>
        </w:rPr>
        <w:t>2</w:t>
      </w:r>
      <w:r>
        <w:rPr>
          <w:rFonts w:hint="eastAsia"/>
          <w:color w:val="auto"/>
          <w:szCs w:val="21"/>
          <w:highlight w:val="none"/>
        </w:rPr>
        <w:t>.4视同中小企业情形</w:t>
      </w:r>
    </w:p>
    <w:p w14:paraId="3D7FE6AB">
      <w:pPr>
        <w:spacing w:before="120" w:line="320" w:lineRule="atLeast"/>
        <w:ind w:firstLine="420" w:firstLineChars="200"/>
        <w:rPr>
          <w:rFonts w:hint="eastAsia"/>
          <w:color w:val="auto"/>
          <w:szCs w:val="21"/>
          <w:highlight w:val="none"/>
        </w:rPr>
      </w:pPr>
      <w:r>
        <w:rPr>
          <w:rFonts w:hint="eastAsia"/>
          <w:color w:val="auto"/>
          <w:szCs w:val="21"/>
          <w:highlight w:val="none"/>
        </w:rPr>
        <w:t>（1）符合中小企业划分标准的个体工商户，视同中小企业。</w:t>
      </w:r>
    </w:p>
    <w:p w14:paraId="485C3513">
      <w:pPr>
        <w:spacing w:before="120" w:line="320" w:lineRule="atLeast"/>
        <w:ind w:firstLine="420" w:firstLineChars="200"/>
        <w:rPr>
          <w:rFonts w:hint="eastAsia"/>
          <w:color w:val="auto"/>
          <w:szCs w:val="21"/>
          <w:highlight w:val="none"/>
        </w:rPr>
      </w:pPr>
      <w:r>
        <w:rPr>
          <w:rFonts w:hint="eastAsia"/>
          <w:color w:val="auto"/>
          <w:szCs w:val="21"/>
          <w:highlight w:val="none"/>
        </w:rPr>
        <w:t>（2）以联合体形式参加政府采购活动，联合体各方均为中小企业的，联合体视同中小企业。其中，联合体各方均为小微企业的，联合体视同小微企业。</w:t>
      </w:r>
    </w:p>
    <w:p w14:paraId="1D9D5210">
      <w:pPr>
        <w:spacing w:before="120" w:line="320" w:lineRule="atLeast"/>
        <w:ind w:firstLine="420" w:firstLineChars="200"/>
        <w:rPr>
          <w:rFonts w:hint="eastAsia"/>
          <w:color w:val="auto"/>
          <w:szCs w:val="21"/>
          <w:highlight w:val="none"/>
        </w:rPr>
      </w:pPr>
      <w:r>
        <w:rPr>
          <w:rFonts w:hint="eastAsia"/>
          <w:color w:val="auto"/>
          <w:szCs w:val="21"/>
          <w:highlight w:val="none"/>
        </w:rPr>
        <w:t>（3）符合《财政部、司法部关于政府采购支持监狱企业发展有关问题的通知》（财库〔2014〕68号）规定的监狱企业，或符合《关于促进残疾人就业政府采购政策的通知》（财库〔2017〕141号）规定的残疾人福利性单位，视同小型、微型企业。</w:t>
      </w:r>
    </w:p>
    <w:p w14:paraId="3579F56E">
      <w:pPr>
        <w:spacing w:before="120" w:line="320" w:lineRule="atLeast"/>
        <w:ind w:firstLine="420" w:firstLineChars="200"/>
        <w:rPr>
          <w:rFonts w:hint="eastAsia"/>
          <w:color w:val="auto"/>
          <w:szCs w:val="21"/>
          <w:highlight w:val="none"/>
        </w:rPr>
      </w:pPr>
      <w:r>
        <w:rPr>
          <w:rFonts w:hint="eastAsia"/>
          <w:color w:val="auto"/>
          <w:szCs w:val="21"/>
          <w:highlight w:val="none"/>
        </w:rPr>
        <w:t>符合条件的货物制造商、工程施工单位、服务承接单位为监狱企业或残疾人福利性单位的，应按采购文件规定在响应文件中提供相关证明文件。</w:t>
      </w:r>
    </w:p>
    <w:p w14:paraId="6D5B5466">
      <w:pPr>
        <w:spacing w:before="120" w:line="320" w:lineRule="atLeast"/>
        <w:ind w:firstLine="422" w:firstLineChars="200"/>
        <w:outlineLvl w:val="2"/>
        <w:rPr>
          <w:b/>
          <w:bCs/>
          <w:color w:val="auto"/>
          <w:kern w:val="0"/>
          <w:szCs w:val="21"/>
          <w:highlight w:val="none"/>
        </w:rPr>
      </w:pPr>
      <w:r>
        <w:rPr>
          <w:b/>
          <w:bCs/>
          <w:color w:val="auto"/>
          <w:kern w:val="0"/>
          <w:szCs w:val="21"/>
          <w:highlight w:val="none"/>
        </w:rPr>
        <w:t>1.5供应商资格</w:t>
      </w:r>
      <w:r>
        <w:rPr>
          <w:rFonts w:hint="eastAsia"/>
          <w:b/>
          <w:bCs/>
          <w:color w:val="auto"/>
          <w:kern w:val="0"/>
          <w:szCs w:val="21"/>
          <w:highlight w:val="none"/>
        </w:rPr>
        <w:t>要求</w:t>
      </w:r>
    </w:p>
    <w:p w14:paraId="55E4A3CD">
      <w:pPr>
        <w:spacing w:before="120" w:line="320" w:lineRule="atLeast"/>
        <w:ind w:firstLine="420" w:firstLineChars="200"/>
        <w:rPr>
          <w:color w:val="auto"/>
          <w:szCs w:val="21"/>
          <w:highlight w:val="none"/>
        </w:rPr>
      </w:pPr>
      <w:r>
        <w:rPr>
          <w:color w:val="auto"/>
          <w:szCs w:val="21"/>
          <w:highlight w:val="none"/>
        </w:rPr>
        <w:t>1.5.1</w:t>
      </w:r>
      <w:r>
        <w:rPr>
          <w:rFonts w:hint="eastAsia"/>
          <w:color w:val="auto"/>
          <w:szCs w:val="21"/>
          <w:highlight w:val="none"/>
        </w:rPr>
        <w:t>供应商资格要求：详见供应商须知前附表</w:t>
      </w:r>
    </w:p>
    <w:p w14:paraId="3998DE13">
      <w:pPr>
        <w:spacing w:before="120" w:line="320" w:lineRule="atLeast"/>
        <w:ind w:firstLine="420" w:firstLineChars="200"/>
        <w:rPr>
          <w:color w:val="auto"/>
          <w:szCs w:val="21"/>
          <w:highlight w:val="none"/>
        </w:rPr>
      </w:pPr>
      <w:r>
        <w:rPr>
          <w:color w:val="auto"/>
          <w:szCs w:val="21"/>
          <w:highlight w:val="none"/>
        </w:rPr>
        <w:t>1.5.2按照谈判公告的规定获得采购文件。</w:t>
      </w:r>
    </w:p>
    <w:p w14:paraId="78BF5216">
      <w:pPr>
        <w:spacing w:before="120" w:line="320" w:lineRule="atLeast"/>
        <w:ind w:firstLine="420" w:firstLineChars="200"/>
        <w:rPr>
          <w:color w:val="auto"/>
          <w:szCs w:val="21"/>
          <w:highlight w:val="none"/>
        </w:rPr>
      </w:pPr>
      <w:r>
        <w:rPr>
          <w:color w:val="auto"/>
          <w:szCs w:val="21"/>
          <w:highlight w:val="none"/>
        </w:rPr>
        <w:t>1.5.3本项目是否接受联合体响应，见“供应商须知前附表”规定。</w:t>
      </w:r>
    </w:p>
    <w:p w14:paraId="59A7E079">
      <w:pPr>
        <w:spacing w:before="120" w:line="320" w:lineRule="atLeast"/>
        <w:ind w:firstLine="420" w:firstLineChars="200"/>
        <w:rPr>
          <w:color w:val="auto"/>
          <w:szCs w:val="21"/>
          <w:highlight w:val="none"/>
        </w:rPr>
      </w:pPr>
      <w:r>
        <w:rPr>
          <w:rFonts w:hint="eastAsia"/>
          <w:color w:val="auto"/>
          <w:szCs w:val="21"/>
          <w:highlight w:val="none"/>
        </w:rPr>
        <w:t xml:space="preserve">如接受联合体响应，联合体响应要求如下： </w:t>
      </w:r>
    </w:p>
    <w:p w14:paraId="58540454">
      <w:pPr>
        <w:spacing w:before="120" w:line="320" w:lineRule="atLeast"/>
        <w:ind w:firstLine="420" w:firstLineChars="200"/>
        <w:rPr>
          <w:color w:val="auto"/>
          <w:szCs w:val="21"/>
          <w:highlight w:val="none"/>
        </w:rPr>
      </w:pPr>
      <w:r>
        <w:rPr>
          <w:rFonts w:hint="eastAsia"/>
          <w:color w:val="auto"/>
          <w:szCs w:val="21"/>
          <w:highlight w:val="none"/>
        </w:rPr>
        <w:t>（</w:t>
      </w:r>
      <w:r>
        <w:rPr>
          <w:color w:val="auto"/>
          <w:szCs w:val="21"/>
          <w:highlight w:val="none"/>
        </w:rPr>
        <w:t>1</w:t>
      </w:r>
      <w:r>
        <w:rPr>
          <w:rFonts w:hint="eastAsia"/>
          <w:color w:val="auto"/>
          <w:szCs w:val="21"/>
          <w:highlight w:val="none"/>
        </w:rPr>
        <w:t>）供应商可以组成一个响应联合体，以一个供应商的身份共同参加响应。联合体响应的，须提供《联合体协议书》（格式后附）</w:t>
      </w:r>
    </w:p>
    <w:p w14:paraId="2213EBEC">
      <w:pPr>
        <w:spacing w:before="120" w:line="320" w:lineRule="atLeast"/>
        <w:ind w:firstLine="420" w:firstLineChars="200"/>
        <w:rPr>
          <w:color w:val="auto"/>
          <w:szCs w:val="21"/>
          <w:highlight w:val="none"/>
        </w:rPr>
      </w:pPr>
      <w:r>
        <w:rPr>
          <w:rFonts w:hint="eastAsia"/>
          <w:color w:val="auto"/>
          <w:szCs w:val="21"/>
          <w:highlight w:val="none"/>
        </w:rPr>
        <w:t>（2）以联合体形式参加响应的，联合体各方均必须具备《中华人民共和国政府采购法》第二十二条第一款规定的基本条件。本项目有特殊要求规定供应商特定条件的，联合体各方中至少有一方必须符合采购文件规定的特定条件。</w:t>
      </w:r>
    </w:p>
    <w:p w14:paraId="2A3942D5">
      <w:pPr>
        <w:spacing w:before="120" w:line="320" w:lineRule="atLeast"/>
        <w:ind w:firstLine="420" w:firstLineChars="200"/>
        <w:rPr>
          <w:color w:val="auto"/>
          <w:szCs w:val="21"/>
          <w:highlight w:val="none"/>
        </w:rPr>
      </w:pPr>
      <w:r>
        <w:rPr>
          <w:rFonts w:hint="eastAsia"/>
          <w:color w:val="auto"/>
          <w:szCs w:val="21"/>
          <w:highlight w:val="none"/>
        </w:rPr>
        <w:t>（3）联合体各方之间必须签订联合体协议，协议书必须明确主体方（或者牵头方）并明确约定联合体各方承担的工作和相应的责任，并将联合响应协议放入响应文件。联合体各方必须共同与采购人签订采购合同，就采购合同约定的事项对采购人承担连带责任。</w:t>
      </w:r>
    </w:p>
    <w:p w14:paraId="010E254E">
      <w:pPr>
        <w:spacing w:before="120" w:line="320" w:lineRule="atLeast"/>
        <w:ind w:firstLine="420" w:firstLineChars="200"/>
        <w:rPr>
          <w:color w:val="auto"/>
          <w:szCs w:val="21"/>
          <w:highlight w:val="none"/>
        </w:rPr>
      </w:pPr>
      <w:r>
        <w:rPr>
          <w:rFonts w:hint="eastAsia"/>
          <w:color w:val="auto"/>
          <w:szCs w:val="21"/>
          <w:highlight w:val="none"/>
        </w:rPr>
        <w:t>（4）以联合体形式参加政府采购活动的，联合体各方不得再单独参加或者与其他供应商另外组成联合体参加同一合同项下的政府采购活动。</w:t>
      </w:r>
    </w:p>
    <w:p w14:paraId="1859A903">
      <w:pPr>
        <w:spacing w:before="120" w:line="320" w:lineRule="atLeast"/>
        <w:ind w:firstLine="420" w:firstLineChars="200"/>
        <w:rPr>
          <w:color w:val="auto"/>
          <w:szCs w:val="21"/>
          <w:highlight w:val="none"/>
        </w:rPr>
      </w:pPr>
      <w:r>
        <w:rPr>
          <w:rFonts w:hint="eastAsia"/>
          <w:color w:val="auto"/>
          <w:szCs w:val="21"/>
          <w:highlight w:val="none"/>
        </w:rPr>
        <w:t>（5）联合体中有同类资质的供应商按照联合体分工承担相同工作的，应当按照资质等级较低的供应商确定资质等级。</w:t>
      </w:r>
    </w:p>
    <w:p w14:paraId="35945F0C">
      <w:pPr>
        <w:spacing w:before="120" w:line="320" w:lineRule="atLeast"/>
        <w:ind w:firstLine="420" w:firstLineChars="200"/>
        <w:rPr>
          <w:color w:val="auto"/>
          <w:szCs w:val="21"/>
          <w:highlight w:val="none"/>
        </w:rPr>
      </w:pPr>
      <w:r>
        <w:rPr>
          <w:rFonts w:hint="eastAsia"/>
          <w:color w:val="auto"/>
          <w:szCs w:val="21"/>
          <w:highlight w:val="none"/>
        </w:rPr>
        <w:t>（6）联合体响应业绩、履约能力按照联合体各方其中较高的一方认定并计算（采购文件其他章节另有规定的除外）。</w:t>
      </w:r>
    </w:p>
    <w:p w14:paraId="756EE59C">
      <w:pPr>
        <w:spacing w:before="120" w:line="320" w:lineRule="atLeast"/>
        <w:ind w:firstLine="420" w:firstLineChars="200"/>
        <w:rPr>
          <w:color w:val="auto"/>
          <w:szCs w:val="21"/>
          <w:highlight w:val="none"/>
        </w:rPr>
      </w:pPr>
      <w:r>
        <w:rPr>
          <w:rFonts w:hint="eastAsia"/>
          <w:color w:val="auto"/>
          <w:szCs w:val="21"/>
          <w:highlight w:val="none"/>
        </w:rPr>
        <w:t>（7）供应商为联合体的，可以由联合体中的一方或者多方共同交纳谈判保证金，其交纳的保证金对联合体各方均具有约束力。</w:t>
      </w:r>
    </w:p>
    <w:p w14:paraId="2962FE62">
      <w:pPr>
        <w:spacing w:before="120" w:line="320" w:lineRule="atLeast"/>
        <w:ind w:firstLine="420" w:firstLineChars="200"/>
        <w:rPr>
          <w:color w:val="auto"/>
          <w:szCs w:val="21"/>
          <w:highlight w:val="none"/>
        </w:rPr>
      </w:pPr>
      <w:r>
        <w:rPr>
          <w:rFonts w:hint="eastAsia"/>
          <w:color w:val="auto"/>
          <w:szCs w:val="21"/>
          <w:highlight w:val="none"/>
        </w:rPr>
        <w:t>（8）联合体各方均应按照采购文件的规定提交资格证明文件。</w:t>
      </w:r>
    </w:p>
    <w:p w14:paraId="6C73ED5C">
      <w:pPr>
        <w:spacing w:before="120" w:line="320" w:lineRule="atLeast"/>
        <w:ind w:firstLine="422" w:firstLineChars="200"/>
        <w:outlineLvl w:val="2"/>
        <w:rPr>
          <w:b/>
          <w:bCs/>
          <w:color w:val="auto"/>
          <w:kern w:val="0"/>
          <w:szCs w:val="21"/>
          <w:highlight w:val="none"/>
        </w:rPr>
      </w:pPr>
      <w:bookmarkStart w:id="36" w:name="_Toc254970531"/>
      <w:bookmarkStart w:id="37" w:name="_Toc254970672"/>
      <w:r>
        <w:rPr>
          <w:b/>
          <w:bCs/>
          <w:color w:val="auto"/>
          <w:kern w:val="0"/>
          <w:szCs w:val="21"/>
          <w:highlight w:val="none"/>
        </w:rPr>
        <w:t>1.6现场踏勘及响应费用</w:t>
      </w:r>
      <w:bookmarkEnd w:id="36"/>
      <w:bookmarkEnd w:id="37"/>
    </w:p>
    <w:p w14:paraId="7C57F5C8">
      <w:pPr>
        <w:spacing w:before="120" w:line="320" w:lineRule="atLeast"/>
        <w:ind w:firstLine="420" w:firstLineChars="200"/>
        <w:rPr>
          <w:color w:val="auto"/>
          <w:szCs w:val="21"/>
          <w:highlight w:val="none"/>
        </w:rPr>
      </w:pPr>
      <w:r>
        <w:rPr>
          <w:color w:val="auto"/>
          <w:szCs w:val="21"/>
          <w:highlight w:val="none"/>
        </w:rPr>
        <w:t>1.6.1前附表如规定现场踏勘的，供应商应按规定时间地点参加踏勘。</w:t>
      </w:r>
    </w:p>
    <w:p w14:paraId="58F0EEC3">
      <w:pPr>
        <w:spacing w:before="120" w:line="320" w:lineRule="atLeast"/>
        <w:ind w:firstLine="420" w:firstLineChars="200"/>
        <w:rPr>
          <w:color w:val="auto"/>
          <w:szCs w:val="21"/>
          <w:highlight w:val="none"/>
        </w:rPr>
      </w:pPr>
      <w:r>
        <w:rPr>
          <w:color w:val="auto"/>
          <w:szCs w:val="21"/>
          <w:highlight w:val="none"/>
        </w:rPr>
        <w:t>1.6.2供应商均应自行承担所有与响应有关的全部费用（采购文件有相关的规定除外）。</w:t>
      </w:r>
    </w:p>
    <w:p w14:paraId="7C61FAEB">
      <w:pPr>
        <w:spacing w:before="120" w:line="320" w:lineRule="atLeast"/>
        <w:ind w:firstLine="422" w:firstLineChars="200"/>
        <w:outlineLvl w:val="2"/>
        <w:rPr>
          <w:b/>
          <w:bCs/>
          <w:color w:val="auto"/>
          <w:kern w:val="0"/>
          <w:szCs w:val="21"/>
          <w:highlight w:val="none"/>
        </w:rPr>
      </w:pPr>
      <w:r>
        <w:rPr>
          <w:b/>
          <w:bCs/>
          <w:color w:val="auto"/>
          <w:kern w:val="0"/>
          <w:szCs w:val="21"/>
          <w:highlight w:val="none"/>
        </w:rPr>
        <w:t>1.7转包与分包</w:t>
      </w:r>
    </w:p>
    <w:p w14:paraId="2E4AE479">
      <w:pPr>
        <w:spacing w:before="120" w:line="320" w:lineRule="atLeast"/>
        <w:ind w:firstLine="420" w:firstLineChars="200"/>
        <w:rPr>
          <w:color w:val="auto"/>
          <w:szCs w:val="21"/>
          <w:highlight w:val="none"/>
        </w:rPr>
      </w:pPr>
      <w:r>
        <w:rPr>
          <w:color w:val="auto"/>
          <w:szCs w:val="21"/>
          <w:highlight w:val="none"/>
        </w:rPr>
        <w:t>1.7.1如</w:t>
      </w:r>
      <w:r>
        <w:rPr>
          <w:rFonts w:hint="eastAsia"/>
          <w:color w:val="auto"/>
          <w:szCs w:val="21"/>
          <w:highlight w:val="none"/>
        </w:rPr>
        <w:t>采购文件</w:t>
      </w:r>
      <w:r>
        <w:rPr>
          <w:color w:val="auto"/>
          <w:szCs w:val="21"/>
          <w:highlight w:val="none"/>
        </w:rPr>
        <w:t>其他地方无特别规定</w:t>
      </w:r>
      <w:r>
        <w:rPr>
          <w:rFonts w:hint="eastAsia"/>
          <w:color w:val="auto"/>
          <w:szCs w:val="21"/>
          <w:highlight w:val="none"/>
        </w:rPr>
        <w:t>，</w:t>
      </w:r>
      <w:r>
        <w:rPr>
          <w:color w:val="auto"/>
          <w:szCs w:val="21"/>
          <w:highlight w:val="none"/>
        </w:rPr>
        <w:t>本项目不允许转包。</w:t>
      </w:r>
    </w:p>
    <w:p w14:paraId="450CD6F3">
      <w:pPr>
        <w:spacing w:before="120" w:line="320" w:lineRule="atLeast"/>
        <w:ind w:firstLine="420" w:firstLineChars="200"/>
        <w:rPr>
          <w:color w:val="auto"/>
          <w:szCs w:val="21"/>
          <w:highlight w:val="none"/>
        </w:rPr>
      </w:pPr>
      <w:r>
        <w:rPr>
          <w:color w:val="auto"/>
          <w:szCs w:val="21"/>
          <w:highlight w:val="none"/>
        </w:rPr>
        <w:t>1.7.2</w:t>
      </w:r>
      <w:r>
        <w:rPr>
          <w:rFonts w:hint="eastAsia"/>
          <w:color w:val="auto"/>
          <w:szCs w:val="21"/>
          <w:highlight w:val="none"/>
        </w:rPr>
        <w:t>本项目是否允许分包详见供应商须知前附表，本项目不允许违法分包。供应商根据采购文件的规定和采购项目的实际情况，拟在成交后将成交项目的非主体、非关键性工作分包的，应当在响应文件中载明分包承担主体，分包承担主体应当具备相应资质条件且不得再次分包。</w:t>
      </w:r>
    </w:p>
    <w:p w14:paraId="7E942C1C">
      <w:pPr>
        <w:spacing w:before="120" w:line="276" w:lineRule="auto"/>
        <w:ind w:firstLine="422" w:firstLineChars="200"/>
        <w:outlineLvl w:val="2"/>
        <w:rPr>
          <w:b/>
          <w:bCs/>
          <w:color w:val="auto"/>
          <w:kern w:val="0"/>
          <w:szCs w:val="21"/>
          <w:highlight w:val="none"/>
        </w:rPr>
      </w:pPr>
      <w:bookmarkStart w:id="38" w:name="_Toc254970673"/>
      <w:bookmarkStart w:id="39" w:name="_Toc254970532"/>
      <w:r>
        <w:rPr>
          <w:b/>
          <w:bCs/>
          <w:color w:val="auto"/>
          <w:kern w:val="0"/>
          <w:szCs w:val="21"/>
          <w:highlight w:val="none"/>
        </w:rPr>
        <w:t>1.8特别说明</w:t>
      </w:r>
      <w:bookmarkEnd w:id="38"/>
      <w:bookmarkEnd w:id="39"/>
    </w:p>
    <w:p w14:paraId="1DF17E99">
      <w:pPr>
        <w:spacing w:line="276" w:lineRule="auto"/>
        <w:ind w:firstLine="420" w:firstLineChars="200"/>
        <w:rPr>
          <w:color w:val="auto"/>
          <w:szCs w:val="21"/>
          <w:highlight w:val="none"/>
        </w:rPr>
      </w:pPr>
      <w:r>
        <w:rPr>
          <w:color w:val="auto"/>
          <w:szCs w:val="21"/>
          <w:highlight w:val="none"/>
        </w:rPr>
        <w:t>1.8.1 供应商应保证其提供的联系方式（电话、传真、电子邮件）有效，以保证往来函件（澄清、修改等）能及时通知供应商，并能及时反馈，否则采购人</w:t>
      </w:r>
      <w:r>
        <w:rPr>
          <w:rFonts w:hint="eastAsia"/>
          <w:color w:val="auto"/>
          <w:szCs w:val="21"/>
          <w:highlight w:val="none"/>
        </w:rPr>
        <w:t>及代理机构</w:t>
      </w:r>
      <w:r>
        <w:rPr>
          <w:color w:val="auto"/>
          <w:szCs w:val="21"/>
          <w:highlight w:val="none"/>
        </w:rPr>
        <w:t>不承担由此引起的一切后果。</w:t>
      </w:r>
    </w:p>
    <w:p w14:paraId="01D541F9">
      <w:pPr>
        <w:spacing w:before="120" w:line="320" w:lineRule="atLeast"/>
        <w:ind w:firstLine="420" w:firstLineChars="200"/>
        <w:rPr>
          <w:color w:val="auto"/>
          <w:szCs w:val="21"/>
          <w:highlight w:val="none"/>
        </w:rPr>
      </w:pPr>
      <w:r>
        <w:rPr>
          <w:color w:val="auto"/>
          <w:szCs w:val="21"/>
          <w:highlight w:val="none"/>
        </w:rPr>
        <w:t>1.8.2供应商应仔细阅读采购文件的所有内容，按照采购文件的要求提交响应文件，并对所提供的全部资料的真实性承担法律责任。</w:t>
      </w:r>
    </w:p>
    <w:p w14:paraId="6B4CC178">
      <w:pPr>
        <w:spacing w:before="120" w:line="360" w:lineRule="auto"/>
        <w:ind w:firstLine="420" w:firstLineChars="200"/>
        <w:rPr>
          <w:color w:val="auto"/>
          <w:szCs w:val="21"/>
          <w:highlight w:val="none"/>
        </w:rPr>
      </w:pPr>
      <w:r>
        <w:rPr>
          <w:color w:val="auto"/>
          <w:szCs w:val="21"/>
          <w:highlight w:val="none"/>
        </w:rPr>
        <w:t>1.8.3供应商在响应活动中提供任何虚假材料，</w:t>
      </w:r>
      <w:r>
        <w:rPr>
          <w:rFonts w:hint="eastAsia"/>
          <w:color w:val="auto"/>
          <w:szCs w:val="21"/>
          <w:highlight w:val="none"/>
        </w:rPr>
        <w:t>将</w:t>
      </w:r>
      <w:r>
        <w:rPr>
          <w:color w:val="auto"/>
          <w:szCs w:val="21"/>
          <w:highlight w:val="none"/>
        </w:rPr>
        <w:t xml:space="preserve">报监管部门查处； </w:t>
      </w:r>
    </w:p>
    <w:p w14:paraId="40EFEF6B">
      <w:pPr>
        <w:spacing w:before="120" w:line="320" w:lineRule="atLeast"/>
        <w:ind w:left="2" w:leftChars="1" w:firstLine="422" w:firstLineChars="200"/>
        <w:outlineLvl w:val="1"/>
        <w:rPr>
          <w:b/>
          <w:bCs/>
          <w:color w:val="auto"/>
          <w:kern w:val="0"/>
          <w:szCs w:val="21"/>
          <w:highlight w:val="none"/>
        </w:rPr>
      </w:pPr>
      <w:bookmarkStart w:id="40" w:name="_Toc254970675"/>
      <w:bookmarkStart w:id="41" w:name="_Toc254970534"/>
      <w:r>
        <w:rPr>
          <w:b/>
          <w:bCs/>
          <w:color w:val="auto"/>
          <w:kern w:val="0"/>
          <w:szCs w:val="21"/>
          <w:highlight w:val="none"/>
        </w:rPr>
        <w:t>2．采购文件</w:t>
      </w:r>
      <w:bookmarkEnd w:id="40"/>
      <w:bookmarkEnd w:id="41"/>
    </w:p>
    <w:p w14:paraId="10B68256">
      <w:pPr>
        <w:spacing w:before="120" w:line="320" w:lineRule="atLeast"/>
        <w:ind w:firstLine="422" w:firstLineChars="200"/>
        <w:outlineLvl w:val="2"/>
        <w:rPr>
          <w:b/>
          <w:bCs/>
          <w:color w:val="auto"/>
          <w:kern w:val="0"/>
          <w:szCs w:val="21"/>
          <w:highlight w:val="none"/>
        </w:rPr>
      </w:pPr>
      <w:r>
        <w:rPr>
          <w:b/>
          <w:bCs/>
          <w:color w:val="auto"/>
          <w:kern w:val="0"/>
          <w:szCs w:val="21"/>
          <w:highlight w:val="none"/>
        </w:rPr>
        <w:t>2.1采购文件的构成</w:t>
      </w:r>
    </w:p>
    <w:p w14:paraId="032F6B3C">
      <w:pPr>
        <w:spacing w:before="120" w:line="320" w:lineRule="atLeast"/>
        <w:ind w:firstLine="420" w:firstLineChars="200"/>
        <w:rPr>
          <w:color w:val="auto"/>
          <w:szCs w:val="21"/>
          <w:highlight w:val="none"/>
        </w:rPr>
      </w:pPr>
      <w:r>
        <w:rPr>
          <w:color w:val="auto"/>
          <w:szCs w:val="21"/>
          <w:highlight w:val="none"/>
        </w:rPr>
        <w:t>第一章 谈判公告</w:t>
      </w:r>
    </w:p>
    <w:p w14:paraId="09D322A9">
      <w:pPr>
        <w:spacing w:before="120" w:line="320" w:lineRule="atLeast"/>
        <w:ind w:firstLine="420" w:firstLineChars="200"/>
        <w:rPr>
          <w:color w:val="auto"/>
          <w:szCs w:val="21"/>
          <w:highlight w:val="none"/>
        </w:rPr>
      </w:pPr>
      <w:r>
        <w:rPr>
          <w:color w:val="auto"/>
          <w:szCs w:val="21"/>
          <w:highlight w:val="none"/>
        </w:rPr>
        <w:t>第二章 采购需求</w:t>
      </w:r>
    </w:p>
    <w:p w14:paraId="79F1EB6D">
      <w:pPr>
        <w:spacing w:before="120" w:line="320" w:lineRule="atLeast"/>
        <w:ind w:firstLine="420" w:firstLineChars="200"/>
        <w:rPr>
          <w:color w:val="auto"/>
          <w:szCs w:val="21"/>
          <w:highlight w:val="none"/>
        </w:rPr>
      </w:pPr>
      <w:r>
        <w:rPr>
          <w:color w:val="auto"/>
          <w:szCs w:val="21"/>
          <w:highlight w:val="none"/>
        </w:rPr>
        <w:t>第三章 供应商须知</w:t>
      </w:r>
    </w:p>
    <w:p w14:paraId="1867CD59">
      <w:pPr>
        <w:spacing w:before="120" w:line="320" w:lineRule="atLeast"/>
        <w:ind w:firstLine="420" w:firstLineChars="200"/>
        <w:rPr>
          <w:color w:val="auto"/>
          <w:szCs w:val="21"/>
          <w:highlight w:val="none"/>
        </w:rPr>
      </w:pPr>
      <w:r>
        <w:rPr>
          <w:color w:val="auto"/>
          <w:szCs w:val="21"/>
          <w:highlight w:val="none"/>
        </w:rPr>
        <w:t>第四章 评审方法及标准</w:t>
      </w:r>
    </w:p>
    <w:p w14:paraId="0919816C">
      <w:pPr>
        <w:spacing w:before="120" w:line="320" w:lineRule="atLeast"/>
        <w:ind w:firstLine="420" w:firstLineChars="200"/>
        <w:rPr>
          <w:color w:val="auto"/>
          <w:szCs w:val="21"/>
          <w:highlight w:val="none"/>
        </w:rPr>
      </w:pPr>
      <w:r>
        <w:rPr>
          <w:color w:val="auto"/>
          <w:szCs w:val="21"/>
          <w:highlight w:val="none"/>
        </w:rPr>
        <w:t>第五章 合同主要条款格式</w:t>
      </w:r>
    </w:p>
    <w:p w14:paraId="457E6837">
      <w:pPr>
        <w:spacing w:before="120" w:line="320" w:lineRule="atLeast"/>
        <w:ind w:firstLine="420" w:firstLineChars="200"/>
        <w:rPr>
          <w:color w:val="auto"/>
          <w:szCs w:val="21"/>
          <w:highlight w:val="none"/>
        </w:rPr>
      </w:pPr>
      <w:r>
        <w:rPr>
          <w:color w:val="auto"/>
          <w:szCs w:val="21"/>
          <w:highlight w:val="none"/>
        </w:rPr>
        <w:t>第六章 响应文件格式</w:t>
      </w:r>
    </w:p>
    <w:p w14:paraId="13AA9DCD">
      <w:pPr>
        <w:spacing w:before="120" w:line="320" w:lineRule="atLeast"/>
        <w:ind w:firstLine="422" w:firstLineChars="200"/>
        <w:outlineLvl w:val="2"/>
        <w:rPr>
          <w:b/>
          <w:bCs/>
          <w:color w:val="auto"/>
          <w:kern w:val="0"/>
          <w:szCs w:val="21"/>
          <w:highlight w:val="none"/>
        </w:rPr>
      </w:pPr>
      <w:r>
        <w:rPr>
          <w:b/>
          <w:bCs/>
          <w:color w:val="auto"/>
          <w:kern w:val="0"/>
          <w:szCs w:val="21"/>
          <w:highlight w:val="none"/>
        </w:rPr>
        <w:t>2.2供应商的风险</w:t>
      </w:r>
    </w:p>
    <w:p w14:paraId="4B01762C">
      <w:pPr>
        <w:spacing w:before="120" w:line="320" w:lineRule="atLeast"/>
        <w:ind w:firstLine="420" w:firstLineChars="200"/>
        <w:rPr>
          <w:color w:val="auto"/>
          <w:szCs w:val="21"/>
          <w:highlight w:val="none"/>
        </w:rPr>
      </w:pPr>
      <w:r>
        <w:rPr>
          <w:color w:val="auto"/>
          <w:szCs w:val="21"/>
          <w:highlight w:val="none"/>
        </w:rPr>
        <w:t>供应商没有按照采购文件要求提供全部资料，或者供应商没有对采购文件在各方面作出实质性响应是供应商的风险，并可能导致其响应被否决。</w:t>
      </w:r>
    </w:p>
    <w:p w14:paraId="6ADE0CFF">
      <w:pPr>
        <w:spacing w:before="120" w:line="320" w:lineRule="atLeast"/>
        <w:ind w:firstLine="422" w:firstLineChars="200"/>
        <w:outlineLvl w:val="2"/>
        <w:rPr>
          <w:b/>
          <w:color w:val="auto"/>
          <w:szCs w:val="21"/>
          <w:highlight w:val="none"/>
        </w:rPr>
      </w:pPr>
      <w:r>
        <w:rPr>
          <w:b/>
          <w:bCs/>
          <w:color w:val="auto"/>
          <w:kern w:val="0"/>
          <w:szCs w:val="21"/>
          <w:highlight w:val="none"/>
        </w:rPr>
        <w:t>2.3采购文件的澄清与修改</w:t>
      </w:r>
    </w:p>
    <w:p w14:paraId="5BDCC19F">
      <w:pPr>
        <w:spacing w:before="120" w:line="320" w:lineRule="atLeast"/>
        <w:ind w:firstLine="420" w:firstLineChars="200"/>
        <w:rPr>
          <w:color w:val="auto"/>
          <w:szCs w:val="21"/>
          <w:highlight w:val="none"/>
        </w:rPr>
      </w:pPr>
      <w:r>
        <w:rPr>
          <w:color w:val="auto"/>
          <w:szCs w:val="21"/>
          <w:highlight w:val="none"/>
        </w:rPr>
        <w:t>2.3.1</w:t>
      </w:r>
      <w:r>
        <w:rPr>
          <w:rFonts w:hint="eastAsia"/>
          <w:color w:val="auto"/>
          <w:szCs w:val="21"/>
          <w:highlight w:val="none"/>
        </w:rPr>
        <w:t>任何已获得采购文件的潜在供应商，均可</w:t>
      </w:r>
      <w:r>
        <w:rPr>
          <w:color w:val="auto"/>
          <w:szCs w:val="21"/>
          <w:highlight w:val="none"/>
        </w:rPr>
        <w:t>以书面形式要求采购代理机构作出书面解释、澄清</w:t>
      </w:r>
      <w:r>
        <w:rPr>
          <w:rFonts w:hint="eastAsia"/>
          <w:color w:val="auto"/>
          <w:szCs w:val="21"/>
          <w:highlight w:val="none"/>
        </w:rPr>
        <w:t>。</w:t>
      </w:r>
    </w:p>
    <w:p w14:paraId="1CA52D84">
      <w:pPr>
        <w:spacing w:before="120" w:line="320" w:lineRule="atLeast"/>
        <w:ind w:firstLine="420" w:firstLineChars="200"/>
        <w:rPr>
          <w:color w:val="auto"/>
          <w:szCs w:val="21"/>
          <w:highlight w:val="none"/>
        </w:rPr>
      </w:pPr>
      <w:r>
        <w:rPr>
          <w:color w:val="auto"/>
          <w:szCs w:val="21"/>
          <w:highlight w:val="none"/>
        </w:rPr>
        <w:t>2.3.2</w:t>
      </w:r>
      <w:r>
        <w:rPr>
          <w:rFonts w:hint="eastAsia"/>
          <w:color w:val="auto"/>
          <w:szCs w:val="21"/>
          <w:highlight w:val="none"/>
        </w:rPr>
        <w:t>采购人、采购代理机构可以对已发出的采购文件进行必要的澄清或者修改，澄清或者修改的内容可能影响响应文件编制的，采购人、采购代理机构应当在提交首次响应文件截止之日3个工作日前，</w:t>
      </w:r>
      <w:bookmarkStart w:id="42" w:name="_Hlk132790706"/>
      <w:r>
        <w:rPr>
          <w:rFonts w:hint="eastAsia"/>
          <w:color w:val="auto"/>
          <w:szCs w:val="21"/>
          <w:highlight w:val="none"/>
        </w:rPr>
        <w:t>在供应商须知前附表规定的方式通知所有获取采购文件的潜在</w:t>
      </w:r>
      <w:bookmarkEnd w:id="42"/>
      <w:r>
        <w:rPr>
          <w:rFonts w:hint="eastAsia"/>
          <w:color w:val="auto"/>
          <w:szCs w:val="21"/>
          <w:highlight w:val="none"/>
        </w:rPr>
        <w:t xml:space="preserve">供应商，不足3个工作日的，应当顺延提交首次响应文件截止之日。 </w:t>
      </w:r>
    </w:p>
    <w:p w14:paraId="5D593335">
      <w:pPr>
        <w:spacing w:before="120" w:line="320" w:lineRule="atLeast"/>
        <w:ind w:firstLine="420" w:firstLineChars="200"/>
        <w:rPr>
          <w:color w:val="auto"/>
          <w:szCs w:val="21"/>
          <w:highlight w:val="none"/>
        </w:rPr>
      </w:pPr>
      <w:r>
        <w:rPr>
          <w:color w:val="auto"/>
          <w:szCs w:val="21"/>
          <w:highlight w:val="none"/>
        </w:rPr>
        <w:t>2.3.3采购文件澄清、答复、修改、补充的内容为采购文件的组成部分。当采购文件与采购文件的答复、澄清、修改、补充通知就同一内容的表述不一致时，以最后发出的公告或书面文件为准。</w:t>
      </w:r>
    </w:p>
    <w:p w14:paraId="7BA5DE22">
      <w:pPr>
        <w:spacing w:before="120" w:line="320" w:lineRule="atLeast"/>
        <w:ind w:left="2" w:leftChars="1" w:firstLine="422" w:firstLineChars="200"/>
        <w:outlineLvl w:val="1"/>
        <w:rPr>
          <w:b/>
          <w:bCs/>
          <w:color w:val="auto"/>
          <w:kern w:val="0"/>
          <w:szCs w:val="21"/>
          <w:highlight w:val="none"/>
        </w:rPr>
      </w:pPr>
      <w:bookmarkStart w:id="43" w:name="_Toc254970676"/>
      <w:bookmarkStart w:id="44" w:name="_Toc254970535"/>
      <w:r>
        <w:rPr>
          <w:b/>
          <w:bCs/>
          <w:color w:val="auto"/>
          <w:kern w:val="0"/>
          <w:szCs w:val="21"/>
          <w:highlight w:val="none"/>
        </w:rPr>
        <w:t>3．响应文件</w:t>
      </w:r>
      <w:bookmarkEnd w:id="43"/>
      <w:bookmarkEnd w:id="44"/>
    </w:p>
    <w:p w14:paraId="1A7D9C38">
      <w:pPr>
        <w:spacing w:before="120" w:line="320" w:lineRule="atLeast"/>
        <w:ind w:firstLine="422" w:firstLineChars="200"/>
        <w:outlineLvl w:val="2"/>
        <w:rPr>
          <w:b/>
          <w:bCs/>
          <w:color w:val="auto"/>
          <w:kern w:val="0"/>
          <w:szCs w:val="21"/>
          <w:highlight w:val="none"/>
        </w:rPr>
      </w:pPr>
      <w:bookmarkStart w:id="45" w:name="_Toc254970536"/>
      <w:bookmarkStart w:id="46" w:name="_Toc254970677"/>
      <w:r>
        <w:rPr>
          <w:b/>
          <w:bCs/>
          <w:color w:val="auto"/>
          <w:kern w:val="0"/>
          <w:szCs w:val="21"/>
          <w:highlight w:val="none"/>
        </w:rPr>
        <w:t>3.1响应文件的组成</w:t>
      </w:r>
      <w:bookmarkEnd w:id="45"/>
      <w:bookmarkEnd w:id="46"/>
    </w:p>
    <w:p w14:paraId="7C618EBF">
      <w:pPr>
        <w:spacing w:before="120" w:line="320" w:lineRule="atLeast"/>
        <w:ind w:firstLine="420" w:firstLineChars="200"/>
        <w:rPr>
          <w:color w:val="auto"/>
          <w:szCs w:val="21"/>
          <w:highlight w:val="none"/>
        </w:rPr>
      </w:pPr>
      <w:r>
        <w:rPr>
          <w:color w:val="auto"/>
          <w:szCs w:val="21"/>
          <w:highlight w:val="none"/>
        </w:rPr>
        <w:t>响应文件由第六章“响应文件格式”规定的</w:t>
      </w:r>
      <w:r>
        <w:rPr>
          <w:rFonts w:hint="eastAsia"/>
          <w:color w:val="auto"/>
          <w:szCs w:val="21"/>
          <w:highlight w:val="none"/>
        </w:rPr>
        <w:t>内容</w:t>
      </w:r>
      <w:r>
        <w:rPr>
          <w:color w:val="auto"/>
          <w:szCs w:val="21"/>
          <w:highlight w:val="none"/>
        </w:rPr>
        <w:t>和供应商所作的一切有效补充、修改和承诺等文件组成</w:t>
      </w:r>
      <w:r>
        <w:rPr>
          <w:rFonts w:hint="eastAsia"/>
          <w:color w:val="auto"/>
          <w:szCs w:val="21"/>
          <w:highlight w:val="none"/>
        </w:rPr>
        <w:t>。</w:t>
      </w:r>
    </w:p>
    <w:p w14:paraId="08A2FCE0">
      <w:pPr>
        <w:spacing w:before="120" w:line="320" w:lineRule="atLeast"/>
        <w:ind w:firstLine="422" w:firstLineChars="200"/>
        <w:outlineLvl w:val="2"/>
        <w:rPr>
          <w:b/>
          <w:bCs/>
          <w:color w:val="auto"/>
          <w:kern w:val="0"/>
          <w:szCs w:val="21"/>
          <w:highlight w:val="none"/>
        </w:rPr>
      </w:pPr>
      <w:bookmarkStart w:id="47" w:name="_Toc254970537"/>
      <w:bookmarkStart w:id="48" w:name="_Toc254970678"/>
      <w:r>
        <w:rPr>
          <w:b/>
          <w:color w:val="auto"/>
          <w:szCs w:val="21"/>
          <w:highlight w:val="none"/>
        </w:rPr>
        <w:t>3.2</w:t>
      </w:r>
      <w:r>
        <w:rPr>
          <w:b/>
          <w:bCs/>
          <w:color w:val="auto"/>
          <w:kern w:val="0"/>
          <w:szCs w:val="21"/>
          <w:highlight w:val="none"/>
        </w:rPr>
        <w:t>响应文件的语言及计量</w:t>
      </w:r>
      <w:bookmarkEnd w:id="47"/>
      <w:bookmarkEnd w:id="48"/>
    </w:p>
    <w:p w14:paraId="2D4BB0D6">
      <w:pPr>
        <w:spacing w:before="120" w:line="320" w:lineRule="atLeast"/>
        <w:ind w:firstLine="420" w:firstLineChars="200"/>
        <w:rPr>
          <w:color w:val="auto"/>
          <w:szCs w:val="21"/>
          <w:highlight w:val="none"/>
        </w:rPr>
      </w:pPr>
      <w:r>
        <w:rPr>
          <w:color w:val="auto"/>
          <w:szCs w:val="21"/>
          <w:highlight w:val="none"/>
        </w:rPr>
        <w:t>3.2.1</w:t>
      </w:r>
      <w:r>
        <w:rPr>
          <w:rFonts w:hint="eastAsia"/>
          <w:color w:val="auto"/>
          <w:szCs w:val="21"/>
          <w:highlight w:val="none"/>
        </w:rPr>
        <w:t>响应文件以及供应商与采购人就有关响应事宜的所有来往函电，均应以中文书写（除专用术语外，与招标响应有关的语言均使用中文。必要时专用术语应附有中文注释）。供应商提交的支持文件和印刷的文献可以使用别的语言，但其相应内容应同时附中文翻译文本，在解释响应文件时以中文翻译文本为主。对不同文字文本响应文件的解释发生异议的，以中文文本为准。</w:t>
      </w:r>
    </w:p>
    <w:p w14:paraId="24D6E6E7">
      <w:pPr>
        <w:spacing w:before="120" w:line="320" w:lineRule="atLeast"/>
        <w:ind w:firstLine="420" w:firstLineChars="200"/>
        <w:rPr>
          <w:color w:val="auto"/>
          <w:szCs w:val="21"/>
          <w:highlight w:val="none"/>
        </w:rPr>
      </w:pPr>
      <w:r>
        <w:rPr>
          <w:color w:val="auto"/>
          <w:szCs w:val="21"/>
          <w:highlight w:val="none"/>
        </w:rPr>
        <w:t>3.2.2计量单位采购文件已有明确规定的，响应使用采购文件规定的计量单位；采购文件没有规定的，应采用中华人民共和国法定计量单位。</w:t>
      </w:r>
    </w:p>
    <w:p w14:paraId="205D79F4">
      <w:pPr>
        <w:spacing w:before="120" w:line="320" w:lineRule="atLeast"/>
        <w:ind w:firstLine="422" w:firstLineChars="200"/>
        <w:outlineLvl w:val="2"/>
        <w:rPr>
          <w:b/>
          <w:bCs/>
          <w:color w:val="auto"/>
          <w:kern w:val="0"/>
          <w:szCs w:val="21"/>
          <w:highlight w:val="none"/>
        </w:rPr>
      </w:pPr>
      <w:bookmarkStart w:id="49" w:name="_Toc254970538"/>
      <w:bookmarkStart w:id="50" w:name="_Toc254970679"/>
      <w:r>
        <w:rPr>
          <w:b/>
          <w:bCs/>
          <w:color w:val="auto"/>
          <w:kern w:val="0"/>
          <w:szCs w:val="21"/>
          <w:highlight w:val="none"/>
        </w:rPr>
        <w:t>3.3响应报价</w:t>
      </w:r>
      <w:bookmarkEnd w:id="49"/>
      <w:bookmarkEnd w:id="50"/>
    </w:p>
    <w:p w14:paraId="46408AC6">
      <w:pPr>
        <w:spacing w:before="120" w:line="320" w:lineRule="atLeast"/>
        <w:ind w:firstLine="420" w:firstLineChars="200"/>
        <w:rPr>
          <w:color w:val="auto"/>
          <w:szCs w:val="21"/>
          <w:highlight w:val="none"/>
        </w:rPr>
      </w:pPr>
      <w:r>
        <w:rPr>
          <w:color w:val="auto"/>
          <w:szCs w:val="21"/>
          <w:highlight w:val="none"/>
        </w:rPr>
        <w:t>3.3.1响应报价应按采购文件中相关附表格式填写。</w:t>
      </w:r>
    </w:p>
    <w:p w14:paraId="118BDA53">
      <w:pPr>
        <w:spacing w:before="120" w:line="320" w:lineRule="atLeast"/>
        <w:ind w:firstLine="420" w:firstLineChars="200"/>
        <w:rPr>
          <w:color w:val="auto"/>
          <w:szCs w:val="21"/>
          <w:highlight w:val="none"/>
        </w:rPr>
      </w:pPr>
      <w:r>
        <w:rPr>
          <w:color w:val="auto"/>
          <w:szCs w:val="21"/>
          <w:highlight w:val="none"/>
        </w:rPr>
        <w:t>3.3.2响应文件只允许有一个报价，有选择的或有条件的报价将不予接受。</w:t>
      </w:r>
    </w:p>
    <w:p w14:paraId="3E63DA44">
      <w:pPr>
        <w:suppressAutoHyphens/>
        <w:spacing w:before="120" w:line="320" w:lineRule="atLeast"/>
        <w:ind w:firstLine="420" w:firstLineChars="200"/>
        <w:rPr>
          <w:color w:val="auto"/>
          <w:kern w:val="1"/>
          <w:szCs w:val="21"/>
          <w:highlight w:val="none"/>
        </w:rPr>
      </w:pPr>
      <w:r>
        <w:rPr>
          <w:color w:val="auto"/>
          <w:kern w:val="1"/>
          <w:szCs w:val="21"/>
          <w:highlight w:val="none"/>
        </w:rPr>
        <w:t>3.3.3对于本文件中未列明，而供应商认为必需的费用也需列入</w:t>
      </w:r>
      <w:r>
        <w:rPr>
          <w:rFonts w:hint="eastAsia"/>
          <w:color w:val="auto"/>
          <w:kern w:val="1"/>
          <w:szCs w:val="21"/>
          <w:highlight w:val="none"/>
        </w:rPr>
        <w:t>响应报价</w:t>
      </w:r>
      <w:r>
        <w:rPr>
          <w:color w:val="auto"/>
          <w:kern w:val="1"/>
          <w:szCs w:val="21"/>
          <w:highlight w:val="none"/>
        </w:rPr>
        <w:t>。在合同实施时，采购人将不予支付成交供应商没有列入的项目费用，并认为此项目的费用已包括在</w:t>
      </w:r>
      <w:r>
        <w:rPr>
          <w:rFonts w:hint="eastAsia"/>
          <w:color w:val="auto"/>
          <w:kern w:val="1"/>
          <w:szCs w:val="21"/>
          <w:highlight w:val="none"/>
        </w:rPr>
        <w:t>响应报价</w:t>
      </w:r>
      <w:r>
        <w:rPr>
          <w:color w:val="auto"/>
          <w:kern w:val="1"/>
          <w:szCs w:val="21"/>
          <w:highlight w:val="none"/>
        </w:rPr>
        <w:t>中。</w:t>
      </w:r>
    </w:p>
    <w:p w14:paraId="7EB51242">
      <w:pPr>
        <w:suppressAutoHyphens/>
        <w:spacing w:before="120" w:line="320" w:lineRule="atLeast"/>
        <w:ind w:firstLine="420" w:firstLineChars="200"/>
        <w:rPr>
          <w:b/>
          <w:bCs/>
          <w:color w:val="auto"/>
          <w:kern w:val="1"/>
          <w:szCs w:val="21"/>
          <w:highlight w:val="none"/>
        </w:rPr>
      </w:pPr>
      <w:r>
        <w:rPr>
          <w:rFonts w:hint="eastAsia"/>
          <w:color w:val="auto"/>
          <w:kern w:val="1"/>
          <w:szCs w:val="21"/>
          <w:highlight w:val="none"/>
        </w:rPr>
        <w:t>3</w:t>
      </w:r>
      <w:r>
        <w:rPr>
          <w:color w:val="auto"/>
          <w:kern w:val="1"/>
          <w:szCs w:val="21"/>
          <w:highlight w:val="none"/>
        </w:rPr>
        <w:t>.3.4</w:t>
      </w:r>
      <w:r>
        <w:rPr>
          <w:rFonts w:hint="eastAsia"/>
          <w:color w:val="auto"/>
          <w:kern w:val="1"/>
          <w:szCs w:val="21"/>
          <w:highlight w:val="none"/>
        </w:rPr>
        <w:t>采购人不接受供应商给予的赠品、回扣或者与采购无关的其他商品、服务。</w:t>
      </w:r>
    </w:p>
    <w:p w14:paraId="3742F223">
      <w:pPr>
        <w:spacing w:before="120" w:line="320" w:lineRule="atLeast"/>
        <w:ind w:firstLine="422" w:firstLineChars="200"/>
        <w:outlineLvl w:val="2"/>
        <w:rPr>
          <w:b/>
          <w:bCs/>
          <w:color w:val="auto"/>
          <w:kern w:val="0"/>
          <w:szCs w:val="21"/>
          <w:highlight w:val="none"/>
        </w:rPr>
      </w:pPr>
      <w:r>
        <w:rPr>
          <w:b/>
          <w:bCs/>
          <w:color w:val="auto"/>
          <w:kern w:val="0"/>
          <w:szCs w:val="21"/>
          <w:highlight w:val="none"/>
        </w:rPr>
        <w:t>3.4响应有效期</w:t>
      </w:r>
    </w:p>
    <w:p w14:paraId="71A4A68A">
      <w:pPr>
        <w:spacing w:before="120" w:line="320" w:lineRule="atLeast"/>
        <w:ind w:firstLine="420" w:firstLineChars="200"/>
        <w:rPr>
          <w:color w:val="auto"/>
          <w:szCs w:val="21"/>
          <w:highlight w:val="none"/>
        </w:rPr>
      </w:pPr>
      <w:r>
        <w:rPr>
          <w:color w:val="auto"/>
          <w:szCs w:val="21"/>
          <w:highlight w:val="none"/>
        </w:rPr>
        <w:t>3.4.1如采购文件其他地方无特别规定</w:t>
      </w:r>
      <w:r>
        <w:rPr>
          <w:rFonts w:hint="eastAsia"/>
          <w:color w:val="auto"/>
          <w:szCs w:val="21"/>
          <w:highlight w:val="none"/>
        </w:rPr>
        <w:t>，</w:t>
      </w:r>
      <w:r>
        <w:rPr>
          <w:color w:val="auto"/>
          <w:szCs w:val="21"/>
          <w:highlight w:val="none"/>
        </w:rPr>
        <w:t>响应有效期则为响应截止之日起90天</w:t>
      </w:r>
      <w:r>
        <w:rPr>
          <w:rFonts w:hint="eastAsia"/>
          <w:color w:val="auto"/>
          <w:szCs w:val="21"/>
          <w:highlight w:val="none"/>
        </w:rPr>
        <w:t>。</w:t>
      </w:r>
      <w:r>
        <w:rPr>
          <w:color w:val="auto"/>
          <w:szCs w:val="21"/>
          <w:highlight w:val="none"/>
        </w:rPr>
        <w:t>在响应有效期内响应文件应保持有效。</w:t>
      </w:r>
      <w:r>
        <w:rPr>
          <w:b/>
          <w:bCs/>
          <w:color w:val="auto"/>
          <w:szCs w:val="21"/>
          <w:highlight w:val="none"/>
        </w:rPr>
        <w:t>有效期不足的响应文件将被否决</w:t>
      </w:r>
      <w:r>
        <w:rPr>
          <w:color w:val="auto"/>
          <w:szCs w:val="21"/>
          <w:highlight w:val="none"/>
        </w:rPr>
        <w:t>。</w:t>
      </w:r>
    </w:p>
    <w:p w14:paraId="34D5E112">
      <w:pPr>
        <w:spacing w:before="120" w:line="320" w:lineRule="atLeast"/>
        <w:ind w:firstLine="420" w:firstLineChars="200"/>
        <w:rPr>
          <w:color w:val="auto"/>
          <w:szCs w:val="21"/>
          <w:highlight w:val="none"/>
        </w:rPr>
      </w:pPr>
      <w:r>
        <w:rPr>
          <w:color w:val="auto"/>
          <w:szCs w:val="21"/>
          <w:highlight w:val="none"/>
        </w:rPr>
        <w:t>3.4.2在特殊情况下，采购人可与供应商协商延长响应文件的有效期，这种要求和答复均以书面形式进行。</w:t>
      </w:r>
    </w:p>
    <w:p w14:paraId="45A84EE2">
      <w:pPr>
        <w:spacing w:before="120" w:line="320" w:lineRule="atLeast"/>
        <w:ind w:firstLine="420" w:firstLineChars="200"/>
        <w:rPr>
          <w:color w:val="auto"/>
          <w:szCs w:val="21"/>
          <w:highlight w:val="none"/>
        </w:rPr>
      </w:pPr>
      <w:r>
        <w:rPr>
          <w:color w:val="auto"/>
          <w:szCs w:val="21"/>
          <w:highlight w:val="none"/>
        </w:rPr>
        <w:t>3.4.3</w:t>
      </w:r>
      <w:r>
        <w:rPr>
          <w:rFonts w:hint="eastAsia"/>
          <w:color w:val="auto"/>
          <w:szCs w:val="21"/>
          <w:highlight w:val="none"/>
        </w:rPr>
        <w:t>供应商同意延长的响应有效期的，如本项目要求提交保证金则应相应延长其谈判保证金的有效期，但不得要求或被允许修改或撤销其响应文件；供应商拒绝延长的，其响应无效，但供应商有权收回其谈判保证金。</w:t>
      </w:r>
    </w:p>
    <w:p w14:paraId="3B3BE595">
      <w:pPr>
        <w:spacing w:before="120" w:line="320" w:lineRule="atLeast"/>
        <w:ind w:firstLine="422" w:firstLineChars="200"/>
        <w:outlineLvl w:val="2"/>
        <w:rPr>
          <w:b/>
          <w:bCs/>
          <w:color w:val="auto"/>
          <w:kern w:val="0"/>
          <w:szCs w:val="21"/>
          <w:highlight w:val="none"/>
        </w:rPr>
      </w:pPr>
      <w:bookmarkStart w:id="51" w:name="_Toc254970541"/>
      <w:bookmarkStart w:id="52" w:name="_Toc254970682"/>
      <w:r>
        <w:rPr>
          <w:b/>
          <w:bCs/>
          <w:color w:val="auto"/>
          <w:kern w:val="0"/>
          <w:szCs w:val="21"/>
          <w:highlight w:val="none"/>
        </w:rPr>
        <w:t>3.5谈判保证金</w:t>
      </w:r>
      <w:bookmarkEnd w:id="51"/>
      <w:bookmarkEnd w:id="52"/>
    </w:p>
    <w:p w14:paraId="61538BEA">
      <w:pPr>
        <w:spacing w:before="120" w:line="320" w:lineRule="atLeast"/>
        <w:ind w:firstLine="420" w:firstLineChars="200"/>
        <w:rPr>
          <w:color w:val="auto"/>
          <w:szCs w:val="21"/>
          <w:highlight w:val="none"/>
        </w:rPr>
      </w:pPr>
      <w:r>
        <w:rPr>
          <w:color w:val="auto"/>
          <w:szCs w:val="21"/>
          <w:highlight w:val="none"/>
        </w:rPr>
        <w:t>3.5.1供应商须按须知前附表规定提交谈判保证金，</w:t>
      </w:r>
      <w:r>
        <w:rPr>
          <w:b/>
          <w:bCs/>
          <w:color w:val="auto"/>
          <w:szCs w:val="21"/>
          <w:highlight w:val="none"/>
        </w:rPr>
        <w:t>否则其响应将被否决</w:t>
      </w:r>
      <w:r>
        <w:rPr>
          <w:color w:val="auto"/>
          <w:szCs w:val="21"/>
          <w:highlight w:val="none"/>
        </w:rPr>
        <w:t>。除采购文件规定不予退还保证金的情形外，代理机构在规定时间内退回供应商的谈判保证金（供应商自行承担因未按供应商须知前附表要求交纳导致谈判保证金无法及时退还的责任）。</w:t>
      </w:r>
    </w:p>
    <w:p w14:paraId="76D822B8">
      <w:pPr>
        <w:spacing w:before="120" w:line="320" w:lineRule="atLeast"/>
        <w:ind w:firstLine="420" w:firstLineChars="200"/>
        <w:rPr>
          <w:color w:val="auto"/>
          <w:szCs w:val="21"/>
          <w:highlight w:val="none"/>
        </w:rPr>
      </w:pPr>
      <w:r>
        <w:rPr>
          <w:color w:val="auto"/>
          <w:szCs w:val="21"/>
          <w:highlight w:val="none"/>
        </w:rPr>
        <w:t>3.5.2谈判保证金币种应与响应报价币种相同。</w:t>
      </w:r>
    </w:p>
    <w:p w14:paraId="3220467D">
      <w:pPr>
        <w:spacing w:before="120" w:line="320" w:lineRule="atLeast"/>
        <w:ind w:firstLine="420" w:firstLineChars="200"/>
        <w:rPr>
          <w:color w:val="auto"/>
          <w:szCs w:val="21"/>
          <w:highlight w:val="none"/>
        </w:rPr>
      </w:pPr>
      <w:r>
        <w:rPr>
          <w:color w:val="auto"/>
          <w:szCs w:val="21"/>
          <w:highlight w:val="none"/>
        </w:rPr>
        <w:t>3.5.3未成交供应商的谈判保证金在成交通知书发出后5个工作日内退还。成交供应商的谈判保证金在合同签订后5个工作日内退还（办理退还手续时需要向采购代理机构提供两份合同复印件）。</w:t>
      </w:r>
    </w:p>
    <w:p w14:paraId="7B4B4460">
      <w:pPr>
        <w:spacing w:before="120" w:line="320" w:lineRule="atLeast"/>
        <w:ind w:firstLine="420" w:firstLineChars="200"/>
        <w:rPr>
          <w:color w:val="auto"/>
          <w:szCs w:val="21"/>
          <w:highlight w:val="none"/>
        </w:rPr>
      </w:pPr>
      <w:r>
        <w:rPr>
          <w:color w:val="auto"/>
          <w:szCs w:val="21"/>
          <w:highlight w:val="none"/>
        </w:rPr>
        <w:t>3.5.4供应商有下列情形之一的，谈判保证金将不予退还：</w:t>
      </w:r>
    </w:p>
    <w:p w14:paraId="481B1494">
      <w:pPr>
        <w:numPr>
          <w:ilvl w:val="0"/>
          <w:numId w:val="2"/>
        </w:numPr>
        <w:spacing w:before="120" w:line="320" w:lineRule="atLeast"/>
        <w:rPr>
          <w:color w:val="auto"/>
          <w:szCs w:val="21"/>
          <w:highlight w:val="none"/>
        </w:rPr>
      </w:pPr>
      <w:r>
        <w:rPr>
          <w:color w:val="auto"/>
          <w:szCs w:val="21"/>
          <w:highlight w:val="none"/>
        </w:rPr>
        <w:t>供应商在响应有效期内撤销响应文件的；</w:t>
      </w:r>
    </w:p>
    <w:p w14:paraId="03B97123">
      <w:pPr>
        <w:numPr>
          <w:ilvl w:val="0"/>
          <w:numId w:val="2"/>
        </w:numPr>
        <w:spacing w:before="120" w:line="320" w:lineRule="atLeast"/>
        <w:rPr>
          <w:color w:val="auto"/>
          <w:szCs w:val="21"/>
          <w:highlight w:val="none"/>
        </w:rPr>
      </w:pPr>
      <w:r>
        <w:rPr>
          <w:rFonts w:hint="eastAsia"/>
          <w:color w:val="auto"/>
          <w:szCs w:val="21"/>
          <w:highlight w:val="none"/>
        </w:rPr>
        <w:t>供应商在提交响应文件截止时间后撤回响应文件的，但采取竞争性谈判方式采购且在提交最后报价之前退出谈判的情况除外；</w:t>
      </w:r>
    </w:p>
    <w:p w14:paraId="38C939F5">
      <w:pPr>
        <w:numPr>
          <w:ilvl w:val="0"/>
          <w:numId w:val="2"/>
        </w:numPr>
        <w:spacing w:before="120" w:line="320" w:lineRule="atLeast"/>
        <w:rPr>
          <w:color w:val="auto"/>
          <w:szCs w:val="21"/>
          <w:highlight w:val="none"/>
        </w:rPr>
      </w:pPr>
      <w:r>
        <w:rPr>
          <w:color w:val="auto"/>
          <w:szCs w:val="21"/>
          <w:highlight w:val="none"/>
        </w:rPr>
        <w:t>供应商在响应过程中弄虚作假，提供虚假材料的；</w:t>
      </w:r>
    </w:p>
    <w:p w14:paraId="4CF56434">
      <w:pPr>
        <w:numPr>
          <w:ilvl w:val="0"/>
          <w:numId w:val="2"/>
        </w:numPr>
        <w:spacing w:before="120" w:line="320" w:lineRule="atLeast"/>
        <w:rPr>
          <w:color w:val="auto"/>
          <w:szCs w:val="21"/>
          <w:highlight w:val="none"/>
        </w:rPr>
      </w:pPr>
      <w:r>
        <w:rPr>
          <w:color w:val="auto"/>
          <w:szCs w:val="21"/>
          <w:highlight w:val="none"/>
        </w:rPr>
        <w:t>成交供应商无正当理由不与采购人签订合同的；</w:t>
      </w:r>
    </w:p>
    <w:p w14:paraId="36A6DCCF">
      <w:pPr>
        <w:numPr>
          <w:ilvl w:val="0"/>
          <w:numId w:val="2"/>
        </w:numPr>
        <w:spacing w:before="120" w:line="320" w:lineRule="atLeast"/>
        <w:rPr>
          <w:color w:val="auto"/>
          <w:szCs w:val="21"/>
          <w:highlight w:val="none"/>
        </w:rPr>
      </w:pPr>
      <w:r>
        <w:rPr>
          <w:color w:val="auto"/>
          <w:szCs w:val="21"/>
          <w:highlight w:val="none"/>
        </w:rPr>
        <w:t>将成交项目转让给他人或者在响应文件中未说明且未经采购人同意，将成交项目分包给他人的；</w:t>
      </w:r>
    </w:p>
    <w:p w14:paraId="5EB25EAA">
      <w:pPr>
        <w:numPr>
          <w:ilvl w:val="0"/>
          <w:numId w:val="2"/>
        </w:numPr>
        <w:spacing w:before="120" w:line="320" w:lineRule="atLeast"/>
        <w:rPr>
          <w:color w:val="auto"/>
          <w:szCs w:val="21"/>
          <w:highlight w:val="none"/>
        </w:rPr>
      </w:pPr>
      <w:r>
        <w:rPr>
          <w:rFonts w:hint="eastAsia"/>
          <w:color w:val="auto"/>
          <w:szCs w:val="21"/>
          <w:highlight w:val="none"/>
        </w:rPr>
        <w:t>供应商与采购人、其他供应商或者采购代理机构恶意串通的；</w:t>
      </w:r>
    </w:p>
    <w:p w14:paraId="50120B36">
      <w:pPr>
        <w:numPr>
          <w:ilvl w:val="0"/>
          <w:numId w:val="2"/>
        </w:numPr>
        <w:spacing w:before="120" w:line="320" w:lineRule="atLeast"/>
        <w:rPr>
          <w:color w:val="auto"/>
          <w:szCs w:val="21"/>
          <w:highlight w:val="none"/>
        </w:rPr>
      </w:pPr>
      <w:r>
        <w:rPr>
          <w:color w:val="auto"/>
          <w:szCs w:val="21"/>
          <w:highlight w:val="none"/>
        </w:rPr>
        <w:t>拒绝履行合同义务的；</w:t>
      </w:r>
    </w:p>
    <w:p w14:paraId="357E2CE3">
      <w:pPr>
        <w:numPr>
          <w:ilvl w:val="0"/>
          <w:numId w:val="2"/>
        </w:numPr>
        <w:spacing w:before="120" w:line="320" w:lineRule="atLeast"/>
        <w:rPr>
          <w:color w:val="auto"/>
          <w:szCs w:val="21"/>
          <w:highlight w:val="none"/>
        </w:rPr>
      </w:pPr>
      <w:r>
        <w:rPr>
          <w:color w:val="auto"/>
          <w:szCs w:val="21"/>
          <w:highlight w:val="none"/>
        </w:rPr>
        <w:t>其他严重扰乱招</w:t>
      </w:r>
      <w:r>
        <w:rPr>
          <w:rFonts w:hint="eastAsia"/>
          <w:color w:val="auto"/>
          <w:szCs w:val="21"/>
          <w:highlight w:val="none"/>
        </w:rPr>
        <w:t>投标</w:t>
      </w:r>
      <w:r>
        <w:rPr>
          <w:color w:val="auto"/>
          <w:szCs w:val="21"/>
          <w:highlight w:val="none"/>
        </w:rPr>
        <w:t>程序的</w:t>
      </w:r>
      <w:r>
        <w:rPr>
          <w:rFonts w:hint="eastAsia"/>
          <w:color w:val="auto"/>
          <w:szCs w:val="21"/>
          <w:highlight w:val="none"/>
        </w:rPr>
        <w:t>。</w:t>
      </w:r>
    </w:p>
    <w:p w14:paraId="1CEA2A04">
      <w:pPr>
        <w:spacing w:before="120" w:line="320" w:lineRule="atLeast"/>
        <w:ind w:firstLine="422" w:firstLineChars="200"/>
        <w:outlineLvl w:val="2"/>
        <w:rPr>
          <w:b/>
          <w:bCs/>
          <w:color w:val="auto"/>
          <w:kern w:val="0"/>
          <w:szCs w:val="21"/>
          <w:highlight w:val="none"/>
        </w:rPr>
      </w:pPr>
      <w:bookmarkStart w:id="53" w:name="_Toc254970542"/>
      <w:bookmarkStart w:id="54" w:name="_Toc254970683"/>
      <w:r>
        <w:rPr>
          <w:b/>
          <w:bCs/>
          <w:color w:val="auto"/>
          <w:kern w:val="0"/>
          <w:szCs w:val="21"/>
          <w:highlight w:val="none"/>
        </w:rPr>
        <w:t>3.6响应文件的</w:t>
      </w:r>
      <w:bookmarkEnd w:id="53"/>
      <w:bookmarkEnd w:id="54"/>
      <w:r>
        <w:rPr>
          <w:b/>
          <w:bCs/>
          <w:color w:val="auto"/>
          <w:kern w:val="0"/>
          <w:szCs w:val="21"/>
          <w:highlight w:val="none"/>
        </w:rPr>
        <w:t>编制要求</w:t>
      </w:r>
    </w:p>
    <w:p w14:paraId="06A3B424">
      <w:pPr>
        <w:spacing w:before="120" w:line="320" w:lineRule="atLeast"/>
        <w:ind w:firstLine="420" w:firstLineChars="200"/>
        <w:rPr>
          <w:b/>
          <w:bCs/>
          <w:color w:val="auto"/>
          <w:kern w:val="0"/>
          <w:szCs w:val="21"/>
          <w:highlight w:val="none"/>
        </w:rPr>
      </w:pPr>
      <w:r>
        <w:rPr>
          <w:rFonts w:hint="eastAsia"/>
          <w:color w:val="auto"/>
          <w:kern w:val="0"/>
          <w:szCs w:val="21"/>
          <w:highlight w:val="none"/>
        </w:rPr>
        <w:t>3</w:t>
      </w:r>
      <w:r>
        <w:rPr>
          <w:color w:val="auto"/>
          <w:kern w:val="0"/>
          <w:szCs w:val="21"/>
          <w:highlight w:val="none"/>
        </w:rPr>
        <w:t>.6.1</w:t>
      </w:r>
      <w:r>
        <w:rPr>
          <w:rFonts w:hint="eastAsia"/>
          <w:color w:val="auto"/>
          <w:szCs w:val="21"/>
          <w:highlight w:val="none"/>
        </w:rPr>
        <w:t>供应商应先安装广西政府采购云平台新版客户端，通过账号密码或C</w:t>
      </w:r>
      <w:r>
        <w:rPr>
          <w:color w:val="auto"/>
          <w:szCs w:val="21"/>
          <w:highlight w:val="none"/>
        </w:rPr>
        <w:t>A</w:t>
      </w:r>
      <w:r>
        <w:rPr>
          <w:rFonts w:hint="eastAsia"/>
          <w:color w:val="auto"/>
          <w:szCs w:val="21"/>
          <w:highlight w:val="none"/>
        </w:rPr>
        <w:t>登录客户端制作响应文件。</w:t>
      </w:r>
    </w:p>
    <w:p w14:paraId="36C90613">
      <w:pPr>
        <w:spacing w:before="120" w:line="320" w:lineRule="atLeast"/>
        <w:ind w:firstLine="420" w:firstLineChars="200"/>
        <w:rPr>
          <w:rFonts w:hint="eastAsia"/>
          <w:color w:val="auto"/>
          <w:szCs w:val="21"/>
          <w:highlight w:val="none"/>
        </w:rPr>
      </w:pPr>
      <w:r>
        <w:rPr>
          <w:rFonts w:hint="eastAsia"/>
          <w:color w:val="auto"/>
          <w:szCs w:val="21"/>
          <w:highlight w:val="none"/>
        </w:rPr>
        <w:t>3.6.2供应商应按本采购文件规定的格式和顺序编制响应文件并进行关联定位，以便谈判小组在评审时，点击评分项可直接定位到该评分项内容。如对采购文件的某项要求，供应商的响应文件未能关联定位提供相应的内容与其对应，则谈判小组在评审时如做出对供应商不利的评审由供应商自行承担。响应文件如内容不完整、编排混乱导致响应文件被误读、漏读，或者在按采购文件规定的部位查找不到相关内容的，由供应商自行承担。</w:t>
      </w:r>
    </w:p>
    <w:p w14:paraId="0CB98EE9">
      <w:pPr>
        <w:spacing w:before="120" w:line="320" w:lineRule="atLeast"/>
        <w:ind w:firstLine="420" w:firstLineChars="200"/>
        <w:rPr>
          <w:color w:val="auto"/>
          <w:szCs w:val="21"/>
          <w:highlight w:val="none"/>
        </w:rPr>
      </w:pPr>
      <w:r>
        <w:rPr>
          <w:rFonts w:hint="eastAsia"/>
          <w:color w:val="auto"/>
          <w:szCs w:val="21"/>
          <w:highlight w:val="none"/>
        </w:rPr>
        <w:t>3.6.3 供应商的响应文件未按照采购文件要求签署、盖章的，其响应无效。</w:t>
      </w:r>
    </w:p>
    <w:p w14:paraId="46DD5EA5">
      <w:pPr>
        <w:spacing w:before="120" w:line="320" w:lineRule="atLeast"/>
        <w:ind w:firstLine="420" w:firstLineChars="200"/>
        <w:rPr>
          <w:color w:val="auto"/>
          <w:szCs w:val="21"/>
          <w:highlight w:val="none"/>
        </w:rPr>
      </w:pPr>
      <w:r>
        <w:rPr>
          <w:color w:val="auto"/>
          <w:szCs w:val="21"/>
          <w:highlight w:val="none"/>
        </w:rPr>
        <w:t>3.6.4</w:t>
      </w:r>
      <w:r>
        <w:rPr>
          <w:rFonts w:hint="eastAsia"/>
          <w:color w:val="auto"/>
          <w:szCs w:val="21"/>
          <w:highlight w:val="none"/>
        </w:rPr>
        <w:t>为确保网上操作合法、有效和安全，供应商应当在响应截止时间前完成在广西政府采购云平台的身份认证，确保在电子投标过程中能够对相关数据电文进行加密和使用电子签名。</w:t>
      </w:r>
    </w:p>
    <w:p w14:paraId="71F0A2C5">
      <w:pPr>
        <w:spacing w:before="120" w:line="320" w:lineRule="atLeast"/>
        <w:ind w:firstLine="420" w:firstLineChars="200"/>
        <w:rPr>
          <w:color w:val="auto"/>
          <w:szCs w:val="21"/>
          <w:highlight w:val="none"/>
        </w:rPr>
      </w:pPr>
      <w:r>
        <w:rPr>
          <w:rFonts w:hint="eastAsia"/>
          <w:color w:val="auto"/>
          <w:szCs w:val="21"/>
          <w:highlight w:val="none"/>
        </w:rPr>
        <w:t>3</w:t>
      </w:r>
      <w:r>
        <w:rPr>
          <w:color w:val="auto"/>
          <w:szCs w:val="21"/>
          <w:highlight w:val="none"/>
        </w:rPr>
        <w:t>.6.5</w:t>
      </w:r>
      <w:r>
        <w:rPr>
          <w:rFonts w:hint="eastAsia"/>
          <w:color w:val="auto"/>
          <w:szCs w:val="21"/>
          <w:highlight w:val="none"/>
        </w:rPr>
        <w:t>响应文件中标注的供应商名称应与主体资格证明（如营业执照、事业单位法人证书、执业许可证、个体工商户营业执照、自然人身份证等）和公章/电子签章一致，</w:t>
      </w:r>
      <w:r>
        <w:rPr>
          <w:rFonts w:hint="eastAsia"/>
          <w:b/>
          <w:bCs/>
          <w:color w:val="auto"/>
          <w:szCs w:val="21"/>
          <w:highlight w:val="none"/>
        </w:rPr>
        <w:t>否则作无效响应处理。</w:t>
      </w:r>
    </w:p>
    <w:p w14:paraId="4BA4BA92">
      <w:pPr>
        <w:spacing w:before="120" w:line="320" w:lineRule="atLeast"/>
        <w:ind w:firstLine="422" w:firstLineChars="200"/>
        <w:outlineLvl w:val="2"/>
        <w:rPr>
          <w:b/>
          <w:bCs/>
          <w:color w:val="auto"/>
          <w:kern w:val="0"/>
          <w:szCs w:val="21"/>
          <w:highlight w:val="none"/>
        </w:rPr>
      </w:pPr>
      <w:r>
        <w:rPr>
          <w:b/>
          <w:bCs/>
          <w:color w:val="auto"/>
          <w:kern w:val="0"/>
          <w:szCs w:val="21"/>
          <w:highlight w:val="none"/>
        </w:rPr>
        <w:t>3.7响应文件的递交、修改和撤回</w:t>
      </w:r>
    </w:p>
    <w:p w14:paraId="64CA5123">
      <w:pPr>
        <w:spacing w:before="120" w:line="320" w:lineRule="atLeast"/>
        <w:ind w:firstLine="420" w:firstLineChars="200"/>
        <w:rPr>
          <w:color w:val="auto"/>
          <w:szCs w:val="21"/>
          <w:highlight w:val="none"/>
        </w:rPr>
      </w:pPr>
      <w:r>
        <w:rPr>
          <w:color w:val="auto"/>
          <w:szCs w:val="21"/>
          <w:highlight w:val="none"/>
        </w:rPr>
        <w:t>3.7.1</w:t>
      </w:r>
      <w:r>
        <w:rPr>
          <w:rFonts w:hint="eastAsia"/>
          <w:color w:val="auto"/>
          <w:szCs w:val="21"/>
          <w:highlight w:val="none"/>
        </w:rPr>
        <w:t xml:space="preserve">供应商必须在“供应商须知前附表”规定的响应文件截标时间和响应地点提交电子版响应文件。电子响应文件应在制作完成后，在响应截止时间前通过有效数字证书（CA认证锁）进行电子签章、加密，然后通过网络将加密的电子响应文件递交至广西政府采购云平台。 </w:t>
      </w:r>
    </w:p>
    <w:p w14:paraId="3CFE96DE">
      <w:pPr>
        <w:spacing w:before="120" w:line="320" w:lineRule="atLeast"/>
        <w:ind w:firstLine="420" w:firstLineChars="200"/>
        <w:rPr>
          <w:color w:val="auto"/>
          <w:szCs w:val="21"/>
          <w:highlight w:val="none"/>
        </w:rPr>
      </w:pPr>
      <w:r>
        <w:rPr>
          <w:rFonts w:hint="eastAsia"/>
          <w:color w:val="auto"/>
          <w:szCs w:val="21"/>
          <w:highlight w:val="none"/>
        </w:rPr>
        <w:t>3</w:t>
      </w:r>
      <w:r>
        <w:rPr>
          <w:color w:val="auto"/>
          <w:szCs w:val="21"/>
          <w:highlight w:val="none"/>
        </w:rPr>
        <w:t>.7.2</w:t>
      </w:r>
      <w:r>
        <w:rPr>
          <w:rFonts w:hint="eastAsia"/>
          <w:color w:val="auto"/>
          <w:szCs w:val="21"/>
          <w:highlight w:val="none"/>
        </w:rPr>
        <w:t xml:space="preserve">未在规定时间内提交或者未按照采购文件要求签章、加密的电子响应文件，广西政府采购云平台将拒收。 </w:t>
      </w:r>
    </w:p>
    <w:p w14:paraId="30A34716">
      <w:pPr>
        <w:spacing w:before="120" w:line="320" w:lineRule="atLeast"/>
        <w:ind w:left="2" w:leftChars="1" w:firstLine="420" w:firstLineChars="200"/>
        <w:rPr>
          <w:color w:val="auto"/>
          <w:szCs w:val="21"/>
          <w:highlight w:val="none"/>
        </w:rPr>
      </w:pPr>
      <w:bookmarkStart w:id="55" w:name="_Toc254970685"/>
      <w:bookmarkStart w:id="56" w:name="_Toc254970544"/>
      <w:r>
        <w:rPr>
          <w:rFonts w:hint="eastAsia"/>
          <w:color w:val="auto"/>
          <w:szCs w:val="21"/>
          <w:highlight w:val="none"/>
        </w:rPr>
        <w:t>3</w:t>
      </w:r>
      <w:r>
        <w:rPr>
          <w:color w:val="auto"/>
          <w:szCs w:val="21"/>
          <w:highlight w:val="none"/>
        </w:rPr>
        <w:t>.7.3</w:t>
      </w:r>
      <w:r>
        <w:rPr>
          <w:rFonts w:hint="eastAsia"/>
          <w:color w:val="auto"/>
          <w:szCs w:val="21"/>
          <w:highlight w:val="none"/>
        </w:rPr>
        <w:t>供应商应当在响应截止时间前完成响应文件的传输递交，并可以补充、修改或者撤回响应文件。补充或者修改响应文件的，应当先行撤回原文件，补充、修改后重新传输递交。响应截止时间前未完成传输的，视为撤回响应文件。响应截止时间后递交的响应文件，广西政府采购云平台将拒收。</w:t>
      </w:r>
    </w:p>
    <w:p w14:paraId="13881CD1">
      <w:pPr>
        <w:spacing w:before="120" w:line="320" w:lineRule="atLeast"/>
        <w:ind w:left="2" w:leftChars="1" w:firstLine="420" w:firstLineChars="200"/>
        <w:rPr>
          <w:color w:val="auto"/>
          <w:szCs w:val="21"/>
          <w:highlight w:val="none"/>
        </w:rPr>
      </w:pPr>
      <w:r>
        <w:rPr>
          <w:color w:val="auto"/>
          <w:szCs w:val="21"/>
          <w:highlight w:val="none"/>
        </w:rPr>
        <w:t>3.7.4</w:t>
      </w:r>
      <w:r>
        <w:rPr>
          <w:rFonts w:hint="eastAsia"/>
          <w:color w:val="auto"/>
          <w:szCs w:val="21"/>
          <w:highlight w:val="none"/>
        </w:rPr>
        <w:t>在响应截止时间前，除供应商补充、修改或者撤回响应文件外，任何单位和个人不得解密或提取响应文件。</w:t>
      </w:r>
    </w:p>
    <w:p w14:paraId="41157B0C">
      <w:pPr>
        <w:spacing w:before="120" w:line="320" w:lineRule="atLeast"/>
        <w:ind w:left="2" w:leftChars="1" w:firstLine="420" w:firstLineChars="200"/>
        <w:rPr>
          <w:color w:val="auto"/>
          <w:szCs w:val="21"/>
          <w:highlight w:val="none"/>
        </w:rPr>
      </w:pPr>
      <w:r>
        <w:rPr>
          <w:color w:val="auto"/>
          <w:szCs w:val="21"/>
          <w:highlight w:val="none"/>
        </w:rPr>
        <w:t>3.7.5</w:t>
      </w:r>
      <w:r>
        <w:rPr>
          <w:rFonts w:hint="eastAsia"/>
          <w:color w:val="auto"/>
          <w:szCs w:val="21"/>
          <w:highlight w:val="none"/>
        </w:rPr>
        <w:t>在响应截止时间止提交电子版响应文件的供应商不足3家时，电子版响应文件由代理机构在广西政府采购云平台操作退回，除此之外采购人和采购代理机构对已提交的响应文件概不退回。</w:t>
      </w:r>
    </w:p>
    <w:p w14:paraId="183C8144">
      <w:pPr>
        <w:spacing w:before="120" w:line="320" w:lineRule="atLeast"/>
        <w:ind w:left="2" w:leftChars="1" w:firstLine="420" w:firstLineChars="200"/>
        <w:rPr>
          <w:rFonts w:hint="eastAsia"/>
          <w:color w:val="auto"/>
          <w:szCs w:val="21"/>
          <w:highlight w:val="none"/>
        </w:rPr>
      </w:pPr>
      <w:bookmarkStart w:id="57" w:name="_Hlk93046827"/>
      <w:r>
        <w:rPr>
          <w:rFonts w:hint="eastAsia"/>
          <w:color w:val="auto"/>
          <w:szCs w:val="21"/>
          <w:highlight w:val="none"/>
        </w:rPr>
        <w:t>3</w:t>
      </w:r>
      <w:r>
        <w:rPr>
          <w:color w:val="auto"/>
          <w:szCs w:val="21"/>
          <w:highlight w:val="none"/>
        </w:rPr>
        <w:t>.7.6</w:t>
      </w:r>
      <w:r>
        <w:rPr>
          <w:rFonts w:hint="eastAsia"/>
          <w:color w:val="auto"/>
          <w:szCs w:val="21"/>
          <w:highlight w:val="none"/>
        </w:rPr>
        <w:t>采购文件未允许同一供应商提交两个或以上不同的响应文件，但存在</w:t>
      </w:r>
      <w:r>
        <w:rPr>
          <w:rFonts w:hint="eastAsia"/>
          <w:color w:val="auto"/>
          <w:highlight w:val="none"/>
        </w:rPr>
        <w:t>同</w:t>
      </w:r>
      <w:r>
        <w:rPr>
          <w:rFonts w:hint="eastAsia"/>
          <w:color w:val="auto"/>
          <w:szCs w:val="21"/>
          <w:highlight w:val="none"/>
        </w:rPr>
        <w:t>一供应商提交两个或以上不同的响应文件的，</w:t>
      </w:r>
      <w:r>
        <w:rPr>
          <w:rFonts w:hint="eastAsia"/>
          <w:b/>
          <w:bCs/>
          <w:color w:val="auto"/>
          <w:szCs w:val="21"/>
          <w:highlight w:val="none"/>
        </w:rPr>
        <w:t>其响应无效。</w:t>
      </w:r>
      <w:r>
        <w:rPr>
          <w:rFonts w:hint="eastAsia"/>
          <w:color w:val="auto"/>
          <w:szCs w:val="21"/>
          <w:highlight w:val="none"/>
        </w:rPr>
        <w:t>供应商在同一响应文件中对某项技术、商务要求提供有选择性的响应参数或方案等同于提交两个或以上不同的响应文件。</w:t>
      </w:r>
      <w:bookmarkEnd w:id="57"/>
    </w:p>
    <w:p w14:paraId="13E71D87">
      <w:pPr>
        <w:spacing w:before="120" w:line="320" w:lineRule="atLeast"/>
        <w:ind w:left="2" w:leftChars="1" w:firstLine="422" w:firstLineChars="200"/>
        <w:outlineLvl w:val="1"/>
        <w:rPr>
          <w:b/>
          <w:bCs/>
          <w:color w:val="auto"/>
          <w:kern w:val="0"/>
          <w:szCs w:val="21"/>
          <w:highlight w:val="none"/>
        </w:rPr>
      </w:pPr>
      <w:r>
        <w:rPr>
          <w:b/>
          <w:bCs/>
          <w:color w:val="auto"/>
          <w:kern w:val="0"/>
          <w:szCs w:val="21"/>
          <w:highlight w:val="none"/>
        </w:rPr>
        <w:t>4．截标</w:t>
      </w:r>
      <w:bookmarkEnd w:id="55"/>
      <w:bookmarkEnd w:id="56"/>
    </w:p>
    <w:p w14:paraId="2F5AD416">
      <w:pPr>
        <w:spacing w:before="120" w:line="320" w:lineRule="atLeast"/>
        <w:ind w:firstLine="422" w:firstLineChars="200"/>
        <w:outlineLvl w:val="2"/>
        <w:rPr>
          <w:b/>
          <w:bCs/>
          <w:color w:val="auto"/>
          <w:kern w:val="0"/>
          <w:szCs w:val="21"/>
          <w:highlight w:val="none"/>
        </w:rPr>
      </w:pPr>
      <w:r>
        <w:rPr>
          <w:b/>
          <w:bCs/>
          <w:color w:val="auto"/>
          <w:kern w:val="0"/>
          <w:szCs w:val="21"/>
          <w:highlight w:val="none"/>
        </w:rPr>
        <w:t>4.1截标准备</w:t>
      </w:r>
    </w:p>
    <w:p w14:paraId="24F7586E">
      <w:pPr>
        <w:spacing w:before="120" w:line="276" w:lineRule="auto"/>
        <w:ind w:firstLine="420" w:firstLineChars="200"/>
        <w:rPr>
          <w:color w:val="auto"/>
          <w:szCs w:val="21"/>
          <w:highlight w:val="none"/>
        </w:rPr>
      </w:pPr>
      <w:r>
        <w:rPr>
          <w:color w:val="auto"/>
          <w:szCs w:val="21"/>
          <w:highlight w:val="none"/>
        </w:rPr>
        <w:t>本项目响应截止时间及地点见“供应商须知前附表”规定。</w:t>
      </w:r>
    </w:p>
    <w:p w14:paraId="06CCEFFF">
      <w:pPr>
        <w:autoSpaceDE w:val="0"/>
        <w:autoSpaceDN w:val="0"/>
        <w:adjustRightInd w:val="0"/>
        <w:spacing w:line="276" w:lineRule="auto"/>
        <w:ind w:firstLine="420" w:firstLineChars="200"/>
        <w:rPr>
          <w:color w:val="auto"/>
          <w:szCs w:val="21"/>
          <w:highlight w:val="none"/>
        </w:rPr>
      </w:pPr>
      <w:r>
        <w:rPr>
          <w:rFonts w:hint="eastAsia"/>
          <w:color w:val="auto"/>
          <w:szCs w:val="21"/>
          <w:highlight w:val="none"/>
        </w:rPr>
        <w:t>全流程电子化项目没有现场递交响应文件及现场截标环节。采购代理机构将按照采购文件规定的时间通过广西政府采购云平台组织线上截标活动、开启响应文件，所有供应商均应当准时在线参加。供应商</w:t>
      </w:r>
      <w:r>
        <w:rPr>
          <w:color w:val="auto"/>
          <w:szCs w:val="21"/>
          <w:highlight w:val="none"/>
        </w:rPr>
        <w:t>如不</w:t>
      </w:r>
      <w:r>
        <w:rPr>
          <w:rFonts w:hint="eastAsia"/>
          <w:color w:val="auto"/>
          <w:szCs w:val="21"/>
          <w:highlight w:val="none"/>
        </w:rPr>
        <w:t>参加</w:t>
      </w:r>
      <w:r>
        <w:rPr>
          <w:color w:val="auto"/>
          <w:szCs w:val="21"/>
          <w:highlight w:val="none"/>
        </w:rPr>
        <w:t>截标大会的，</w:t>
      </w:r>
      <w:r>
        <w:rPr>
          <w:rFonts w:hint="eastAsia"/>
          <w:color w:val="auto"/>
          <w:szCs w:val="21"/>
          <w:highlight w:val="none"/>
        </w:rPr>
        <w:t>视同认可截标结果，</w:t>
      </w:r>
      <w:r>
        <w:rPr>
          <w:color w:val="auto"/>
          <w:szCs w:val="21"/>
          <w:highlight w:val="none"/>
        </w:rPr>
        <w:t>事后不得对采购相关人员、截标过程和截标结果提出异议</w:t>
      </w:r>
      <w:r>
        <w:rPr>
          <w:rFonts w:hint="eastAsia"/>
          <w:color w:val="auto"/>
          <w:szCs w:val="21"/>
          <w:highlight w:val="none"/>
        </w:rPr>
        <w:t>，同时供应商因未在线参加截标而导致响应文件无法按时解密等一切后果由供应商自己承担。</w:t>
      </w:r>
    </w:p>
    <w:p w14:paraId="3E026808">
      <w:pPr>
        <w:spacing w:before="120" w:line="276" w:lineRule="auto"/>
        <w:ind w:firstLine="420" w:firstLineChars="200"/>
        <w:rPr>
          <w:color w:val="auto"/>
          <w:szCs w:val="21"/>
          <w:highlight w:val="none"/>
        </w:rPr>
      </w:pPr>
      <w:r>
        <w:rPr>
          <w:rFonts w:hint="eastAsia"/>
          <w:color w:val="auto"/>
          <w:szCs w:val="21"/>
          <w:highlight w:val="none"/>
        </w:rPr>
        <w:t xml:space="preserve">如供应商成功解密响应文件，但未在广西政府采购云平台电子开标大厅参加截标的，视同认可截标过程和结果，由此产生的后果由供应商自行负责。 </w:t>
      </w:r>
    </w:p>
    <w:p w14:paraId="028C5315">
      <w:pPr>
        <w:spacing w:before="120" w:line="320" w:lineRule="atLeast"/>
        <w:ind w:firstLine="422" w:firstLineChars="200"/>
        <w:outlineLvl w:val="2"/>
        <w:rPr>
          <w:b/>
          <w:bCs/>
          <w:color w:val="auto"/>
          <w:kern w:val="0"/>
          <w:szCs w:val="21"/>
          <w:highlight w:val="none"/>
        </w:rPr>
      </w:pPr>
      <w:r>
        <w:rPr>
          <w:b/>
          <w:bCs/>
          <w:color w:val="auto"/>
          <w:kern w:val="0"/>
          <w:szCs w:val="21"/>
          <w:highlight w:val="none"/>
        </w:rPr>
        <w:t>4.2截标程序</w:t>
      </w:r>
    </w:p>
    <w:p w14:paraId="0A457A13">
      <w:pPr>
        <w:spacing w:before="120" w:line="320" w:lineRule="atLeast"/>
        <w:ind w:firstLine="420" w:firstLineChars="200"/>
        <w:rPr>
          <w:color w:val="auto"/>
          <w:szCs w:val="21"/>
          <w:highlight w:val="none"/>
        </w:rPr>
      </w:pPr>
      <w:r>
        <w:rPr>
          <w:color w:val="auto"/>
          <w:szCs w:val="21"/>
          <w:highlight w:val="none"/>
        </w:rPr>
        <w:t>4.2.1</w:t>
      </w:r>
      <w:r>
        <w:rPr>
          <w:rFonts w:hint="eastAsia"/>
          <w:color w:val="auto"/>
          <w:szCs w:val="21"/>
          <w:highlight w:val="none"/>
        </w:rPr>
        <w:t>供应商登录广西政府采购云平台进入开标大厅签到。</w:t>
      </w:r>
    </w:p>
    <w:p w14:paraId="035F0054">
      <w:pPr>
        <w:spacing w:before="120" w:line="320" w:lineRule="atLeast"/>
        <w:ind w:firstLine="420" w:firstLineChars="200"/>
        <w:rPr>
          <w:color w:val="auto"/>
          <w:szCs w:val="21"/>
          <w:highlight w:val="none"/>
        </w:rPr>
      </w:pPr>
      <w:r>
        <w:rPr>
          <w:rFonts w:hint="eastAsia"/>
          <w:color w:val="auto"/>
          <w:szCs w:val="21"/>
          <w:highlight w:val="none"/>
        </w:rPr>
        <w:t>4</w:t>
      </w:r>
      <w:r>
        <w:rPr>
          <w:color w:val="auto"/>
          <w:szCs w:val="21"/>
          <w:highlight w:val="none"/>
        </w:rPr>
        <w:t>.2.2</w:t>
      </w:r>
      <w:r>
        <w:rPr>
          <w:rFonts w:hint="eastAsia"/>
          <w:color w:val="auto"/>
          <w:szCs w:val="21"/>
          <w:highlight w:val="none"/>
        </w:rPr>
        <w:t>解密电子响应文件。广西政府采购云平台按截标时间自动提取所有响应文件。采购代理机构在广西政府采购云平台向各供应商发出电子加密响应文件开始解密通知，由供应商平台设置时间内自行进行响应文件解密。供应商须使用加密时所用的CA锁准时登录到广西政府采购云平台电子开标大厅签到并对电子响应文件解密。截标后供应商未及时进行解密的，代理机构可通知供应商。</w:t>
      </w:r>
      <w:bookmarkStart w:id="58" w:name="_Hlk106637960"/>
      <w:r>
        <w:rPr>
          <w:rFonts w:hint="eastAsia"/>
          <w:color w:val="auto"/>
          <w:highlight w:val="none"/>
        </w:rPr>
        <w:t>通知后供应商仍未在上述规定时间内解密响应文件</w:t>
      </w:r>
      <w:bookmarkEnd w:id="58"/>
      <w:r>
        <w:rPr>
          <w:rFonts w:hint="eastAsia"/>
          <w:color w:val="auto"/>
          <w:szCs w:val="21"/>
          <w:highlight w:val="none"/>
        </w:rPr>
        <w:t>，或者供应商没预留联系方式或预留联系方式无效导致代理机构无法联系到供应商进行解密的，均视为无效响应。</w:t>
      </w:r>
    </w:p>
    <w:p w14:paraId="5E23B42C">
      <w:pPr>
        <w:spacing w:before="120" w:line="320" w:lineRule="atLeast"/>
        <w:ind w:firstLine="420" w:firstLineChars="200"/>
        <w:rPr>
          <w:rFonts w:hint="eastAsia"/>
          <w:color w:val="auto"/>
          <w:szCs w:val="21"/>
          <w:highlight w:val="none"/>
        </w:rPr>
      </w:pPr>
      <w:r>
        <w:rPr>
          <w:rFonts w:hint="eastAsia"/>
          <w:color w:val="auto"/>
          <w:szCs w:val="21"/>
          <w:highlight w:val="none"/>
        </w:rPr>
        <w:t>4</w:t>
      </w:r>
      <w:r>
        <w:rPr>
          <w:color w:val="auto"/>
          <w:szCs w:val="21"/>
          <w:highlight w:val="none"/>
        </w:rPr>
        <w:t>.2.3</w:t>
      </w:r>
      <w:bookmarkStart w:id="59" w:name="_Hlk106637968"/>
      <w:r>
        <w:rPr>
          <w:rFonts w:hint="eastAsia"/>
          <w:color w:val="auto"/>
          <w:szCs w:val="21"/>
          <w:highlight w:val="none"/>
        </w:rPr>
        <w:t>广西政府采购云平台设置有备份响应文件功能。备份响应文件是指平台设置为接受备份响应文件时，如出现供应商上传的响应文件存在问题或其他供应商原因引起解密异常时，供应商可以在规定时间内将备份响应文件通过邮箱发送至采购代理机构，由代理机构上传备份响应文件后自动解密从而避免被视为无效响应。是否接受备份响应文件详见供应商须知前附表，如接受备份文件，供应商未在规定时间内发送备份响应文件的将视为无效响应。</w:t>
      </w:r>
    </w:p>
    <w:bookmarkEnd w:id="59"/>
    <w:p w14:paraId="2406A63D">
      <w:pPr>
        <w:spacing w:before="120" w:line="320" w:lineRule="atLeast"/>
        <w:ind w:firstLine="420" w:firstLineChars="200"/>
        <w:rPr>
          <w:color w:val="auto"/>
          <w:szCs w:val="21"/>
          <w:highlight w:val="none"/>
        </w:rPr>
      </w:pPr>
      <w:r>
        <w:rPr>
          <w:rFonts w:hint="eastAsia"/>
          <w:color w:val="auto"/>
          <w:szCs w:val="21"/>
          <w:highlight w:val="none"/>
        </w:rPr>
        <w:t>4</w:t>
      </w:r>
      <w:r>
        <w:rPr>
          <w:color w:val="auto"/>
          <w:szCs w:val="21"/>
          <w:highlight w:val="none"/>
        </w:rPr>
        <w:t>.2.4</w:t>
      </w:r>
      <w:r>
        <w:rPr>
          <w:rFonts w:hint="eastAsia"/>
          <w:color w:val="auto"/>
          <w:szCs w:val="21"/>
          <w:highlight w:val="none"/>
        </w:rPr>
        <w:t>解密异常情况处理：详见本章</w:t>
      </w:r>
      <w:r>
        <w:rPr>
          <w:color w:val="auto"/>
          <w:szCs w:val="21"/>
          <w:highlight w:val="none"/>
        </w:rPr>
        <w:t>9.2</w:t>
      </w:r>
      <w:r>
        <w:rPr>
          <w:rFonts w:hint="eastAsia"/>
          <w:color w:val="auto"/>
          <w:szCs w:val="21"/>
          <w:highlight w:val="none"/>
        </w:rPr>
        <w:t>电子交易活动的中止。</w:t>
      </w:r>
    </w:p>
    <w:p w14:paraId="01BDB523">
      <w:pPr>
        <w:spacing w:before="120" w:line="320" w:lineRule="atLeast"/>
        <w:ind w:firstLine="420" w:firstLineChars="200"/>
        <w:rPr>
          <w:color w:val="auto"/>
          <w:szCs w:val="21"/>
          <w:highlight w:val="none"/>
        </w:rPr>
      </w:pPr>
      <w:r>
        <w:rPr>
          <w:color w:val="auto"/>
          <w:szCs w:val="21"/>
          <w:highlight w:val="none"/>
        </w:rPr>
        <w:t>4.2.5截标结束。</w:t>
      </w:r>
    </w:p>
    <w:p w14:paraId="2F40F177">
      <w:pPr>
        <w:pStyle w:val="26"/>
        <w:snapToGrid w:val="0"/>
        <w:spacing w:line="440" w:lineRule="exact"/>
        <w:ind w:firstLine="422" w:firstLineChars="200"/>
        <w:rPr>
          <w:rFonts w:hAnsi="宋体"/>
          <w:color w:val="auto"/>
          <w:highlight w:val="none"/>
        </w:rPr>
      </w:pPr>
      <w:r>
        <w:rPr>
          <w:rFonts w:hint="eastAsia" w:hAnsi="宋体"/>
          <w:b/>
          <w:bCs/>
          <w:color w:val="auto"/>
          <w:highlight w:val="none"/>
        </w:rPr>
        <w:t>特别说明：</w:t>
      </w:r>
      <w:r>
        <w:rPr>
          <w:rFonts w:hint="eastAsia" w:hAnsi="宋体"/>
          <w:color w:val="auto"/>
          <w:highlight w:val="none"/>
        </w:rPr>
        <w:t>如遇广西政府采购云平台电子化截标或评审程序调整的，按调整后的程序执行。</w:t>
      </w:r>
    </w:p>
    <w:p w14:paraId="54E364DE">
      <w:pPr>
        <w:spacing w:before="120" w:line="320" w:lineRule="atLeast"/>
        <w:ind w:firstLine="422" w:firstLineChars="200"/>
        <w:outlineLvl w:val="2"/>
        <w:rPr>
          <w:b/>
          <w:bCs/>
          <w:color w:val="auto"/>
          <w:kern w:val="0"/>
          <w:szCs w:val="21"/>
          <w:highlight w:val="none"/>
        </w:rPr>
      </w:pPr>
      <w:r>
        <w:rPr>
          <w:b/>
          <w:bCs/>
          <w:color w:val="auto"/>
          <w:kern w:val="0"/>
          <w:szCs w:val="21"/>
          <w:highlight w:val="none"/>
        </w:rPr>
        <w:t>4.3演示</w:t>
      </w:r>
    </w:p>
    <w:p w14:paraId="4810E1FE">
      <w:pPr>
        <w:spacing w:before="120" w:line="320" w:lineRule="atLeast"/>
        <w:ind w:firstLine="420" w:firstLineChars="200"/>
        <w:rPr>
          <w:color w:val="auto"/>
          <w:szCs w:val="21"/>
          <w:highlight w:val="none"/>
        </w:rPr>
      </w:pPr>
      <w:r>
        <w:rPr>
          <w:color w:val="auto"/>
          <w:szCs w:val="21"/>
          <w:highlight w:val="none"/>
        </w:rPr>
        <w:t>4.3.1“供应商须知前附表”规定在截标会议结束后进行演示的，供应商应按规定进行演示。</w:t>
      </w:r>
    </w:p>
    <w:p w14:paraId="7C7D334E">
      <w:pPr>
        <w:spacing w:before="120" w:line="320" w:lineRule="atLeast"/>
        <w:ind w:firstLine="420" w:firstLineChars="200"/>
        <w:rPr>
          <w:color w:val="auto"/>
          <w:szCs w:val="21"/>
          <w:highlight w:val="none"/>
        </w:rPr>
      </w:pPr>
      <w:r>
        <w:rPr>
          <w:color w:val="auto"/>
          <w:szCs w:val="21"/>
          <w:highlight w:val="none"/>
        </w:rPr>
        <w:t>4.3.2未按规定时间进行演示可能引起的演示分数被计为0分或响应无效等后果由供应商自行承担。</w:t>
      </w:r>
    </w:p>
    <w:p w14:paraId="269F72DD">
      <w:pPr>
        <w:spacing w:before="120" w:line="320" w:lineRule="atLeast"/>
        <w:ind w:firstLine="422" w:firstLineChars="200"/>
        <w:outlineLvl w:val="2"/>
        <w:rPr>
          <w:color w:val="auto"/>
          <w:szCs w:val="21"/>
          <w:highlight w:val="none"/>
        </w:rPr>
      </w:pPr>
      <w:r>
        <w:rPr>
          <w:b/>
          <w:bCs/>
          <w:color w:val="auto"/>
          <w:kern w:val="0"/>
          <w:szCs w:val="21"/>
          <w:highlight w:val="none"/>
        </w:rPr>
        <w:t>4.4样品</w:t>
      </w:r>
    </w:p>
    <w:p w14:paraId="197FEE96">
      <w:pPr>
        <w:spacing w:before="120" w:line="320" w:lineRule="atLeast"/>
        <w:ind w:firstLine="420" w:firstLineChars="200"/>
        <w:rPr>
          <w:color w:val="auto"/>
          <w:szCs w:val="21"/>
          <w:highlight w:val="none"/>
        </w:rPr>
      </w:pPr>
      <w:r>
        <w:rPr>
          <w:color w:val="auto"/>
          <w:szCs w:val="21"/>
          <w:highlight w:val="none"/>
        </w:rPr>
        <w:t>4.4.1“供应商须知前附表”规定递交样品的，供应商应按前附表规定递交样品，递交样品时应附样品递交表（格式见第六章）。</w:t>
      </w:r>
    </w:p>
    <w:p w14:paraId="076DAAF4">
      <w:pPr>
        <w:spacing w:before="120" w:line="320" w:lineRule="atLeast"/>
        <w:ind w:firstLine="420" w:firstLineChars="200"/>
        <w:rPr>
          <w:color w:val="auto"/>
          <w:szCs w:val="21"/>
          <w:highlight w:val="none"/>
        </w:rPr>
      </w:pPr>
      <w:r>
        <w:rPr>
          <w:color w:val="auto"/>
          <w:szCs w:val="21"/>
          <w:highlight w:val="none"/>
        </w:rPr>
        <w:t>4.4.2未按规定时间递交样品可能引起的样品分数被计为0分或响应无效等后果由供应商自行承担。</w:t>
      </w:r>
    </w:p>
    <w:p w14:paraId="00D8F4FF">
      <w:pPr>
        <w:spacing w:before="120" w:line="320" w:lineRule="atLeast"/>
        <w:ind w:firstLine="420" w:firstLineChars="200"/>
        <w:rPr>
          <w:color w:val="auto"/>
          <w:szCs w:val="21"/>
          <w:highlight w:val="none"/>
        </w:rPr>
      </w:pPr>
      <w:bookmarkStart w:id="60" w:name="_Toc254970545"/>
      <w:bookmarkStart w:id="61" w:name="_Toc254970686"/>
      <w:r>
        <w:rPr>
          <w:color w:val="auto"/>
          <w:szCs w:val="21"/>
          <w:highlight w:val="none"/>
        </w:rPr>
        <w:t>4.4.3样品封存或退还的说明请见第六章响应文件格式所附样品递交表。</w:t>
      </w:r>
    </w:p>
    <w:p w14:paraId="2782AD48">
      <w:pPr>
        <w:spacing w:before="120" w:line="320" w:lineRule="atLeast"/>
        <w:ind w:left="2" w:leftChars="1" w:firstLine="422" w:firstLineChars="200"/>
        <w:outlineLvl w:val="1"/>
        <w:rPr>
          <w:b/>
          <w:bCs/>
          <w:color w:val="auto"/>
          <w:kern w:val="0"/>
          <w:szCs w:val="21"/>
          <w:highlight w:val="none"/>
        </w:rPr>
      </w:pPr>
      <w:r>
        <w:rPr>
          <w:b/>
          <w:bCs/>
          <w:color w:val="auto"/>
          <w:kern w:val="0"/>
          <w:szCs w:val="21"/>
          <w:highlight w:val="none"/>
        </w:rPr>
        <w:t>5．</w:t>
      </w:r>
      <w:r>
        <w:rPr>
          <w:rFonts w:hint="eastAsia"/>
          <w:b/>
          <w:bCs/>
          <w:color w:val="auto"/>
          <w:kern w:val="0"/>
          <w:szCs w:val="21"/>
          <w:highlight w:val="none"/>
        </w:rPr>
        <w:t>资格审查</w:t>
      </w:r>
    </w:p>
    <w:p w14:paraId="09896FEE">
      <w:pPr>
        <w:spacing w:before="120" w:line="320" w:lineRule="atLeast"/>
        <w:ind w:left="2" w:leftChars="1" w:firstLine="420" w:firstLineChars="200"/>
        <w:outlineLvl w:val="2"/>
        <w:rPr>
          <w:bCs/>
          <w:color w:val="auto"/>
          <w:kern w:val="0"/>
          <w:szCs w:val="21"/>
          <w:highlight w:val="none"/>
        </w:rPr>
      </w:pPr>
      <w:r>
        <w:rPr>
          <w:rFonts w:hint="eastAsia"/>
          <w:bCs/>
          <w:color w:val="auto"/>
          <w:kern w:val="0"/>
          <w:szCs w:val="21"/>
          <w:highlight w:val="none"/>
        </w:rPr>
        <w:t>5</w:t>
      </w:r>
      <w:r>
        <w:rPr>
          <w:bCs/>
          <w:color w:val="auto"/>
          <w:kern w:val="0"/>
          <w:szCs w:val="21"/>
          <w:highlight w:val="none"/>
        </w:rPr>
        <w:t>.1</w:t>
      </w:r>
      <w:r>
        <w:rPr>
          <w:rFonts w:hint="eastAsia"/>
          <w:bCs/>
          <w:color w:val="auto"/>
          <w:kern w:val="0"/>
          <w:szCs w:val="21"/>
          <w:highlight w:val="none"/>
        </w:rPr>
        <w:t>截标</w:t>
      </w:r>
      <w:r>
        <w:rPr>
          <w:rFonts w:ascii="宋体" w:hAnsi="宋体"/>
          <w:bCs/>
          <w:color w:val="auto"/>
          <w:szCs w:val="21"/>
          <w:highlight w:val="none"/>
        </w:rPr>
        <w:t>后，</w:t>
      </w:r>
      <w:r>
        <w:rPr>
          <w:rFonts w:hint="eastAsia" w:ascii="宋体" w:hAnsi="宋体"/>
          <w:bCs/>
          <w:color w:val="auto"/>
          <w:szCs w:val="21"/>
          <w:highlight w:val="none"/>
        </w:rPr>
        <w:t>谈判小组通过电子交易平台</w:t>
      </w:r>
      <w:r>
        <w:rPr>
          <w:rFonts w:ascii="宋体" w:hAnsi="宋体"/>
          <w:bCs/>
          <w:color w:val="auto"/>
          <w:szCs w:val="21"/>
          <w:highlight w:val="none"/>
        </w:rPr>
        <w:t>对供应商的资格进行审查。</w:t>
      </w:r>
      <w:r>
        <w:rPr>
          <w:rFonts w:hint="eastAsia" w:ascii="宋体" w:hAnsi="宋体"/>
          <w:bCs/>
          <w:color w:val="auto"/>
          <w:szCs w:val="21"/>
          <w:highlight w:val="none"/>
        </w:rPr>
        <w:t>资格审查</w:t>
      </w:r>
      <w:r>
        <w:rPr>
          <w:rFonts w:hint="eastAsia"/>
          <w:bCs/>
          <w:color w:val="auto"/>
          <w:kern w:val="0"/>
          <w:szCs w:val="21"/>
          <w:highlight w:val="none"/>
        </w:rPr>
        <w:t>是根据法律法规和采购文件的规定，对供应商的基本资格条件、特定资格条件进行审查。</w:t>
      </w:r>
    </w:p>
    <w:p w14:paraId="2FB61803">
      <w:pPr>
        <w:spacing w:before="120" w:line="320" w:lineRule="atLeast"/>
        <w:ind w:left="2" w:leftChars="1" w:firstLine="420" w:firstLineChars="200"/>
        <w:outlineLvl w:val="2"/>
        <w:rPr>
          <w:bCs/>
          <w:color w:val="auto"/>
          <w:kern w:val="0"/>
          <w:szCs w:val="21"/>
          <w:highlight w:val="none"/>
        </w:rPr>
      </w:pPr>
      <w:r>
        <w:rPr>
          <w:rFonts w:hint="eastAsia"/>
          <w:bCs/>
          <w:color w:val="auto"/>
          <w:kern w:val="0"/>
          <w:szCs w:val="21"/>
          <w:highlight w:val="none"/>
        </w:rPr>
        <w:t>5.</w:t>
      </w:r>
      <w:r>
        <w:rPr>
          <w:bCs/>
          <w:color w:val="auto"/>
          <w:kern w:val="0"/>
          <w:szCs w:val="21"/>
          <w:highlight w:val="none"/>
        </w:rPr>
        <w:t>2</w:t>
      </w:r>
      <w:r>
        <w:rPr>
          <w:rFonts w:hint="eastAsia"/>
          <w:bCs/>
          <w:color w:val="auto"/>
          <w:kern w:val="0"/>
          <w:szCs w:val="21"/>
          <w:highlight w:val="none"/>
        </w:rPr>
        <w:t>资格审查标准在第四章评审方法及标准中规定，符合资格审查标准要求的供应商即为资格审查合格。</w:t>
      </w:r>
    </w:p>
    <w:p w14:paraId="6A5CFB67">
      <w:pPr>
        <w:spacing w:before="120" w:line="276" w:lineRule="auto"/>
        <w:ind w:left="2" w:leftChars="1" w:firstLine="420" w:firstLineChars="200"/>
        <w:outlineLvl w:val="2"/>
        <w:rPr>
          <w:bCs/>
          <w:color w:val="auto"/>
          <w:kern w:val="0"/>
          <w:szCs w:val="21"/>
          <w:highlight w:val="none"/>
        </w:rPr>
      </w:pPr>
      <w:r>
        <w:rPr>
          <w:bCs/>
          <w:color w:val="auto"/>
          <w:kern w:val="0"/>
          <w:szCs w:val="21"/>
          <w:highlight w:val="none"/>
        </w:rPr>
        <w:t>5.3</w:t>
      </w:r>
      <w:r>
        <w:rPr>
          <w:rFonts w:hint="eastAsia"/>
          <w:bCs/>
          <w:color w:val="auto"/>
          <w:kern w:val="0"/>
          <w:szCs w:val="21"/>
          <w:highlight w:val="none"/>
        </w:rPr>
        <w:t>供应商有下列情形之一的，资格审查不合格，作无效响应处理：</w:t>
      </w:r>
    </w:p>
    <w:p w14:paraId="75917395">
      <w:pPr>
        <w:spacing w:line="276" w:lineRule="auto"/>
        <w:ind w:firstLine="420" w:firstLineChars="200"/>
        <w:rPr>
          <w:rFonts w:hAnsi="宋体"/>
          <w:color w:val="auto"/>
          <w:highlight w:val="none"/>
        </w:rPr>
      </w:pPr>
      <w:r>
        <w:rPr>
          <w:rFonts w:hint="eastAsia"/>
          <w:color w:val="auto"/>
          <w:szCs w:val="21"/>
          <w:highlight w:val="none"/>
        </w:rPr>
        <w:t>5</w:t>
      </w:r>
      <w:r>
        <w:rPr>
          <w:color w:val="auto"/>
          <w:szCs w:val="21"/>
          <w:highlight w:val="none"/>
        </w:rPr>
        <w:t>.3.1</w:t>
      </w:r>
      <w:r>
        <w:rPr>
          <w:rFonts w:hint="eastAsia"/>
          <w:color w:val="auto"/>
          <w:szCs w:val="21"/>
          <w:highlight w:val="none"/>
        </w:rPr>
        <w:t>不具备采购文件中规定的资格要求或资格条件的；</w:t>
      </w:r>
      <w:r>
        <w:rPr>
          <w:color w:val="auto"/>
          <w:szCs w:val="21"/>
          <w:highlight w:val="none"/>
        </w:rPr>
        <w:t xml:space="preserve"> </w:t>
      </w:r>
      <w:r>
        <w:rPr>
          <w:rFonts w:hint="eastAsia" w:hAnsi="宋体"/>
          <w:color w:val="auto"/>
          <w:highlight w:val="none"/>
        </w:rPr>
        <w:t>（注：其中信用查询规则见“供应商须知前附表”，广西政府采购云平台已与“信用中国”平台做接口，可直接在线查询）</w:t>
      </w:r>
    </w:p>
    <w:p w14:paraId="37DA54AB">
      <w:pPr>
        <w:spacing w:before="120" w:line="276" w:lineRule="auto"/>
        <w:ind w:firstLine="420" w:firstLineChars="200"/>
        <w:rPr>
          <w:rFonts w:hint="eastAsia"/>
          <w:color w:val="auto"/>
          <w:szCs w:val="21"/>
          <w:highlight w:val="none"/>
        </w:rPr>
      </w:pPr>
      <w:r>
        <w:rPr>
          <w:rFonts w:hint="eastAsia"/>
          <w:color w:val="auto"/>
          <w:szCs w:val="21"/>
          <w:highlight w:val="none"/>
        </w:rPr>
        <w:t>5</w:t>
      </w:r>
      <w:r>
        <w:rPr>
          <w:color w:val="auto"/>
          <w:szCs w:val="21"/>
          <w:highlight w:val="none"/>
        </w:rPr>
        <w:t>.3.2</w:t>
      </w:r>
      <w:r>
        <w:rPr>
          <w:rFonts w:hint="eastAsia"/>
          <w:color w:val="auto"/>
          <w:szCs w:val="21"/>
          <w:highlight w:val="none"/>
        </w:rPr>
        <w:t>响应文件缺少任何一项资格证明文件或不符合第四章评审方法及标准中资格审查标准规定的评审内容的。</w:t>
      </w:r>
    </w:p>
    <w:bookmarkEnd w:id="60"/>
    <w:bookmarkEnd w:id="61"/>
    <w:p w14:paraId="33236496">
      <w:pPr>
        <w:spacing w:before="120" w:line="320" w:lineRule="atLeast"/>
        <w:ind w:left="2" w:leftChars="1" w:firstLine="422" w:firstLineChars="200"/>
        <w:outlineLvl w:val="1"/>
        <w:rPr>
          <w:b/>
          <w:bCs/>
          <w:color w:val="auto"/>
          <w:kern w:val="0"/>
          <w:szCs w:val="21"/>
          <w:highlight w:val="none"/>
        </w:rPr>
      </w:pPr>
      <w:r>
        <w:rPr>
          <w:b/>
          <w:bCs/>
          <w:color w:val="auto"/>
          <w:kern w:val="0"/>
          <w:szCs w:val="21"/>
          <w:highlight w:val="none"/>
        </w:rPr>
        <w:t>6．评审</w:t>
      </w:r>
    </w:p>
    <w:p w14:paraId="2BF92429">
      <w:pPr>
        <w:spacing w:before="120" w:line="320" w:lineRule="atLeast"/>
        <w:ind w:firstLine="422" w:firstLineChars="200"/>
        <w:outlineLvl w:val="2"/>
        <w:rPr>
          <w:b/>
          <w:bCs/>
          <w:color w:val="auto"/>
          <w:kern w:val="0"/>
          <w:szCs w:val="21"/>
          <w:highlight w:val="none"/>
        </w:rPr>
      </w:pPr>
      <w:r>
        <w:rPr>
          <w:b/>
          <w:bCs/>
          <w:color w:val="auto"/>
          <w:kern w:val="0"/>
          <w:szCs w:val="21"/>
          <w:highlight w:val="none"/>
        </w:rPr>
        <w:t>6.1组建</w:t>
      </w:r>
      <w:r>
        <w:rPr>
          <w:rFonts w:hint="eastAsia"/>
          <w:b/>
          <w:bCs/>
          <w:color w:val="auto"/>
          <w:kern w:val="0"/>
          <w:szCs w:val="21"/>
          <w:highlight w:val="none"/>
        </w:rPr>
        <w:t>谈判</w:t>
      </w:r>
      <w:r>
        <w:rPr>
          <w:b/>
          <w:bCs/>
          <w:color w:val="auto"/>
          <w:kern w:val="0"/>
          <w:szCs w:val="21"/>
          <w:highlight w:val="none"/>
        </w:rPr>
        <w:t>小组</w:t>
      </w:r>
    </w:p>
    <w:p w14:paraId="3B6C9F81">
      <w:pPr>
        <w:spacing w:before="120" w:line="320" w:lineRule="atLeast"/>
        <w:ind w:firstLine="420" w:firstLineChars="200"/>
        <w:rPr>
          <w:color w:val="auto"/>
          <w:szCs w:val="21"/>
          <w:highlight w:val="none"/>
        </w:rPr>
      </w:pPr>
      <w:r>
        <w:rPr>
          <w:rFonts w:hint="eastAsia"/>
          <w:color w:val="auto"/>
          <w:szCs w:val="21"/>
          <w:highlight w:val="none"/>
        </w:rPr>
        <w:t>6.1.1</w:t>
      </w:r>
      <w:r>
        <w:rPr>
          <w:color w:val="auto"/>
          <w:szCs w:val="21"/>
          <w:highlight w:val="none"/>
        </w:rPr>
        <w:t>本项目</w:t>
      </w:r>
      <w:r>
        <w:rPr>
          <w:rFonts w:hint="eastAsia"/>
          <w:color w:val="auto"/>
          <w:szCs w:val="21"/>
          <w:highlight w:val="none"/>
        </w:rPr>
        <w:t>评审工作由谈判</w:t>
      </w:r>
      <w:r>
        <w:rPr>
          <w:color w:val="auto"/>
          <w:szCs w:val="21"/>
          <w:highlight w:val="none"/>
        </w:rPr>
        <w:t>小组</w:t>
      </w:r>
      <w:r>
        <w:rPr>
          <w:rFonts w:hint="eastAsia"/>
          <w:color w:val="auto"/>
          <w:szCs w:val="21"/>
          <w:highlight w:val="none"/>
        </w:rPr>
        <w:t>负责，谈判小组</w:t>
      </w:r>
      <w:r>
        <w:rPr>
          <w:color w:val="auto"/>
          <w:szCs w:val="21"/>
          <w:highlight w:val="none"/>
        </w:rPr>
        <w:t>由</w:t>
      </w:r>
      <w:r>
        <w:rPr>
          <w:rFonts w:hint="eastAsia"/>
          <w:color w:val="auto"/>
          <w:szCs w:val="21"/>
          <w:highlight w:val="none"/>
        </w:rPr>
        <w:t>评审专家</w:t>
      </w:r>
      <w:r>
        <w:rPr>
          <w:color w:val="auto"/>
          <w:szCs w:val="21"/>
          <w:highlight w:val="none"/>
        </w:rPr>
        <w:t>和采购人代表</w:t>
      </w:r>
      <w:r>
        <w:rPr>
          <w:rFonts w:hint="eastAsia"/>
          <w:color w:val="auto"/>
          <w:szCs w:val="21"/>
          <w:highlight w:val="none"/>
        </w:rPr>
        <w:t>（如有）</w:t>
      </w:r>
      <w:r>
        <w:rPr>
          <w:color w:val="auto"/>
          <w:szCs w:val="21"/>
          <w:highlight w:val="none"/>
        </w:rPr>
        <w:t>组成。</w:t>
      </w:r>
      <w:r>
        <w:rPr>
          <w:rFonts w:hint="eastAsia"/>
          <w:color w:val="auto"/>
          <w:szCs w:val="21"/>
          <w:highlight w:val="none"/>
        </w:rPr>
        <w:t>谈判小组评审时必须公平、公正、客观，不带任何倾向性和启发性；不得向外界透露任何与评审有关的内容；任何单位和个人不得干扰、影响评标的正常进行；谈判小组及有关工作人员不得私下与供应商接触，不得收受利害关系人的财物或者其他好处；</w:t>
      </w:r>
      <w:r>
        <w:rPr>
          <w:color w:val="auto"/>
          <w:szCs w:val="21"/>
          <w:highlight w:val="none"/>
        </w:rPr>
        <w:t>评审专家发现本人与参加采购活动的供应商有利害关系的，应当主动提出回避</w:t>
      </w:r>
      <w:r>
        <w:rPr>
          <w:rFonts w:hint="eastAsia"/>
          <w:color w:val="auto"/>
          <w:szCs w:val="21"/>
          <w:highlight w:val="none"/>
        </w:rPr>
        <w:t>。</w:t>
      </w:r>
    </w:p>
    <w:p w14:paraId="7C2DFC58">
      <w:pPr>
        <w:spacing w:before="120" w:line="320" w:lineRule="atLeast"/>
        <w:ind w:firstLine="420" w:firstLineChars="200"/>
        <w:rPr>
          <w:color w:val="auto"/>
          <w:szCs w:val="21"/>
          <w:highlight w:val="none"/>
        </w:rPr>
      </w:pPr>
      <w:r>
        <w:rPr>
          <w:rFonts w:hint="eastAsia"/>
          <w:color w:val="auto"/>
          <w:szCs w:val="21"/>
          <w:highlight w:val="none"/>
        </w:rPr>
        <w:t>6.1.2谈判小组成员应当通过电子交易平台进行独立评审，谈判小组成员对需要共同认定的事项存在争议的，应当按照少数服从多数的原则作出结论。持不同意见的谈判小组成员应当在评审报告上签署不同意见及理由，否则视为同意评审报告。如果在评审过程中出现法律法规和采购文件均没有明确规定的情形时，由谈判小组现场协商确定，协商不一致的，由全体谈判小组成员投票表决，应当按照少数服从多数的原则作出结论并记录在评审报告中。</w:t>
      </w:r>
    </w:p>
    <w:p w14:paraId="0C994B2A">
      <w:pPr>
        <w:spacing w:before="120" w:line="320" w:lineRule="atLeast"/>
        <w:ind w:firstLine="420" w:firstLineChars="200"/>
        <w:rPr>
          <w:color w:val="auto"/>
          <w:szCs w:val="21"/>
          <w:highlight w:val="none"/>
        </w:rPr>
      </w:pPr>
      <w:r>
        <w:rPr>
          <w:rFonts w:hint="eastAsia"/>
          <w:color w:val="auto"/>
          <w:szCs w:val="21"/>
          <w:highlight w:val="none"/>
        </w:rPr>
        <w:t>6.1.3采购人、采购代理机构应当采取必要措施，保证评审在严格保密（封闭式评审）的情况下进行。除采购人代表、评审现场组织人员外，采购人的其他工作人员以及与评审工作无关的人员不得进入评审现场。有关人员对评审情况以及在评审过程中获悉的国家秘密、商业秘密负有保密责任。</w:t>
      </w:r>
    </w:p>
    <w:p w14:paraId="4DC75B53">
      <w:pPr>
        <w:spacing w:before="120" w:line="320" w:lineRule="atLeast"/>
        <w:ind w:firstLine="420" w:firstLineChars="200"/>
        <w:rPr>
          <w:color w:val="auto"/>
          <w:szCs w:val="21"/>
          <w:highlight w:val="none"/>
        </w:rPr>
      </w:pPr>
      <w:r>
        <w:rPr>
          <w:rFonts w:hint="eastAsia"/>
          <w:color w:val="auto"/>
          <w:szCs w:val="21"/>
          <w:highlight w:val="none"/>
        </w:rPr>
        <w:t>6.1.4本项目评审过程实行全程网上留痕及录音、录像监控，供应商在评审过程中所进行的试图影响评审结果的不公正活动，可能导致其响应按无效处理。</w:t>
      </w:r>
    </w:p>
    <w:p w14:paraId="7CD4BB68">
      <w:pPr>
        <w:spacing w:before="120" w:line="320" w:lineRule="atLeast"/>
        <w:ind w:firstLine="422" w:firstLineChars="200"/>
        <w:outlineLvl w:val="2"/>
        <w:rPr>
          <w:b/>
          <w:bCs/>
          <w:color w:val="auto"/>
          <w:kern w:val="0"/>
          <w:szCs w:val="21"/>
          <w:highlight w:val="none"/>
        </w:rPr>
      </w:pPr>
      <w:r>
        <w:rPr>
          <w:b/>
          <w:bCs/>
          <w:color w:val="auto"/>
          <w:kern w:val="0"/>
          <w:szCs w:val="21"/>
          <w:highlight w:val="none"/>
        </w:rPr>
        <w:t>6.2</w:t>
      </w:r>
      <w:r>
        <w:rPr>
          <w:rFonts w:hint="eastAsia"/>
          <w:b/>
          <w:bCs/>
          <w:color w:val="auto"/>
          <w:kern w:val="0"/>
          <w:szCs w:val="21"/>
          <w:highlight w:val="none"/>
        </w:rPr>
        <w:t>评审方法及依据</w:t>
      </w:r>
    </w:p>
    <w:p w14:paraId="30BAE3E5">
      <w:pPr>
        <w:spacing w:before="120" w:line="320" w:lineRule="atLeast"/>
        <w:ind w:firstLine="420" w:firstLineChars="200"/>
        <w:rPr>
          <w:bCs/>
          <w:color w:val="auto"/>
          <w:kern w:val="0"/>
          <w:szCs w:val="21"/>
          <w:highlight w:val="none"/>
        </w:rPr>
      </w:pPr>
      <w:r>
        <w:rPr>
          <w:bCs/>
          <w:color w:val="auto"/>
          <w:kern w:val="0"/>
          <w:szCs w:val="21"/>
          <w:highlight w:val="none"/>
        </w:rPr>
        <w:t>6.2.1</w:t>
      </w:r>
      <w:r>
        <w:rPr>
          <w:rFonts w:hint="eastAsia"/>
          <w:bCs/>
          <w:color w:val="auto"/>
          <w:kern w:val="0"/>
          <w:szCs w:val="21"/>
          <w:highlight w:val="none"/>
        </w:rPr>
        <w:t>本项目采用第四章评审方法及标准规定的方法进行评审。</w:t>
      </w:r>
    </w:p>
    <w:p w14:paraId="2CD66819">
      <w:pPr>
        <w:suppressAutoHyphens/>
        <w:spacing w:before="120" w:line="320" w:lineRule="atLeast"/>
        <w:ind w:firstLine="420" w:firstLineChars="200"/>
        <w:rPr>
          <w:bCs/>
          <w:color w:val="auto"/>
          <w:kern w:val="0"/>
          <w:szCs w:val="21"/>
          <w:highlight w:val="none"/>
        </w:rPr>
      </w:pPr>
      <w:r>
        <w:rPr>
          <w:bCs/>
          <w:color w:val="auto"/>
          <w:kern w:val="0"/>
          <w:szCs w:val="21"/>
          <w:highlight w:val="none"/>
        </w:rPr>
        <w:t>6.2.2</w:t>
      </w:r>
      <w:r>
        <w:rPr>
          <w:rFonts w:hint="eastAsia"/>
          <w:bCs/>
          <w:color w:val="auto"/>
          <w:kern w:val="0"/>
          <w:szCs w:val="21"/>
          <w:highlight w:val="none"/>
        </w:rPr>
        <w:t>谈判小组</w:t>
      </w:r>
      <w:r>
        <w:rPr>
          <w:color w:val="auto"/>
          <w:highlight w:val="none"/>
        </w:rPr>
        <w:t>以</w:t>
      </w:r>
      <w:r>
        <w:rPr>
          <w:rFonts w:hint="eastAsia"/>
          <w:color w:val="auto"/>
          <w:highlight w:val="none"/>
        </w:rPr>
        <w:t>采购</w:t>
      </w:r>
      <w:r>
        <w:rPr>
          <w:color w:val="auto"/>
          <w:highlight w:val="none"/>
        </w:rPr>
        <w:t>文件、补充文件、</w:t>
      </w:r>
      <w:r>
        <w:rPr>
          <w:rFonts w:hint="eastAsia"/>
          <w:color w:val="auto"/>
          <w:highlight w:val="none"/>
        </w:rPr>
        <w:t>响应</w:t>
      </w:r>
      <w:r>
        <w:rPr>
          <w:color w:val="auto"/>
          <w:highlight w:val="none"/>
        </w:rPr>
        <w:t>文件、澄清及答复为评审依据</w:t>
      </w:r>
      <w:r>
        <w:rPr>
          <w:rFonts w:hint="eastAsia"/>
          <w:color w:val="auto"/>
          <w:highlight w:val="none"/>
        </w:rPr>
        <w:t>，</w:t>
      </w:r>
      <w:r>
        <w:rPr>
          <w:rFonts w:hint="eastAsia"/>
          <w:bCs/>
          <w:color w:val="auto"/>
          <w:kern w:val="0"/>
          <w:szCs w:val="21"/>
          <w:highlight w:val="none"/>
        </w:rPr>
        <w:t>第四章评审方法及标准没有规定的评审方法、标准及因素，不得作为评审依据。</w:t>
      </w:r>
    </w:p>
    <w:p w14:paraId="3B8DD56A">
      <w:pPr>
        <w:spacing w:before="120" w:line="320" w:lineRule="atLeast"/>
        <w:ind w:firstLine="422" w:firstLineChars="200"/>
        <w:outlineLvl w:val="2"/>
        <w:rPr>
          <w:b/>
          <w:bCs/>
          <w:color w:val="auto"/>
          <w:kern w:val="0"/>
          <w:szCs w:val="21"/>
          <w:highlight w:val="none"/>
        </w:rPr>
      </w:pPr>
      <w:r>
        <w:rPr>
          <w:b/>
          <w:bCs/>
          <w:color w:val="auto"/>
          <w:kern w:val="0"/>
          <w:szCs w:val="21"/>
          <w:highlight w:val="none"/>
        </w:rPr>
        <w:t>6.3评审</w:t>
      </w:r>
      <w:r>
        <w:rPr>
          <w:rFonts w:hint="eastAsia"/>
          <w:b/>
          <w:bCs/>
          <w:color w:val="auto"/>
          <w:kern w:val="0"/>
          <w:szCs w:val="21"/>
          <w:highlight w:val="none"/>
        </w:rPr>
        <w:t>程序</w:t>
      </w:r>
    </w:p>
    <w:p w14:paraId="3E940C93">
      <w:pPr>
        <w:spacing w:before="120" w:line="320" w:lineRule="atLeast"/>
        <w:ind w:firstLine="420" w:firstLineChars="200"/>
        <w:rPr>
          <w:color w:val="auto"/>
          <w:highlight w:val="none"/>
        </w:rPr>
      </w:pPr>
      <w:r>
        <w:rPr>
          <w:color w:val="auto"/>
          <w:highlight w:val="none"/>
        </w:rPr>
        <w:t>6.</w:t>
      </w:r>
      <w:bookmarkStart w:id="62" w:name="_Hlk19175507"/>
      <w:bookmarkStart w:id="63" w:name="_Hlk80956880"/>
      <w:r>
        <w:rPr>
          <w:color w:val="auto"/>
          <w:highlight w:val="none"/>
        </w:rPr>
        <w:t>3.1</w:t>
      </w:r>
      <w:r>
        <w:rPr>
          <w:rFonts w:hint="eastAsia"/>
          <w:color w:val="auto"/>
          <w:highlight w:val="none"/>
        </w:rPr>
        <w:t>符合性审查</w:t>
      </w:r>
    </w:p>
    <w:p w14:paraId="6CEC313C">
      <w:pPr>
        <w:spacing w:before="120" w:line="320" w:lineRule="atLeast"/>
        <w:ind w:firstLine="420" w:firstLineChars="200"/>
        <w:rPr>
          <w:color w:val="auto"/>
          <w:szCs w:val="21"/>
          <w:highlight w:val="none"/>
        </w:rPr>
      </w:pPr>
      <w:r>
        <w:rPr>
          <w:bCs/>
          <w:color w:val="auto"/>
          <w:kern w:val="1"/>
          <w:szCs w:val="21"/>
          <w:highlight w:val="none"/>
        </w:rPr>
        <w:t>资格审查结束后，</w:t>
      </w:r>
      <w:r>
        <w:rPr>
          <w:rFonts w:hint="eastAsia" w:hAnsi="宋体"/>
          <w:color w:val="auto"/>
          <w:highlight w:val="none"/>
        </w:rPr>
        <w:t>谈判小组对</w:t>
      </w:r>
      <w:r>
        <w:rPr>
          <w:color w:val="auto"/>
          <w:highlight w:val="none"/>
        </w:rPr>
        <w:t>通过资格审查的供应商</w:t>
      </w:r>
      <w:r>
        <w:rPr>
          <w:rFonts w:hint="eastAsia" w:hAnsi="宋体"/>
          <w:color w:val="auto"/>
          <w:highlight w:val="none"/>
        </w:rPr>
        <w:t>的响应文件报价、商务资信、技术等方面实质性内容进行符合性审查，</w:t>
      </w:r>
      <w:r>
        <w:rPr>
          <w:rFonts w:hint="eastAsia"/>
          <w:color w:val="auto"/>
          <w:szCs w:val="21"/>
          <w:highlight w:val="none"/>
        </w:rPr>
        <w:t>符合性审查标准</w:t>
      </w:r>
      <w:r>
        <w:rPr>
          <w:color w:val="auto"/>
          <w:szCs w:val="21"/>
          <w:highlight w:val="none"/>
        </w:rPr>
        <w:t>详见第四章评审方法及标准。</w:t>
      </w:r>
    </w:p>
    <w:bookmarkEnd w:id="62"/>
    <w:bookmarkEnd w:id="63"/>
    <w:p w14:paraId="243426BB">
      <w:pPr>
        <w:spacing w:before="120" w:line="320" w:lineRule="atLeast"/>
        <w:ind w:firstLine="420" w:firstLineChars="200"/>
        <w:rPr>
          <w:color w:val="auto"/>
          <w:szCs w:val="21"/>
          <w:highlight w:val="none"/>
        </w:rPr>
      </w:pPr>
      <w:r>
        <w:rPr>
          <w:rFonts w:hint="eastAsia"/>
          <w:color w:val="auto"/>
          <w:szCs w:val="21"/>
          <w:highlight w:val="none"/>
        </w:rPr>
        <w:t>6</w:t>
      </w:r>
      <w:r>
        <w:rPr>
          <w:color w:val="auto"/>
          <w:szCs w:val="21"/>
          <w:highlight w:val="none"/>
        </w:rPr>
        <w:t>.3.2</w:t>
      </w:r>
      <w:r>
        <w:rPr>
          <w:rFonts w:hAnsi="宋体"/>
          <w:color w:val="auto"/>
          <w:highlight w:val="none"/>
        </w:rPr>
        <w:t>强制性</w:t>
      </w:r>
      <w:r>
        <w:rPr>
          <w:color w:val="auto"/>
          <w:szCs w:val="21"/>
          <w:highlight w:val="none"/>
        </w:rPr>
        <w:t>采购要求</w:t>
      </w:r>
      <w:r>
        <w:rPr>
          <w:rFonts w:hint="eastAsia"/>
          <w:color w:val="auto"/>
          <w:szCs w:val="21"/>
          <w:highlight w:val="none"/>
        </w:rPr>
        <w:t>（仅适用于货物采购项目）</w:t>
      </w:r>
    </w:p>
    <w:p w14:paraId="4B4C448E">
      <w:pPr>
        <w:suppressAutoHyphens/>
        <w:spacing w:before="120" w:line="320" w:lineRule="atLeast"/>
        <w:ind w:firstLine="422" w:firstLineChars="201"/>
        <w:rPr>
          <w:color w:val="auto"/>
          <w:szCs w:val="21"/>
          <w:highlight w:val="none"/>
        </w:rPr>
      </w:pPr>
      <w:bookmarkStart w:id="64" w:name="_Hlk47714684"/>
      <w:r>
        <w:rPr>
          <w:rFonts w:hint="eastAsia"/>
          <w:color w:val="auto"/>
          <w:szCs w:val="21"/>
          <w:highlight w:val="none"/>
        </w:rPr>
        <w:t>（1）</w:t>
      </w:r>
      <w:bookmarkEnd w:id="64"/>
      <w:r>
        <w:rPr>
          <w:rFonts w:hint="eastAsia"/>
          <w:color w:val="auto"/>
          <w:szCs w:val="21"/>
          <w:highlight w:val="none"/>
        </w:rPr>
        <w:t>根据《财政部 发展改革委 生态环境部 市场监管总局关于调整优化节能产品、环境标志产品政府采购执行机制的通知》（财库〔2019〕9号）和《关于印发节能产品政府采购品目清单的通知》（财库〔2019〕19号）规定，本项目采购需求中的产品属于节能产品政府采购品目清单内标注“★”的，供应商的响应货物必须使用政府强制采购的节能产品，否则响应文件作无效处理；属于品目清单内非标注“★”的产品时，应优先采购。</w:t>
      </w:r>
    </w:p>
    <w:p w14:paraId="37F61AF5">
      <w:pPr>
        <w:spacing w:before="120" w:line="320" w:lineRule="atLeast"/>
        <w:ind w:firstLine="420" w:firstLineChars="200"/>
        <w:rPr>
          <w:color w:val="auto"/>
          <w:szCs w:val="21"/>
          <w:highlight w:val="none"/>
        </w:rPr>
      </w:pPr>
      <w:bookmarkStart w:id="65" w:name="_Hlk19176155"/>
      <w:r>
        <w:rPr>
          <w:rFonts w:hint="eastAsia"/>
          <w:color w:val="auto"/>
          <w:szCs w:val="21"/>
          <w:highlight w:val="none"/>
        </w:rPr>
        <w:t>（2 ）根据《关于调整网络安全专用产品安全管理有关事项的公告》（2023年1号）规定，本项目采购需求中的产品如果包括《网络关键设备和网络安全专用产品目录》的网络安全专用产品，供应商在响应文件中应主动列明供货范围中属于网络安全专用产品的响应产品，并提供由中共中央网络安全和信息化委员会办公室网站最新发布的《网络关键设备和网络安全专用产品安全认证和安全检测结果》截图证明材料，不在《网络关键设备和网络安全专用产品安全认证和安全检测结果》中或不在有效期内或未提供有效的《计算机信息系统安全专用产品销售许可证》的，投标无效。</w:t>
      </w:r>
    </w:p>
    <w:p w14:paraId="65B23F6B">
      <w:pPr>
        <w:spacing w:before="120" w:line="320" w:lineRule="atLeast"/>
        <w:ind w:firstLine="420" w:firstLineChars="200"/>
        <w:rPr>
          <w:color w:val="auto"/>
          <w:highlight w:val="none"/>
        </w:rPr>
      </w:pPr>
      <w:r>
        <w:rPr>
          <w:rFonts w:hint="eastAsia"/>
          <w:color w:val="auto"/>
          <w:szCs w:val="21"/>
          <w:highlight w:val="none"/>
        </w:rPr>
        <w:t>注：网络安全专用产品在中共中央网络安全和信息化委员会办公室网站上发布的《网络关键设备和网络安全专用产品目录》中查询。 目前共15类：路由器、交换机、服务器（机架式）、可编程逻辑控制器（PLC设备）、数据备份一体机、防火墙（硬件）、WEB应用防火墙（WAF）、入侵检测系统（IDS）、入侵防御系统（IPS）、安全隔离与信息交换产品（网闸）、反垃圾邮件产品、网络综合审计系统、网络脆弱性扫描产品、安全数据库系统、网站恢复产品（硬件）。</w:t>
      </w:r>
    </w:p>
    <w:p w14:paraId="6C364D03">
      <w:pPr>
        <w:spacing w:before="120" w:line="320" w:lineRule="atLeast"/>
        <w:ind w:firstLine="420" w:firstLineChars="200"/>
        <w:rPr>
          <w:color w:val="auto"/>
          <w:highlight w:val="none"/>
        </w:rPr>
      </w:pPr>
      <w:r>
        <w:rPr>
          <w:color w:val="auto"/>
          <w:highlight w:val="none"/>
        </w:rPr>
        <w:t>6.3.3澄清、说明或补正</w:t>
      </w:r>
    </w:p>
    <w:p w14:paraId="393404F7">
      <w:pPr>
        <w:spacing w:before="120" w:line="320" w:lineRule="atLeast"/>
        <w:ind w:firstLine="420" w:firstLineChars="200"/>
        <w:rPr>
          <w:color w:val="auto"/>
          <w:highlight w:val="none"/>
        </w:rPr>
      </w:pPr>
      <w:r>
        <w:rPr>
          <w:rFonts w:hint="eastAsia"/>
          <w:color w:val="auto"/>
          <w:highlight w:val="none"/>
        </w:rPr>
        <w:t>（1）对响应文件中含义不明确、同类问题表述不一致或者有明显文字和计算错误的内容，</w:t>
      </w:r>
      <w:r>
        <w:rPr>
          <w:rFonts w:hint="eastAsia" w:hAnsi="宋体"/>
          <w:color w:val="auto"/>
          <w:highlight w:val="none"/>
        </w:rPr>
        <w:t>谈判</w:t>
      </w:r>
      <w:r>
        <w:rPr>
          <w:rFonts w:hint="eastAsia"/>
          <w:color w:val="auto"/>
          <w:highlight w:val="none"/>
        </w:rPr>
        <w:t>小组应在广西政府采购云平台发布电子澄清函，要求供应商在平台设置的时间内作出必要的澄清、说明或者补正。供应商在广西政府采购云平台接收到电子澄清函后根据澄清函内容直接在线编辑或上传PDF格式回函，电子澄清答复函使用CA证书加盖单位电子签章后提交至</w:t>
      </w:r>
      <w:r>
        <w:rPr>
          <w:rFonts w:hint="eastAsia" w:hAnsi="宋体"/>
          <w:color w:val="auto"/>
          <w:highlight w:val="none"/>
        </w:rPr>
        <w:t>谈判</w:t>
      </w:r>
      <w:r>
        <w:rPr>
          <w:rFonts w:hint="eastAsia"/>
          <w:color w:val="auto"/>
          <w:highlight w:val="none"/>
        </w:rPr>
        <w:t>小组。供应商的澄清、说明或者补正不得超出响应文件的范围或者改变响应文件的实质性内容。供应商未在规定时间内进行澄清、说明或者补正的，按无效响应处理。</w:t>
      </w:r>
    </w:p>
    <w:p w14:paraId="44EDF5BC">
      <w:pPr>
        <w:spacing w:before="120" w:line="320" w:lineRule="atLeast"/>
        <w:ind w:firstLine="420" w:firstLineChars="200"/>
        <w:rPr>
          <w:color w:val="auto"/>
          <w:highlight w:val="none"/>
        </w:rPr>
      </w:pPr>
      <w:r>
        <w:rPr>
          <w:rFonts w:hint="eastAsia"/>
          <w:color w:val="auto"/>
          <w:highlight w:val="none"/>
        </w:rPr>
        <w:t>（2）异常情况处理：如遇无法正常使用线上发送澄清函的情况，将以书面形式执行。</w:t>
      </w:r>
      <w:r>
        <w:rPr>
          <w:rFonts w:hint="eastAsia" w:hAnsi="宋体"/>
          <w:color w:val="auto"/>
          <w:highlight w:val="none"/>
        </w:rPr>
        <w:t>谈判</w:t>
      </w:r>
      <w:r>
        <w:rPr>
          <w:rFonts w:hint="eastAsia"/>
          <w:color w:val="auto"/>
          <w:highlight w:val="none"/>
        </w:rPr>
        <w:t>小组以书面形式要求供应商在规定时间内作出必要的澄清、说明或者补正。供应商的澄清、说明或者补正必须采用书面形式，并加盖公章或者由法定代表人或者其授权的代表签字。</w:t>
      </w:r>
    </w:p>
    <w:p w14:paraId="4E4C7F26">
      <w:pPr>
        <w:spacing w:before="120" w:line="320" w:lineRule="atLeast"/>
        <w:ind w:firstLine="420" w:firstLineChars="200"/>
        <w:rPr>
          <w:color w:val="auto"/>
          <w:highlight w:val="none"/>
        </w:rPr>
      </w:pPr>
      <w:r>
        <w:rPr>
          <w:color w:val="auto"/>
          <w:highlight w:val="none"/>
        </w:rPr>
        <w:t>6.3.4</w:t>
      </w:r>
      <w:r>
        <w:rPr>
          <w:rFonts w:hint="eastAsia"/>
          <w:color w:val="auto"/>
          <w:highlight w:val="none"/>
        </w:rPr>
        <w:t>报价</w:t>
      </w:r>
      <w:r>
        <w:rPr>
          <w:color w:val="auto"/>
          <w:highlight w:val="none"/>
        </w:rPr>
        <w:t>修正</w:t>
      </w:r>
    </w:p>
    <w:p w14:paraId="5E05B59F">
      <w:pPr>
        <w:spacing w:before="120" w:line="320" w:lineRule="atLeast"/>
        <w:ind w:firstLine="420" w:firstLineChars="200"/>
        <w:rPr>
          <w:color w:val="auto"/>
          <w:highlight w:val="none"/>
        </w:rPr>
      </w:pPr>
      <w:r>
        <w:rPr>
          <w:rFonts w:hint="eastAsia"/>
          <w:color w:val="auto"/>
          <w:highlight w:val="none"/>
        </w:rPr>
        <w:t>（1）报价出现前后不一致的，按照下列规定修正：</w:t>
      </w:r>
    </w:p>
    <w:p w14:paraId="578FF1AD">
      <w:pPr>
        <w:spacing w:before="120" w:line="320" w:lineRule="atLeast"/>
        <w:ind w:firstLine="420" w:firstLineChars="200"/>
        <w:rPr>
          <w:color w:val="auto"/>
          <w:szCs w:val="21"/>
          <w:highlight w:val="none"/>
        </w:rPr>
      </w:pPr>
      <w:r>
        <w:rPr>
          <w:rFonts w:hint="eastAsia" w:ascii="宋体" w:hAnsi="宋体"/>
          <w:color w:val="auto"/>
          <w:szCs w:val="21"/>
          <w:highlight w:val="none"/>
        </w:rPr>
        <w:t>①</w:t>
      </w:r>
      <w:r>
        <w:rPr>
          <w:color w:val="auto"/>
          <w:szCs w:val="21"/>
          <w:highlight w:val="none"/>
        </w:rPr>
        <w:t>响应文件中开标一览表（报价表）内容与响应文件中相应内容不一致的，以开标一览表（报价表）为准；</w:t>
      </w:r>
    </w:p>
    <w:p w14:paraId="33899CFC">
      <w:pPr>
        <w:spacing w:before="120" w:line="320" w:lineRule="atLeast"/>
        <w:ind w:firstLine="420" w:firstLineChars="200"/>
        <w:rPr>
          <w:color w:val="auto"/>
          <w:szCs w:val="21"/>
          <w:highlight w:val="none"/>
        </w:rPr>
      </w:pPr>
      <w:r>
        <w:rPr>
          <w:rFonts w:ascii="宋体" w:hAnsi="宋体"/>
          <w:color w:val="auto"/>
          <w:szCs w:val="21"/>
          <w:highlight w:val="none"/>
        </w:rPr>
        <w:t>②</w:t>
      </w:r>
      <w:r>
        <w:rPr>
          <w:color w:val="auto"/>
          <w:szCs w:val="21"/>
          <w:highlight w:val="none"/>
        </w:rPr>
        <w:t>大写金额和小写金额不一致的，以大写金额为准；</w:t>
      </w:r>
    </w:p>
    <w:p w14:paraId="1D916DBB">
      <w:pPr>
        <w:spacing w:before="120" w:line="320" w:lineRule="atLeast"/>
        <w:ind w:firstLine="420" w:firstLineChars="200"/>
        <w:rPr>
          <w:color w:val="auto"/>
          <w:szCs w:val="21"/>
          <w:highlight w:val="none"/>
        </w:rPr>
      </w:pPr>
      <w:r>
        <w:rPr>
          <w:rFonts w:hint="eastAsia"/>
          <w:color w:val="auto"/>
          <w:szCs w:val="21"/>
          <w:highlight w:val="none"/>
        </w:rPr>
        <w:t>③</w:t>
      </w:r>
      <w:r>
        <w:rPr>
          <w:color w:val="auto"/>
          <w:szCs w:val="21"/>
          <w:highlight w:val="none"/>
        </w:rPr>
        <w:t>单价金额小数点或者百分比有明显错位的，以开标一览表的总价为准，并修改单价；</w:t>
      </w:r>
    </w:p>
    <w:p w14:paraId="52CD1249">
      <w:pPr>
        <w:spacing w:before="120" w:line="320" w:lineRule="atLeast"/>
        <w:ind w:firstLine="420" w:firstLineChars="200"/>
        <w:rPr>
          <w:color w:val="auto"/>
          <w:szCs w:val="21"/>
          <w:highlight w:val="none"/>
        </w:rPr>
      </w:pPr>
      <w:r>
        <w:rPr>
          <w:rFonts w:hint="eastAsia"/>
          <w:color w:val="auto"/>
          <w:szCs w:val="21"/>
          <w:highlight w:val="none"/>
        </w:rPr>
        <w:t>④</w:t>
      </w:r>
      <w:r>
        <w:rPr>
          <w:color w:val="auto"/>
          <w:szCs w:val="21"/>
          <w:highlight w:val="none"/>
        </w:rPr>
        <w:t>总价金额与按单价汇总金额不一致的，以单价金额计算结果为准</w:t>
      </w:r>
      <w:r>
        <w:rPr>
          <w:rFonts w:hint="eastAsia"/>
          <w:color w:val="auto"/>
          <w:szCs w:val="21"/>
          <w:highlight w:val="none"/>
        </w:rPr>
        <w:t>。</w:t>
      </w:r>
    </w:p>
    <w:p w14:paraId="28229305">
      <w:pPr>
        <w:spacing w:before="120" w:line="320" w:lineRule="atLeast"/>
        <w:ind w:firstLine="420" w:firstLineChars="200"/>
        <w:rPr>
          <w:color w:val="auto"/>
          <w:szCs w:val="21"/>
          <w:highlight w:val="none"/>
        </w:rPr>
      </w:pPr>
      <w:r>
        <w:rPr>
          <w:rFonts w:hint="eastAsia"/>
          <w:color w:val="auto"/>
          <w:szCs w:val="21"/>
          <w:highlight w:val="none"/>
        </w:rPr>
        <w:t>同时出现两种以上不一致的，按照上述</w:t>
      </w:r>
      <w:r>
        <w:rPr>
          <w:rFonts w:hint="eastAsia" w:ascii="宋体" w:hAnsi="宋体"/>
          <w:color w:val="auto"/>
          <w:szCs w:val="21"/>
          <w:highlight w:val="none"/>
        </w:rPr>
        <w:t>①-</w:t>
      </w:r>
      <w:r>
        <w:rPr>
          <w:rFonts w:hint="eastAsia"/>
          <w:color w:val="auto"/>
          <w:szCs w:val="21"/>
          <w:highlight w:val="none"/>
        </w:rPr>
        <w:t>④顺序修正。修正后的报价按照上述“</w:t>
      </w:r>
      <w:r>
        <w:rPr>
          <w:color w:val="auto"/>
          <w:szCs w:val="21"/>
          <w:highlight w:val="none"/>
        </w:rPr>
        <w:t>6.3.3</w:t>
      </w:r>
      <w:r>
        <w:rPr>
          <w:rFonts w:hint="eastAsia"/>
          <w:color w:val="auto"/>
          <w:szCs w:val="21"/>
          <w:highlight w:val="none"/>
        </w:rPr>
        <w:t>澄清、说明或补正”的规定经供应商确认后产生约束力，供应商不确认的，其响应无效。</w:t>
      </w:r>
    </w:p>
    <w:p w14:paraId="5696DDE0">
      <w:pPr>
        <w:spacing w:before="120" w:line="320" w:lineRule="atLeast"/>
        <w:ind w:firstLine="420" w:firstLineChars="200"/>
        <w:rPr>
          <w:color w:val="auto"/>
          <w:szCs w:val="21"/>
          <w:highlight w:val="none"/>
        </w:rPr>
      </w:pPr>
      <w:r>
        <w:rPr>
          <w:rFonts w:hint="eastAsia"/>
          <w:color w:val="auto"/>
          <w:szCs w:val="21"/>
          <w:highlight w:val="none"/>
        </w:rPr>
        <w:t>（</w:t>
      </w:r>
      <w:r>
        <w:rPr>
          <w:color w:val="auto"/>
          <w:szCs w:val="21"/>
          <w:highlight w:val="none"/>
        </w:rPr>
        <w:t>2</w:t>
      </w:r>
      <w:r>
        <w:rPr>
          <w:rFonts w:hint="eastAsia"/>
          <w:color w:val="auto"/>
          <w:szCs w:val="21"/>
          <w:highlight w:val="none"/>
        </w:rPr>
        <w:t>）经供应商确认修正后的最后报价若超过采购预算金额或者最高限价，其响应文件作无效响应处理。</w:t>
      </w:r>
    </w:p>
    <w:p w14:paraId="7CA17D26">
      <w:pPr>
        <w:spacing w:before="120" w:line="320" w:lineRule="atLeast"/>
        <w:ind w:firstLine="420" w:firstLineChars="200"/>
        <w:rPr>
          <w:color w:val="auto"/>
          <w:szCs w:val="21"/>
          <w:highlight w:val="none"/>
        </w:rPr>
      </w:pPr>
      <w:r>
        <w:rPr>
          <w:rFonts w:hint="eastAsia"/>
          <w:color w:val="auto"/>
          <w:szCs w:val="21"/>
          <w:highlight w:val="none"/>
        </w:rPr>
        <w:t>（</w:t>
      </w:r>
      <w:r>
        <w:rPr>
          <w:color w:val="auto"/>
          <w:szCs w:val="21"/>
          <w:highlight w:val="none"/>
        </w:rPr>
        <w:t>3</w:t>
      </w:r>
      <w:r>
        <w:rPr>
          <w:rFonts w:hint="eastAsia"/>
          <w:color w:val="auto"/>
          <w:szCs w:val="21"/>
          <w:highlight w:val="none"/>
        </w:rPr>
        <w:t>）经供应商确认修正后的最后报价作为签订合同的依据，并以此报价计算价格分。</w:t>
      </w:r>
    </w:p>
    <w:p w14:paraId="73AA745C">
      <w:pPr>
        <w:spacing w:before="120" w:line="320" w:lineRule="atLeast"/>
        <w:ind w:firstLine="420" w:firstLineChars="200"/>
        <w:rPr>
          <w:rFonts w:hint="eastAsia"/>
          <w:color w:val="auto"/>
          <w:szCs w:val="21"/>
          <w:highlight w:val="none"/>
        </w:rPr>
      </w:pPr>
      <w:r>
        <w:rPr>
          <w:rFonts w:hint="eastAsia"/>
          <w:color w:val="auto"/>
          <w:szCs w:val="21"/>
          <w:highlight w:val="none"/>
        </w:rPr>
        <w:t>（</w:t>
      </w:r>
      <w:r>
        <w:rPr>
          <w:color w:val="auto"/>
          <w:szCs w:val="21"/>
          <w:highlight w:val="none"/>
        </w:rPr>
        <w:t>4</w:t>
      </w:r>
      <w:r>
        <w:rPr>
          <w:rFonts w:hint="eastAsia"/>
          <w:color w:val="auto"/>
          <w:szCs w:val="21"/>
          <w:highlight w:val="none"/>
        </w:rPr>
        <w:t>）如</w:t>
      </w:r>
      <w:r>
        <w:rPr>
          <w:rFonts w:hint="eastAsia" w:hAnsi="宋体"/>
          <w:color w:val="auto"/>
          <w:highlight w:val="none"/>
        </w:rPr>
        <w:t>谈判</w:t>
      </w:r>
      <w:r>
        <w:rPr>
          <w:rFonts w:hint="eastAsia"/>
          <w:color w:val="auto"/>
          <w:szCs w:val="21"/>
          <w:highlight w:val="none"/>
        </w:rPr>
        <w:t>过程中有多轮报价的，</w:t>
      </w:r>
      <w:r>
        <w:rPr>
          <w:rFonts w:hint="eastAsia" w:hAnsi="宋体"/>
          <w:color w:val="auto"/>
          <w:highlight w:val="none"/>
        </w:rPr>
        <w:t>谈判</w:t>
      </w:r>
      <w:r>
        <w:rPr>
          <w:rFonts w:hint="eastAsia"/>
          <w:color w:val="auto"/>
          <w:szCs w:val="21"/>
          <w:highlight w:val="none"/>
        </w:rPr>
        <w:t>小组在每一轮报价均应按上述规则修正报价。</w:t>
      </w:r>
    </w:p>
    <w:p w14:paraId="71875317">
      <w:pPr>
        <w:spacing w:before="120" w:line="320" w:lineRule="atLeast"/>
        <w:ind w:firstLine="420" w:firstLineChars="200"/>
        <w:rPr>
          <w:color w:val="auto"/>
          <w:szCs w:val="21"/>
          <w:highlight w:val="none"/>
        </w:rPr>
      </w:pPr>
      <w:r>
        <w:rPr>
          <w:rFonts w:hint="eastAsia"/>
          <w:color w:val="auto"/>
          <w:szCs w:val="21"/>
          <w:highlight w:val="none"/>
        </w:rPr>
        <w:t>6</w:t>
      </w:r>
      <w:r>
        <w:rPr>
          <w:color w:val="auto"/>
          <w:szCs w:val="21"/>
          <w:highlight w:val="none"/>
        </w:rPr>
        <w:t>.3.5</w:t>
      </w:r>
      <w:r>
        <w:rPr>
          <w:rFonts w:hint="eastAsia"/>
          <w:color w:val="auto"/>
          <w:szCs w:val="21"/>
          <w:highlight w:val="none"/>
        </w:rPr>
        <w:t>相同品牌认定（仅适用于货物采购项目）</w:t>
      </w:r>
    </w:p>
    <w:p w14:paraId="20A9B2BE">
      <w:pPr>
        <w:spacing w:before="120" w:line="320" w:lineRule="atLeast"/>
        <w:ind w:firstLine="420" w:firstLineChars="200"/>
        <w:rPr>
          <w:color w:val="auto"/>
          <w:szCs w:val="21"/>
          <w:highlight w:val="none"/>
        </w:rPr>
      </w:pPr>
      <w:r>
        <w:rPr>
          <w:rFonts w:hint="eastAsia"/>
          <w:color w:val="auto"/>
          <w:szCs w:val="21"/>
          <w:highlight w:val="none"/>
        </w:rPr>
        <w:t>（1）单一产品采购项目，</w:t>
      </w:r>
      <w:r>
        <w:rPr>
          <w:color w:val="auto"/>
          <w:highlight w:val="none"/>
        </w:rPr>
        <w:t>不同供应商提供的产品品牌相同时，</w:t>
      </w:r>
      <w:r>
        <w:rPr>
          <w:rFonts w:hint="eastAsia"/>
          <w:color w:val="auto"/>
          <w:highlight w:val="none"/>
        </w:rPr>
        <w:t>按以下</w:t>
      </w:r>
      <w:r>
        <w:rPr>
          <w:color w:val="auto"/>
          <w:highlight w:val="none"/>
        </w:rPr>
        <w:t>规定</w:t>
      </w:r>
      <w:r>
        <w:rPr>
          <w:rFonts w:hint="eastAsia"/>
          <w:color w:val="auto"/>
          <w:highlight w:val="none"/>
        </w:rPr>
        <w:t>确定</w:t>
      </w:r>
      <w:r>
        <w:rPr>
          <w:bCs/>
          <w:color w:val="auto"/>
          <w:kern w:val="0"/>
          <w:szCs w:val="21"/>
          <w:highlight w:val="none"/>
        </w:rPr>
        <w:t>相同品牌的响应有效性</w:t>
      </w:r>
      <w:r>
        <w:rPr>
          <w:color w:val="auto"/>
          <w:highlight w:val="none"/>
        </w:rPr>
        <w:t>。</w:t>
      </w:r>
    </w:p>
    <w:bookmarkEnd w:id="65"/>
    <w:p w14:paraId="58655F1B">
      <w:pPr>
        <w:spacing w:before="120" w:line="320" w:lineRule="atLeast"/>
        <w:ind w:firstLine="420" w:firstLineChars="200"/>
        <w:rPr>
          <w:color w:val="auto"/>
          <w:szCs w:val="21"/>
          <w:highlight w:val="none"/>
        </w:rPr>
      </w:pPr>
      <w:r>
        <w:rPr>
          <w:rFonts w:hint="eastAsia"/>
          <w:color w:val="auto"/>
          <w:szCs w:val="21"/>
          <w:highlight w:val="none"/>
        </w:rPr>
        <w:t>提供相同品牌产品的不同供应商参加同一合同项下响应的，以其中通过资格审查、符合性审查且报价最低的参加评标；报价相同的，由采购人或者采购人委托谈判小组按照采购文件规定的方式确定一个参加评标的供应商，采购文件未规定的采取随机抽取方式确定，其他响应无效。</w:t>
      </w:r>
    </w:p>
    <w:p w14:paraId="1765496D">
      <w:pPr>
        <w:spacing w:before="120" w:line="320" w:lineRule="atLeast"/>
        <w:ind w:firstLine="420" w:firstLineChars="200"/>
        <w:rPr>
          <w:color w:val="auto"/>
          <w:szCs w:val="21"/>
          <w:highlight w:val="none"/>
        </w:rPr>
      </w:pPr>
      <w:r>
        <w:rPr>
          <w:rFonts w:hint="eastAsia"/>
          <w:color w:val="auto"/>
          <w:szCs w:val="21"/>
          <w:highlight w:val="none"/>
        </w:rPr>
        <w:t>（2）非单一产品采购项目，</w:t>
      </w:r>
      <w:r>
        <w:rPr>
          <w:color w:val="auto"/>
          <w:szCs w:val="21"/>
          <w:highlight w:val="none"/>
        </w:rPr>
        <w:t>采购人应当确定核心产品，并在采购文件中载明。</w:t>
      </w:r>
      <w:r>
        <w:rPr>
          <w:rFonts w:hint="eastAsia"/>
          <w:color w:val="auto"/>
          <w:szCs w:val="21"/>
          <w:highlight w:val="none"/>
        </w:rPr>
        <w:t>不同</w:t>
      </w:r>
      <w:r>
        <w:rPr>
          <w:color w:val="auto"/>
          <w:szCs w:val="21"/>
          <w:highlight w:val="none"/>
        </w:rPr>
        <w:t>供应商提供的核心产品品牌相同的，按上述规定处理。核心产品</w:t>
      </w:r>
      <w:r>
        <w:rPr>
          <w:rFonts w:hint="eastAsia"/>
          <w:color w:val="auto"/>
          <w:szCs w:val="21"/>
          <w:highlight w:val="none"/>
        </w:rPr>
        <w:t>在第二章</w:t>
      </w:r>
      <w:r>
        <w:rPr>
          <w:color w:val="auto"/>
          <w:szCs w:val="21"/>
          <w:highlight w:val="none"/>
        </w:rPr>
        <w:t>采购需求规定。</w:t>
      </w:r>
    </w:p>
    <w:p w14:paraId="734526AF">
      <w:pPr>
        <w:spacing w:before="120" w:line="320" w:lineRule="atLeast"/>
        <w:ind w:firstLine="420" w:firstLineChars="200"/>
        <w:rPr>
          <w:rFonts w:hint="eastAsia"/>
          <w:color w:val="auto"/>
          <w:highlight w:val="none"/>
        </w:rPr>
      </w:pPr>
      <w:r>
        <w:rPr>
          <w:color w:val="auto"/>
          <w:highlight w:val="none"/>
        </w:rPr>
        <w:t>6.3.6</w:t>
      </w:r>
      <w:r>
        <w:rPr>
          <w:rFonts w:hint="eastAsia"/>
          <w:color w:val="auto"/>
          <w:highlight w:val="none"/>
        </w:rPr>
        <w:t>谈判</w:t>
      </w:r>
    </w:p>
    <w:p w14:paraId="6D5840E5">
      <w:pPr>
        <w:spacing w:before="120" w:line="320" w:lineRule="atLeast"/>
        <w:ind w:firstLine="420" w:firstLineChars="200"/>
        <w:rPr>
          <w:rFonts w:hint="eastAsia"/>
          <w:color w:val="auto"/>
          <w:highlight w:val="none"/>
        </w:rPr>
      </w:pPr>
      <w:r>
        <w:rPr>
          <w:rFonts w:hint="eastAsia"/>
          <w:color w:val="auto"/>
          <w:highlight w:val="none"/>
        </w:rPr>
        <w:t>（1）谈判小组按照“供应商须知前附表” 确定的顺序，集中与单一供应商分别进行谈判，并给予所有参加谈判的供应商平等的谈判机会。符合谈判资格的供应商必须在接到谈判通知后规定时间内参加谈判，未在规定时间内参加谈判的视同放弃参加谈判权利，其响应文件按无效响应处理。</w:t>
      </w:r>
    </w:p>
    <w:p w14:paraId="2A72D813">
      <w:pPr>
        <w:spacing w:before="120" w:line="320" w:lineRule="atLeast"/>
        <w:ind w:firstLine="420" w:firstLineChars="200"/>
        <w:rPr>
          <w:color w:val="auto"/>
          <w:highlight w:val="none"/>
        </w:rPr>
      </w:pPr>
      <w:r>
        <w:rPr>
          <w:rFonts w:hint="eastAsia"/>
          <w:color w:val="auto"/>
          <w:highlight w:val="none"/>
        </w:rPr>
        <w:t>（2）在谈判过程中，谈判小组可以根据采购文件和谈判情况实质性变动采购需求中的技术、服务要求以及合同草案条款，但不得变动采购文件中的其他内容。实质性变动的内容，须经采购人代表确认。</w:t>
      </w:r>
    </w:p>
    <w:p w14:paraId="5FEC31DE">
      <w:pPr>
        <w:spacing w:before="120" w:line="320" w:lineRule="atLeast"/>
        <w:ind w:firstLine="420" w:firstLineChars="200"/>
        <w:rPr>
          <w:color w:val="auto"/>
          <w:highlight w:val="none"/>
        </w:rPr>
      </w:pPr>
      <w:r>
        <w:rPr>
          <w:rFonts w:hint="eastAsia"/>
          <w:color w:val="auto"/>
          <w:highlight w:val="none"/>
        </w:rPr>
        <w:t>对采购文件作出的实质性变动是采购文件的有效组成部分，由谈判小组通过广西政府采购云平台以书面形式同时通知所有参加谈判的供应商。</w:t>
      </w:r>
    </w:p>
    <w:p w14:paraId="013B9CBF">
      <w:pPr>
        <w:spacing w:before="120" w:line="320" w:lineRule="atLeast"/>
        <w:ind w:firstLine="420" w:firstLineChars="200"/>
        <w:rPr>
          <w:rFonts w:hint="eastAsia"/>
          <w:color w:val="auto"/>
          <w:highlight w:val="none"/>
        </w:rPr>
      </w:pPr>
      <w:r>
        <w:rPr>
          <w:rFonts w:hint="eastAsia"/>
          <w:color w:val="auto"/>
          <w:highlight w:val="none"/>
        </w:rPr>
        <w:t>（3）供应商必须按照采购文件的变动情况和谈判小组的要求重新提交响应文件，并在广西政府采购云平台在线编辑或上传PDF格式，使用电子签章后提交至谈判小组。参加谈判的供应商未在规定时间内重新提交响应文件的，视同退出谈判。</w:t>
      </w:r>
    </w:p>
    <w:p w14:paraId="2EF92C2F">
      <w:pPr>
        <w:spacing w:before="120" w:line="320" w:lineRule="atLeast"/>
        <w:ind w:firstLine="420" w:firstLineChars="200"/>
        <w:rPr>
          <w:color w:val="auto"/>
          <w:highlight w:val="none"/>
        </w:rPr>
      </w:pPr>
      <w:r>
        <w:rPr>
          <w:rFonts w:hint="eastAsia"/>
          <w:color w:val="auto"/>
          <w:highlight w:val="none"/>
        </w:rPr>
        <w:t>（4）供应商的法定代表人或其授权代表无须到现场参加谈判，提问及回答/响应均通过广西政府采购云平台进行。谈判过程中使用的电子签章应为供应商上传响应文件的同一签章。</w:t>
      </w:r>
    </w:p>
    <w:p w14:paraId="60FFC6E5">
      <w:pPr>
        <w:spacing w:before="120" w:line="320" w:lineRule="atLeast"/>
        <w:ind w:firstLine="420" w:firstLineChars="200"/>
        <w:rPr>
          <w:color w:val="auto"/>
          <w:highlight w:val="none"/>
        </w:rPr>
      </w:pPr>
      <w:r>
        <w:rPr>
          <w:rFonts w:hint="eastAsia"/>
          <w:color w:val="auto"/>
          <w:highlight w:val="none"/>
        </w:rPr>
        <w:t>6</w:t>
      </w:r>
      <w:r>
        <w:rPr>
          <w:color w:val="auto"/>
          <w:highlight w:val="none"/>
        </w:rPr>
        <w:t>.3.7</w:t>
      </w:r>
      <w:r>
        <w:rPr>
          <w:rFonts w:hint="eastAsia"/>
          <w:color w:val="auto"/>
          <w:highlight w:val="none"/>
        </w:rPr>
        <w:t>最后报价</w:t>
      </w:r>
    </w:p>
    <w:p w14:paraId="08D5FCC5">
      <w:pPr>
        <w:spacing w:before="120" w:line="320" w:lineRule="atLeast"/>
        <w:ind w:firstLine="420" w:firstLineChars="200"/>
        <w:rPr>
          <w:rFonts w:hint="eastAsia"/>
          <w:color w:val="auto"/>
          <w:highlight w:val="none"/>
        </w:rPr>
      </w:pPr>
      <w:r>
        <w:rPr>
          <w:rFonts w:hint="eastAsia"/>
          <w:color w:val="auto"/>
          <w:highlight w:val="none"/>
        </w:rPr>
        <w:t xml:space="preserve">（1）采购文件能够详细列明采购标的的技术、服务要求的，谈判结束后，谈判小组应当要求所有实质性响应的供应商在规定时间内提交最后报价，提交最后报价的供应商不得少于3家。 </w:t>
      </w:r>
    </w:p>
    <w:p w14:paraId="744F5E12">
      <w:pPr>
        <w:spacing w:before="120" w:line="320" w:lineRule="atLeast"/>
        <w:ind w:firstLine="420" w:firstLineChars="200"/>
        <w:rPr>
          <w:rFonts w:hint="eastAsia"/>
          <w:color w:val="auto"/>
          <w:highlight w:val="none"/>
        </w:rPr>
      </w:pPr>
      <w:r>
        <w:rPr>
          <w:rFonts w:hint="eastAsia"/>
          <w:color w:val="auto"/>
          <w:highlight w:val="none"/>
        </w:rPr>
        <w:t>采购文件不能详细列明采购标的的技术、服务要求，需经谈判由供应商提供最终设计方案或解决方案的，谈判结束后，谈判小组应当按照少数服从多数的原则投票推荐3家以上供应商的设计方案或者解决方案，并要求其在规定时间内提交最后报价。</w:t>
      </w:r>
    </w:p>
    <w:p w14:paraId="7F8C74A9">
      <w:pPr>
        <w:spacing w:before="120" w:line="320" w:lineRule="atLeast"/>
        <w:ind w:firstLine="420" w:firstLineChars="200"/>
        <w:rPr>
          <w:color w:val="auto"/>
          <w:highlight w:val="none"/>
        </w:rPr>
      </w:pPr>
      <w:r>
        <w:rPr>
          <w:rFonts w:hint="eastAsia"/>
          <w:color w:val="auto"/>
          <w:highlight w:val="none"/>
        </w:rPr>
        <w:t>最后报价是供应商响应文件的有效组成部分。</w:t>
      </w:r>
    </w:p>
    <w:p w14:paraId="6FEDB014">
      <w:pPr>
        <w:spacing w:before="120" w:line="320" w:lineRule="atLeast"/>
        <w:ind w:firstLine="420" w:firstLineChars="200"/>
        <w:rPr>
          <w:rFonts w:hint="eastAsia"/>
          <w:color w:val="auto"/>
          <w:highlight w:val="none"/>
        </w:rPr>
      </w:pPr>
      <w:r>
        <w:rPr>
          <w:rFonts w:hint="eastAsia"/>
          <w:color w:val="auto"/>
          <w:highlight w:val="none"/>
        </w:rPr>
        <w:t>（2）最后报价要求通过广西政府采购云平台发出，供应商需在广西政府采购云平台设置的时间内报价，最后报价不得超过采购预算金额且具有唯一性，否则否决其响应。</w:t>
      </w:r>
    </w:p>
    <w:p w14:paraId="3C9C6741">
      <w:pPr>
        <w:spacing w:before="120" w:line="320" w:lineRule="atLeast"/>
        <w:ind w:firstLine="420" w:firstLineChars="200"/>
        <w:rPr>
          <w:color w:val="auto"/>
          <w:highlight w:val="none"/>
        </w:rPr>
      </w:pPr>
      <w:r>
        <w:rPr>
          <w:rFonts w:hint="eastAsia"/>
          <w:color w:val="auto"/>
          <w:highlight w:val="none"/>
        </w:rPr>
        <w:t>（</w:t>
      </w:r>
      <w:r>
        <w:rPr>
          <w:color w:val="auto"/>
          <w:highlight w:val="none"/>
        </w:rPr>
        <w:t>3</w:t>
      </w:r>
      <w:r>
        <w:rPr>
          <w:rFonts w:hint="eastAsia"/>
          <w:color w:val="auto"/>
          <w:highlight w:val="none"/>
        </w:rPr>
        <w:t>）已提交响应文件的供应商，在提交最后报价之前，可以根据谈判情况退出谈判。退出谈判的说明须经签字扫描后以电子邮件方式发送至采购代理机构，并及时通知项目负责人。谈判小组在评审报告中注明退出谈判的供应商名单。采购人、采购代理机构应当退还退出谈判的供应商的谈判保证金。</w:t>
      </w:r>
    </w:p>
    <w:p w14:paraId="1037BDD5">
      <w:pPr>
        <w:spacing w:before="120" w:line="320" w:lineRule="atLeast"/>
        <w:ind w:firstLine="420" w:firstLineChars="200"/>
        <w:rPr>
          <w:color w:val="auto"/>
          <w:szCs w:val="21"/>
          <w:highlight w:val="none"/>
        </w:rPr>
      </w:pPr>
      <w:r>
        <w:rPr>
          <w:color w:val="auto"/>
          <w:szCs w:val="21"/>
          <w:highlight w:val="none"/>
        </w:rPr>
        <w:t>6.3.8串通投标认定</w:t>
      </w:r>
    </w:p>
    <w:p w14:paraId="3B521C9B">
      <w:pPr>
        <w:spacing w:before="120" w:line="320" w:lineRule="atLeast"/>
        <w:ind w:firstLine="420" w:firstLineChars="200"/>
        <w:rPr>
          <w:color w:val="auto"/>
          <w:highlight w:val="none"/>
        </w:rPr>
      </w:pPr>
      <w:r>
        <w:rPr>
          <w:rFonts w:hint="eastAsia"/>
          <w:color w:val="auto"/>
          <w:szCs w:val="21"/>
          <w:highlight w:val="none"/>
        </w:rPr>
        <w:t>谈判</w:t>
      </w:r>
      <w:r>
        <w:rPr>
          <w:color w:val="auto"/>
          <w:szCs w:val="21"/>
          <w:highlight w:val="none"/>
        </w:rPr>
        <w:t>小组须根据</w:t>
      </w:r>
      <w:r>
        <w:rPr>
          <w:rFonts w:hint="eastAsia"/>
          <w:color w:val="auto"/>
          <w:szCs w:val="21"/>
          <w:highlight w:val="none"/>
        </w:rPr>
        <w:t>以下</w:t>
      </w:r>
      <w:r>
        <w:rPr>
          <w:color w:val="auto"/>
          <w:szCs w:val="21"/>
          <w:highlight w:val="none"/>
        </w:rPr>
        <w:t>规定</w:t>
      </w:r>
      <w:r>
        <w:rPr>
          <w:rFonts w:hint="eastAsia"/>
          <w:color w:val="auto"/>
          <w:szCs w:val="21"/>
          <w:highlight w:val="none"/>
        </w:rPr>
        <w:t>认定</w:t>
      </w:r>
      <w:r>
        <w:rPr>
          <w:color w:val="auto"/>
          <w:szCs w:val="21"/>
          <w:highlight w:val="none"/>
        </w:rPr>
        <w:t>供应商是否有</w:t>
      </w:r>
      <w:r>
        <w:rPr>
          <w:bCs/>
          <w:color w:val="auto"/>
          <w:kern w:val="0"/>
          <w:szCs w:val="21"/>
          <w:highlight w:val="none"/>
        </w:rPr>
        <w:t>串通投标的行为</w:t>
      </w:r>
      <w:r>
        <w:rPr>
          <w:color w:val="auto"/>
          <w:highlight w:val="none"/>
        </w:rPr>
        <w:t>。</w:t>
      </w:r>
    </w:p>
    <w:p w14:paraId="46086A9C">
      <w:pPr>
        <w:spacing w:before="120" w:line="320" w:lineRule="atLeast"/>
        <w:ind w:firstLine="420" w:firstLineChars="200"/>
        <w:rPr>
          <w:color w:val="auto"/>
          <w:szCs w:val="21"/>
          <w:highlight w:val="none"/>
        </w:rPr>
      </w:pPr>
      <w:bookmarkStart w:id="66" w:name="_Hlk19122026"/>
      <w:r>
        <w:rPr>
          <w:rFonts w:hint="eastAsia"/>
          <w:color w:val="auto"/>
          <w:szCs w:val="21"/>
          <w:highlight w:val="none"/>
        </w:rPr>
        <w:t>（1）</w:t>
      </w:r>
      <w:bookmarkEnd w:id="66"/>
      <w:r>
        <w:rPr>
          <w:color w:val="auto"/>
          <w:szCs w:val="21"/>
          <w:highlight w:val="none"/>
        </w:rPr>
        <w:t>根据《关于防治政府采购招标中串通投标行为的通知》</w:t>
      </w:r>
      <w:r>
        <w:rPr>
          <w:rFonts w:hint="eastAsia"/>
          <w:color w:val="auto"/>
          <w:szCs w:val="21"/>
          <w:highlight w:val="none"/>
        </w:rPr>
        <w:t>（</w:t>
      </w:r>
      <w:r>
        <w:rPr>
          <w:color w:val="auto"/>
          <w:szCs w:val="21"/>
          <w:highlight w:val="none"/>
        </w:rPr>
        <w:t>桂财采[2016]42号</w:t>
      </w:r>
      <w:r>
        <w:rPr>
          <w:rFonts w:hint="eastAsia"/>
          <w:color w:val="auto"/>
          <w:szCs w:val="21"/>
          <w:highlight w:val="none"/>
        </w:rPr>
        <w:t>）</w:t>
      </w:r>
      <w:r>
        <w:rPr>
          <w:color w:val="auto"/>
          <w:szCs w:val="21"/>
          <w:highlight w:val="none"/>
        </w:rPr>
        <w:t>规定，出现下述情况的，相关供应商的投标作无效投标处理。</w:t>
      </w:r>
    </w:p>
    <w:p w14:paraId="57D269AB">
      <w:pPr>
        <w:spacing w:before="120" w:line="320" w:lineRule="atLeast"/>
        <w:ind w:firstLine="420" w:firstLineChars="200"/>
        <w:rPr>
          <w:color w:val="auto"/>
          <w:szCs w:val="21"/>
          <w:highlight w:val="none"/>
        </w:rPr>
      </w:pPr>
      <w:bookmarkStart w:id="67" w:name="_Hlk19122039"/>
      <w:r>
        <w:rPr>
          <w:rFonts w:hint="eastAsia" w:ascii="宋体" w:hAnsi="宋体" w:cs="宋体"/>
          <w:color w:val="auto"/>
          <w:szCs w:val="21"/>
          <w:highlight w:val="none"/>
        </w:rPr>
        <w:t>①</w:t>
      </w:r>
      <w:r>
        <w:rPr>
          <w:color w:val="auto"/>
          <w:szCs w:val="21"/>
          <w:highlight w:val="none"/>
        </w:rPr>
        <w:t>单位负责人为同一人或者存在直接控股、管理关系，参加同一合同项下政府采购活动的不同供应商。</w:t>
      </w:r>
    </w:p>
    <w:p w14:paraId="76017BC8">
      <w:pPr>
        <w:spacing w:before="120" w:line="320" w:lineRule="atLeast"/>
        <w:ind w:firstLine="420" w:firstLineChars="200"/>
        <w:rPr>
          <w:color w:val="auto"/>
          <w:szCs w:val="21"/>
          <w:highlight w:val="none"/>
        </w:rPr>
      </w:pPr>
      <w:r>
        <w:rPr>
          <w:rFonts w:hint="eastAsia"/>
          <w:color w:val="auto"/>
          <w:szCs w:val="21"/>
          <w:highlight w:val="none"/>
        </w:rPr>
        <w:t>②</w:t>
      </w:r>
      <w:r>
        <w:rPr>
          <w:color w:val="auto"/>
          <w:szCs w:val="21"/>
          <w:highlight w:val="none"/>
        </w:rPr>
        <w:t>授权给供应商后参加同一合同项（分标、分包）投标的生产厂商。</w:t>
      </w:r>
    </w:p>
    <w:p w14:paraId="55315763">
      <w:pPr>
        <w:spacing w:before="120" w:line="320" w:lineRule="atLeast"/>
        <w:ind w:firstLine="420" w:firstLineChars="200"/>
        <w:rPr>
          <w:color w:val="auto"/>
          <w:szCs w:val="21"/>
          <w:highlight w:val="none"/>
        </w:rPr>
      </w:pPr>
      <w:r>
        <w:rPr>
          <w:rFonts w:hint="eastAsia"/>
          <w:color w:val="auto"/>
          <w:szCs w:val="21"/>
          <w:highlight w:val="none"/>
        </w:rPr>
        <w:t>③</w:t>
      </w:r>
      <w:r>
        <w:rPr>
          <w:color w:val="auto"/>
          <w:szCs w:val="21"/>
          <w:highlight w:val="none"/>
        </w:rPr>
        <w:t>视为或被认定为串通投标的相关供应商。</w:t>
      </w:r>
    </w:p>
    <w:bookmarkEnd w:id="67"/>
    <w:p w14:paraId="112DA9AB">
      <w:pPr>
        <w:spacing w:before="120" w:line="320" w:lineRule="atLeast"/>
        <w:ind w:firstLine="420" w:firstLineChars="200"/>
        <w:rPr>
          <w:color w:val="auto"/>
          <w:szCs w:val="21"/>
          <w:highlight w:val="none"/>
        </w:rPr>
      </w:pPr>
      <w:bookmarkStart w:id="68" w:name="_Hlk19122058"/>
      <w:r>
        <w:rPr>
          <w:rFonts w:hint="eastAsia"/>
          <w:color w:val="auto"/>
          <w:szCs w:val="21"/>
          <w:highlight w:val="none"/>
        </w:rPr>
        <w:t>（2）</w:t>
      </w:r>
      <w:bookmarkEnd w:id="68"/>
      <w:r>
        <w:rPr>
          <w:color w:val="auto"/>
          <w:szCs w:val="21"/>
          <w:highlight w:val="none"/>
        </w:rPr>
        <w:t>根据《关于防治政府采购招标中串通投标行为的通知》</w:t>
      </w:r>
      <w:r>
        <w:rPr>
          <w:rFonts w:hint="eastAsia"/>
          <w:color w:val="auto"/>
          <w:szCs w:val="21"/>
          <w:highlight w:val="none"/>
        </w:rPr>
        <w:t>（</w:t>
      </w:r>
      <w:r>
        <w:rPr>
          <w:color w:val="auto"/>
          <w:szCs w:val="21"/>
          <w:highlight w:val="none"/>
        </w:rPr>
        <w:t>桂财采[2016]42号</w:t>
      </w:r>
      <w:r>
        <w:rPr>
          <w:rFonts w:hint="eastAsia"/>
          <w:color w:val="auto"/>
          <w:szCs w:val="21"/>
          <w:highlight w:val="none"/>
        </w:rPr>
        <w:t>）</w:t>
      </w:r>
      <w:r>
        <w:rPr>
          <w:color w:val="auto"/>
          <w:szCs w:val="21"/>
          <w:highlight w:val="none"/>
        </w:rPr>
        <w:t>规定，有下列情形之一的视为供应商相互串通投标，响应文件将被视为无效。</w:t>
      </w:r>
    </w:p>
    <w:p w14:paraId="103B46E5">
      <w:pPr>
        <w:spacing w:before="120" w:line="320" w:lineRule="atLeast"/>
        <w:ind w:firstLine="420" w:firstLineChars="200"/>
        <w:rPr>
          <w:color w:val="auto"/>
          <w:szCs w:val="21"/>
          <w:highlight w:val="none"/>
        </w:rPr>
      </w:pPr>
      <w:bookmarkStart w:id="69" w:name="_Hlk19122048"/>
      <w:r>
        <w:rPr>
          <w:rFonts w:hint="eastAsia" w:ascii="宋体" w:hAnsi="宋体" w:cs="宋体"/>
          <w:color w:val="auto"/>
          <w:szCs w:val="21"/>
          <w:highlight w:val="none"/>
        </w:rPr>
        <w:t>①</w:t>
      </w:r>
      <w:r>
        <w:rPr>
          <w:color w:val="auto"/>
          <w:szCs w:val="21"/>
          <w:highlight w:val="none"/>
        </w:rPr>
        <w:t>不同供应商的响应文件由同一单位或者个人编制；或不同供应商报名的IP地址一致的；</w:t>
      </w:r>
    </w:p>
    <w:p w14:paraId="022B3B0B">
      <w:pPr>
        <w:spacing w:before="120" w:line="320" w:lineRule="atLeast"/>
        <w:ind w:firstLine="420" w:firstLineChars="200"/>
        <w:rPr>
          <w:color w:val="auto"/>
          <w:szCs w:val="21"/>
          <w:highlight w:val="none"/>
        </w:rPr>
      </w:pPr>
      <w:r>
        <w:rPr>
          <w:rFonts w:hint="eastAsia"/>
          <w:color w:val="auto"/>
          <w:szCs w:val="21"/>
          <w:highlight w:val="none"/>
        </w:rPr>
        <w:t>②</w:t>
      </w:r>
      <w:r>
        <w:rPr>
          <w:color w:val="auto"/>
          <w:szCs w:val="21"/>
          <w:highlight w:val="none"/>
        </w:rPr>
        <w:t>不同供应商委托同一单位或者个人办理投标事宜；</w:t>
      </w:r>
    </w:p>
    <w:p w14:paraId="07D5ADA7">
      <w:pPr>
        <w:spacing w:before="120" w:line="320" w:lineRule="atLeast"/>
        <w:ind w:firstLine="420" w:firstLineChars="200"/>
        <w:rPr>
          <w:color w:val="auto"/>
          <w:szCs w:val="21"/>
          <w:highlight w:val="none"/>
        </w:rPr>
      </w:pPr>
      <w:r>
        <w:rPr>
          <w:rFonts w:hint="eastAsia"/>
          <w:color w:val="auto"/>
          <w:szCs w:val="21"/>
          <w:highlight w:val="none"/>
        </w:rPr>
        <w:t>③</w:t>
      </w:r>
      <w:r>
        <w:rPr>
          <w:color w:val="auto"/>
          <w:szCs w:val="21"/>
          <w:highlight w:val="none"/>
        </w:rPr>
        <w:t>不同的供应商的响应文件载明的项目管理员为同一个人；</w:t>
      </w:r>
    </w:p>
    <w:p w14:paraId="06C88B09">
      <w:pPr>
        <w:spacing w:before="120" w:line="320" w:lineRule="atLeast"/>
        <w:ind w:firstLine="420" w:firstLineChars="200"/>
        <w:rPr>
          <w:color w:val="auto"/>
          <w:szCs w:val="21"/>
          <w:highlight w:val="none"/>
        </w:rPr>
      </w:pPr>
      <w:r>
        <w:rPr>
          <w:rFonts w:hint="eastAsia"/>
          <w:color w:val="auto"/>
          <w:szCs w:val="21"/>
          <w:highlight w:val="none"/>
        </w:rPr>
        <w:t>④</w:t>
      </w:r>
      <w:r>
        <w:rPr>
          <w:color w:val="auto"/>
          <w:szCs w:val="21"/>
          <w:highlight w:val="none"/>
        </w:rPr>
        <w:t>不同供应商的响应文件异常一致或投标报价呈规律性差异；</w:t>
      </w:r>
    </w:p>
    <w:p w14:paraId="19B9B35B">
      <w:pPr>
        <w:spacing w:before="120" w:line="320" w:lineRule="atLeast"/>
        <w:ind w:firstLine="420" w:firstLineChars="200"/>
        <w:rPr>
          <w:color w:val="auto"/>
          <w:szCs w:val="21"/>
          <w:highlight w:val="none"/>
        </w:rPr>
      </w:pPr>
      <w:r>
        <w:rPr>
          <w:rFonts w:hint="eastAsia"/>
          <w:color w:val="auto"/>
          <w:szCs w:val="21"/>
          <w:highlight w:val="none"/>
        </w:rPr>
        <w:t>⑤</w:t>
      </w:r>
      <w:r>
        <w:rPr>
          <w:color w:val="auto"/>
          <w:szCs w:val="21"/>
          <w:highlight w:val="none"/>
        </w:rPr>
        <w:t>不同供应商的响应文件相互混装；</w:t>
      </w:r>
    </w:p>
    <w:p w14:paraId="37719CC1">
      <w:pPr>
        <w:spacing w:before="120" w:line="320" w:lineRule="atLeast"/>
        <w:ind w:firstLine="420" w:firstLineChars="200"/>
        <w:rPr>
          <w:color w:val="auto"/>
          <w:szCs w:val="21"/>
          <w:highlight w:val="none"/>
        </w:rPr>
      </w:pPr>
      <w:r>
        <w:rPr>
          <w:rFonts w:hint="eastAsia"/>
          <w:color w:val="auto"/>
          <w:szCs w:val="21"/>
          <w:highlight w:val="none"/>
        </w:rPr>
        <w:t>⑥</w:t>
      </w:r>
      <w:r>
        <w:rPr>
          <w:color w:val="auto"/>
          <w:szCs w:val="21"/>
          <w:highlight w:val="none"/>
        </w:rPr>
        <w:t>不同供应商的保证金从同一单位或者个人账户转出。</w:t>
      </w:r>
    </w:p>
    <w:bookmarkEnd w:id="69"/>
    <w:p w14:paraId="505CAEF6">
      <w:pPr>
        <w:spacing w:before="120" w:line="320" w:lineRule="atLeast"/>
        <w:ind w:firstLine="420" w:firstLineChars="200"/>
        <w:rPr>
          <w:color w:val="auto"/>
          <w:szCs w:val="21"/>
          <w:highlight w:val="none"/>
        </w:rPr>
      </w:pPr>
      <w:bookmarkStart w:id="70" w:name="_Hlk19122102"/>
      <w:r>
        <w:rPr>
          <w:rFonts w:hint="eastAsia"/>
          <w:color w:val="auto"/>
          <w:szCs w:val="21"/>
          <w:highlight w:val="none"/>
        </w:rPr>
        <w:t>（3）</w:t>
      </w:r>
      <w:bookmarkEnd w:id="70"/>
      <w:r>
        <w:rPr>
          <w:color w:val="auto"/>
          <w:szCs w:val="21"/>
          <w:highlight w:val="none"/>
        </w:rPr>
        <w:t>根据《关于防治政府采购招标中串通投标行为的通知》</w:t>
      </w:r>
      <w:r>
        <w:rPr>
          <w:rFonts w:hint="eastAsia"/>
          <w:color w:val="auto"/>
          <w:szCs w:val="21"/>
          <w:highlight w:val="none"/>
        </w:rPr>
        <w:t>（</w:t>
      </w:r>
      <w:r>
        <w:rPr>
          <w:color w:val="auto"/>
          <w:szCs w:val="21"/>
          <w:highlight w:val="none"/>
        </w:rPr>
        <w:t>桂财采[2016]42号</w:t>
      </w:r>
      <w:r>
        <w:rPr>
          <w:rFonts w:hint="eastAsia"/>
          <w:color w:val="auto"/>
          <w:szCs w:val="21"/>
          <w:highlight w:val="none"/>
        </w:rPr>
        <w:t>）</w:t>
      </w:r>
      <w:r>
        <w:rPr>
          <w:color w:val="auto"/>
          <w:szCs w:val="21"/>
          <w:highlight w:val="none"/>
        </w:rPr>
        <w:t>规定，供应商有下列情形之一的，属于恶意串通行为，响应文件将被视为无效。</w:t>
      </w:r>
    </w:p>
    <w:p w14:paraId="6DD06F9E">
      <w:pPr>
        <w:spacing w:before="120" w:line="320" w:lineRule="atLeast"/>
        <w:ind w:firstLine="420" w:firstLineChars="200"/>
        <w:rPr>
          <w:color w:val="auto"/>
          <w:szCs w:val="21"/>
          <w:highlight w:val="none"/>
        </w:rPr>
      </w:pPr>
      <w:bookmarkStart w:id="71" w:name="_Hlk19122095"/>
      <w:r>
        <w:rPr>
          <w:rFonts w:hint="eastAsia"/>
          <w:color w:val="auto"/>
          <w:szCs w:val="21"/>
          <w:highlight w:val="none"/>
        </w:rPr>
        <w:t>①</w:t>
      </w:r>
      <w:r>
        <w:rPr>
          <w:color w:val="auto"/>
          <w:szCs w:val="21"/>
          <w:highlight w:val="none"/>
        </w:rPr>
        <w:t>供应商直接或者间接从采购人或者采购代理机构处获得其他供应商的相关信息并修改其响应文件或者响应文件；</w:t>
      </w:r>
    </w:p>
    <w:p w14:paraId="6C0FF968">
      <w:pPr>
        <w:spacing w:before="120" w:line="320" w:lineRule="atLeast"/>
        <w:ind w:firstLine="420" w:firstLineChars="200"/>
        <w:rPr>
          <w:color w:val="auto"/>
          <w:szCs w:val="21"/>
          <w:highlight w:val="none"/>
        </w:rPr>
      </w:pPr>
      <w:r>
        <w:rPr>
          <w:rFonts w:hint="eastAsia"/>
          <w:color w:val="auto"/>
          <w:szCs w:val="21"/>
          <w:highlight w:val="none"/>
        </w:rPr>
        <w:t>②</w:t>
      </w:r>
      <w:r>
        <w:rPr>
          <w:color w:val="auto"/>
          <w:szCs w:val="21"/>
          <w:highlight w:val="none"/>
        </w:rPr>
        <w:t>供应商按照采购人或者采购代理机构的授意撤换、修改响应文件或者响应文件;；</w:t>
      </w:r>
    </w:p>
    <w:p w14:paraId="71550ED9">
      <w:pPr>
        <w:spacing w:before="120" w:line="320" w:lineRule="atLeast"/>
        <w:ind w:firstLine="420" w:firstLineChars="200"/>
        <w:rPr>
          <w:color w:val="auto"/>
          <w:szCs w:val="21"/>
          <w:highlight w:val="none"/>
        </w:rPr>
      </w:pPr>
      <w:r>
        <w:rPr>
          <w:rFonts w:hint="eastAsia"/>
          <w:color w:val="auto"/>
          <w:szCs w:val="21"/>
          <w:highlight w:val="none"/>
        </w:rPr>
        <w:t>③</w:t>
      </w:r>
      <w:r>
        <w:rPr>
          <w:color w:val="auto"/>
          <w:szCs w:val="21"/>
          <w:highlight w:val="none"/>
        </w:rPr>
        <w:t>供应商之间协商报价、技术方案等响应文件或者响应文件的实质性内容；</w:t>
      </w:r>
    </w:p>
    <w:p w14:paraId="566C97BB">
      <w:pPr>
        <w:spacing w:before="120" w:line="320" w:lineRule="atLeast"/>
        <w:ind w:firstLine="420" w:firstLineChars="200"/>
        <w:rPr>
          <w:color w:val="auto"/>
          <w:szCs w:val="21"/>
          <w:highlight w:val="none"/>
        </w:rPr>
      </w:pPr>
      <w:r>
        <w:rPr>
          <w:rFonts w:hint="eastAsia"/>
          <w:color w:val="auto"/>
          <w:szCs w:val="21"/>
          <w:highlight w:val="none"/>
        </w:rPr>
        <w:t>④</w:t>
      </w:r>
      <w:r>
        <w:rPr>
          <w:color w:val="auto"/>
          <w:szCs w:val="21"/>
          <w:highlight w:val="none"/>
        </w:rPr>
        <w:t>属于同一集团、协会、商会等组织成员的供应商按照该组织要求协同参加政府采购活动；</w:t>
      </w:r>
    </w:p>
    <w:p w14:paraId="2A39BF17">
      <w:pPr>
        <w:spacing w:before="120" w:line="320" w:lineRule="atLeast"/>
        <w:ind w:firstLine="420" w:firstLineChars="200"/>
        <w:rPr>
          <w:color w:val="auto"/>
          <w:szCs w:val="21"/>
          <w:highlight w:val="none"/>
        </w:rPr>
      </w:pPr>
      <w:r>
        <w:rPr>
          <w:rFonts w:hint="eastAsia"/>
          <w:color w:val="auto"/>
          <w:szCs w:val="21"/>
          <w:highlight w:val="none"/>
        </w:rPr>
        <w:t>⑤</w:t>
      </w:r>
      <w:r>
        <w:rPr>
          <w:color w:val="auto"/>
          <w:szCs w:val="21"/>
          <w:highlight w:val="none"/>
        </w:rPr>
        <w:t>供应商之间事先约定一致抬高或者压低投标报价，或者在招标项目中事先约定轮流以高价位或者低价位中标，或者事先约定由某一特定供应商中标，然后再参加投标；</w:t>
      </w:r>
    </w:p>
    <w:p w14:paraId="79C10840">
      <w:pPr>
        <w:spacing w:before="120" w:line="320" w:lineRule="atLeast"/>
        <w:ind w:firstLine="420" w:firstLineChars="200"/>
        <w:rPr>
          <w:color w:val="auto"/>
          <w:szCs w:val="21"/>
          <w:highlight w:val="none"/>
        </w:rPr>
      </w:pPr>
      <w:r>
        <w:rPr>
          <w:rFonts w:hint="eastAsia"/>
          <w:color w:val="auto"/>
          <w:szCs w:val="21"/>
          <w:highlight w:val="none"/>
        </w:rPr>
        <w:t>⑥</w:t>
      </w:r>
      <w:r>
        <w:rPr>
          <w:color w:val="auto"/>
          <w:szCs w:val="21"/>
          <w:highlight w:val="none"/>
        </w:rPr>
        <w:t>供应商之间商定部分供应商放弃参加政府采购活动或者放弃中标；</w:t>
      </w:r>
    </w:p>
    <w:p w14:paraId="7BF80CE7">
      <w:pPr>
        <w:spacing w:before="120" w:line="320" w:lineRule="atLeast"/>
        <w:ind w:firstLine="420" w:firstLineChars="200"/>
        <w:rPr>
          <w:color w:val="auto"/>
          <w:szCs w:val="21"/>
          <w:highlight w:val="none"/>
        </w:rPr>
      </w:pPr>
      <w:r>
        <w:rPr>
          <w:rFonts w:hint="eastAsia"/>
          <w:color w:val="auto"/>
          <w:szCs w:val="21"/>
          <w:highlight w:val="none"/>
        </w:rPr>
        <w:t>⑦</w:t>
      </w:r>
      <w:r>
        <w:rPr>
          <w:color w:val="auto"/>
          <w:szCs w:val="21"/>
          <w:highlight w:val="none"/>
        </w:rPr>
        <w:t>供应商与采购人或者采购代理机构之间、供应商相互之间，为谋求特定供应商中标或者排斥其他供应商的其他串通行为。</w:t>
      </w:r>
    </w:p>
    <w:bookmarkEnd w:id="71"/>
    <w:p w14:paraId="02B30847">
      <w:pPr>
        <w:spacing w:before="120" w:line="320" w:lineRule="atLeast"/>
        <w:ind w:firstLine="420" w:firstLineChars="200"/>
        <w:rPr>
          <w:color w:val="auto"/>
          <w:szCs w:val="21"/>
          <w:highlight w:val="none"/>
        </w:rPr>
      </w:pPr>
      <w:r>
        <w:rPr>
          <w:color w:val="auto"/>
          <w:szCs w:val="21"/>
          <w:highlight w:val="none"/>
        </w:rPr>
        <w:t>6.3.9响应</w:t>
      </w:r>
      <w:r>
        <w:rPr>
          <w:rFonts w:hint="eastAsia"/>
          <w:color w:val="auto"/>
          <w:szCs w:val="21"/>
          <w:highlight w:val="none"/>
        </w:rPr>
        <w:t>无效</w:t>
      </w:r>
      <w:r>
        <w:rPr>
          <w:color w:val="auto"/>
          <w:szCs w:val="21"/>
          <w:highlight w:val="none"/>
        </w:rPr>
        <w:t>认定</w:t>
      </w:r>
    </w:p>
    <w:p w14:paraId="7EF889B9">
      <w:pPr>
        <w:spacing w:before="120" w:line="320" w:lineRule="atLeast"/>
        <w:ind w:firstLine="420" w:firstLineChars="200"/>
        <w:rPr>
          <w:color w:val="auto"/>
          <w:szCs w:val="21"/>
          <w:highlight w:val="none"/>
        </w:rPr>
      </w:pPr>
      <w:r>
        <w:rPr>
          <w:rFonts w:hint="eastAsia"/>
          <w:color w:val="auto"/>
          <w:szCs w:val="21"/>
          <w:highlight w:val="none"/>
        </w:rPr>
        <w:t>（</w:t>
      </w:r>
      <w:r>
        <w:rPr>
          <w:color w:val="auto"/>
          <w:szCs w:val="21"/>
          <w:highlight w:val="none"/>
        </w:rPr>
        <w:t>1）在</w:t>
      </w:r>
      <w:r>
        <w:rPr>
          <w:rFonts w:hint="eastAsia"/>
          <w:color w:val="auto"/>
          <w:szCs w:val="21"/>
          <w:highlight w:val="none"/>
        </w:rPr>
        <w:t>评审过程中</w:t>
      </w:r>
      <w:r>
        <w:rPr>
          <w:color w:val="auto"/>
          <w:szCs w:val="21"/>
          <w:highlight w:val="none"/>
        </w:rPr>
        <w:t>如发现下列情形之一的，响应文件将被视为无效：</w:t>
      </w:r>
    </w:p>
    <w:p w14:paraId="54CC7CF6">
      <w:pPr>
        <w:spacing w:before="120" w:line="320" w:lineRule="atLeast"/>
        <w:ind w:firstLine="420" w:firstLineChars="200"/>
        <w:rPr>
          <w:color w:val="auto"/>
          <w:highlight w:val="none"/>
        </w:rPr>
      </w:pPr>
      <w:r>
        <w:rPr>
          <w:rFonts w:hint="eastAsia"/>
          <w:color w:val="auto"/>
          <w:szCs w:val="21"/>
          <w:highlight w:val="none"/>
        </w:rPr>
        <w:t>①</w:t>
      </w:r>
      <w:r>
        <w:rPr>
          <w:color w:val="auto"/>
          <w:szCs w:val="21"/>
          <w:highlight w:val="none"/>
        </w:rPr>
        <w:t>响应文件</w:t>
      </w:r>
      <w:r>
        <w:rPr>
          <w:rFonts w:hint="eastAsia"/>
          <w:color w:val="auto"/>
          <w:szCs w:val="21"/>
          <w:highlight w:val="none"/>
        </w:rPr>
        <w:t>存在法律、法规及监督部门有关文件规定的无效情形</w:t>
      </w:r>
      <w:r>
        <w:rPr>
          <w:color w:val="auto"/>
          <w:szCs w:val="21"/>
          <w:highlight w:val="none"/>
        </w:rPr>
        <w:t>。</w:t>
      </w:r>
    </w:p>
    <w:p w14:paraId="260ECABD">
      <w:pPr>
        <w:spacing w:before="120" w:line="320" w:lineRule="atLeast"/>
        <w:ind w:firstLine="420" w:firstLineChars="200"/>
        <w:rPr>
          <w:color w:val="auto"/>
          <w:szCs w:val="21"/>
          <w:highlight w:val="none"/>
        </w:rPr>
      </w:pPr>
      <w:r>
        <w:rPr>
          <w:rFonts w:hint="eastAsia"/>
          <w:color w:val="auto"/>
          <w:szCs w:val="21"/>
          <w:highlight w:val="none"/>
        </w:rPr>
        <w:t>②</w:t>
      </w:r>
      <w:r>
        <w:rPr>
          <w:color w:val="auto"/>
          <w:szCs w:val="21"/>
          <w:highlight w:val="none"/>
        </w:rPr>
        <w:t>响应文件</w:t>
      </w:r>
      <w:r>
        <w:rPr>
          <w:rFonts w:hint="eastAsia"/>
          <w:color w:val="auto"/>
          <w:szCs w:val="21"/>
          <w:highlight w:val="none"/>
        </w:rPr>
        <w:t>存在采购文件规定的无效情形。</w:t>
      </w:r>
    </w:p>
    <w:p w14:paraId="20E83DDC">
      <w:pPr>
        <w:spacing w:before="120" w:line="320" w:lineRule="atLeast"/>
        <w:ind w:firstLine="420" w:firstLineChars="200"/>
        <w:rPr>
          <w:color w:val="auto"/>
          <w:szCs w:val="21"/>
          <w:highlight w:val="none"/>
        </w:rPr>
      </w:pPr>
      <w:bookmarkStart w:id="72" w:name="_Hlk19113313"/>
      <w:r>
        <w:rPr>
          <w:rFonts w:hint="eastAsia"/>
          <w:color w:val="auto"/>
          <w:szCs w:val="21"/>
          <w:highlight w:val="none"/>
        </w:rPr>
        <w:t>（2）根据</w:t>
      </w:r>
      <w:r>
        <w:rPr>
          <w:color w:val="auto"/>
          <w:szCs w:val="21"/>
          <w:highlight w:val="none"/>
        </w:rPr>
        <w:t>财库</w:t>
      </w:r>
      <w:r>
        <w:rPr>
          <w:rFonts w:hint="eastAsia"/>
          <w:color w:val="auto"/>
          <w:szCs w:val="21"/>
          <w:highlight w:val="none"/>
        </w:rPr>
        <w:t>《</w:t>
      </w:r>
      <w:r>
        <w:rPr>
          <w:color w:val="auto"/>
          <w:szCs w:val="21"/>
          <w:highlight w:val="none"/>
        </w:rPr>
        <w:t>关于促进政府采购公平竞争优化营商环境的通知</w:t>
      </w:r>
      <w:r>
        <w:rPr>
          <w:rFonts w:hint="eastAsia"/>
          <w:color w:val="auto"/>
          <w:szCs w:val="21"/>
          <w:highlight w:val="none"/>
        </w:rPr>
        <w:t>》（</w:t>
      </w:r>
      <w:r>
        <w:rPr>
          <w:color w:val="auto"/>
          <w:szCs w:val="21"/>
          <w:highlight w:val="none"/>
        </w:rPr>
        <w:t>〔2019〕38号</w:t>
      </w:r>
      <w:r>
        <w:rPr>
          <w:rFonts w:hint="eastAsia"/>
          <w:color w:val="auto"/>
          <w:szCs w:val="21"/>
          <w:highlight w:val="none"/>
        </w:rPr>
        <w:t>）以及《广西壮族自治区财政厅转发财政部关于促进政府采购公平竞争优化营商环境的通知》（桂财采〔2019〕41号）规定，谈判小组不得因装订、纸张、文件排序等非实质性的格式、形式问题认定投标无效或否决投标，从而限制和影响供应商投标（响应）。</w:t>
      </w:r>
    </w:p>
    <w:bookmarkEnd w:id="72"/>
    <w:p w14:paraId="5E77B27E">
      <w:pPr>
        <w:spacing w:before="120" w:line="320" w:lineRule="atLeast"/>
        <w:ind w:firstLine="420" w:firstLineChars="200"/>
        <w:rPr>
          <w:color w:val="auto"/>
          <w:szCs w:val="21"/>
          <w:highlight w:val="none"/>
        </w:rPr>
      </w:pPr>
      <w:r>
        <w:rPr>
          <w:color w:val="auto"/>
          <w:szCs w:val="21"/>
          <w:highlight w:val="none"/>
        </w:rPr>
        <w:t>6.3.10比较</w:t>
      </w:r>
      <w:r>
        <w:rPr>
          <w:rFonts w:hint="eastAsia"/>
          <w:color w:val="auto"/>
          <w:szCs w:val="21"/>
          <w:highlight w:val="none"/>
        </w:rPr>
        <w:t>与评价</w:t>
      </w:r>
    </w:p>
    <w:p w14:paraId="4E80F35D">
      <w:pPr>
        <w:spacing w:before="120" w:line="320" w:lineRule="atLeast"/>
        <w:ind w:firstLine="420" w:firstLineChars="200"/>
        <w:rPr>
          <w:color w:val="auto"/>
          <w:szCs w:val="21"/>
          <w:highlight w:val="none"/>
        </w:rPr>
      </w:pPr>
      <w:r>
        <w:rPr>
          <w:rFonts w:hint="eastAsia"/>
          <w:color w:val="auto"/>
          <w:szCs w:val="21"/>
          <w:highlight w:val="none"/>
        </w:rPr>
        <w:t>（1）</w:t>
      </w:r>
      <w:r>
        <w:rPr>
          <w:color w:val="auto"/>
          <w:szCs w:val="21"/>
          <w:highlight w:val="none"/>
        </w:rPr>
        <w:t>谈判小组按扣除后的价格由低到高的顺序排列推荐3名以上供应商为本项目（或分标）的成交候选</w:t>
      </w:r>
      <w:r>
        <w:rPr>
          <w:rFonts w:hint="eastAsia"/>
          <w:color w:val="auto"/>
          <w:szCs w:val="21"/>
          <w:highlight w:val="none"/>
        </w:rPr>
        <w:t>供应商</w:t>
      </w:r>
      <w:r>
        <w:rPr>
          <w:color w:val="auto"/>
          <w:szCs w:val="21"/>
          <w:highlight w:val="none"/>
        </w:rPr>
        <w:t>，排名第一的为第一成交候选</w:t>
      </w:r>
      <w:r>
        <w:rPr>
          <w:rFonts w:hint="eastAsia"/>
          <w:color w:val="auto"/>
          <w:szCs w:val="21"/>
          <w:highlight w:val="none"/>
        </w:rPr>
        <w:t>供应商</w:t>
      </w:r>
      <w:r>
        <w:rPr>
          <w:color w:val="auto"/>
          <w:szCs w:val="21"/>
          <w:highlight w:val="none"/>
        </w:rPr>
        <w:t>。若供应商的响应</w:t>
      </w:r>
      <w:r>
        <w:rPr>
          <w:rFonts w:hint="eastAsia"/>
          <w:color w:val="auto"/>
          <w:szCs w:val="21"/>
          <w:highlight w:val="none"/>
        </w:rPr>
        <w:t>最后</w:t>
      </w:r>
      <w:r>
        <w:rPr>
          <w:color w:val="auto"/>
          <w:szCs w:val="21"/>
          <w:highlight w:val="none"/>
        </w:rPr>
        <w:t>报价经扣除后价格相同，则按服务条款的优劣顺序排列。若仍相同的，由</w:t>
      </w:r>
      <w:r>
        <w:rPr>
          <w:rFonts w:hint="eastAsia"/>
          <w:color w:val="auto"/>
          <w:szCs w:val="21"/>
          <w:highlight w:val="none"/>
        </w:rPr>
        <w:t>采购人自行</w:t>
      </w:r>
      <w:r>
        <w:rPr>
          <w:color w:val="auto"/>
          <w:szCs w:val="21"/>
          <w:highlight w:val="none"/>
        </w:rPr>
        <w:t>确定。</w:t>
      </w:r>
    </w:p>
    <w:p w14:paraId="1D2DEC8B">
      <w:pPr>
        <w:spacing w:before="120" w:line="320" w:lineRule="atLeast"/>
        <w:ind w:firstLine="420" w:firstLineChars="200"/>
        <w:rPr>
          <w:color w:val="auto"/>
          <w:highlight w:val="none"/>
        </w:rPr>
      </w:pPr>
      <w:r>
        <w:rPr>
          <w:rFonts w:hint="eastAsia"/>
          <w:color w:val="auto"/>
          <w:szCs w:val="21"/>
          <w:highlight w:val="none"/>
        </w:rPr>
        <w:t>（2）谈判小组根据评审记录及评审结果编写评审报告，谈判小组成员均应当在评审报告上签字，对自己的评审意见承担法律责任。</w:t>
      </w:r>
      <w:r>
        <w:rPr>
          <w:color w:val="auto"/>
          <w:highlight w:val="none"/>
        </w:rPr>
        <w:t>评审报告签署前，经复核发现存在以</w:t>
      </w:r>
      <w:r>
        <w:rPr>
          <w:rFonts w:hint="eastAsia"/>
          <w:color w:val="auto"/>
          <w:highlight w:val="none"/>
        </w:rPr>
        <w:t>下</w:t>
      </w:r>
      <w:r>
        <w:rPr>
          <w:color w:val="auto"/>
          <w:highlight w:val="none"/>
        </w:rPr>
        <w:t>情形之一的，</w:t>
      </w:r>
      <w:r>
        <w:rPr>
          <w:rFonts w:hint="eastAsia"/>
          <w:color w:val="auto"/>
          <w:highlight w:val="none"/>
        </w:rPr>
        <w:t>谈判</w:t>
      </w:r>
      <w:r>
        <w:rPr>
          <w:color w:val="auto"/>
          <w:highlight w:val="none"/>
        </w:rPr>
        <w:t>小组应当当场修改评审结果，并在评审报告中记载；评审报告签署后，采购人或者采购代理机构发现存在以</w:t>
      </w:r>
      <w:r>
        <w:rPr>
          <w:rFonts w:hint="eastAsia"/>
          <w:color w:val="auto"/>
          <w:highlight w:val="none"/>
        </w:rPr>
        <w:t>下</w:t>
      </w:r>
      <w:r>
        <w:rPr>
          <w:color w:val="auto"/>
          <w:highlight w:val="none"/>
        </w:rPr>
        <w:t>情形之一的，应当组织原</w:t>
      </w:r>
      <w:r>
        <w:rPr>
          <w:rFonts w:hint="eastAsia"/>
          <w:color w:val="auto"/>
          <w:highlight w:val="none"/>
        </w:rPr>
        <w:t>谈判</w:t>
      </w:r>
      <w:r>
        <w:rPr>
          <w:color w:val="auto"/>
          <w:highlight w:val="none"/>
        </w:rPr>
        <w:t>小组进行重新评审。</w:t>
      </w:r>
    </w:p>
    <w:p w14:paraId="2C6A58B8">
      <w:pPr>
        <w:spacing w:before="120" w:line="320" w:lineRule="atLeast"/>
        <w:ind w:firstLine="420" w:firstLineChars="200"/>
        <w:rPr>
          <w:rFonts w:hint="eastAsia"/>
          <w:color w:val="auto"/>
          <w:szCs w:val="21"/>
          <w:highlight w:val="none"/>
        </w:rPr>
      </w:pPr>
      <w:r>
        <w:rPr>
          <w:rFonts w:hint="eastAsia"/>
          <w:color w:val="auto"/>
          <w:highlight w:val="none"/>
        </w:rPr>
        <w:t>资格性检查认定错误、价格计算错误。</w:t>
      </w:r>
    </w:p>
    <w:p w14:paraId="792B3657">
      <w:pPr>
        <w:spacing w:before="120" w:line="320" w:lineRule="atLeast"/>
        <w:ind w:firstLine="422" w:firstLineChars="200"/>
        <w:outlineLvl w:val="2"/>
        <w:rPr>
          <w:b/>
          <w:bCs/>
          <w:color w:val="auto"/>
          <w:kern w:val="0"/>
          <w:szCs w:val="21"/>
          <w:highlight w:val="none"/>
        </w:rPr>
      </w:pPr>
      <w:r>
        <w:rPr>
          <w:b/>
          <w:bCs/>
          <w:color w:val="auto"/>
          <w:kern w:val="0"/>
          <w:szCs w:val="21"/>
          <w:highlight w:val="none"/>
        </w:rPr>
        <w:t>6.4确定成交供应商</w:t>
      </w:r>
    </w:p>
    <w:p w14:paraId="1A337504">
      <w:pPr>
        <w:spacing w:before="120" w:line="276" w:lineRule="auto"/>
        <w:ind w:firstLine="420" w:firstLineChars="200"/>
        <w:rPr>
          <w:color w:val="auto"/>
          <w:szCs w:val="21"/>
          <w:highlight w:val="none"/>
        </w:rPr>
      </w:pPr>
      <w:r>
        <w:rPr>
          <w:rFonts w:hint="eastAsia"/>
          <w:color w:val="auto"/>
          <w:szCs w:val="21"/>
          <w:highlight w:val="none"/>
        </w:rPr>
        <w:t>6.</w:t>
      </w:r>
      <w:r>
        <w:rPr>
          <w:color w:val="auto"/>
          <w:szCs w:val="21"/>
          <w:highlight w:val="none"/>
        </w:rPr>
        <w:t>4.1采购代理机构将在评审结束后2个工作日内将评审报告送采购人，采购人在5个工作日内按照评审报告中推荐的</w:t>
      </w:r>
      <w:r>
        <w:rPr>
          <w:rFonts w:hint="eastAsia"/>
          <w:color w:val="auto"/>
          <w:szCs w:val="21"/>
          <w:highlight w:val="none"/>
        </w:rPr>
        <w:t>成交</w:t>
      </w:r>
      <w:r>
        <w:rPr>
          <w:color w:val="auto"/>
          <w:szCs w:val="21"/>
          <w:highlight w:val="none"/>
        </w:rPr>
        <w:t>候选供应商顺序确定成交供应商。</w:t>
      </w:r>
    </w:p>
    <w:p w14:paraId="79555990">
      <w:pPr>
        <w:spacing w:before="120" w:line="276" w:lineRule="auto"/>
        <w:ind w:firstLine="420" w:firstLineChars="200"/>
        <w:rPr>
          <w:color w:val="auto"/>
          <w:szCs w:val="21"/>
          <w:highlight w:val="none"/>
        </w:rPr>
      </w:pPr>
      <w:r>
        <w:rPr>
          <w:color w:val="auto"/>
          <w:szCs w:val="21"/>
          <w:highlight w:val="none"/>
        </w:rPr>
        <w:t>6.4.2</w:t>
      </w:r>
      <w:r>
        <w:rPr>
          <w:rFonts w:hint="eastAsia"/>
          <w:color w:val="auto"/>
          <w:szCs w:val="21"/>
          <w:highlight w:val="none"/>
        </w:rPr>
        <w:t>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2D6BD6D5">
      <w:pPr>
        <w:spacing w:before="120" w:line="320" w:lineRule="atLeast"/>
        <w:ind w:firstLine="422" w:firstLineChars="200"/>
        <w:outlineLvl w:val="2"/>
        <w:rPr>
          <w:b/>
          <w:bCs/>
          <w:color w:val="auto"/>
          <w:kern w:val="0"/>
          <w:szCs w:val="21"/>
          <w:highlight w:val="none"/>
        </w:rPr>
      </w:pPr>
      <w:r>
        <w:rPr>
          <w:b/>
          <w:bCs/>
          <w:color w:val="auto"/>
          <w:kern w:val="0"/>
          <w:szCs w:val="21"/>
          <w:highlight w:val="none"/>
        </w:rPr>
        <w:t>6.5</w:t>
      </w:r>
      <w:r>
        <w:rPr>
          <w:rFonts w:hint="eastAsia"/>
          <w:b/>
          <w:bCs/>
          <w:color w:val="auto"/>
          <w:kern w:val="0"/>
          <w:szCs w:val="21"/>
          <w:highlight w:val="none"/>
        </w:rPr>
        <w:t>结果公告</w:t>
      </w:r>
    </w:p>
    <w:p w14:paraId="001DE19E">
      <w:pPr>
        <w:spacing w:before="120" w:line="320" w:lineRule="atLeast"/>
        <w:ind w:firstLine="420" w:firstLineChars="200"/>
        <w:rPr>
          <w:color w:val="auto"/>
          <w:szCs w:val="21"/>
          <w:highlight w:val="none"/>
        </w:rPr>
      </w:pPr>
      <w:r>
        <w:rPr>
          <w:rFonts w:hint="eastAsia"/>
          <w:color w:val="auto"/>
          <w:szCs w:val="21"/>
          <w:highlight w:val="none"/>
        </w:rPr>
        <w:t>6</w:t>
      </w:r>
      <w:r>
        <w:rPr>
          <w:color w:val="auto"/>
          <w:szCs w:val="21"/>
          <w:highlight w:val="none"/>
        </w:rPr>
        <w:t>.5.1自成交供应商确定后2个工作日内，采购代理机构</w:t>
      </w:r>
      <w:r>
        <w:rPr>
          <w:rFonts w:hint="eastAsia"/>
          <w:color w:val="auto"/>
          <w:szCs w:val="21"/>
          <w:highlight w:val="none"/>
        </w:rPr>
        <w:t>按照供应商须知</w:t>
      </w:r>
      <w:r>
        <w:rPr>
          <w:rFonts w:hint="eastAsia"/>
          <w:color w:val="auto"/>
          <w:kern w:val="0"/>
          <w:szCs w:val="21"/>
          <w:highlight w:val="none"/>
        </w:rPr>
        <w:t>前附表的规定</w:t>
      </w:r>
      <w:r>
        <w:rPr>
          <w:color w:val="auto"/>
          <w:kern w:val="0"/>
          <w:szCs w:val="21"/>
          <w:highlight w:val="none"/>
        </w:rPr>
        <w:t>公告</w:t>
      </w:r>
      <w:r>
        <w:rPr>
          <w:color w:val="auto"/>
          <w:szCs w:val="21"/>
          <w:highlight w:val="none"/>
        </w:rPr>
        <w:t>成交结果。</w:t>
      </w:r>
    </w:p>
    <w:p w14:paraId="52D4CCA2">
      <w:pPr>
        <w:spacing w:before="120" w:line="320" w:lineRule="atLeast"/>
        <w:ind w:firstLine="420" w:firstLineChars="200"/>
        <w:rPr>
          <w:color w:val="auto"/>
          <w:szCs w:val="21"/>
          <w:highlight w:val="none"/>
        </w:rPr>
      </w:pPr>
      <w:r>
        <w:rPr>
          <w:rFonts w:hint="eastAsia"/>
          <w:color w:val="auto"/>
          <w:szCs w:val="21"/>
          <w:highlight w:val="none"/>
        </w:rPr>
        <w:t>6</w:t>
      </w:r>
      <w:r>
        <w:rPr>
          <w:color w:val="auto"/>
          <w:szCs w:val="21"/>
          <w:highlight w:val="none"/>
        </w:rPr>
        <w:t>.5.2在发布</w:t>
      </w:r>
      <w:r>
        <w:rPr>
          <w:rFonts w:hint="eastAsia"/>
          <w:color w:val="auto"/>
          <w:szCs w:val="21"/>
          <w:highlight w:val="none"/>
        </w:rPr>
        <w:t>结果</w:t>
      </w:r>
      <w:r>
        <w:rPr>
          <w:color w:val="auto"/>
          <w:szCs w:val="21"/>
          <w:highlight w:val="none"/>
        </w:rPr>
        <w:t>公告的同时，采购代理机构以供应商须知前附表规定的形式向成交供应商发出成交通知书。成交通知书发出后，采购人改变成交结果，或者成交供应商放弃成交，应当承担相应的法律责任。</w:t>
      </w:r>
    </w:p>
    <w:p w14:paraId="5807ADFF">
      <w:pPr>
        <w:suppressAutoHyphens/>
        <w:spacing w:before="120" w:line="320" w:lineRule="atLeast"/>
        <w:ind w:firstLine="422" w:firstLineChars="200"/>
        <w:outlineLvl w:val="2"/>
        <w:rPr>
          <w:b/>
          <w:bCs/>
          <w:color w:val="auto"/>
          <w:kern w:val="0"/>
          <w:szCs w:val="21"/>
          <w:highlight w:val="none"/>
        </w:rPr>
      </w:pPr>
      <w:r>
        <w:rPr>
          <w:b/>
          <w:bCs/>
          <w:color w:val="auto"/>
          <w:kern w:val="0"/>
          <w:szCs w:val="21"/>
          <w:highlight w:val="none"/>
        </w:rPr>
        <w:t>6.6</w:t>
      </w:r>
      <w:r>
        <w:rPr>
          <w:rFonts w:hint="eastAsia"/>
          <w:b/>
          <w:bCs/>
          <w:color w:val="auto"/>
          <w:kern w:val="0"/>
          <w:szCs w:val="21"/>
          <w:highlight w:val="none"/>
        </w:rPr>
        <w:t>废标</w:t>
      </w:r>
    </w:p>
    <w:p w14:paraId="693A30DF">
      <w:pPr>
        <w:spacing w:before="120" w:line="320" w:lineRule="atLeast"/>
        <w:ind w:firstLine="420" w:firstLineChars="200"/>
        <w:rPr>
          <w:color w:val="auto"/>
          <w:kern w:val="1"/>
          <w:szCs w:val="21"/>
          <w:highlight w:val="none"/>
        </w:rPr>
      </w:pPr>
      <w:r>
        <w:rPr>
          <w:color w:val="auto"/>
          <w:kern w:val="1"/>
          <w:szCs w:val="21"/>
          <w:highlight w:val="none"/>
        </w:rPr>
        <w:t>6.6.1</w:t>
      </w:r>
      <w:r>
        <w:rPr>
          <w:rFonts w:hint="eastAsia"/>
          <w:color w:val="auto"/>
          <w:kern w:val="1"/>
          <w:szCs w:val="21"/>
          <w:highlight w:val="none"/>
        </w:rPr>
        <w:t xml:space="preserve">出现下列情形之一，将导致项目废标： </w:t>
      </w:r>
    </w:p>
    <w:p w14:paraId="4BDA30DD">
      <w:pPr>
        <w:spacing w:before="120" w:line="320" w:lineRule="atLeast"/>
        <w:ind w:firstLine="420" w:firstLineChars="200"/>
        <w:rPr>
          <w:color w:val="auto"/>
          <w:szCs w:val="21"/>
          <w:highlight w:val="none"/>
        </w:rPr>
      </w:pPr>
      <w:r>
        <w:rPr>
          <w:rFonts w:hint="eastAsia"/>
          <w:color w:val="auto"/>
          <w:kern w:val="1"/>
          <w:szCs w:val="21"/>
          <w:highlight w:val="none"/>
        </w:rPr>
        <w:t>（1</w:t>
      </w:r>
      <w:r>
        <w:rPr>
          <w:rFonts w:hint="eastAsia"/>
          <w:color w:val="auto"/>
          <w:szCs w:val="21"/>
          <w:highlight w:val="none"/>
        </w:rPr>
        <w:t>）符合专业条件的供应商或者对采购文件做实质性响应的供应商不足三家；</w:t>
      </w:r>
    </w:p>
    <w:p w14:paraId="58C01F7F">
      <w:pPr>
        <w:spacing w:before="120" w:line="320" w:lineRule="atLeast"/>
        <w:ind w:firstLine="420" w:firstLineChars="200"/>
        <w:rPr>
          <w:color w:val="auto"/>
          <w:szCs w:val="21"/>
          <w:highlight w:val="none"/>
        </w:rPr>
      </w:pPr>
      <w:r>
        <w:rPr>
          <w:rFonts w:hint="eastAsia"/>
          <w:color w:val="auto"/>
          <w:szCs w:val="21"/>
          <w:highlight w:val="none"/>
        </w:rPr>
        <w:t>（2）出现影响采购公正的违法、违规行为的；</w:t>
      </w:r>
    </w:p>
    <w:p w14:paraId="7F96761D">
      <w:pPr>
        <w:spacing w:before="120" w:line="320" w:lineRule="atLeast"/>
        <w:ind w:firstLine="420" w:firstLineChars="200"/>
        <w:rPr>
          <w:color w:val="auto"/>
          <w:szCs w:val="21"/>
          <w:highlight w:val="none"/>
        </w:rPr>
      </w:pPr>
      <w:r>
        <w:rPr>
          <w:rFonts w:hint="eastAsia"/>
          <w:color w:val="auto"/>
          <w:szCs w:val="21"/>
          <w:highlight w:val="none"/>
        </w:rPr>
        <w:t>（3）供应商的报价均超过了采购预算，采购人不能支付的；</w:t>
      </w:r>
    </w:p>
    <w:p w14:paraId="4E711D61">
      <w:pPr>
        <w:spacing w:before="120" w:line="320" w:lineRule="atLeast"/>
        <w:ind w:firstLine="420" w:firstLineChars="200"/>
        <w:rPr>
          <w:color w:val="auto"/>
          <w:highlight w:val="none"/>
        </w:rPr>
      </w:pPr>
      <w:r>
        <w:rPr>
          <w:rFonts w:hint="eastAsia"/>
          <w:color w:val="auto"/>
          <w:szCs w:val="21"/>
          <w:highlight w:val="none"/>
        </w:rPr>
        <w:t>（4）</w:t>
      </w:r>
      <w:r>
        <w:rPr>
          <w:rFonts w:hint="eastAsia"/>
          <w:color w:val="auto"/>
          <w:highlight w:val="none"/>
        </w:rPr>
        <w:t>因发生重大变故或采购任务取消的。</w:t>
      </w:r>
    </w:p>
    <w:p w14:paraId="0141734E">
      <w:pPr>
        <w:spacing w:before="120" w:line="320" w:lineRule="atLeast"/>
        <w:ind w:firstLine="420" w:firstLineChars="200"/>
        <w:rPr>
          <w:color w:val="auto"/>
          <w:szCs w:val="21"/>
          <w:highlight w:val="none"/>
        </w:rPr>
      </w:pPr>
      <w:r>
        <w:rPr>
          <w:color w:val="auto"/>
          <w:kern w:val="1"/>
          <w:szCs w:val="21"/>
          <w:highlight w:val="none"/>
        </w:rPr>
        <w:t>6.6.2</w:t>
      </w:r>
      <w:r>
        <w:rPr>
          <w:rFonts w:hint="eastAsia"/>
          <w:color w:val="auto"/>
          <w:kern w:val="1"/>
          <w:szCs w:val="21"/>
          <w:highlight w:val="none"/>
        </w:rPr>
        <w:t>废标后</w:t>
      </w:r>
      <w:r>
        <w:rPr>
          <w:rFonts w:hint="eastAsia"/>
          <w:color w:val="auto"/>
          <w:szCs w:val="21"/>
          <w:highlight w:val="none"/>
        </w:rPr>
        <w:t>采购</w:t>
      </w:r>
      <w:r>
        <w:rPr>
          <w:rFonts w:hint="eastAsia"/>
          <w:color w:val="auto"/>
          <w:kern w:val="1"/>
          <w:szCs w:val="21"/>
          <w:highlight w:val="none"/>
        </w:rPr>
        <w:t>代理机构将发布废标公告通知供应商。</w:t>
      </w:r>
    </w:p>
    <w:p w14:paraId="676DB1B7">
      <w:pPr>
        <w:spacing w:before="120" w:line="320" w:lineRule="atLeast"/>
        <w:ind w:left="2" w:leftChars="1" w:firstLine="422" w:firstLineChars="200"/>
        <w:outlineLvl w:val="1"/>
        <w:rPr>
          <w:b/>
          <w:bCs/>
          <w:color w:val="auto"/>
          <w:kern w:val="0"/>
          <w:szCs w:val="21"/>
          <w:highlight w:val="none"/>
        </w:rPr>
      </w:pPr>
      <w:r>
        <w:rPr>
          <w:b/>
          <w:bCs/>
          <w:color w:val="auto"/>
          <w:kern w:val="0"/>
          <w:szCs w:val="21"/>
          <w:highlight w:val="none"/>
        </w:rPr>
        <w:t>7．合同</w:t>
      </w:r>
    </w:p>
    <w:p w14:paraId="6DFCFF68">
      <w:pPr>
        <w:spacing w:before="120" w:line="320" w:lineRule="atLeast"/>
        <w:ind w:firstLine="422" w:firstLineChars="200"/>
        <w:outlineLvl w:val="2"/>
        <w:rPr>
          <w:b/>
          <w:bCs/>
          <w:color w:val="auto"/>
          <w:kern w:val="0"/>
          <w:szCs w:val="21"/>
          <w:highlight w:val="none"/>
        </w:rPr>
      </w:pPr>
      <w:r>
        <w:rPr>
          <w:b/>
          <w:bCs/>
          <w:color w:val="auto"/>
          <w:kern w:val="0"/>
          <w:szCs w:val="21"/>
          <w:highlight w:val="none"/>
        </w:rPr>
        <w:t>7.1合同授予标准</w:t>
      </w:r>
    </w:p>
    <w:p w14:paraId="32ED2368">
      <w:pPr>
        <w:spacing w:before="120" w:line="320" w:lineRule="atLeast"/>
        <w:ind w:firstLine="420" w:firstLineChars="200"/>
        <w:rPr>
          <w:color w:val="auto"/>
          <w:szCs w:val="21"/>
          <w:highlight w:val="none"/>
        </w:rPr>
      </w:pPr>
      <w:r>
        <w:rPr>
          <w:color w:val="auto"/>
          <w:szCs w:val="21"/>
          <w:highlight w:val="none"/>
        </w:rPr>
        <w:t>合同将授予被确定实质上响应采购文件要求，具备履行合同能力，排名第一的供应商。在</w:t>
      </w:r>
      <w:r>
        <w:rPr>
          <w:rFonts w:hint="eastAsia"/>
          <w:color w:val="auto"/>
          <w:szCs w:val="21"/>
          <w:highlight w:val="none"/>
        </w:rPr>
        <w:t>成交通知书</w:t>
      </w:r>
      <w:r>
        <w:rPr>
          <w:color w:val="auto"/>
          <w:szCs w:val="21"/>
          <w:highlight w:val="none"/>
        </w:rPr>
        <w:t>发出前或签订合同前，如果</w:t>
      </w:r>
      <w:r>
        <w:rPr>
          <w:rFonts w:hint="eastAsia"/>
          <w:color w:val="auto"/>
          <w:szCs w:val="21"/>
          <w:highlight w:val="none"/>
        </w:rPr>
        <w:t>成交供应商</w:t>
      </w:r>
      <w:r>
        <w:rPr>
          <w:color w:val="auto"/>
          <w:szCs w:val="21"/>
          <w:highlight w:val="none"/>
        </w:rPr>
        <w:t>的组织机构</w:t>
      </w:r>
      <w:r>
        <w:rPr>
          <w:rFonts w:hint="eastAsia"/>
          <w:color w:val="auto"/>
          <w:szCs w:val="21"/>
          <w:highlight w:val="none"/>
        </w:rPr>
        <w:t>、</w:t>
      </w:r>
      <w:r>
        <w:rPr>
          <w:color w:val="auto"/>
          <w:szCs w:val="21"/>
          <w:highlight w:val="none"/>
        </w:rPr>
        <w:t>经营、财务状况发生较大变化，可能造成不能履行合同、无法按照</w:t>
      </w:r>
      <w:r>
        <w:rPr>
          <w:rFonts w:hint="eastAsia"/>
          <w:color w:val="auto"/>
          <w:szCs w:val="21"/>
          <w:highlight w:val="none"/>
        </w:rPr>
        <w:t>采购文件</w:t>
      </w:r>
      <w:r>
        <w:rPr>
          <w:color w:val="auto"/>
          <w:szCs w:val="21"/>
          <w:highlight w:val="none"/>
        </w:rPr>
        <w:t>要求提交履约保证金等情形，不符合成交条件或不满足供应商资格条件要求 ，应在</w:t>
      </w:r>
      <w:r>
        <w:rPr>
          <w:rFonts w:hint="eastAsia"/>
          <w:color w:val="auto"/>
          <w:szCs w:val="21"/>
          <w:highlight w:val="none"/>
        </w:rPr>
        <w:t>成交通知书</w:t>
      </w:r>
      <w:r>
        <w:rPr>
          <w:color w:val="auto"/>
          <w:szCs w:val="21"/>
          <w:highlight w:val="none"/>
        </w:rPr>
        <w:t>发出前或签订合同前及时书面告知采购人</w:t>
      </w:r>
      <w:r>
        <w:rPr>
          <w:rFonts w:hint="eastAsia"/>
          <w:color w:val="auto"/>
          <w:szCs w:val="21"/>
          <w:highlight w:val="none"/>
        </w:rPr>
        <w:t>，</w:t>
      </w:r>
      <w:r>
        <w:rPr>
          <w:color w:val="auto"/>
          <w:szCs w:val="21"/>
          <w:highlight w:val="none"/>
        </w:rPr>
        <w:t>未主动告知</w:t>
      </w:r>
      <w:r>
        <w:rPr>
          <w:rFonts w:hint="eastAsia"/>
          <w:color w:val="auto"/>
          <w:szCs w:val="21"/>
          <w:highlight w:val="none"/>
        </w:rPr>
        <w:t>，</w:t>
      </w:r>
      <w:r>
        <w:rPr>
          <w:color w:val="auto"/>
          <w:szCs w:val="21"/>
          <w:highlight w:val="none"/>
        </w:rPr>
        <w:t>给采购人造成损失的</w:t>
      </w:r>
      <w:r>
        <w:rPr>
          <w:rFonts w:hint="eastAsia"/>
          <w:color w:val="auto"/>
          <w:szCs w:val="21"/>
          <w:highlight w:val="none"/>
        </w:rPr>
        <w:t>，</w:t>
      </w:r>
      <w:r>
        <w:rPr>
          <w:color w:val="auto"/>
          <w:szCs w:val="21"/>
          <w:highlight w:val="none"/>
        </w:rPr>
        <w:t>采购人有权</w:t>
      </w:r>
      <w:r>
        <w:rPr>
          <w:rFonts w:hint="eastAsia"/>
          <w:color w:val="auto"/>
          <w:szCs w:val="21"/>
          <w:highlight w:val="none"/>
        </w:rPr>
        <w:t>取消其成交资格并</w:t>
      </w:r>
      <w:r>
        <w:rPr>
          <w:color w:val="auto"/>
          <w:szCs w:val="21"/>
          <w:highlight w:val="none"/>
        </w:rPr>
        <w:t>没收谈判保证金</w:t>
      </w:r>
      <w:r>
        <w:rPr>
          <w:rFonts w:hint="eastAsia"/>
          <w:color w:val="auto"/>
          <w:szCs w:val="21"/>
          <w:highlight w:val="none"/>
        </w:rPr>
        <w:t>。</w:t>
      </w:r>
    </w:p>
    <w:p w14:paraId="3ECFB31A">
      <w:pPr>
        <w:spacing w:before="120" w:line="320" w:lineRule="atLeast"/>
        <w:ind w:firstLine="422" w:firstLineChars="200"/>
        <w:outlineLvl w:val="2"/>
        <w:rPr>
          <w:b/>
          <w:bCs/>
          <w:color w:val="auto"/>
          <w:kern w:val="0"/>
          <w:szCs w:val="21"/>
          <w:highlight w:val="none"/>
        </w:rPr>
      </w:pPr>
      <w:r>
        <w:rPr>
          <w:b/>
          <w:bCs/>
          <w:color w:val="auto"/>
          <w:kern w:val="0"/>
          <w:szCs w:val="21"/>
          <w:highlight w:val="none"/>
        </w:rPr>
        <w:t>7.2签订合同</w:t>
      </w:r>
    </w:p>
    <w:p w14:paraId="603633A2">
      <w:pPr>
        <w:spacing w:before="120" w:line="320" w:lineRule="atLeast"/>
        <w:ind w:firstLine="420" w:firstLineChars="200"/>
        <w:rPr>
          <w:color w:val="auto"/>
          <w:szCs w:val="21"/>
          <w:highlight w:val="none"/>
        </w:rPr>
      </w:pPr>
      <w:r>
        <w:rPr>
          <w:color w:val="auto"/>
          <w:szCs w:val="21"/>
          <w:highlight w:val="none"/>
        </w:rPr>
        <w:t>7.2.1如</w:t>
      </w:r>
      <w:r>
        <w:rPr>
          <w:rFonts w:hint="eastAsia"/>
          <w:color w:val="auto"/>
          <w:szCs w:val="21"/>
          <w:highlight w:val="none"/>
        </w:rPr>
        <w:t>采购文件</w:t>
      </w:r>
      <w:r>
        <w:rPr>
          <w:color w:val="auto"/>
          <w:szCs w:val="21"/>
          <w:highlight w:val="none"/>
        </w:rPr>
        <w:t>无</w:t>
      </w:r>
      <w:r>
        <w:rPr>
          <w:rFonts w:hint="eastAsia"/>
          <w:color w:val="auto"/>
          <w:szCs w:val="21"/>
          <w:highlight w:val="none"/>
        </w:rPr>
        <w:t>特别</w:t>
      </w:r>
      <w:r>
        <w:rPr>
          <w:color w:val="auto"/>
          <w:szCs w:val="21"/>
          <w:highlight w:val="none"/>
        </w:rPr>
        <w:t>规定，</w:t>
      </w:r>
      <w:r>
        <w:rPr>
          <w:rFonts w:hint="eastAsia"/>
          <w:color w:val="auto"/>
          <w:szCs w:val="21"/>
          <w:highlight w:val="none"/>
        </w:rPr>
        <w:t>成交供应商按采购文件确定的事项签订政府采购合同。</w:t>
      </w:r>
    </w:p>
    <w:p w14:paraId="7569E823">
      <w:pPr>
        <w:spacing w:before="120" w:line="320" w:lineRule="atLeast"/>
        <w:ind w:firstLine="420" w:firstLineChars="200"/>
        <w:rPr>
          <w:color w:val="auto"/>
          <w:szCs w:val="21"/>
          <w:highlight w:val="none"/>
        </w:rPr>
      </w:pPr>
      <w:r>
        <w:rPr>
          <w:color w:val="auto"/>
          <w:szCs w:val="21"/>
          <w:highlight w:val="none"/>
        </w:rPr>
        <w:t>7.2.2</w:t>
      </w:r>
      <w:r>
        <w:rPr>
          <w:rFonts w:hint="eastAsia"/>
          <w:color w:val="auto"/>
          <w:szCs w:val="21"/>
          <w:highlight w:val="none"/>
        </w:rPr>
        <w:t>政府采购合同应当包括采购人与成交供应商的名称和住所、标的、数量、质量、价款或者报酬、履行期限及地点和方式、验收要求、违约责任、解决争议的方法等内容。</w:t>
      </w:r>
      <w:r>
        <w:rPr>
          <w:color w:val="auto"/>
          <w:szCs w:val="21"/>
          <w:highlight w:val="none"/>
        </w:rPr>
        <w:t>采购文件、成交供应商的响应文件及澄清文件等，均为签订政府采购合同的依据。</w:t>
      </w:r>
    </w:p>
    <w:p w14:paraId="60219639">
      <w:pPr>
        <w:spacing w:before="120" w:line="320" w:lineRule="atLeast"/>
        <w:ind w:firstLine="420" w:firstLineChars="200"/>
        <w:rPr>
          <w:color w:val="auto"/>
          <w:szCs w:val="21"/>
          <w:highlight w:val="none"/>
        </w:rPr>
      </w:pPr>
      <w:r>
        <w:rPr>
          <w:color w:val="auto"/>
          <w:szCs w:val="21"/>
          <w:highlight w:val="none"/>
        </w:rPr>
        <w:t>7.2.3如成交供应商不按成交通知书的规定签订合同，</w:t>
      </w:r>
      <w:r>
        <w:rPr>
          <w:rFonts w:hint="eastAsia"/>
          <w:color w:val="auto"/>
          <w:szCs w:val="21"/>
          <w:highlight w:val="none"/>
        </w:rPr>
        <w:t>其谈判保证金将不予退还，并报由同级政府采购监督管理部门处理。</w:t>
      </w:r>
    </w:p>
    <w:p w14:paraId="6C3CA498">
      <w:pPr>
        <w:spacing w:before="120" w:line="320" w:lineRule="atLeast"/>
        <w:ind w:firstLine="420" w:firstLineChars="200"/>
        <w:rPr>
          <w:color w:val="auto"/>
          <w:szCs w:val="21"/>
          <w:highlight w:val="none"/>
        </w:rPr>
      </w:pPr>
      <w:r>
        <w:rPr>
          <w:rFonts w:hint="eastAsia"/>
          <w:color w:val="auto"/>
          <w:szCs w:val="21"/>
          <w:highlight w:val="none"/>
        </w:rPr>
        <w:t>7</w:t>
      </w:r>
      <w:r>
        <w:rPr>
          <w:color w:val="auto"/>
          <w:szCs w:val="21"/>
          <w:highlight w:val="none"/>
        </w:rPr>
        <w:t>.2.4</w:t>
      </w:r>
      <w:r>
        <w:rPr>
          <w:rFonts w:hint="eastAsia"/>
          <w:color w:val="auto"/>
          <w:szCs w:val="21"/>
          <w:highlight w:val="none"/>
        </w:rPr>
        <w:t>成交供应商拒绝与采购人签订合同的，采购人可以按照评审报告推荐的成交候选人名单排序，确定下一候选人为成交供应商，也可以重新开展政府采购活动。</w:t>
      </w:r>
    </w:p>
    <w:p w14:paraId="307E6EEF">
      <w:pPr>
        <w:spacing w:before="120" w:line="320" w:lineRule="atLeast"/>
        <w:ind w:firstLine="420" w:firstLineChars="200"/>
        <w:rPr>
          <w:rFonts w:hint="eastAsia"/>
          <w:color w:val="auto"/>
          <w:szCs w:val="21"/>
          <w:highlight w:val="none"/>
        </w:rPr>
      </w:pPr>
      <w:bookmarkStart w:id="73" w:name="_Hlk155170999"/>
      <w:r>
        <w:rPr>
          <w:rFonts w:hint="eastAsia"/>
          <w:color w:val="auto"/>
          <w:szCs w:val="21"/>
          <w:highlight w:val="none"/>
        </w:rPr>
        <w:t>7</w:t>
      </w:r>
      <w:r>
        <w:rPr>
          <w:color w:val="auto"/>
          <w:szCs w:val="21"/>
          <w:highlight w:val="none"/>
        </w:rPr>
        <w:t>.2.5</w:t>
      </w:r>
      <w:r>
        <w:rPr>
          <w:rFonts w:hint="eastAsia"/>
          <w:color w:val="auto"/>
          <w:szCs w:val="21"/>
          <w:highlight w:val="none"/>
        </w:rPr>
        <w:t>采购人因不可抗力原因迟延签订合同的，应当自不可抗力事由消除之日起7日内完成合同签订事宜。</w:t>
      </w:r>
      <w:bookmarkEnd w:id="73"/>
    </w:p>
    <w:p w14:paraId="101F7CA4">
      <w:pPr>
        <w:spacing w:before="120" w:line="320" w:lineRule="atLeast"/>
        <w:ind w:firstLine="422" w:firstLineChars="200"/>
        <w:outlineLvl w:val="2"/>
        <w:rPr>
          <w:b/>
          <w:bCs/>
          <w:color w:val="auto"/>
          <w:kern w:val="0"/>
          <w:szCs w:val="21"/>
          <w:highlight w:val="none"/>
        </w:rPr>
      </w:pPr>
      <w:r>
        <w:rPr>
          <w:b/>
          <w:bCs/>
          <w:color w:val="auto"/>
          <w:kern w:val="0"/>
          <w:szCs w:val="21"/>
          <w:highlight w:val="none"/>
        </w:rPr>
        <w:t>7.3合同公告</w:t>
      </w:r>
    </w:p>
    <w:p w14:paraId="08B26FDA">
      <w:pPr>
        <w:spacing w:before="120" w:line="320" w:lineRule="atLeast"/>
        <w:ind w:firstLine="420" w:firstLineChars="200"/>
        <w:rPr>
          <w:color w:val="auto"/>
          <w:szCs w:val="21"/>
          <w:highlight w:val="none"/>
        </w:rPr>
      </w:pPr>
      <w:r>
        <w:rPr>
          <w:color w:val="auto"/>
          <w:szCs w:val="21"/>
          <w:highlight w:val="none"/>
        </w:rPr>
        <w:t>7.3.1如</w:t>
      </w:r>
      <w:r>
        <w:rPr>
          <w:rFonts w:hint="eastAsia"/>
          <w:color w:val="auto"/>
          <w:szCs w:val="21"/>
          <w:highlight w:val="none"/>
        </w:rPr>
        <w:t>采购文件</w:t>
      </w:r>
      <w:r>
        <w:rPr>
          <w:color w:val="auto"/>
          <w:szCs w:val="21"/>
          <w:highlight w:val="none"/>
        </w:rPr>
        <w:t>无特殊规定</w:t>
      </w:r>
      <w:r>
        <w:rPr>
          <w:rFonts w:hint="eastAsia"/>
          <w:color w:val="auto"/>
          <w:szCs w:val="21"/>
          <w:highlight w:val="none"/>
        </w:rPr>
        <w:t>，</w:t>
      </w:r>
      <w:r>
        <w:rPr>
          <w:color w:val="auto"/>
          <w:szCs w:val="21"/>
          <w:highlight w:val="none"/>
        </w:rPr>
        <w:t>成交供应商应在签订合同后1个工作日内，将政府采购合同副本送采购代理机构</w:t>
      </w:r>
      <w:r>
        <w:rPr>
          <w:rFonts w:hint="eastAsia"/>
          <w:color w:val="auto"/>
          <w:szCs w:val="21"/>
          <w:highlight w:val="none"/>
        </w:rPr>
        <w:t>存档</w:t>
      </w:r>
      <w:r>
        <w:rPr>
          <w:color w:val="auto"/>
          <w:szCs w:val="21"/>
          <w:highlight w:val="none"/>
        </w:rPr>
        <w:t>。</w:t>
      </w:r>
    </w:p>
    <w:p w14:paraId="417857A5">
      <w:pPr>
        <w:spacing w:before="120" w:line="320" w:lineRule="atLeast"/>
        <w:ind w:firstLine="420" w:firstLineChars="200"/>
        <w:rPr>
          <w:color w:val="auto"/>
          <w:szCs w:val="21"/>
          <w:highlight w:val="none"/>
        </w:rPr>
      </w:pPr>
      <w:r>
        <w:rPr>
          <w:color w:val="auto"/>
          <w:szCs w:val="21"/>
          <w:highlight w:val="none"/>
        </w:rPr>
        <w:t>7.3.2采购人应当自政府采购合同签订之日起2个工作日内，将政府采购合同在省级以上人民政府财政部门指定的媒体上公告，但政府采购合同中涉及国家秘密、商业秘密的内容除外。</w:t>
      </w:r>
    </w:p>
    <w:p w14:paraId="276AB18A">
      <w:pPr>
        <w:spacing w:before="120" w:line="320" w:lineRule="atLeast"/>
        <w:ind w:firstLine="420" w:firstLineChars="200"/>
        <w:rPr>
          <w:rFonts w:hint="eastAsia"/>
          <w:color w:val="auto"/>
          <w:szCs w:val="21"/>
          <w:highlight w:val="none"/>
        </w:rPr>
      </w:pPr>
      <w:bookmarkStart w:id="74" w:name="_Hlk155171014"/>
      <w:r>
        <w:rPr>
          <w:rFonts w:hint="eastAsia"/>
          <w:color w:val="auto"/>
          <w:szCs w:val="21"/>
          <w:highlight w:val="none"/>
        </w:rPr>
        <w:t>7</w:t>
      </w:r>
      <w:r>
        <w:rPr>
          <w:color w:val="auto"/>
          <w:szCs w:val="21"/>
          <w:highlight w:val="none"/>
        </w:rPr>
        <w:t xml:space="preserve">.3.3 </w:t>
      </w:r>
      <w:r>
        <w:rPr>
          <w:rFonts w:hint="eastAsia"/>
          <w:color w:val="auto"/>
          <w:szCs w:val="21"/>
          <w:highlight w:val="none"/>
        </w:rPr>
        <w:t>政府采购合同双方不得擅自变更合同，依照政府采购法确需变更政府采购合同内容的，采购人应当自合同变更之日起2个工作日内在省级以上财政部门指定的媒体上发布政府采购合同变更公告，但涉及国家秘密、商业秘密的信息和其他依法不得公开的信息除外。</w:t>
      </w:r>
      <w:bookmarkEnd w:id="74"/>
    </w:p>
    <w:p w14:paraId="2E3156E0">
      <w:pPr>
        <w:spacing w:before="120" w:line="320" w:lineRule="atLeast"/>
        <w:ind w:firstLine="422" w:firstLineChars="200"/>
        <w:outlineLvl w:val="2"/>
        <w:rPr>
          <w:b/>
          <w:bCs/>
          <w:color w:val="auto"/>
          <w:kern w:val="0"/>
          <w:szCs w:val="21"/>
          <w:highlight w:val="none"/>
        </w:rPr>
      </w:pPr>
      <w:r>
        <w:rPr>
          <w:b/>
          <w:bCs/>
          <w:color w:val="auto"/>
          <w:kern w:val="0"/>
          <w:szCs w:val="21"/>
          <w:highlight w:val="none"/>
        </w:rPr>
        <w:t>7.4 履行合同</w:t>
      </w:r>
    </w:p>
    <w:p w14:paraId="2420E5FB">
      <w:pPr>
        <w:spacing w:before="120" w:line="320" w:lineRule="atLeast"/>
        <w:ind w:firstLine="420" w:firstLineChars="200"/>
        <w:rPr>
          <w:color w:val="auto"/>
          <w:szCs w:val="21"/>
          <w:highlight w:val="none"/>
        </w:rPr>
      </w:pPr>
      <w:bookmarkStart w:id="75" w:name="_Toc217446070"/>
      <w:bookmarkStart w:id="76" w:name="_Toc308164814"/>
      <w:r>
        <w:rPr>
          <w:color w:val="auto"/>
          <w:szCs w:val="21"/>
          <w:highlight w:val="none"/>
        </w:rPr>
        <w:t>7.4.1</w:t>
      </w:r>
      <w:r>
        <w:rPr>
          <w:rFonts w:hint="eastAsia"/>
          <w:color w:val="auto"/>
          <w:szCs w:val="21"/>
          <w:highlight w:val="none"/>
        </w:rPr>
        <w:t>采购人与成交供应商签订合同后，政府采购合同的履行、违约责任和解决争议的方法等适用《中华人民共和国民法典》。合同双方应严格执行合同条款，履行合同规定的义务，保证合同的顺利完成。双方均不得擅自变更、中止或者终止政府采购合同。</w:t>
      </w:r>
    </w:p>
    <w:p w14:paraId="239A282F">
      <w:pPr>
        <w:spacing w:before="120" w:line="320" w:lineRule="atLeast"/>
        <w:ind w:firstLine="422" w:firstLineChars="200"/>
        <w:rPr>
          <w:b/>
          <w:bCs/>
          <w:color w:val="auto"/>
          <w:kern w:val="0"/>
          <w:szCs w:val="21"/>
          <w:highlight w:val="none"/>
        </w:rPr>
      </w:pPr>
      <w:r>
        <w:rPr>
          <w:b/>
          <w:bCs/>
          <w:color w:val="auto"/>
          <w:kern w:val="0"/>
          <w:szCs w:val="21"/>
          <w:highlight w:val="none"/>
        </w:rPr>
        <w:t>7.5履约验收</w:t>
      </w:r>
      <w:bookmarkEnd w:id="75"/>
      <w:bookmarkEnd w:id="76"/>
    </w:p>
    <w:p w14:paraId="48A87CF5">
      <w:pPr>
        <w:spacing w:before="120" w:line="320" w:lineRule="atLeast"/>
        <w:ind w:firstLine="420" w:firstLineChars="200"/>
        <w:rPr>
          <w:color w:val="auto"/>
          <w:szCs w:val="21"/>
          <w:highlight w:val="none"/>
        </w:rPr>
      </w:pPr>
      <w:r>
        <w:rPr>
          <w:color w:val="auto"/>
          <w:szCs w:val="21"/>
          <w:highlight w:val="none"/>
        </w:rPr>
        <w:t>7.5.1采购人可以根据政府采购项目具体情况自行组织验收，或者委托政府采购代理机构、国家认可的质量检测机构开展采购项目履约验收工作。</w:t>
      </w:r>
    </w:p>
    <w:p w14:paraId="1EBF0198">
      <w:pPr>
        <w:spacing w:before="120" w:line="320" w:lineRule="atLeast"/>
        <w:ind w:firstLine="420" w:firstLineChars="200"/>
        <w:rPr>
          <w:color w:val="auto"/>
          <w:szCs w:val="21"/>
          <w:highlight w:val="none"/>
        </w:rPr>
      </w:pPr>
      <w:r>
        <w:rPr>
          <w:color w:val="auto"/>
          <w:szCs w:val="21"/>
          <w:highlight w:val="none"/>
        </w:rPr>
        <w:t>7.5.2验收结果合格的，成交供应商可向采购人申请办理履约保证金（如有）的退付手续；验收结果不合格的，履约保证金（如有）将不予退还，并按合同约定处理，还可能会报告本项目同级财政部门并按照政府采购法律法规及有关规定给予行政处罚或者以失信行为记入诚信档案。</w:t>
      </w:r>
    </w:p>
    <w:p w14:paraId="57524BA6">
      <w:pPr>
        <w:spacing w:before="120" w:line="320" w:lineRule="atLeast"/>
        <w:ind w:firstLine="420" w:firstLineChars="200"/>
        <w:rPr>
          <w:color w:val="auto"/>
          <w:szCs w:val="21"/>
          <w:highlight w:val="none"/>
        </w:rPr>
      </w:pPr>
      <w:r>
        <w:rPr>
          <w:color w:val="auto"/>
          <w:szCs w:val="21"/>
          <w:highlight w:val="none"/>
        </w:rPr>
        <w:t>7.5.3采购合同项目完成验收后，采购人应当将验收原始记录、验收书等资料作为该采购项目档案妥善保管，不得伪造、变造、隐匿或者销毁，验收资料保存期为采购结束之日起至少保存15年。</w:t>
      </w:r>
    </w:p>
    <w:p w14:paraId="51138082">
      <w:pPr>
        <w:spacing w:before="120" w:line="320" w:lineRule="atLeast"/>
        <w:ind w:firstLine="420" w:firstLineChars="200"/>
        <w:rPr>
          <w:color w:val="auto"/>
          <w:szCs w:val="21"/>
          <w:highlight w:val="none"/>
        </w:rPr>
      </w:pPr>
      <w:r>
        <w:rPr>
          <w:color w:val="auto"/>
          <w:szCs w:val="21"/>
          <w:highlight w:val="none"/>
        </w:rPr>
        <w:t>7.5.4本项目将严格按照本采购文件及合同有关规定进行合同履约验收。采购文件或合同未规定的按财政部关于进一步加强政府采购需求和履约验收管理的指导意见（财库〔2016〕205号）以及《广西壮族自治区政府采购项目履约验收管理办法》（桂财采〔2015〕22号）的规定执行。</w:t>
      </w:r>
    </w:p>
    <w:p w14:paraId="4D3F6E22">
      <w:pPr>
        <w:spacing w:before="120" w:line="320" w:lineRule="atLeast"/>
        <w:ind w:left="2" w:leftChars="1" w:firstLine="422" w:firstLineChars="200"/>
        <w:outlineLvl w:val="1"/>
        <w:rPr>
          <w:b/>
          <w:bCs/>
          <w:color w:val="auto"/>
          <w:kern w:val="0"/>
          <w:szCs w:val="21"/>
          <w:highlight w:val="none"/>
        </w:rPr>
      </w:pPr>
      <w:bookmarkStart w:id="77" w:name="_Toc254970674"/>
      <w:bookmarkStart w:id="78" w:name="_Toc254970533"/>
      <w:r>
        <w:rPr>
          <w:b/>
          <w:bCs/>
          <w:color w:val="auto"/>
          <w:kern w:val="0"/>
          <w:szCs w:val="21"/>
          <w:highlight w:val="none"/>
        </w:rPr>
        <w:t>8．质疑和投诉</w:t>
      </w:r>
      <w:bookmarkEnd w:id="77"/>
      <w:bookmarkEnd w:id="78"/>
    </w:p>
    <w:p w14:paraId="1E75DE71">
      <w:pPr>
        <w:spacing w:before="120" w:line="320" w:lineRule="atLeast"/>
        <w:ind w:firstLine="422" w:firstLineChars="200"/>
        <w:outlineLvl w:val="2"/>
        <w:rPr>
          <w:b/>
          <w:bCs/>
          <w:color w:val="auto"/>
          <w:kern w:val="0"/>
          <w:szCs w:val="21"/>
          <w:highlight w:val="none"/>
        </w:rPr>
      </w:pPr>
      <w:r>
        <w:rPr>
          <w:b/>
          <w:bCs/>
          <w:color w:val="auto"/>
          <w:kern w:val="0"/>
          <w:szCs w:val="21"/>
          <w:highlight w:val="none"/>
        </w:rPr>
        <w:t>8.1质疑</w:t>
      </w:r>
    </w:p>
    <w:p w14:paraId="58F87837">
      <w:pPr>
        <w:spacing w:before="120" w:line="320" w:lineRule="atLeast"/>
        <w:ind w:firstLine="420" w:firstLineChars="200"/>
        <w:rPr>
          <w:color w:val="auto"/>
          <w:szCs w:val="21"/>
          <w:highlight w:val="none"/>
        </w:rPr>
      </w:pPr>
      <w:r>
        <w:rPr>
          <w:color w:val="auto"/>
          <w:szCs w:val="21"/>
          <w:highlight w:val="none"/>
        </w:rPr>
        <w:t>8.1.1质疑内容、时限</w:t>
      </w:r>
    </w:p>
    <w:p w14:paraId="61C91FC4">
      <w:pPr>
        <w:spacing w:before="120" w:line="320" w:lineRule="atLeast"/>
        <w:ind w:firstLine="420" w:firstLineChars="200"/>
        <w:rPr>
          <w:color w:val="auto"/>
          <w:szCs w:val="21"/>
          <w:highlight w:val="none"/>
        </w:rPr>
      </w:pPr>
      <w:r>
        <w:rPr>
          <w:rFonts w:hint="eastAsia"/>
          <w:color w:val="auto"/>
          <w:szCs w:val="21"/>
          <w:highlight w:val="none"/>
        </w:rPr>
        <w:t>（1）供应商对政府采购活动有疑问的，可以向采购人或采购代理机构提出询问。采购人或者采购代理机构应当在3个工作日内对供应商依法提出的询问作出答复。</w:t>
      </w:r>
    </w:p>
    <w:p w14:paraId="09AA37AB">
      <w:pPr>
        <w:spacing w:before="120" w:line="320" w:lineRule="atLeast"/>
        <w:ind w:firstLine="420" w:firstLineChars="200"/>
        <w:rPr>
          <w:color w:val="auto"/>
          <w:szCs w:val="21"/>
          <w:highlight w:val="none"/>
        </w:rPr>
      </w:pPr>
      <w:r>
        <w:rPr>
          <w:rFonts w:hint="eastAsia"/>
          <w:color w:val="auto"/>
          <w:szCs w:val="21"/>
          <w:highlight w:val="none"/>
        </w:rPr>
        <w:t>（2）供应商为认为采购文件、采购过程、中标或者成交结果使自己的权益受到损害的，可以在知道或者应知其权益受到损害之日起7个工作日内向采购人或采购代理机构提出质疑。采购人或</w:t>
      </w:r>
      <w:r>
        <w:rPr>
          <w:color w:val="auto"/>
          <w:szCs w:val="21"/>
          <w:highlight w:val="none"/>
        </w:rPr>
        <w:t>采购代理机构在收到供应商书面质疑后7个工作日内，对质疑内容作出答复。</w:t>
      </w:r>
    </w:p>
    <w:p w14:paraId="607FDCD2">
      <w:pPr>
        <w:spacing w:before="120" w:line="320" w:lineRule="atLeast"/>
        <w:ind w:firstLine="420" w:firstLineChars="200"/>
        <w:rPr>
          <w:color w:val="auto"/>
          <w:szCs w:val="21"/>
          <w:highlight w:val="none"/>
        </w:rPr>
      </w:pPr>
      <w:r>
        <w:rPr>
          <w:color w:val="auto"/>
          <w:szCs w:val="21"/>
          <w:highlight w:val="none"/>
        </w:rPr>
        <w:t>8.1.2质疑形式</w:t>
      </w:r>
    </w:p>
    <w:p w14:paraId="7315F2F1">
      <w:pPr>
        <w:spacing w:before="120" w:line="320" w:lineRule="atLeast"/>
        <w:ind w:firstLine="420" w:firstLineChars="200"/>
        <w:rPr>
          <w:color w:val="auto"/>
          <w:szCs w:val="21"/>
          <w:highlight w:val="none"/>
        </w:rPr>
      </w:pPr>
      <w:r>
        <w:rPr>
          <w:color w:val="auto"/>
          <w:szCs w:val="21"/>
          <w:highlight w:val="none"/>
        </w:rPr>
        <w:t>质疑应当采用</w:t>
      </w:r>
      <w:r>
        <w:rPr>
          <w:rFonts w:hint="eastAsia"/>
          <w:color w:val="auto"/>
          <w:szCs w:val="21"/>
          <w:highlight w:val="none"/>
        </w:rPr>
        <w:t>供应商</w:t>
      </w:r>
      <w:r>
        <w:rPr>
          <w:color w:val="auto"/>
          <w:szCs w:val="21"/>
          <w:highlight w:val="none"/>
        </w:rPr>
        <w:t>须知前附表所规定的形式，质疑书应明确阐述</w:t>
      </w:r>
      <w:r>
        <w:rPr>
          <w:rFonts w:hint="eastAsia"/>
          <w:color w:val="auto"/>
          <w:szCs w:val="21"/>
          <w:highlight w:val="none"/>
        </w:rPr>
        <w:t>采购文件</w:t>
      </w:r>
      <w:r>
        <w:rPr>
          <w:color w:val="auto"/>
          <w:szCs w:val="21"/>
          <w:highlight w:val="none"/>
        </w:rPr>
        <w:t>、</w:t>
      </w:r>
      <w:r>
        <w:rPr>
          <w:rFonts w:hint="eastAsia"/>
          <w:color w:val="auto"/>
          <w:szCs w:val="21"/>
          <w:highlight w:val="none"/>
        </w:rPr>
        <w:t>采购</w:t>
      </w:r>
      <w:r>
        <w:rPr>
          <w:color w:val="auto"/>
          <w:szCs w:val="21"/>
          <w:highlight w:val="none"/>
        </w:rPr>
        <w:t>过程或成交结果中使自己合法权益受到损害的实质性内容，提供相关事实、依据和证据及其来源或线索，便于有关单位调查、答复和处理。</w:t>
      </w:r>
    </w:p>
    <w:p w14:paraId="5C58664A">
      <w:pPr>
        <w:spacing w:before="120" w:line="320" w:lineRule="atLeast"/>
        <w:ind w:firstLine="420" w:firstLineChars="200"/>
        <w:rPr>
          <w:color w:val="auto"/>
          <w:szCs w:val="21"/>
          <w:highlight w:val="none"/>
        </w:rPr>
      </w:pPr>
      <w:r>
        <w:rPr>
          <w:rFonts w:hint="eastAsia"/>
          <w:color w:val="auto"/>
          <w:szCs w:val="21"/>
          <w:highlight w:val="none"/>
        </w:rPr>
        <w:t>8</w:t>
      </w:r>
      <w:r>
        <w:rPr>
          <w:color w:val="auto"/>
          <w:szCs w:val="21"/>
          <w:highlight w:val="none"/>
        </w:rPr>
        <w:t>.1.3</w:t>
      </w:r>
      <w:r>
        <w:rPr>
          <w:rFonts w:hint="eastAsia"/>
          <w:color w:val="auto"/>
          <w:highlight w:val="none"/>
        </w:rPr>
        <w:t xml:space="preserve"> </w:t>
      </w:r>
      <w:r>
        <w:rPr>
          <w:rFonts w:hint="eastAsia"/>
          <w:color w:val="auto"/>
          <w:szCs w:val="21"/>
          <w:highlight w:val="none"/>
        </w:rPr>
        <w:t>供应商提出质疑应当提交质疑函和必要的证明材料。质疑函应当包括下列内容：</w:t>
      </w:r>
    </w:p>
    <w:p w14:paraId="1978BAED">
      <w:pPr>
        <w:spacing w:before="120" w:line="320" w:lineRule="atLeast"/>
        <w:ind w:firstLine="420" w:firstLineChars="200"/>
        <w:rPr>
          <w:color w:val="auto"/>
          <w:szCs w:val="21"/>
          <w:highlight w:val="none"/>
        </w:rPr>
      </w:pPr>
      <w:r>
        <w:rPr>
          <w:rFonts w:hint="eastAsia"/>
          <w:color w:val="auto"/>
          <w:szCs w:val="21"/>
          <w:highlight w:val="none"/>
        </w:rPr>
        <w:t>（1）</w:t>
      </w:r>
      <w:r>
        <w:rPr>
          <w:rFonts w:hint="eastAsia"/>
          <w:color w:val="auto"/>
          <w:szCs w:val="21"/>
          <w:highlight w:val="none"/>
        </w:rPr>
        <w:tab/>
      </w:r>
      <w:r>
        <w:rPr>
          <w:rFonts w:hint="eastAsia"/>
          <w:color w:val="auto"/>
          <w:szCs w:val="21"/>
          <w:highlight w:val="none"/>
        </w:rPr>
        <w:t>供应商的姓名或者名称、地址、邮编、联系人及联系电话；</w:t>
      </w:r>
    </w:p>
    <w:p w14:paraId="59BD819C">
      <w:pPr>
        <w:spacing w:before="120" w:line="320" w:lineRule="atLeast"/>
        <w:ind w:firstLine="420" w:firstLineChars="200"/>
        <w:rPr>
          <w:color w:val="auto"/>
          <w:szCs w:val="21"/>
          <w:highlight w:val="none"/>
        </w:rPr>
      </w:pPr>
      <w:r>
        <w:rPr>
          <w:rFonts w:hint="eastAsia"/>
          <w:color w:val="auto"/>
          <w:szCs w:val="21"/>
          <w:highlight w:val="none"/>
        </w:rPr>
        <w:t>（2）</w:t>
      </w:r>
      <w:r>
        <w:rPr>
          <w:rFonts w:hint="eastAsia"/>
          <w:color w:val="auto"/>
          <w:szCs w:val="21"/>
          <w:highlight w:val="none"/>
        </w:rPr>
        <w:tab/>
      </w:r>
      <w:r>
        <w:rPr>
          <w:rFonts w:hint="eastAsia"/>
          <w:color w:val="auto"/>
          <w:szCs w:val="21"/>
          <w:highlight w:val="none"/>
        </w:rPr>
        <w:t>质疑项目的名称、编号；</w:t>
      </w:r>
    </w:p>
    <w:p w14:paraId="46BB85D2">
      <w:pPr>
        <w:spacing w:before="120" w:line="320" w:lineRule="atLeast"/>
        <w:ind w:firstLine="420" w:firstLineChars="200"/>
        <w:rPr>
          <w:color w:val="auto"/>
          <w:szCs w:val="21"/>
          <w:highlight w:val="none"/>
        </w:rPr>
      </w:pPr>
      <w:r>
        <w:rPr>
          <w:rFonts w:hint="eastAsia"/>
          <w:color w:val="auto"/>
          <w:szCs w:val="21"/>
          <w:highlight w:val="none"/>
        </w:rPr>
        <w:t>（3）</w:t>
      </w:r>
      <w:r>
        <w:rPr>
          <w:rFonts w:hint="eastAsia"/>
          <w:color w:val="auto"/>
          <w:szCs w:val="21"/>
          <w:highlight w:val="none"/>
        </w:rPr>
        <w:tab/>
      </w:r>
      <w:r>
        <w:rPr>
          <w:rFonts w:hint="eastAsia"/>
          <w:color w:val="auto"/>
          <w:szCs w:val="21"/>
          <w:highlight w:val="none"/>
        </w:rPr>
        <w:t>具体、明确的质疑事项和与质疑事项相关的请求；</w:t>
      </w:r>
    </w:p>
    <w:p w14:paraId="0B68A8E2">
      <w:pPr>
        <w:spacing w:before="120" w:line="320" w:lineRule="atLeast"/>
        <w:ind w:firstLine="420" w:firstLineChars="200"/>
        <w:rPr>
          <w:color w:val="auto"/>
          <w:szCs w:val="21"/>
          <w:highlight w:val="none"/>
        </w:rPr>
      </w:pPr>
      <w:r>
        <w:rPr>
          <w:rFonts w:hint="eastAsia"/>
          <w:color w:val="auto"/>
          <w:szCs w:val="21"/>
          <w:highlight w:val="none"/>
        </w:rPr>
        <w:t>（4）</w:t>
      </w:r>
      <w:r>
        <w:rPr>
          <w:rFonts w:hint="eastAsia"/>
          <w:color w:val="auto"/>
          <w:szCs w:val="21"/>
          <w:highlight w:val="none"/>
        </w:rPr>
        <w:tab/>
      </w:r>
      <w:r>
        <w:rPr>
          <w:rFonts w:hint="eastAsia"/>
          <w:color w:val="auto"/>
          <w:szCs w:val="21"/>
          <w:highlight w:val="none"/>
        </w:rPr>
        <w:t>事实依据；</w:t>
      </w:r>
    </w:p>
    <w:p w14:paraId="7B030905">
      <w:pPr>
        <w:spacing w:before="120" w:line="320" w:lineRule="atLeast"/>
        <w:ind w:firstLine="420" w:firstLineChars="200"/>
        <w:rPr>
          <w:color w:val="auto"/>
          <w:szCs w:val="21"/>
          <w:highlight w:val="none"/>
        </w:rPr>
      </w:pPr>
      <w:r>
        <w:rPr>
          <w:rFonts w:hint="eastAsia"/>
          <w:color w:val="auto"/>
          <w:szCs w:val="21"/>
          <w:highlight w:val="none"/>
        </w:rPr>
        <w:t>（5）</w:t>
      </w:r>
      <w:r>
        <w:rPr>
          <w:rFonts w:hint="eastAsia"/>
          <w:color w:val="auto"/>
          <w:szCs w:val="21"/>
          <w:highlight w:val="none"/>
        </w:rPr>
        <w:tab/>
      </w:r>
      <w:r>
        <w:rPr>
          <w:rFonts w:hint="eastAsia"/>
          <w:color w:val="auto"/>
          <w:szCs w:val="21"/>
          <w:highlight w:val="none"/>
        </w:rPr>
        <w:t>必要的法律依据；</w:t>
      </w:r>
    </w:p>
    <w:p w14:paraId="38C29C6F">
      <w:pPr>
        <w:spacing w:before="120" w:line="320" w:lineRule="atLeast"/>
        <w:ind w:firstLine="420" w:firstLineChars="200"/>
        <w:rPr>
          <w:color w:val="auto"/>
          <w:szCs w:val="21"/>
          <w:highlight w:val="none"/>
        </w:rPr>
      </w:pPr>
      <w:r>
        <w:rPr>
          <w:rFonts w:hint="eastAsia"/>
          <w:color w:val="auto"/>
          <w:szCs w:val="21"/>
          <w:highlight w:val="none"/>
        </w:rPr>
        <w:t>（6）</w:t>
      </w:r>
      <w:r>
        <w:rPr>
          <w:rFonts w:hint="eastAsia"/>
          <w:color w:val="auto"/>
          <w:szCs w:val="21"/>
          <w:highlight w:val="none"/>
        </w:rPr>
        <w:tab/>
      </w:r>
      <w:r>
        <w:rPr>
          <w:rFonts w:hint="eastAsia"/>
          <w:color w:val="auto"/>
          <w:szCs w:val="21"/>
          <w:highlight w:val="none"/>
        </w:rPr>
        <w:t>提出质疑的日期。</w:t>
      </w:r>
    </w:p>
    <w:p w14:paraId="7766C0B2">
      <w:pPr>
        <w:spacing w:before="120" w:line="320" w:lineRule="atLeast"/>
        <w:ind w:firstLine="420" w:firstLineChars="200"/>
        <w:rPr>
          <w:color w:val="auto"/>
          <w:szCs w:val="21"/>
          <w:highlight w:val="none"/>
        </w:rPr>
      </w:pPr>
      <w:r>
        <w:rPr>
          <w:rFonts w:hint="eastAsia"/>
          <w:color w:val="auto"/>
          <w:szCs w:val="21"/>
          <w:highlight w:val="none"/>
        </w:rPr>
        <w:t>供应商为自然人的，应当由本人签字；供应商为法人或者其他组织的，应当由法定代表人、主要负责人，或者其授权代表签字或者盖章，并加盖公章。</w:t>
      </w:r>
      <w:r>
        <w:rPr>
          <w:color w:val="auto"/>
          <w:szCs w:val="21"/>
          <w:highlight w:val="none"/>
        </w:rPr>
        <w:t xml:space="preserve"> </w:t>
      </w:r>
    </w:p>
    <w:p w14:paraId="260CC84D">
      <w:pPr>
        <w:spacing w:before="120" w:line="320" w:lineRule="atLeast"/>
        <w:ind w:firstLine="422" w:firstLineChars="200"/>
        <w:outlineLvl w:val="2"/>
        <w:rPr>
          <w:b/>
          <w:bCs/>
          <w:color w:val="auto"/>
          <w:kern w:val="0"/>
          <w:szCs w:val="21"/>
          <w:highlight w:val="none"/>
        </w:rPr>
      </w:pPr>
      <w:r>
        <w:rPr>
          <w:b/>
          <w:bCs/>
          <w:color w:val="auto"/>
          <w:kern w:val="0"/>
          <w:szCs w:val="21"/>
          <w:highlight w:val="none"/>
        </w:rPr>
        <w:t>8.2投诉</w:t>
      </w:r>
    </w:p>
    <w:p w14:paraId="08E2D4E5">
      <w:pPr>
        <w:spacing w:before="120" w:line="320" w:lineRule="atLeast"/>
        <w:ind w:firstLine="420" w:firstLineChars="200"/>
        <w:rPr>
          <w:color w:val="auto"/>
          <w:szCs w:val="21"/>
          <w:highlight w:val="none"/>
        </w:rPr>
      </w:pPr>
      <w:r>
        <w:rPr>
          <w:color w:val="auto"/>
          <w:szCs w:val="21"/>
          <w:highlight w:val="none"/>
        </w:rPr>
        <w:t>8.2.1供应商对采购人、采购代理机构的答复不满意，或者采购人、采购代理机构未在规定时间内答复的，可在答复期满后15个工作日内按有关规定，向同级财政部门投诉。</w:t>
      </w:r>
    </w:p>
    <w:p w14:paraId="666E8252">
      <w:pPr>
        <w:spacing w:before="120" w:line="320" w:lineRule="atLeast"/>
        <w:ind w:firstLine="420" w:firstLineChars="200"/>
        <w:rPr>
          <w:color w:val="auto"/>
          <w:szCs w:val="21"/>
          <w:highlight w:val="none"/>
        </w:rPr>
      </w:pPr>
      <w:r>
        <w:rPr>
          <w:color w:val="auto"/>
          <w:szCs w:val="21"/>
          <w:highlight w:val="none"/>
        </w:rPr>
        <w:t>8.2.</w:t>
      </w:r>
      <w:r>
        <w:rPr>
          <w:rFonts w:hint="eastAsia"/>
          <w:color w:val="auto"/>
          <w:szCs w:val="21"/>
          <w:highlight w:val="none"/>
        </w:rPr>
        <w:t>2投诉</w:t>
      </w:r>
      <w:r>
        <w:rPr>
          <w:color w:val="auto"/>
          <w:szCs w:val="21"/>
          <w:highlight w:val="none"/>
        </w:rPr>
        <w:t>书应使用财政部发布的</w:t>
      </w:r>
      <w:r>
        <w:rPr>
          <w:rFonts w:hint="eastAsia"/>
          <w:color w:val="auto"/>
          <w:szCs w:val="21"/>
          <w:highlight w:val="none"/>
        </w:rPr>
        <w:t>政府采购供应投诉书范本，并应按照“投诉书制作说明”进行编写。</w:t>
      </w:r>
    </w:p>
    <w:p w14:paraId="367AADC5">
      <w:pPr>
        <w:spacing w:before="120" w:line="320" w:lineRule="atLeast"/>
        <w:ind w:left="2" w:leftChars="1" w:firstLine="422" w:firstLineChars="200"/>
        <w:outlineLvl w:val="1"/>
        <w:rPr>
          <w:b/>
          <w:bCs/>
          <w:color w:val="auto"/>
          <w:kern w:val="0"/>
          <w:szCs w:val="21"/>
          <w:highlight w:val="none"/>
        </w:rPr>
      </w:pPr>
      <w:r>
        <w:rPr>
          <w:b/>
          <w:bCs/>
          <w:color w:val="auto"/>
          <w:kern w:val="0"/>
          <w:szCs w:val="21"/>
          <w:highlight w:val="none"/>
        </w:rPr>
        <w:t>9．其他事项</w:t>
      </w:r>
    </w:p>
    <w:p w14:paraId="59B2FEA6">
      <w:pPr>
        <w:spacing w:before="120" w:line="320" w:lineRule="atLeast"/>
        <w:ind w:firstLine="420" w:firstLineChars="200"/>
        <w:rPr>
          <w:color w:val="auto"/>
          <w:szCs w:val="21"/>
          <w:highlight w:val="none"/>
        </w:rPr>
      </w:pPr>
      <w:r>
        <w:rPr>
          <w:color w:val="auto"/>
          <w:szCs w:val="21"/>
          <w:highlight w:val="none"/>
        </w:rPr>
        <w:t>9.1代理服务收费由采购代理机构向成交供应商收取。签订合同前，成交供应商应向采购代理机构一次付清代理服务费。</w:t>
      </w:r>
    </w:p>
    <w:p w14:paraId="74DD2833">
      <w:pPr>
        <w:spacing w:before="120" w:line="276" w:lineRule="auto"/>
        <w:ind w:firstLine="420" w:firstLineChars="200"/>
        <w:rPr>
          <w:color w:val="auto"/>
          <w:szCs w:val="21"/>
          <w:highlight w:val="none"/>
        </w:rPr>
      </w:pPr>
      <w:r>
        <w:rPr>
          <w:color w:val="auto"/>
          <w:szCs w:val="21"/>
          <w:highlight w:val="none"/>
        </w:rPr>
        <w:t>9.2</w:t>
      </w:r>
      <w:r>
        <w:rPr>
          <w:rFonts w:hint="eastAsia"/>
          <w:color w:val="auto"/>
          <w:szCs w:val="21"/>
          <w:highlight w:val="none"/>
        </w:rPr>
        <w:t>电子交易活动的中止。采购过程中出现以下情形，导致电子交易平台无法正常运行，或者无法保证电子交易的公平、公正和安全时，采购机构可中止电子交易活动：</w:t>
      </w:r>
    </w:p>
    <w:p w14:paraId="760605CD">
      <w:pPr>
        <w:spacing w:before="120" w:line="276" w:lineRule="auto"/>
        <w:ind w:firstLine="420" w:firstLineChars="200"/>
        <w:rPr>
          <w:color w:val="auto"/>
          <w:szCs w:val="21"/>
          <w:highlight w:val="none"/>
        </w:rPr>
      </w:pPr>
      <w:r>
        <w:rPr>
          <w:rFonts w:hint="eastAsia"/>
          <w:color w:val="auto"/>
          <w:szCs w:val="21"/>
          <w:highlight w:val="none"/>
        </w:rPr>
        <w:t xml:space="preserve">（1）电子交易平台发生故障而无法登录访问的； </w:t>
      </w:r>
    </w:p>
    <w:p w14:paraId="4305AB52">
      <w:pPr>
        <w:spacing w:before="120" w:line="276" w:lineRule="auto"/>
        <w:ind w:firstLine="420" w:firstLineChars="200"/>
        <w:rPr>
          <w:color w:val="auto"/>
          <w:szCs w:val="21"/>
          <w:highlight w:val="none"/>
        </w:rPr>
      </w:pPr>
      <w:r>
        <w:rPr>
          <w:rFonts w:hint="eastAsia"/>
          <w:color w:val="auto"/>
          <w:szCs w:val="21"/>
          <w:highlight w:val="none"/>
        </w:rPr>
        <w:t>（2）电子交易平台应用或数据库出现错误，不能进行正常操作的；</w:t>
      </w:r>
    </w:p>
    <w:p w14:paraId="3099C2C1">
      <w:pPr>
        <w:spacing w:before="120" w:line="276" w:lineRule="auto"/>
        <w:ind w:firstLine="420" w:firstLineChars="200"/>
        <w:rPr>
          <w:color w:val="auto"/>
          <w:szCs w:val="21"/>
          <w:highlight w:val="none"/>
        </w:rPr>
      </w:pPr>
      <w:r>
        <w:rPr>
          <w:rFonts w:hint="eastAsia"/>
          <w:color w:val="auto"/>
          <w:szCs w:val="21"/>
          <w:highlight w:val="none"/>
        </w:rPr>
        <w:t>（3）电子交易平台发现严重安全漏洞，有潜在泄密危险的；</w:t>
      </w:r>
    </w:p>
    <w:p w14:paraId="1F02C303">
      <w:pPr>
        <w:spacing w:before="120" w:line="276" w:lineRule="auto"/>
        <w:ind w:firstLine="420" w:firstLineChars="200"/>
        <w:rPr>
          <w:color w:val="auto"/>
          <w:szCs w:val="21"/>
          <w:highlight w:val="none"/>
        </w:rPr>
      </w:pPr>
      <w:r>
        <w:rPr>
          <w:rFonts w:hint="eastAsia"/>
          <w:color w:val="auto"/>
          <w:szCs w:val="21"/>
          <w:highlight w:val="none"/>
        </w:rPr>
        <w:t xml:space="preserve">（4）病毒发作导致不能进行正常操作的； </w:t>
      </w:r>
    </w:p>
    <w:p w14:paraId="235B6CD9">
      <w:pPr>
        <w:spacing w:before="120" w:line="276" w:lineRule="auto"/>
        <w:ind w:firstLine="420" w:firstLineChars="200"/>
        <w:rPr>
          <w:color w:val="auto"/>
          <w:szCs w:val="21"/>
          <w:highlight w:val="none"/>
        </w:rPr>
      </w:pPr>
      <w:r>
        <w:rPr>
          <w:rFonts w:hint="eastAsia"/>
          <w:color w:val="auto"/>
          <w:szCs w:val="21"/>
          <w:highlight w:val="none"/>
        </w:rPr>
        <w:t>（</w:t>
      </w:r>
      <w:r>
        <w:rPr>
          <w:color w:val="auto"/>
          <w:szCs w:val="21"/>
          <w:highlight w:val="none"/>
        </w:rPr>
        <w:t>5</w:t>
      </w:r>
      <w:r>
        <w:rPr>
          <w:rFonts w:hint="eastAsia"/>
          <w:color w:val="auto"/>
          <w:szCs w:val="21"/>
          <w:highlight w:val="none"/>
        </w:rPr>
        <w:t>）其他无法保证电子交易的公平、公正和安全的情况。</w:t>
      </w:r>
    </w:p>
    <w:p w14:paraId="5CAA3721">
      <w:pPr>
        <w:tabs>
          <w:tab w:val="left" w:pos="4820"/>
        </w:tabs>
        <w:spacing w:before="120" w:line="360" w:lineRule="auto"/>
        <w:ind w:firstLine="420" w:firstLineChars="200"/>
        <w:rPr>
          <w:color w:val="auto"/>
          <w:szCs w:val="21"/>
          <w:highlight w:val="none"/>
        </w:rPr>
      </w:pPr>
      <w:r>
        <w:rPr>
          <w:rFonts w:hint="eastAsia"/>
          <w:color w:val="auto"/>
          <w:szCs w:val="21"/>
          <w:highlight w:val="none"/>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r>
        <w:rPr>
          <w:color w:val="auto"/>
          <w:szCs w:val="21"/>
          <w:highlight w:val="none"/>
        </w:rPr>
        <w:t xml:space="preserve"> </w:t>
      </w:r>
    </w:p>
    <w:p w14:paraId="68E9EF52">
      <w:pPr>
        <w:spacing w:line="360" w:lineRule="auto"/>
        <w:ind w:firstLine="420"/>
        <w:rPr>
          <w:color w:val="auto"/>
          <w:szCs w:val="21"/>
          <w:highlight w:val="none"/>
        </w:rPr>
      </w:pPr>
      <w:r>
        <w:rPr>
          <w:color w:val="auto"/>
          <w:szCs w:val="21"/>
          <w:highlight w:val="none"/>
        </w:rPr>
        <w:t>9.3</w:t>
      </w:r>
      <w:r>
        <w:rPr>
          <w:rFonts w:hint="eastAsia"/>
          <w:color w:val="auto"/>
          <w:szCs w:val="21"/>
          <w:highlight w:val="none"/>
        </w:rPr>
        <w:t>本项目的附件及图纸</w:t>
      </w:r>
      <w:r>
        <w:rPr>
          <w:color w:val="auto"/>
          <w:szCs w:val="21"/>
          <w:highlight w:val="none"/>
        </w:rPr>
        <w:t>详见供应商须知前附表</w:t>
      </w:r>
      <w:r>
        <w:rPr>
          <w:rFonts w:hint="eastAsia"/>
          <w:color w:val="auto"/>
          <w:szCs w:val="21"/>
          <w:highlight w:val="none"/>
        </w:rPr>
        <w:t>。</w:t>
      </w:r>
    </w:p>
    <w:p w14:paraId="3739D9EC">
      <w:pPr>
        <w:spacing w:line="360" w:lineRule="auto"/>
        <w:ind w:firstLine="420"/>
        <w:rPr>
          <w:color w:val="auto"/>
          <w:szCs w:val="21"/>
          <w:highlight w:val="none"/>
        </w:rPr>
      </w:pPr>
      <w:r>
        <w:rPr>
          <w:color w:val="auto"/>
          <w:szCs w:val="21"/>
          <w:highlight w:val="none"/>
        </w:rPr>
        <w:t>9.4</w:t>
      </w:r>
      <w:r>
        <w:rPr>
          <w:rFonts w:hint="eastAsia"/>
          <w:color w:val="auto"/>
          <w:szCs w:val="21"/>
          <w:highlight w:val="none"/>
        </w:rPr>
        <w:t>本项目的其他事项</w:t>
      </w:r>
      <w:r>
        <w:rPr>
          <w:color w:val="auto"/>
          <w:szCs w:val="21"/>
          <w:highlight w:val="none"/>
        </w:rPr>
        <w:t>详见供应商须知前附表</w:t>
      </w:r>
      <w:r>
        <w:rPr>
          <w:rFonts w:hint="eastAsia"/>
          <w:color w:val="auto"/>
          <w:szCs w:val="21"/>
          <w:highlight w:val="none"/>
        </w:rPr>
        <w:t>。</w:t>
      </w:r>
    </w:p>
    <w:p w14:paraId="31A27F34">
      <w:pPr>
        <w:spacing w:before="120" w:line="320" w:lineRule="atLeast"/>
        <w:ind w:left="2" w:leftChars="1" w:firstLine="422" w:firstLineChars="200"/>
        <w:outlineLvl w:val="1"/>
        <w:rPr>
          <w:b/>
          <w:bCs/>
          <w:color w:val="auto"/>
          <w:kern w:val="0"/>
          <w:szCs w:val="21"/>
          <w:highlight w:val="none"/>
        </w:rPr>
      </w:pPr>
      <w:r>
        <w:rPr>
          <w:b/>
          <w:bCs/>
          <w:color w:val="auto"/>
          <w:kern w:val="0"/>
          <w:szCs w:val="21"/>
          <w:highlight w:val="none"/>
        </w:rPr>
        <w:t>10．</w:t>
      </w:r>
      <w:r>
        <w:rPr>
          <w:rFonts w:hint="eastAsia"/>
          <w:b/>
          <w:bCs/>
          <w:color w:val="auto"/>
          <w:kern w:val="0"/>
          <w:szCs w:val="21"/>
          <w:highlight w:val="none"/>
        </w:rPr>
        <w:t>其他说明</w:t>
      </w:r>
    </w:p>
    <w:p w14:paraId="5602D70B">
      <w:pPr>
        <w:spacing w:before="120" w:line="320" w:lineRule="atLeast"/>
        <w:ind w:left="2" w:leftChars="1" w:firstLine="422" w:firstLineChars="200"/>
        <w:outlineLvl w:val="1"/>
        <w:rPr>
          <w:color w:val="auto"/>
          <w:kern w:val="0"/>
          <w:szCs w:val="21"/>
          <w:highlight w:val="none"/>
        </w:rPr>
      </w:pPr>
      <w:r>
        <w:rPr>
          <w:rFonts w:hint="eastAsia"/>
          <w:b/>
          <w:bCs/>
          <w:color w:val="auto"/>
          <w:kern w:val="0"/>
          <w:szCs w:val="21"/>
          <w:highlight w:val="none"/>
        </w:rPr>
        <w:t>1</w:t>
      </w:r>
      <w:r>
        <w:rPr>
          <w:b/>
          <w:bCs/>
          <w:color w:val="auto"/>
          <w:kern w:val="0"/>
          <w:szCs w:val="21"/>
          <w:highlight w:val="none"/>
        </w:rPr>
        <w:t>0.1</w:t>
      </w:r>
      <w:r>
        <w:rPr>
          <w:rFonts w:hint="eastAsia"/>
          <w:color w:val="auto"/>
          <w:kern w:val="0"/>
          <w:szCs w:val="21"/>
          <w:highlight w:val="none"/>
        </w:rPr>
        <w:t>其余未尽事宜按</w:t>
      </w:r>
      <w:r>
        <w:rPr>
          <w:color w:val="auto"/>
          <w:kern w:val="0"/>
          <w:szCs w:val="21"/>
          <w:highlight w:val="none"/>
        </w:rPr>
        <w:t>《中华人民共和国政府采购法》、《中华人民共和国政府采购法实施条例》</w:t>
      </w:r>
      <w:r>
        <w:rPr>
          <w:rFonts w:hint="eastAsia"/>
          <w:color w:val="auto"/>
          <w:kern w:val="0"/>
          <w:szCs w:val="21"/>
          <w:highlight w:val="none"/>
        </w:rPr>
        <w:t>的相关规定执行。</w:t>
      </w:r>
    </w:p>
    <w:p w14:paraId="38F73488">
      <w:pPr>
        <w:spacing w:before="120" w:line="320" w:lineRule="atLeast"/>
        <w:ind w:left="2" w:leftChars="1" w:firstLine="422" w:firstLineChars="200"/>
        <w:outlineLvl w:val="1"/>
        <w:rPr>
          <w:rFonts w:hint="eastAsia"/>
          <w:color w:val="auto"/>
          <w:sz w:val="32"/>
          <w:szCs w:val="32"/>
          <w:highlight w:val="none"/>
        </w:rPr>
      </w:pPr>
      <w:r>
        <w:rPr>
          <w:b/>
          <w:bCs/>
          <w:color w:val="auto"/>
          <w:kern w:val="0"/>
          <w:szCs w:val="21"/>
          <w:highlight w:val="none"/>
        </w:rPr>
        <w:t>10.2</w:t>
      </w:r>
      <w:r>
        <w:rPr>
          <w:rFonts w:hint="eastAsia"/>
          <w:color w:val="auto"/>
          <w:highlight w:val="none"/>
        </w:rPr>
        <w:t>本</w:t>
      </w:r>
      <w:r>
        <w:rPr>
          <w:color w:val="auto"/>
          <w:highlight w:val="none"/>
        </w:rPr>
        <w:t>采购文件是根据国家有关法律及有关政策、法规和参照国际惯例编制，解释权属采购代理机构。</w:t>
      </w:r>
      <w:bookmarkEnd w:id="30"/>
    </w:p>
    <w:bookmarkEnd w:id="31"/>
    <w:p w14:paraId="6CECAE31">
      <w:pPr>
        <w:spacing w:before="120" w:line="320" w:lineRule="atLeast"/>
        <w:outlineLvl w:val="1"/>
        <w:rPr>
          <w:rFonts w:hint="eastAsia"/>
          <w:bCs/>
          <w:color w:val="auto"/>
          <w:kern w:val="0"/>
          <w:sz w:val="28"/>
          <w:szCs w:val="28"/>
          <w:highlight w:val="none"/>
        </w:rPr>
        <w:sectPr>
          <w:headerReference r:id="rId11" w:type="first"/>
          <w:headerReference r:id="rId10" w:type="default"/>
          <w:pgSz w:w="11906" w:h="16838"/>
          <w:pgMar w:top="993" w:right="1133" w:bottom="1246" w:left="1418" w:header="851" w:footer="992" w:gutter="0"/>
          <w:cols w:space="720" w:num="1"/>
          <w:titlePg/>
          <w:docGrid w:linePitch="312" w:charSpace="0"/>
        </w:sectPr>
      </w:pPr>
    </w:p>
    <w:p w14:paraId="736A4FCF">
      <w:pPr>
        <w:pStyle w:val="26"/>
        <w:snapToGrid w:val="0"/>
        <w:spacing w:before="120" w:after="120" w:line="320" w:lineRule="exact"/>
        <w:jc w:val="center"/>
        <w:outlineLvl w:val="0"/>
        <w:rPr>
          <w:rFonts w:ascii="Times New Roman" w:hAnsi="Times New Roman" w:cs="Times New Roman"/>
          <w:color w:val="auto"/>
          <w:sz w:val="32"/>
          <w:szCs w:val="32"/>
          <w:highlight w:val="none"/>
        </w:rPr>
      </w:pPr>
      <w:bookmarkStart w:id="79" w:name="_Toc164874509"/>
      <w:bookmarkStart w:id="80" w:name="_Toc254970690"/>
      <w:bookmarkStart w:id="81" w:name="_Toc254970549"/>
      <w:r>
        <w:rPr>
          <w:rFonts w:ascii="Times New Roman" w:hAnsi="Times New Roman" w:cs="Times New Roman"/>
          <w:color w:val="auto"/>
          <w:sz w:val="32"/>
          <w:szCs w:val="32"/>
          <w:highlight w:val="none"/>
        </w:rPr>
        <w:t>第四章  评审方法及标准</w:t>
      </w:r>
      <w:bookmarkEnd w:id="79"/>
    </w:p>
    <w:p w14:paraId="1F4FEC38">
      <w:pPr>
        <w:spacing w:before="120" w:line="320" w:lineRule="atLeast"/>
        <w:ind w:firstLine="413" w:firstLineChars="196"/>
        <w:outlineLvl w:val="1"/>
        <w:rPr>
          <w:b/>
          <w:bCs/>
          <w:color w:val="auto"/>
          <w:kern w:val="0"/>
          <w:szCs w:val="21"/>
          <w:highlight w:val="none"/>
        </w:rPr>
      </w:pPr>
      <w:r>
        <w:rPr>
          <w:rFonts w:hint="eastAsia"/>
          <w:b/>
          <w:bCs/>
          <w:color w:val="auto"/>
          <w:kern w:val="0"/>
          <w:szCs w:val="21"/>
          <w:highlight w:val="none"/>
        </w:rPr>
        <w:t>1</w:t>
      </w:r>
      <w:r>
        <w:rPr>
          <w:b/>
          <w:bCs/>
          <w:color w:val="auto"/>
          <w:kern w:val="0"/>
          <w:szCs w:val="21"/>
          <w:highlight w:val="none"/>
        </w:rPr>
        <w:t>.评审</w:t>
      </w:r>
      <w:r>
        <w:rPr>
          <w:rFonts w:hint="eastAsia"/>
          <w:b/>
          <w:bCs/>
          <w:color w:val="auto"/>
          <w:kern w:val="0"/>
          <w:szCs w:val="21"/>
          <w:highlight w:val="none"/>
        </w:rPr>
        <w:t>方法</w:t>
      </w:r>
    </w:p>
    <w:p w14:paraId="7A344C63">
      <w:pPr>
        <w:suppressAutoHyphens/>
        <w:spacing w:before="120" w:line="320" w:lineRule="atLeast"/>
        <w:ind w:firstLine="420" w:firstLineChars="200"/>
        <w:rPr>
          <w:color w:val="auto"/>
          <w:highlight w:val="none"/>
        </w:rPr>
      </w:pPr>
      <w:r>
        <w:rPr>
          <w:color w:val="auto"/>
          <w:szCs w:val="21"/>
          <w:highlight w:val="none"/>
        </w:rPr>
        <w:t>本项目采用</w:t>
      </w:r>
      <w:r>
        <w:rPr>
          <w:rFonts w:hint="eastAsia"/>
          <w:bCs/>
          <w:color w:val="auto"/>
          <w:kern w:val="1"/>
          <w:szCs w:val="21"/>
          <w:highlight w:val="none"/>
        </w:rPr>
        <w:t>最低评标价法</w:t>
      </w:r>
      <w:r>
        <w:rPr>
          <w:color w:val="auto"/>
          <w:szCs w:val="21"/>
          <w:highlight w:val="none"/>
        </w:rPr>
        <w:t>进行评审</w:t>
      </w:r>
      <w:r>
        <w:rPr>
          <w:bCs/>
          <w:color w:val="auto"/>
          <w:kern w:val="1"/>
          <w:szCs w:val="21"/>
          <w:highlight w:val="none"/>
        </w:rPr>
        <w:t>。</w:t>
      </w:r>
      <w:r>
        <w:rPr>
          <w:color w:val="auto"/>
          <w:szCs w:val="21"/>
          <w:highlight w:val="none"/>
        </w:rPr>
        <w:t>最低评标价法，是指</w:t>
      </w:r>
      <w:r>
        <w:rPr>
          <w:rFonts w:hint="eastAsia"/>
          <w:color w:val="auto"/>
          <w:szCs w:val="21"/>
          <w:highlight w:val="none"/>
        </w:rPr>
        <w:t>响应</w:t>
      </w:r>
      <w:r>
        <w:rPr>
          <w:color w:val="auto"/>
          <w:szCs w:val="21"/>
          <w:highlight w:val="none"/>
        </w:rPr>
        <w:t>文件满足</w:t>
      </w:r>
      <w:r>
        <w:rPr>
          <w:rFonts w:hint="eastAsia"/>
          <w:color w:val="auto"/>
          <w:szCs w:val="21"/>
          <w:highlight w:val="none"/>
        </w:rPr>
        <w:t>采购文件</w:t>
      </w:r>
      <w:r>
        <w:rPr>
          <w:color w:val="auto"/>
          <w:szCs w:val="21"/>
          <w:highlight w:val="none"/>
        </w:rPr>
        <w:t>全部实质性要求且</w:t>
      </w:r>
      <w:r>
        <w:rPr>
          <w:rFonts w:hint="eastAsia"/>
          <w:color w:val="auto"/>
          <w:szCs w:val="21"/>
          <w:highlight w:val="none"/>
        </w:rPr>
        <w:t>谈判</w:t>
      </w:r>
      <w:r>
        <w:rPr>
          <w:color w:val="auto"/>
          <w:szCs w:val="21"/>
          <w:highlight w:val="none"/>
        </w:rPr>
        <w:t>报价最低的供应商为</w:t>
      </w:r>
      <w:r>
        <w:rPr>
          <w:rFonts w:hint="eastAsia"/>
          <w:color w:val="auto"/>
          <w:szCs w:val="21"/>
          <w:highlight w:val="none"/>
        </w:rPr>
        <w:t>成交</w:t>
      </w:r>
      <w:r>
        <w:rPr>
          <w:color w:val="auto"/>
          <w:szCs w:val="21"/>
          <w:highlight w:val="none"/>
        </w:rPr>
        <w:t>候选人的评</w:t>
      </w:r>
      <w:r>
        <w:rPr>
          <w:rFonts w:hint="eastAsia"/>
          <w:color w:val="auto"/>
          <w:szCs w:val="21"/>
          <w:highlight w:val="none"/>
        </w:rPr>
        <w:t>审</w:t>
      </w:r>
      <w:r>
        <w:rPr>
          <w:color w:val="auto"/>
          <w:szCs w:val="21"/>
          <w:highlight w:val="none"/>
        </w:rPr>
        <w:t>方法。</w:t>
      </w:r>
      <w:r>
        <w:rPr>
          <w:color w:val="auto"/>
          <w:highlight w:val="none"/>
        </w:rPr>
        <w:t xml:space="preserve"> </w:t>
      </w:r>
    </w:p>
    <w:p w14:paraId="558F48C6">
      <w:pPr>
        <w:suppressAutoHyphens/>
        <w:spacing w:before="120" w:line="320" w:lineRule="atLeast"/>
        <w:ind w:firstLine="420" w:firstLineChars="200"/>
        <w:rPr>
          <w:color w:val="auto"/>
          <w:kern w:val="1"/>
          <w:szCs w:val="21"/>
          <w:highlight w:val="none"/>
        </w:rPr>
      </w:pPr>
      <w:r>
        <w:rPr>
          <w:rFonts w:hint="eastAsia"/>
          <w:color w:val="auto"/>
          <w:kern w:val="1"/>
          <w:szCs w:val="21"/>
          <w:highlight w:val="none"/>
        </w:rPr>
        <w:t>本项目评审的其他详细规定在第三章供应商须知中规定。</w:t>
      </w:r>
    </w:p>
    <w:p w14:paraId="4161749C">
      <w:pPr>
        <w:spacing w:before="120" w:line="320" w:lineRule="atLeast"/>
        <w:ind w:firstLine="413" w:firstLineChars="196"/>
        <w:outlineLvl w:val="1"/>
        <w:rPr>
          <w:rFonts w:hint="eastAsia"/>
          <w:b/>
          <w:color w:val="auto"/>
          <w:kern w:val="0"/>
          <w:szCs w:val="21"/>
          <w:highlight w:val="none"/>
        </w:rPr>
      </w:pPr>
      <w:r>
        <w:rPr>
          <w:b/>
          <w:color w:val="auto"/>
          <w:kern w:val="0"/>
          <w:szCs w:val="21"/>
          <w:highlight w:val="none"/>
        </w:rPr>
        <w:t>2</w:t>
      </w:r>
      <w:r>
        <w:rPr>
          <w:rFonts w:hint="eastAsia"/>
          <w:b/>
          <w:color w:val="auto"/>
          <w:kern w:val="0"/>
          <w:szCs w:val="21"/>
          <w:highlight w:val="none"/>
        </w:rPr>
        <w:t>.资格审查标准</w:t>
      </w:r>
      <w:r>
        <w:rPr>
          <w:rFonts w:hint="eastAsia"/>
          <w:b/>
          <w:bCs/>
          <w:color w:val="auto"/>
          <w:kern w:val="0"/>
          <w:szCs w:val="21"/>
          <w:highlight w:val="none"/>
        </w:rPr>
        <w:t>（不满足任何一项审查内容要求，资格审查即为不合格；</w:t>
      </w:r>
      <w:bookmarkStart w:id="82" w:name="_Hlk160525103"/>
      <w:r>
        <w:rPr>
          <w:rFonts w:hint="eastAsia"/>
          <w:b/>
          <w:bCs/>
          <w:color w:val="auto"/>
          <w:kern w:val="0"/>
          <w:szCs w:val="21"/>
          <w:highlight w:val="none"/>
        </w:rPr>
        <w:t>联合体投标的，联合体各方均应按照资格审查标准的规定提交资格证明文件）</w:t>
      </w:r>
      <w:bookmarkEnd w:id="82"/>
    </w:p>
    <w:tbl>
      <w:tblPr>
        <w:tblStyle w:val="51"/>
        <w:tblW w:w="8931"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843"/>
        <w:gridCol w:w="6242"/>
      </w:tblGrid>
      <w:tr w14:paraId="1E99D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46" w:type="dxa"/>
            <w:noWrap w:val="0"/>
            <w:vAlign w:val="center"/>
          </w:tcPr>
          <w:p w14:paraId="586E1FCA">
            <w:pPr>
              <w:spacing w:line="240" w:lineRule="exact"/>
              <w:jc w:val="center"/>
              <w:rPr>
                <w:b/>
                <w:color w:val="auto"/>
                <w:kern w:val="0"/>
                <w:szCs w:val="21"/>
                <w:highlight w:val="none"/>
              </w:rPr>
            </w:pPr>
            <w:bookmarkStart w:id="83" w:name="_Hlk92979501"/>
            <w:r>
              <w:rPr>
                <w:rFonts w:hint="eastAsia"/>
                <w:b/>
                <w:color w:val="auto"/>
                <w:kern w:val="0"/>
                <w:szCs w:val="21"/>
                <w:highlight w:val="none"/>
              </w:rPr>
              <w:t>审查</w:t>
            </w:r>
            <w:r>
              <w:rPr>
                <w:b/>
                <w:color w:val="auto"/>
                <w:kern w:val="0"/>
                <w:szCs w:val="21"/>
                <w:highlight w:val="none"/>
              </w:rPr>
              <w:t>因素</w:t>
            </w:r>
          </w:p>
        </w:tc>
        <w:tc>
          <w:tcPr>
            <w:tcW w:w="1843" w:type="dxa"/>
            <w:noWrap w:val="0"/>
            <w:vAlign w:val="center"/>
          </w:tcPr>
          <w:p w14:paraId="66F99EDD">
            <w:pPr>
              <w:spacing w:line="240" w:lineRule="exact"/>
              <w:jc w:val="center"/>
              <w:rPr>
                <w:b/>
                <w:color w:val="auto"/>
                <w:kern w:val="0"/>
                <w:szCs w:val="21"/>
                <w:highlight w:val="none"/>
              </w:rPr>
            </w:pPr>
            <w:r>
              <w:rPr>
                <w:rFonts w:hint="eastAsia"/>
                <w:b/>
                <w:color w:val="auto"/>
                <w:kern w:val="0"/>
                <w:szCs w:val="21"/>
                <w:highlight w:val="none"/>
              </w:rPr>
              <w:t>审查</w:t>
            </w:r>
            <w:r>
              <w:rPr>
                <w:b/>
                <w:color w:val="auto"/>
                <w:kern w:val="0"/>
                <w:szCs w:val="21"/>
                <w:highlight w:val="none"/>
              </w:rPr>
              <w:t>内容</w:t>
            </w:r>
          </w:p>
        </w:tc>
        <w:tc>
          <w:tcPr>
            <w:tcW w:w="6242" w:type="dxa"/>
            <w:noWrap w:val="0"/>
            <w:vAlign w:val="center"/>
          </w:tcPr>
          <w:p w14:paraId="6655A7B6">
            <w:pPr>
              <w:spacing w:line="240" w:lineRule="exact"/>
              <w:jc w:val="center"/>
              <w:rPr>
                <w:b/>
                <w:color w:val="auto"/>
                <w:kern w:val="0"/>
                <w:szCs w:val="21"/>
                <w:highlight w:val="none"/>
              </w:rPr>
            </w:pPr>
            <w:r>
              <w:rPr>
                <w:rFonts w:hint="eastAsia"/>
                <w:b/>
                <w:color w:val="auto"/>
                <w:kern w:val="0"/>
                <w:szCs w:val="21"/>
                <w:highlight w:val="none"/>
              </w:rPr>
              <w:t>说明</w:t>
            </w:r>
          </w:p>
        </w:tc>
      </w:tr>
      <w:tr w14:paraId="75B0A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atLeast"/>
        </w:trPr>
        <w:tc>
          <w:tcPr>
            <w:tcW w:w="846" w:type="dxa"/>
            <w:vMerge w:val="restart"/>
            <w:noWrap w:val="0"/>
            <w:vAlign w:val="center"/>
          </w:tcPr>
          <w:p w14:paraId="639F6030">
            <w:pPr>
              <w:spacing w:line="240" w:lineRule="exact"/>
              <w:rPr>
                <w:color w:val="auto"/>
                <w:szCs w:val="21"/>
                <w:highlight w:val="none"/>
                <w:lang w:val="zh-CN"/>
              </w:rPr>
            </w:pPr>
            <w:r>
              <w:rPr>
                <w:color w:val="auto"/>
                <w:szCs w:val="21"/>
                <w:highlight w:val="none"/>
                <w:lang w:val="zh-CN"/>
              </w:rPr>
              <w:t>供应商应符合的</w:t>
            </w:r>
            <w:r>
              <w:rPr>
                <w:rFonts w:hint="eastAsia"/>
                <w:color w:val="auto"/>
                <w:szCs w:val="21"/>
                <w:highlight w:val="none"/>
                <w:lang w:val="zh-CN"/>
              </w:rPr>
              <w:t>基本</w:t>
            </w:r>
            <w:r>
              <w:rPr>
                <w:color w:val="auto"/>
                <w:szCs w:val="21"/>
                <w:highlight w:val="none"/>
              </w:rPr>
              <w:t>资格</w:t>
            </w:r>
            <w:r>
              <w:rPr>
                <w:rFonts w:hint="eastAsia"/>
                <w:color w:val="auto"/>
                <w:szCs w:val="21"/>
                <w:highlight w:val="none"/>
              </w:rPr>
              <w:t>要求</w:t>
            </w:r>
          </w:p>
        </w:tc>
        <w:tc>
          <w:tcPr>
            <w:tcW w:w="1843" w:type="dxa"/>
            <w:noWrap w:val="0"/>
            <w:vAlign w:val="center"/>
          </w:tcPr>
          <w:p w14:paraId="6A0F4ED4">
            <w:pPr>
              <w:spacing w:line="240" w:lineRule="exact"/>
              <w:jc w:val="left"/>
              <w:rPr>
                <w:color w:val="auto"/>
                <w:szCs w:val="21"/>
                <w:highlight w:val="none"/>
              </w:rPr>
            </w:pPr>
            <w:r>
              <w:rPr>
                <w:color w:val="auto"/>
                <w:szCs w:val="21"/>
                <w:highlight w:val="none"/>
              </w:rPr>
              <w:t>（1）具有独立承担民事责任的能力</w:t>
            </w:r>
          </w:p>
        </w:tc>
        <w:tc>
          <w:tcPr>
            <w:tcW w:w="6242" w:type="dxa"/>
            <w:noWrap w:val="0"/>
            <w:vAlign w:val="center"/>
          </w:tcPr>
          <w:p w14:paraId="4F4C0DB9">
            <w:pPr>
              <w:spacing w:line="240" w:lineRule="exact"/>
              <w:rPr>
                <w:color w:val="auto"/>
                <w:szCs w:val="21"/>
                <w:highlight w:val="none"/>
              </w:rPr>
            </w:pPr>
            <w:r>
              <w:rPr>
                <w:rFonts w:hint="eastAsia" w:ascii="Arial" w:hAnsi="Arial" w:cs="Arial"/>
                <w:color w:val="auto"/>
                <w:szCs w:val="21"/>
                <w:highlight w:val="none"/>
              </w:rPr>
              <w:t>供应商以“信用承诺函”</w:t>
            </w:r>
            <w:r>
              <w:rPr>
                <w:rFonts w:ascii="Arial" w:hAnsi="Arial" w:cs="Arial"/>
                <w:color w:val="auto"/>
                <w:szCs w:val="21"/>
                <w:highlight w:val="none"/>
              </w:rPr>
              <w:t xml:space="preserve"> </w:t>
            </w:r>
            <w:r>
              <w:rPr>
                <w:rFonts w:hint="eastAsia" w:ascii="Arial" w:hAnsi="Arial" w:cs="Arial"/>
                <w:color w:val="auto"/>
                <w:szCs w:val="21"/>
                <w:highlight w:val="none"/>
              </w:rPr>
              <w:t>（格式见第六章投标文件格式）</w:t>
            </w:r>
            <w:r>
              <w:rPr>
                <w:rFonts w:ascii="Arial" w:hAnsi="Arial" w:cs="Arial"/>
                <w:color w:val="auto"/>
                <w:szCs w:val="21"/>
                <w:highlight w:val="none"/>
              </w:rPr>
              <w:t xml:space="preserve"> </w:t>
            </w:r>
            <w:r>
              <w:rPr>
                <w:rFonts w:hint="eastAsia" w:ascii="Arial" w:hAnsi="Arial" w:cs="Arial"/>
                <w:color w:val="auto"/>
                <w:szCs w:val="21"/>
                <w:highlight w:val="none"/>
              </w:rPr>
              <w:t>的书面形式进行响应。</w:t>
            </w:r>
          </w:p>
        </w:tc>
      </w:tr>
      <w:tr w14:paraId="4623A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6" w:type="dxa"/>
            <w:vMerge w:val="continue"/>
            <w:noWrap w:val="0"/>
            <w:vAlign w:val="center"/>
          </w:tcPr>
          <w:p w14:paraId="0B9926C8">
            <w:pPr>
              <w:spacing w:line="240" w:lineRule="exact"/>
              <w:rPr>
                <w:color w:val="auto"/>
                <w:szCs w:val="21"/>
                <w:highlight w:val="none"/>
                <w:lang w:val="zh-CN"/>
              </w:rPr>
            </w:pPr>
          </w:p>
        </w:tc>
        <w:tc>
          <w:tcPr>
            <w:tcW w:w="1843" w:type="dxa"/>
            <w:noWrap w:val="0"/>
            <w:vAlign w:val="center"/>
          </w:tcPr>
          <w:p w14:paraId="326B9FD6">
            <w:pPr>
              <w:spacing w:line="240" w:lineRule="exact"/>
              <w:jc w:val="left"/>
              <w:rPr>
                <w:color w:val="auto"/>
                <w:szCs w:val="21"/>
                <w:highlight w:val="none"/>
              </w:rPr>
            </w:pPr>
            <w:r>
              <w:rPr>
                <w:color w:val="auto"/>
                <w:szCs w:val="21"/>
                <w:highlight w:val="none"/>
                <w:lang w:val="zh-CN"/>
              </w:rPr>
              <w:t>（2）</w:t>
            </w:r>
            <w:r>
              <w:rPr>
                <w:color w:val="auto"/>
                <w:szCs w:val="21"/>
                <w:highlight w:val="none"/>
              </w:rPr>
              <w:t>具有良好的商业信誉和健全的财务会计制度</w:t>
            </w:r>
          </w:p>
        </w:tc>
        <w:tc>
          <w:tcPr>
            <w:tcW w:w="6242" w:type="dxa"/>
            <w:noWrap w:val="0"/>
            <w:vAlign w:val="center"/>
          </w:tcPr>
          <w:p w14:paraId="7764CAA9">
            <w:pPr>
              <w:spacing w:line="240" w:lineRule="exact"/>
              <w:rPr>
                <w:color w:val="auto"/>
                <w:szCs w:val="21"/>
                <w:highlight w:val="none"/>
              </w:rPr>
            </w:pPr>
            <w:r>
              <w:rPr>
                <w:rFonts w:hint="eastAsia" w:ascii="Arial" w:hAnsi="Arial" w:cs="Arial"/>
                <w:color w:val="auto"/>
                <w:szCs w:val="21"/>
                <w:highlight w:val="none"/>
              </w:rPr>
              <w:t>供应商以“信用承诺函”</w:t>
            </w:r>
            <w:r>
              <w:rPr>
                <w:rFonts w:ascii="Arial" w:hAnsi="Arial" w:cs="Arial"/>
                <w:color w:val="auto"/>
                <w:szCs w:val="21"/>
                <w:highlight w:val="none"/>
              </w:rPr>
              <w:t xml:space="preserve"> </w:t>
            </w:r>
            <w:r>
              <w:rPr>
                <w:rFonts w:hint="eastAsia" w:ascii="Arial" w:hAnsi="Arial" w:cs="Arial"/>
                <w:color w:val="auto"/>
                <w:szCs w:val="21"/>
                <w:highlight w:val="none"/>
              </w:rPr>
              <w:t>（格式见第六章投标文件格式）</w:t>
            </w:r>
            <w:r>
              <w:rPr>
                <w:rFonts w:ascii="Arial" w:hAnsi="Arial" w:cs="Arial"/>
                <w:color w:val="auto"/>
                <w:szCs w:val="21"/>
                <w:highlight w:val="none"/>
              </w:rPr>
              <w:t xml:space="preserve"> </w:t>
            </w:r>
            <w:r>
              <w:rPr>
                <w:rFonts w:hint="eastAsia" w:ascii="Arial" w:hAnsi="Arial" w:cs="Arial"/>
                <w:color w:val="auto"/>
                <w:szCs w:val="21"/>
                <w:highlight w:val="none"/>
              </w:rPr>
              <w:t>的书面形式进行响应。</w:t>
            </w:r>
          </w:p>
        </w:tc>
      </w:tr>
      <w:tr w14:paraId="3893E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6" w:type="dxa"/>
            <w:vMerge w:val="continue"/>
            <w:noWrap w:val="0"/>
            <w:vAlign w:val="center"/>
          </w:tcPr>
          <w:p w14:paraId="55225812">
            <w:pPr>
              <w:spacing w:line="240" w:lineRule="exact"/>
              <w:rPr>
                <w:color w:val="auto"/>
                <w:szCs w:val="21"/>
                <w:highlight w:val="none"/>
                <w:lang w:val="zh-CN"/>
              </w:rPr>
            </w:pPr>
          </w:p>
        </w:tc>
        <w:tc>
          <w:tcPr>
            <w:tcW w:w="1843" w:type="dxa"/>
            <w:noWrap w:val="0"/>
            <w:vAlign w:val="center"/>
          </w:tcPr>
          <w:p w14:paraId="6C33CF63">
            <w:pPr>
              <w:spacing w:line="240" w:lineRule="exact"/>
              <w:jc w:val="left"/>
              <w:rPr>
                <w:color w:val="auto"/>
                <w:szCs w:val="21"/>
                <w:highlight w:val="none"/>
              </w:rPr>
            </w:pPr>
            <w:r>
              <w:rPr>
                <w:color w:val="auto"/>
                <w:szCs w:val="21"/>
                <w:highlight w:val="none"/>
                <w:lang w:val="zh-CN"/>
              </w:rPr>
              <w:t>（3）具有履行合同所必需的设备和专业技术能力</w:t>
            </w:r>
          </w:p>
        </w:tc>
        <w:tc>
          <w:tcPr>
            <w:tcW w:w="6242" w:type="dxa"/>
            <w:noWrap w:val="0"/>
            <w:vAlign w:val="center"/>
          </w:tcPr>
          <w:p w14:paraId="23B3E424">
            <w:pPr>
              <w:spacing w:line="240" w:lineRule="exact"/>
              <w:rPr>
                <w:color w:val="auto"/>
                <w:szCs w:val="21"/>
                <w:highlight w:val="none"/>
              </w:rPr>
            </w:pPr>
            <w:r>
              <w:rPr>
                <w:rFonts w:hint="eastAsia" w:ascii="Arial" w:hAnsi="Arial" w:cs="Arial"/>
                <w:color w:val="auto"/>
                <w:szCs w:val="21"/>
                <w:highlight w:val="none"/>
              </w:rPr>
              <w:t>供应商以“信用承诺函”</w:t>
            </w:r>
            <w:r>
              <w:rPr>
                <w:rFonts w:ascii="Arial" w:hAnsi="Arial" w:cs="Arial"/>
                <w:color w:val="auto"/>
                <w:szCs w:val="21"/>
                <w:highlight w:val="none"/>
              </w:rPr>
              <w:t xml:space="preserve"> </w:t>
            </w:r>
            <w:r>
              <w:rPr>
                <w:rFonts w:hint="eastAsia" w:ascii="Arial" w:hAnsi="Arial" w:cs="Arial"/>
                <w:color w:val="auto"/>
                <w:szCs w:val="21"/>
                <w:highlight w:val="none"/>
              </w:rPr>
              <w:t>（格式见第六章投标文件格式）</w:t>
            </w:r>
            <w:r>
              <w:rPr>
                <w:rFonts w:ascii="Arial" w:hAnsi="Arial" w:cs="Arial"/>
                <w:color w:val="auto"/>
                <w:szCs w:val="21"/>
                <w:highlight w:val="none"/>
              </w:rPr>
              <w:t xml:space="preserve"> </w:t>
            </w:r>
            <w:r>
              <w:rPr>
                <w:rFonts w:hint="eastAsia" w:ascii="Arial" w:hAnsi="Arial" w:cs="Arial"/>
                <w:color w:val="auto"/>
                <w:szCs w:val="21"/>
                <w:highlight w:val="none"/>
              </w:rPr>
              <w:t>的书面形式进行响应。</w:t>
            </w:r>
          </w:p>
        </w:tc>
      </w:tr>
      <w:tr w14:paraId="5C450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6" w:type="dxa"/>
            <w:vMerge w:val="continue"/>
            <w:noWrap w:val="0"/>
            <w:vAlign w:val="center"/>
          </w:tcPr>
          <w:p w14:paraId="7C42BB68">
            <w:pPr>
              <w:spacing w:line="240" w:lineRule="exact"/>
              <w:rPr>
                <w:color w:val="auto"/>
                <w:szCs w:val="21"/>
                <w:highlight w:val="none"/>
                <w:lang w:val="zh-CN"/>
              </w:rPr>
            </w:pPr>
          </w:p>
        </w:tc>
        <w:tc>
          <w:tcPr>
            <w:tcW w:w="1843" w:type="dxa"/>
            <w:noWrap w:val="0"/>
            <w:vAlign w:val="center"/>
          </w:tcPr>
          <w:p w14:paraId="7529BE0D">
            <w:pPr>
              <w:spacing w:line="240" w:lineRule="exact"/>
              <w:jc w:val="left"/>
              <w:rPr>
                <w:color w:val="auto"/>
                <w:szCs w:val="21"/>
                <w:highlight w:val="none"/>
              </w:rPr>
            </w:pPr>
            <w:r>
              <w:rPr>
                <w:color w:val="auto"/>
                <w:szCs w:val="21"/>
                <w:highlight w:val="none"/>
                <w:lang w:val="zh-CN"/>
              </w:rPr>
              <w:t>（4）有依法缴纳税收和社会保障金的良好记录</w:t>
            </w:r>
          </w:p>
        </w:tc>
        <w:tc>
          <w:tcPr>
            <w:tcW w:w="6242" w:type="dxa"/>
            <w:noWrap w:val="0"/>
            <w:vAlign w:val="center"/>
          </w:tcPr>
          <w:p w14:paraId="68C8B8F3">
            <w:pPr>
              <w:spacing w:line="240" w:lineRule="exact"/>
              <w:rPr>
                <w:color w:val="auto"/>
                <w:szCs w:val="21"/>
                <w:highlight w:val="none"/>
              </w:rPr>
            </w:pPr>
            <w:r>
              <w:rPr>
                <w:rFonts w:hint="eastAsia" w:ascii="Arial" w:hAnsi="Arial" w:cs="Arial"/>
                <w:color w:val="auto"/>
                <w:szCs w:val="21"/>
                <w:highlight w:val="none"/>
              </w:rPr>
              <w:t>供应商以“信用承诺函”</w:t>
            </w:r>
            <w:r>
              <w:rPr>
                <w:rFonts w:ascii="Arial" w:hAnsi="Arial" w:cs="Arial"/>
                <w:color w:val="auto"/>
                <w:szCs w:val="21"/>
                <w:highlight w:val="none"/>
              </w:rPr>
              <w:t xml:space="preserve"> </w:t>
            </w:r>
            <w:r>
              <w:rPr>
                <w:rFonts w:hint="eastAsia" w:ascii="Arial" w:hAnsi="Arial" w:cs="Arial"/>
                <w:color w:val="auto"/>
                <w:szCs w:val="21"/>
                <w:highlight w:val="none"/>
              </w:rPr>
              <w:t>（格式见第六章投标文件格式）</w:t>
            </w:r>
            <w:r>
              <w:rPr>
                <w:rFonts w:ascii="Arial" w:hAnsi="Arial" w:cs="Arial"/>
                <w:color w:val="auto"/>
                <w:szCs w:val="21"/>
                <w:highlight w:val="none"/>
              </w:rPr>
              <w:t xml:space="preserve"> </w:t>
            </w:r>
            <w:r>
              <w:rPr>
                <w:rFonts w:hint="eastAsia" w:ascii="Arial" w:hAnsi="Arial" w:cs="Arial"/>
                <w:color w:val="auto"/>
                <w:szCs w:val="21"/>
                <w:highlight w:val="none"/>
              </w:rPr>
              <w:t>的书面形式进行响应。</w:t>
            </w:r>
          </w:p>
        </w:tc>
      </w:tr>
      <w:tr w14:paraId="69D50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6" w:type="dxa"/>
            <w:vMerge w:val="continue"/>
            <w:noWrap w:val="0"/>
            <w:vAlign w:val="center"/>
          </w:tcPr>
          <w:p w14:paraId="72968212">
            <w:pPr>
              <w:spacing w:line="240" w:lineRule="exact"/>
              <w:rPr>
                <w:color w:val="auto"/>
                <w:szCs w:val="21"/>
                <w:highlight w:val="none"/>
                <w:lang w:val="zh-CN"/>
              </w:rPr>
            </w:pPr>
          </w:p>
        </w:tc>
        <w:tc>
          <w:tcPr>
            <w:tcW w:w="1843" w:type="dxa"/>
            <w:noWrap w:val="0"/>
            <w:vAlign w:val="center"/>
          </w:tcPr>
          <w:p w14:paraId="2AB6B437">
            <w:pPr>
              <w:spacing w:line="240" w:lineRule="exact"/>
              <w:jc w:val="left"/>
              <w:rPr>
                <w:rFonts w:hint="eastAsia"/>
                <w:color w:val="auto"/>
                <w:szCs w:val="21"/>
                <w:highlight w:val="none"/>
              </w:rPr>
            </w:pPr>
            <w:r>
              <w:rPr>
                <w:color w:val="auto"/>
                <w:szCs w:val="21"/>
                <w:highlight w:val="none"/>
              </w:rPr>
              <w:t>（5）参加政府采购活动前三年内，在经营活动中没有重大违法记录</w:t>
            </w:r>
          </w:p>
        </w:tc>
        <w:tc>
          <w:tcPr>
            <w:tcW w:w="6242" w:type="dxa"/>
            <w:noWrap w:val="0"/>
            <w:vAlign w:val="center"/>
          </w:tcPr>
          <w:p w14:paraId="443A45F3">
            <w:pPr>
              <w:spacing w:line="240" w:lineRule="exact"/>
              <w:rPr>
                <w:color w:val="auto"/>
                <w:szCs w:val="21"/>
                <w:highlight w:val="none"/>
              </w:rPr>
            </w:pPr>
            <w:r>
              <w:rPr>
                <w:color w:val="auto"/>
                <w:szCs w:val="21"/>
                <w:highlight w:val="none"/>
              </w:rPr>
              <w:t>审查无重大违法记录声明。须提供，格式见第六章</w:t>
            </w:r>
            <w:r>
              <w:rPr>
                <w:rFonts w:hint="eastAsia"/>
                <w:color w:val="auto"/>
                <w:szCs w:val="21"/>
                <w:highlight w:val="none"/>
              </w:rPr>
              <w:t>响应</w:t>
            </w:r>
            <w:r>
              <w:rPr>
                <w:color w:val="auto"/>
                <w:szCs w:val="21"/>
                <w:highlight w:val="none"/>
              </w:rPr>
              <w:t>文件格式“</w:t>
            </w:r>
            <w:r>
              <w:rPr>
                <w:rFonts w:hint="eastAsia"/>
                <w:color w:val="auto"/>
                <w:szCs w:val="21"/>
                <w:highlight w:val="none"/>
              </w:rPr>
              <w:t>响应</w:t>
            </w:r>
            <w:r>
              <w:rPr>
                <w:color w:val="auto"/>
                <w:szCs w:val="21"/>
                <w:highlight w:val="none"/>
              </w:rPr>
              <w:t xml:space="preserve">声明书”。 </w:t>
            </w:r>
          </w:p>
        </w:tc>
      </w:tr>
      <w:tr w14:paraId="18DC3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9" w:hRule="atLeast"/>
        </w:trPr>
        <w:tc>
          <w:tcPr>
            <w:tcW w:w="846" w:type="dxa"/>
            <w:vMerge w:val="continue"/>
            <w:noWrap w:val="0"/>
            <w:vAlign w:val="center"/>
          </w:tcPr>
          <w:p w14:paraId="7B05C3B8">
            <w:pPr>
              <w:spacing w:line="240" w:lineRule="exact"/>
              <w:rPr>
                <w:color w:val="auto"/>
                <w:szCs w:val="21"/>
                <w:highlight w:val="none"/>
                <w:lang w:val="zh-CN"/>
              </w:rPr>
            </w:pPr>
          </w:p>
        </w:tc>
        <w:tc>
          <w:tcPr>
            <w:tcW w:w="1843" w:type="dxa"/>
            <w:noWrap w:val="0"/>
            <w:vAlign w:val="center"/>
          </w:tcPr>
          <w:p w14:paraId="01416AC1">
            <w:pPr>
              <w:spacing w:line="240" w:lineRule="exact"/>
              <w:jc w:val="left"/>
              <w:rPr>
                <w:color w:val="auto"/>
                <w:szCs w:val="21"/>
                <w:highlight w:val="none"/>
              </w:rPr>
            </w:pPr>
            <w:r>
              <w:rPr>
                <w:color w:val="auto"/>
                <w:szCs w:val="21"/>
                <w:highlight w:val="none"/>
              </w:rPr>
              <w:t>（6）具备法律、行政法规规定的其他要求</w:t>
            </w:r>
          </w:p>
        </w:tc>
        <w:tc>
          <w:tcPr>
            <w:tcW w:w="6242" w:type="dxa"/>
            <w:noWrap w:val="0"/>
            <w:vAlign w:val="center"/>
          </w:tcPr>
          <w:p w14:paraId="71311196">
            <w:pPr>
              <w:spacing w:line="240" w:lineRule="exact"/>
              <w:jc w:val="left"/>
              <w:rPr>
                <w:color w:val="auto"/>
                <w:szCs w:val="21"/>
                <w:highlight w:val="none"/>
              </w:rPr>
            </w:pPr>
            <w:r>
              <w:rPr>
                <w:color w:val="auto"/>
                <w:szCs w:val="21"/>
                <w:highlight w:val="none"/>
              </w:rPr>
              <w:t>无。</w:t>
            </w:r>
          </w:p>
        </w:tc>
      </w:tr>
      <w:tr w14:paraId="6E57F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6" w:type="dxa"/>
            <w:noWrap w:val="0"/>
            <w:vAlign w:val="center"/>
          </w:tcPr>
          <w:p w14:paraId="66022332">
            <w:pPr>
              <w:spacing w:line="240" w:lineRule="exact"/>
              <w:jc w:val="left"/>
              <w:rPr>
                <w:color w:val="auto"/>
                <w:kern w:val="0"/>
                <w:szCs w:val="21"/>
                <w:highlight w:val="none"/>
              </w:rPr>
            </w:pPr>
            <w:r>
              <w:rPr>
                <w:rFonts w:hint="eastAsia"/>
                <w:color w:val="auto"/>
                <w:kern w:val="0"/>
                <w:szCs w:val="21"/>
                <w:highlight w:val="none"/>
              </w:rPr>
              <w:t>采购政策</w:t>
            </w:r>
          </w:p>
        </w:tc>
        <w:tc>
          <w:tcPr>
            <w:tcW w:w="1843" w:type="dxa"/>
            <w:noWrap w:val="0"/>
            <w:vAlign w:val="center"/>
          </w:tcPr>
          <w:p w14:paraId="2CEFC986">
            <w:pPr>
              <w:spacing w:line="240" w:lineRule="exact"/>
              <w:jc w:val="left"/>
              <w:rPr>
                <w:color w:val="auto"/>
                <w:szCs w:val="21"/>
                <w:highlight w:val="none"/>
              </w:rPr>
            </w:pPr>
            <w:r>
              <w:rPr>
                <w:rFonts w:hint="eastAsia"/>
                <w:color w:val="auto"/>
                <w:szCs w:val="21"/>
                <w:highlight w:val="none"/>
              </w:rPr>
              <w:t>落实政府采购政策需满足的资格要求</w:t>
            </w:r>
          </w:p>
        </w:tc>
        <w:tc>
          <w:tcPr>
            <w:tcW w:w="6242" w:type="dxa"/>
            <w:noWrap w:val="0"/>
            <w:vAlign w:val="center"/>
          </w:tcPr>
          <w:p w14:paraId="3B3C7537">
            <w:pPr>
              <w:spacing w:line="240" w:lineRule="exact"/>
              <w:rPr>
                <w:color w:val="auto"/>
                <w:szCs w:val="21"/>
                <w:highlight w:val="none"/>
              </w:rPr>
            </w:pPr>
            <w:r>
              <w:rPr>
                <w:rFonts w:hint="eastAsia" w:ascii="宋体" w:hAnsi="宋体" w:cs="宋体"/>
                <w:color w:val="auto"/>
                <w:szCs w:val="21"/>
                <w:highlight w:val="none"/>
              </w:rPr>
              <w:t>提供</w:t>
            </w:r>
            <w:r>
              <w:rPr>
                <w:rFonts w:hint="eastAsia"/>
                <w:color w:val="auto"/>
                <w:szCs w:val="21"/>
                <w:highlight w:val="none"/>
              </w:rPr>
              <w:t>《中小企业声明函》</w:t>
            </w:r>
            <w:r>
              <w:rPr>
                <w:rFonts w:hint="eastAsia" w:ascii="宋体" w:hAnsi="宋体" w:cs="宋体"/>
                <w:color w:val="auto"/>
                <w:szCs w:val="21"/>
                <w:highlight w:val="none"/>
              </w:rPr>
              <w:t>，符合</w:t>
            </w:r>
            <w:r>
              <w:rPr>
                <w:rFonts w:hint="eastAsia"/>
                <w:color w:val="auto"/>
                <w:szCs w:val="21"/>
                <w:highlight w:val="none"/>
              </w:rPr>
              <w:t>提供采购文件标明所属行业的标的物的制造商应全部为中型或小型或微型企业</w:t>
            </w:r>
            <w:r>
              <w:rPr>
                <w:rFonts w:hint="eastAsia" w:ascii="宋体" w:hAnsi="宋体" w:cs="宋体"/>
                <w:color w:val="auto"/>
                <w:szCs w:val="21"/>
                <w:highlight w:val="none"/>
              </w:rPr>
              <w:t>的条件</w:t>
            </w:r>
            <w:r>
              <w:rPr>
                <w:rFonts w:hint="eastAsia"/>
                <w:color w:val="auto"/>
                <w:szCs w:val="21"/>
                <w:highlight w:val="none"/>
              </w:rPr>
              <w:t>。</w:t>
            </w:r>
          </w:p>
          <w:p w14:paraId="2BEA06D6">
            <w:pPr>
              <w:spacing w:line="240" w:lineRule="exact"/>
              <w:jc w:val="left"/>
              <w:rPr>
                <w:rFonts w:ascii="宋体" w:hAnsi="宋体" w:cs="宋体"/>
                <w:color w:val="auto"/>
                <w:szCs w:val="21"/>
                <w:highlight w:val="none"/>
              </w:rPr>
            </w:pPr>
            <w:r>
              <w:rPr>
                <w:rFonts w:hint="eastAsia"/>
                <w:color w:val="auto"/>
                <w:szCs w:val="21"/>
                <w:highlight w:val="none"/>
              </w:rPr>
              <w:t>注：1、符合</w:t>
            </w:r>
            <w:r>
              <w:rPr>
                <w:rFonts w:hint="eastAsia" w:ascii="宋体" w:hAnsi="宋体" w:cs="宋体"/>
                <w:color w:val="auto"/>
                <w:szCs w:val="21"/>
                <w:highlight w:val="none"/>
              </w:rPr>
              <w:t>监狱企业出具监狱企业证明文件的、符合残疾人福利性单位出具《残疾人福利性单位声明函》的视同中小企业。</w:t>
            </w:r>
          </w:p>
          <w:p w14:paraId="3629B2EA">
            <w:pPr>
              <w:spacing w:line="240" w:lineRule="exact"/>
              <w:jc w:val="left"/>
              <w:rPr>
                <w:rFonts w:hint="eastAsia"/>
                <w:color w:val="auto"/>
                <w:szCs w:val="21"/>
                <w:highlight w:val="none"/>
              </w:rPr>
            </w:pPr>
            <w:r>
              <w:rPr>
                <w:color w:val="auto"/>
                <w:szCs w:val="21"/>
                <w:highlight w:val="none"/>
              </w:rPr>
              <w:t>2</w:t>
            </w:r>
            <w:r>
              <w:rPr>
                <w:rFonts w:hint="eastAsia"/>
                <w:color w:val="auto"/>
                <w:szCs w:val="21"/>
                <w:highlight w:val="none"/>
              </w:rPr>
              <w:t>、律师事务所、司法鉴定机构不适用《中小企业划型标准规定》，不享受中小企业发展政策。</w:t>
            </w:r>
          </w:p>
        </w:tc>
      </w:tr>
      <w:tr w14:paraId="75E5F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trPr>
        <w:tc>
          <w:tcPr>
            <w:tcW w:w="846" w:type="dxa"/>
            <w:vMerge w:val="restart"/>
            <w:noWrap w:val="0"/>
            <w:vAlign w:val="center"/>
          </w:tcPr>
          <w:p w14:paraId="4AD0499F">
            <w:pPr>
              <w:spacing w:line="240" w:lineRule="exact"/>
              <w:rPr>
                <w:color w:val="auto"/>
                <w:szCs w:val="21"/>
                <w:highlight w:val="none"/>
              </w:rPr>
            </w:pPr>
            <w:r>
              <w:rPr>
                <w:color w:val="auto"/>
                <w:szCs w:val="21"/>
                <w:highlight w:val="none"/>
                <w:lang w:val="zh-CN"/>
              </w:rPr>
              <w:t>供应商应符合的</w:t>
            </w:r>
            <w:r>
              <w:rPr>
                <w:color w:val="auto"/>
                <w:szCs w:val="21"/>
                <w:highlight w:val="none"/>
              </w:rPr>
              <w:t>特定资格</w:t>
            </w:r>
            <w:r>
              <w:rPr>
                <w:rFonts w:hint="eastAsia"/>
                <w:color w:val="auto"/>
                <w:szCs w:val="21"/>
                <w:highlight w:val="none"/>
              </w:rPr>
              <w:t>要求</w:t>
            </w:r>
          </w:p>
        </w:tc>
        <w:tc>
          <w:tcPr>
            <w:tcW w:w="1843" w:type="dxa"/>
            <w:noWrap w:val="0"/>
            <w:vAlign w:val="center"/>
          </w:tcPr>
          <w:p w14:paraId="2F61B0E4">
            <w:pPr>
              <w:spacing w:line="240" w:lineRule="exact"/>
              <w:jc w:val="left"/>
              <w:rPr>
                <w:color w:val="auto"/>
                <w:szCs w:val="21"/>
                <w:highlight w:val="none"/>
              </w:rPr>
            </w:pPr>
            <w:r>
              <w:rPr>
                <w:color w:val="auto"/>
                <w:szCs w:val="21"/>
                <w:highlight w:val="none"/>
              </w:rPr>
              <w:t>（1）资质</w:t>
            </w:r>
            <w:r>
              <w:rPr>
                <w:rFonts w:hint="eastAsia"/>
                <w:color w:val="auto"/>
                <w:szCs w:val="21"/>
                <w:highlight w:val="none"/>
              </w:rPr>
              <w:t>要求</w:t>
            </w:r>
          </w:p>
        </w:tc>
        <w:tc>
          <w:tcPr>
            <w:tcW w:w="6242" w:type="dxa"/>
            <w:noWrap w:val="0"/>
            <w:vAlign w:val="center"/>
          </w:tcPr>
          <w:p w14:paraId="3425678C">
            <w:pPr>
              <w:spacing w:line="240" w:lineRule="exact"/>
              <w:jc w:val="left"/>
              <w:rPr>
                <w:color w:val="auto"/>
                <w:szCs w:val="21"/>
                <w:highlight w:val="none"/>
              </w:rPr>
            </w:pPr>
            <w:r>
              <w:rPr>
                <w:color w:val="auto"/>
                <w:szCs w:val="21"/>
                <w:highlight w:val="none"/>
              </w:rPr>
              <w:t>须符合</w:t>
            </w:r>
            <w:r>
              <w:rPr>
                <w:rFonts w:hint="eastAsia"/>
                <w:color w:val="auto"/>
                <w:szCs w:val="21"/>
                <w:highlight w:val="none"/>
              </w:rPr>
              <w:t>“谈判公告”</w:t>
            </w:r>
            <w:r>
              <w:rPr>
                <w:color w:val="auto"/>
                <w:szCs w:val="21"/>
                <w:highlight w:val="none"/>
              </w:rPr>
              <w:t>的要求</w:t>
            </w:r>
          </w:p>
        </w:tc>
      </w:tr>
      <w:tr w14:paraId="5B522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6" w:type="dxa"/>
            <w:vMerge w:val="continue"/>
            <w:noWrap w:val="0"/>
            <w:vAlign w:val="center"/>
          </w:tcPr>
          <w:p w14:paraId="22DE2A98">
            <w:pPr>
              <w:spacing w:line="240" w:lineRule="exact"/>
              <w:rPr>
                <w:color w:val="auto"/>
                <w:szCs w:val="21"/>
                <w:highlight w:val="none"/>
              </w:rPr>
            </w:pPr>
          </w:p>
        </w:tc>
        <w:tc>
          <w:tcPr>
            <w:tcW w:w="1843" w:type="dxa"/>
            <w:noWrap w:val="0"/>
            <w:vAlign w:val="center"/>
          </w:tcPr>
          <w:p w14:paraId="03E80788">
            <w:pPr>
              <w:spacing w:line="240" w:lineRule="exact"/>
              <w:jc w:val="left"/>
              <w:rPr>
                <w:color w:val="auto"/>
                <w:szCs w:val="21"/>
                <w:highlight w:val="none"/>
              </w:rPr>
            </w:pPr>
            <w:r>
              <w:rPr>
                <w:color w:val="auto"/>
                <w:szCs w:val="21"/>
                <w:highlight w:val="none"/>
              </w:rPr>
              <w:t>（2）业绩要求</w:t>
            </w:r>
          </w:p>
        </w:tc>
        <w:tc>
          <w:tcPr>
            <w:tcW w:w="6242" w:type="dxa"/>
            <w:noWrap w:val="0"/>
            <w:vAlign w:val="center"/>
          </w:tcPr>
          <w:p w14:paraId="1144DA09">
            <w:pPr>
              <w:spacing w:line="240" w:lineRule="exact"/>
              <w:jc w:val="left"/>
              <w:rPr>
                <w:color w:val="auto"/>
                <w:szCs w:val="21"/>
                <w:highlight w:val="none"/>
              </w:rPr>
            </w:pPr>
            <w:r>
              <w:rPr>
                <w:color w:val="auto"/>
                <w:szCs w:val="21"/>
                <w:highlight w:val="none"/>
              </w:rPr>
              <w:t>须符合</w:t>
            </w:r>
            <w:r>
              <w:rPr>
                <w:rFonts w:hint="eastAsia"/>
                <w:color w:val="auto"/>
                <w:szCs w:val="21"/>
                <w:highlight w:val="none"/>
              </w:rPr>
              <w:t>“谈判公告”</w:t>
            </w:r>
            <w:r>
              <w:rPr>
                <w:color w:val="auto"/>
                <w:szCs w:val="21"/>
                <w:highlight w:val="none"/>
              </w:rPr>
              <w:t>的要求</w:t>
            </w:r>
          </w:p>
        </w:tc>
      </w:tr>
      <w:tr w14:paraId="56696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4" w:hRule="atLeast"/>
        </w:trPr>
        <w:tc>
          <w:tcPr>
            <w:tcW w:w="846" w:type="dxa"/>
            <w:vMerge w:val="continue"/>
            <w:noWrap w:val="0"/>
            <w:vAlign w:val="center"/>
          </w:tcPr>
          <w:p w14:paraId="3AC61780">
            <w:pPr>
              <w:spacing w:line="240" w:lineRule="exact"/>
              <w:jc w:val="left"/>
              <w:rPr>
                <w:color w:val="auto"/>
                <w:szCs w:val="21"/>
                <w:highlight w:val="none"/>
              </w:rPr>
            </w:pPr>
          </w:p>
        </w:tc>
        <w:tc>
          <w:tcPr>
            <w:tcW w:w="1843" w:type="dxa"/>
            <w:noWrap w:val="0"/>
            <w:vAlign w:val="center"/>
          </w:tcPr>
          <w:p w14:paraId="16A39C57">
            <w:pPr>
              <w:spacing w:line="240" w:lineRule="exact"/>
              <w:jc w:val="left"/>
              <w:rPr>
                <w:color w:val="auto"/>
                <w:szCs w:val="21"/>
                <w:highlight w:val="none"/>
              </w:rPr>
            </w:pPr>
            <w:r>
              <w:rPr>
                <w:rFonts w:hint="eastAsia"/>
                <w:color w:val="auto"/>
                <w:szCs w:val="21"/>
                <w:highlight w:val="none"/>
              </w:rPr>
              <w:t>（</w:t>
            </w:r>
            <w:r>
              <w:rPr>
                <w:color w:val="auto"/>
                <w:szCs w:val="21"/>
                <w:highlight w:val="none"/>
              </w:rPr>
              <w:t>3</w:t>
            </w:r>
            <w:r>
              <w:rPr>
                <w:rFonts w:hint="eastAsia"/>
                <w:color w:val="auto"/>
                <w:szCs w:val="21"/>
                <w:highlight w:val="none"/>
              </w:rPr>
              <w:t>）供应商不得参加响应的情形</w:t>
            </w:r>
          </w:p>
        </w:tc>
        <w:tc>
          <w:tcPr>
            <w:tcW w:w="6242" w:type="dxa"/>
            <w:noWrap w:val="0"/>
            <w:vAlign w:val="center"/>
          </w:tcPr>
          <w:p w14:paraId="4005B92A">
            <w:pPr>
              <w:spacing w:line="240" w:lineRule="exact"/>
              <w:jc w:val="left"/>
              <w:rPr>
                <w:color w:val="auto"/>
                <w:kern w:val="0"/>
                <w:szCs w:val="21"/>
                <w:highlight w:val="none"/>
              </w:rPr>
            </w:pPr>
            <w:r>
              <w:rPr>
                <w:color w:val="auto"/>
                <w:kern w:val="0"/>
                <w:szCs w:val="21"/>
                <w:highlight w:val="none"/>
              </w:rPr>
              <w:t>单位负责人为同一人或者存在直接控股、管理关系的不同供应商，不得参加本项目同一合同项下的政府采购活动。为本项目提供整体设计、规范编制或者项目管理、监理、检测等服务的供应商，不得再参加</w:t>
            </w:r>
            <w:r>
              <w:rPr>
                <w:rFonts w:hint="eastAsia"/>
                <w:color w:val="auto"/>
                <w:kern w:val="0"/>
                <w:szCs w:val="21"/>
                <w:highlight w:val="none"/>
              </w:rPr>
              <w:t>本</w:t>
            </w:r>
            <w:r>
              <w:rPr>
                <w:color w:val="auto"/>
                <w:kern w:val="0"/>
                <w:szCs w:val="21"/>
                <w:highlight w:val="none"/>
              </w:rPr>
              <w:t>项目的采购活动。</w:t>
            </w:r>
          </w:p>
          <w:p w14:paraId="1C0810AB">
            <w:pPr>
              <w:spacing w:line="240" w:lineRule="exact"/>
              <w:jc w:val="left"/>
              <w:rPr>
                <w:color w:val="auto"/>
                <w:szCs w:val="21"/>
                <w:highlight w:val="none"/>
              </w:rPr>
            </w:pPr>
            <w:r>
              <w:rPr>
                <w:color w:val="auto"/>
                <w:szCs w:val="21"/>
                <w:highlight w:val="none"/>
              </w:rPr>
              <w:t>须提供，格式见第六章</w:t>
            </w:r>
            <w:r>
              <w:rPr>
                <w:rFonts w:hint="eastAsia"/>
                <w:color w:val="auto"/>
                <w:szCs w:val="21"/>
                <w:highlight w:val="none"/>
              </w:rPr>
              <w:t>响应</w:t>
            </w:r>
            <w:r>
              <w:rPr>
                <w:color w:val="auto"/>
                <w:szCs w:val="21"/>
                <w:highlight w:val="none"/>
              </w:rPr>
              <w:t>文件格式“</w:t>
            </w:r>
            <w:r>
              <w:rPr>
                <w:rFonts w:hint="eastAsia"/>
                <w:color w:val="auto"/>
                <w:szCs w:val="21"/>
                <w:highlight w:val="none"/>
              </w:rPr>
              <w:t>供应商直接控股股东、管理关系信息表</w:t>
            </w:r>
            <w:r>
              <w:rPr>
                <w:color w:val="auto"/>
                <w:szCs w:val="21"/>
                <w:highlight w:val="none"/>
              </w:rPr>
              <w:t>”。</w:t>
            </w:r>
          </w:p>
        </w:tc>
      </w:tr>
      <w:tr w14:paraId="2382F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846" w:type="dxa"/>
            <w:vMerge w:val="continue"/>
            <w:noWrap w:val="0"/>
            <w:vAlign w:val="center"/>
          </w:tcPr>
          <w:p w14:paraId="7240A191">
            <w:pPr>
              <w:spacing w:line="240" w:lineRule="exact"/>
              <w:jc w:val="left"/>
              <w:rPr>
                <w:color w:val="auto"/>
                <w:kern w:val="0"/>
                <w:szCs w:val="21"/>
                <w:highlight w:val="none"/>
              </w:rPr>
            </w:pPr>
          </w:p>
        </w:tc>
        <w:tc>
          <w:tcPr>
            <w:tcW w:w="1843" w:type="dxa"/>
            <w:noWrap w:val="0"/>
            <w:vAlign w:val="center"/>
          </w:tcPr>
          <w:p w14:paraId="0F715693">
            <w:pPr>
              <w:spacing w:line="240" w:lineRule="exact"/>
              <w:jc w:val="left"/>
              <w:rPr>
                <w:color w:val="auto"/>
                <w:kern w:val="0"/>
                <w:szCs w:val="21"/>
                <w:highlight w:val="none"/>
              </w:rPr>
            </w:pPr>
            <w:r>
              <w:rPr>
                <w:rFonts w:hint="eastAsia"/>
                <w:color w:val="auto"/>
                <w:szCs w:val="21"/>
                <w:highlight w:val="none"/>
              </w:rPr>
              <w:t>（</w:t>
            </w:r>
            <w:r>
              <w:rPr>
                <w:color w:val="auto"/>
                <w:szCs w:val="21"/>
                <w:highlight w:val="none"/>
              </w:rPr>
              <w:t>4</w:t>
            </w:r>
            <w:r>
              <w:rPr>
                <w:rFonts w:hint="eastAsia"/>
                <w:color w:val="auto"/>
                <w:szCs w:val="21"/>
                <w:highlight w:val="none"/>
              </w:rPr>
              <w:t>）诚信要求</w:t>
            </w:r>
          </w:p>
        </w:tc>
        <w:tc>
          <w:tcPr>
            <w:tcW w:w="6242" w:type="dxa"/>
            <w:noWrap w:val="0"/>
            <w:vAlign w:val="top"/>
          </w:tcPr>
          <w:p w14:paraId="496793BF">
            <w:pPr>
              <w:spacing w:line="240" w:lineRule="exact"/>
              <w:jc w:val="left"/>
              <w:rPr>
                <w:color w:val="auto"/>
                <w:kern w:val="0"/>
                <w:szCs w:val="21"/>
                <w:highlight w:val="none"/>
              </w:rPr>
            </w:pPr>
            <w:r>
              <w:rPr>
                <w:rFonts w:hint="eastAsia"/>
                <w:color w:val="auto"/>
                <w:szCs w:val="21"/>
                <w:highlight w:val="none"/>
              </w:rPr>
              <w:t>未被列入失信被执行人、</w:t>
            </w:r>
            <w:r>
              <w:rPr>
                <w:color w:val="auto"/>
                <w:szCs w:val="21"/>
                <w:highlight w:val="none"/>
              </w:rPr>
              <w:t>重大税收违法失信主体、政府采购严重违法失信行为记录名单</w:t>
            </w:r>
            <w:r>
              <w:rPr>
                <w:rFonts w:hint="eastAsia"/>
                <w:color w:val="auto"/>
                <w:szCs w:val="21"/>
                <w:highlight w:val="none"/>
              </w:rPr>
              <w:t>。</w:t>
            </w:r>
          </w:p>
        </w:tc>
      </w:tr>
      <w:tr w14:paraId="25CB3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846" w:type="dxa"/>
            <w:vMerge w:val="continue"/>
            <w:noWrap w:val="0"/>
            <w:vAlign w:val="center"/>
          </w:tcPr>
          <w:p w14:paraId="49A6A66E">
            <w:pPr>
              <w:spacing w:line="240" w:lineRule="exact"/>
              <w:jc w:val="left"/>
              <w:rPr>
                <w:color w:val="auto"/>
                <w:kern w:val="0"/>
                <w:szCs w:val="21"/>
                <w:highlight w:val="none"/>
              </w:rPr>
            </w:pPr>
          </w:p>
        </w:tc>
        <w:tc>
          <w:tcPr>
            <w:tcW w:w="1843" w:type="dxa"/>
            <w:noWrap w:val="0"/>
            <w:vAlign w:val="center"/>
          </w:tcPr>
          <w:p w14:paraId="74BAA7DC">
            <w:pPr>
              <w:spacing w:line="240" w:lineRule="exact"/>
              <w:jc w:val="left"/>
              <w:rPr>
                <w:color w:val="auto"/>
                <w:szCs w:val="21"/>
                <w:highlight w:val="none"/>
              </w:rPr>
            </w:pPr>
            <w:r>
              <w:rPr>
                <w:rFonts w:hint="eastAsia"/>
                <w:color w:val="auto"/>
                <w:szCs w:val="21"/>
                <w:highlight w:val="none"/>
              </w:rPr>
              <w:t>（5）分公司</w:t>
            </w:r>
          </w:p>
        </w:tc>
        <w:tc>
          <w:tcPr>
            <w:tcW w:w="6242" w:type="dxa"/>
            <w:noWrap w:val="0"/>
            <w:vAlign w:val="center"/>
          </w:tcPr>
          <w:p w14:paraId="0DCE9C83">
            <w:pPr>
              <w:spacing w:line="240" w:lineRule="exact"/>
              <w:rPr>
                <w:color w:val="auto"/>
                <w:szCs w:val="21"/>
                <w:highlight w:val="none"/>
              </w:rPr>
            </w:pPr>
            <w:r>
              <w:rPr>
                <w:rFonts w:hint="eastAsia"/>
                <w:color w:val="auto"/>
                <w:szCs w:val="21"/>
                <w:highlight w:val="none"/>
              </w:rPr>
              <w:t>如允许分公司参与响应的，供应商须提供总公司出具的授权其参与本项目的授权文件。</w:t>
            </w:r>
          </w:p>
        </w:tc>
      </w:tr>
      <w:tr w14:paraId="5920E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846" w:type="dxa"/>
            <w:vMerge w:val="continue"/>
            <w:noWrap w:val="0"/>
            <w:vAlign w:val="center"/>
          </w:tcPr>
          <w:p w14:paraId="5E2A5080">
            <w:pPr>
              <w:spacing w:line="240" w:lineRule="exact"/>
              <w:jc w:val="left"/>
              <w:rPr>
                <w:color w:val="auto"/>
                <w:kern w:val="0"/>
                <w:szCs w:val="21"/>
                <w:highlight w:val="none"/>
              </w:rPr>
            </w:pPr>
          </w:p>
        </w:tc>
        <w:tc>
          <w:tcPr>
            <w:tcW w:w="1843" w:type="dxa"/>
            <w:noWrap w:val="0"/>
            <w:vAlign w:val="center"/>
          </w:tcPr>
          <w:p w14:paraId="39152810">
            <w:pPr>
              <w:spacing w:line="240" w:lineRule="exact"/>
              <w:jc w:val="left"/>
              <w:rPr>
                <w:color w:val="auto"/>
                <w:szCs w:val="21"/>
                <w:highlight w:val="none"/>
              </w:rPr>
            </w:pPr>
            <w:r>
              <w:rPr>
                <w:rFonts w:hint="eastAsia"/>
                <w:color w:val="auto"/>
                <w:szCs w:val="21"/>
                <w:highlight w:val="none"/>
              </w:rPr>
              <w:t>（</w:t>
            </w:r>
            <w:r>
              <w:rPr>
                <w:color w:val="auto"/>
                <w:szCs w:val="21"/>
                <w:highlight w:val="none"/>
              </w:rPr>
              <w:t>6</w:t>
            </w:r>
            <w:r>
              <w:rPr>
                <w:rFonts w:hint="eastAsia"/>
                <w:color w:val="auto"/>
                <w:szCs w:val="21"/>
                <w:highlight w:val="none"/>
              </w:rPr>
              <w:t>）分包</w:t>
            </w:r>
          </w:p>
        </w:tc>
        <w:tc>
          <w:tcPr>
            <w:tcW w:w="6242" w:type="dxa"/>
            <w:noWrap w:val="0"/>
            <w:vAlign w:val="center"/>
          </w:tcPr>
          <w:p w14:paraId="4A0B25C6">
            <w:pPr>
              <w:spacing w:line="240" w:lineRule="exact"/>
              <w:rPr>
                <w:color w:val="auto"/>
                <w:szCs w:val="21"/>
                <w:highlight w:val="none"/>
                <w:lang w:val="zh-CN"/>
              </w:rPr>
            </w:pPr>
            <w:r>
              <w:rPr>
                <w:color w:val="auto"/>
                <w:szCs w:val="21"/>
                <w:highlight w:val="none"/>
              </w:rPr>
              <w:t>须符合</w:t>
            </w:r>
            <w:r>
              <w:rPr>
                <w:rFonts w:hint="eastAsia"/>
                <w:color w:val="auto"/>
                <w:szCs w:val="21"/>
                <w:highlight w:val="none"/>
              </w:rPr>
              <w:t>“谈判公告”</w:t>
            </w:r>
            <w:r>
              <w:rPr>
                <w:color w:val="auto"/>
                <w:szCs w:val="21"/>
                <w:highlight w:val="none"/>
              </w:rPr>
              <w:t>的要求</w:t>
            </w:r>
          </w:p>
        </w:tc>
      </w:tr>
      <w:tr w14:paraId="6F209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trPr>
        <w:tc>
          <w:tcPr>
            <w:tcW w:w="846" w:type="dxa"/>
            <w:vMerge w:val="continue"/>
            <w:noWrap w:val="0"/>
            <w:vAlign w:val="center"/>
          </w:tcPr>
          <w:p w14:paraId="58F1BD38">
            <w:pPr>
              <w:spacing w:line="240" w:lineRule="exact"/>
              <w:jc w:val="left"/>
              <w:rPr>
                <w:color w:val="auto"/>
                <w:kern w:val="0"/>
                <w:szCs w:val="21"/>
                <w:highlight w:val="none"/>
              </w:rPr>
            </w:pPr>
          </w:p>
        </w:tc>
        <w:tc>
          <w:tcPr>
            <w:tcW w:w="1843" w:type="dxa"/>
            <w:noWrap w:val="0"/>
            <w:vAlign w:val="center"/>
          </w:tcPr>
          <w:p w14:paraId="19FDD04D">
            <w:pPr>
              <w:spacing w:line="240" w:lineRule="exact"/>
              <w:jc w:val="left"/>
              <w:rPr>
                <w:color w:val="auto"/>
                <w:szCs w:val="21"/>
                <w:highlight w:val="none"/>
              </w:rPr>
            </w:pPr>
            <w:r>
              <w:rPr>
                <w:rFonts w:hint="eastAsia"/>
                <w:color w:val="auto"/>
                <w:szCs w:val="21"/>
                <w:highlight w:val="none"/>
              </w:rPr>
              <w:t>（</w:t>
            </w:r>
            <w:r>
              <w:rPr>
                <w:color w:val="auto"/>
                <w:szCs w:val="21"/>
                <w:highlight w:val="none"/>
              </w:rPr>
              <w:t>7</w:t>
            </w:r>
            <w:r>
              <w:rPr>
                <w:rFonts w:hint="eastAsia"/>
                <w:color w:val="auto"/>
                <w:szCs w:val="21"/>
                <w:highlight w:val="none"/>
              </w:rPr>
              <w:t>）联合体</w:t>
            </w:r>
          </w:p>
        </w:tc>
        <w:tc>
          <w:tcPr>
            <w:tcW w:w="6242" w:type="dxa"/>
            <w:noWrap w:val="0"/>
            <w:vAlign w:val="center"/>
          </w:tcPr>
          <w:p w14:paraId="2EB62BF0">
            <w:pPr>
              <w:spacing w:line="240" w:lineRule="exact"/>
              <w:rPr>
                <w:color w:val="auto"/>
                <w:szCs w:val="21"/>
                <w:highlight w:val="none"/>
              </w:rPr>
            </w:pPr>
            <w:r>
              <w:rPr>
                <w:rFonts w:hint="eastAsia"/>
                <w:color w:val="auto"/>
                <w:szCs w:val="21"/>
                <w:highlight w:val="none"/>
                <w:lang w:val="zh-CN"/>
              </w:rPr>
              <w:t>须符合“谈判公告”的要求</w:t>
            </w:r>
          </w:p>
        </w:tc>
      </w:tr>
      <w:tr w14:paraId="3EEA8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trPr>
        <w:tc>
          <w:tcPr>
            <w:tcW w:w="846" w:type="dxa"/>
            <w:vMerge w:val="continue"/>
            <w:noWrap w:val="0"/>
            <w:vAlign w:val="center"/>
          </w:tcPr>
          <w:p w14:paraId="7D39BEA3">
            <w:pPr>
              <w:spacing w:line="240" w:lineRule="exact"/>
              <w:jc w:val="left"/>
              <w:rPr>
                <w:color w:val="auto"/>
                <w:kern w:val="0"/>
                <w:szCs w:val="21"/>
                <w:highlight w:val="none"/>
              </w:rPr>
            </w:pPr>
          </w:p>
        </w:tc>
        <w:tc>
          <w:tcPr>
            <w:tcW w:w="1843" w:type="dxa"/>
            <w:noWrap w:val="0"/>
            <w:vAlign w:val="center"/>
          </w:tcPr>
          <w:p w14:paraId="5EAB6E79">
            <w:pPr>
              <w:spacing w:line="240" w:lineRule="exact"/>
              <w:jc w:val="left"/>
              <w:rPr>
                <w:color w:val="auto"/>
                <w:szCs w:val="21"/>
                <w:highlight w:val="none"/>
              </w:rPr>
            </w:pPr>
            <w:r>
              <w:rPr>
                <w:rFonts w:hint="eastAsia"/>
                <w:color w:val="auto"/>
                <w:szCs w:val="21"/>
                <w:highlight w:val="none"/>
              </w:rPr>
              <w:t>（</w:t>
            </w:r>
            <w:r>
              <w:rPr>
                <w:color w:val="auto"/>
                <w:szCs w:val="21"/>
                <w:highlight w:val="none"/>
              </w:rPr>
              <w:t>8</w:t>
            </w:r>
            <w:r>
              <w:rPr>
                <w:rFonts w:hint="eastAsia"/>
                <w:color w:val="auto"/>
                <w:szCs w:val="21"/>
                <w:highlight w:val="none"/>
              </w:rPr>
              <w:t>）其他要求</w:t>
            </w:r>
          </w:p>
        </w:tc>
        <w:tc>
          <w:tcPr>
            <w:tcW w:w="6242" w:type="dxa"/>
            <w:noWrap w:val="0"/>
            <w:vAlign w:val="top"/>
          </w:tcPr>
          <w:p w14:paraId="0421A6DB">
            <w:pPr>
              <w:spacing w:line="312" w:lineRule="auto"/>
              <w:jc w:val="left"/>
              <w:rPr>
                <w:color w:val="auto"/>
                <w:kern w:val="0"/>
                <w:szCs w:val="21"/>
                <w:highlight w:val="none"/>
              </w:rPr>
            </w:pPr>
            <w:r>
              <w:rPr>
                <w:rFonts w:hint="eastAsia"/>
                <w:color w:val="auto"/>
                <w:kern w:val="0"/>
                <w:szCs w:val="21"/>
                <w:highlight w:val="none"/>
              </w:rPr>
              <w:t>按</w:t>
            </w:r>
            <w:r>
              <w:rPr>
                <w:color w:val="auto"/>
                <w:kern w:val="0"/>
                <w:szCs w:val="21"/>
                <w:highlight w:val="none"/>
              </w:rPr>
              <w:t>照</w:t>
            </w:r>
            <w:r>
              <w:rPr>
                <w:rFonts w:hint="eastAsia"/>
                <w:color w:val="auto"/>
                <w:kern w:val="0"/>
                <w:szCs w:val="21"/>
                <w:highlight w:val="none"/>
              </w:rPr>
              <w:t>谈判</w:t>
            </w:r>
            <w:r>
              <w:rPr>
                <w:color w:val="auto"/>
                <w:kern w:val="0"/>
                <w:szCs w:val="21"/>
                <w:highlight w:val="none"/>
              </w:rPr>
              <w:t>公告规定获得</w:t>
            </w:r>
            <w:r>
              <w:rPr>
                <w:rFonts w:hint="eastAsia"/>
                <w:color w:val="auto"/>
                <w:kern w:val="0"/>
                <w:szCs w:val="21"/>
                <w:highlight w:val="none"/>
              </w:rPr>
              <w:t>采购</w:t>
            </w:r>
            <w:r>
              <w:rPr>
                <w:color w:val="auto"/>
                <w:kern w:val="0"/>
                <w:szCs w:val="21"/>
                <w:highlight w:val="none"/>
              </w:rPr>
              <w:t>文件。</w:t>
            </w:r>
            <w:r>
              <w:rPr>
                <w:rFonts w:hint="eastAsia"/>
                <w:color w:val="auto"/>
                <w:kern w:val="0"/>
                <w:szCs w:val="21"/>
                <w:highlight w:val="none"/>
              </w:rPr>
              <w:t>足额、及时缴纳谈判保证金。</w:t>
            </w:r>
          </w:p>
        </w:tc>
      </w:tr>
      <w:bookmarkEnd w:id="83"/>
    </w:tbl>
    <w:p w14:paraId="7CF1C021">
      <w:pPr>
        <w:spacing w:before="120" w:line="320" w:lineRule="atLeast"/>
        <w:ind w:firstLine="413" w:firstLineChars="196"/>
        <w:outlineLvl w:val="1"/>
        <w:rPr>
          <w:b/>
          <w:bCs/>
          <w:color w:val="auto"/>
          <w:kern w:val="0"/>
          <w:szCs w:val="21"/>
          <w:highlight w:val="none"/>
        </w:rPr>
      </w:pPr>
      <w:bookmarkStart w:id="84" w:name="_Hlk92979639"/>
      <w:r>
        <w:rPr>
          <w:b/>
          <w:bCs/>
          <w:color w:val="auto"/>
          <w:kern w:val="0"/>
          <w:szCs w:val="21"/>
          <w:highlight w:val="none"/>
        </w:rPr>
        <w:t>3</w:t>
      </w:r>
      <w:r>
        <w:rPr>
          <w:rFonts w:hint="eastAsia"/>
          <w:b/>
          <w:bCs/>
          <w:color w:val="auto"/>
          <w:kern w:val="0"/>
          <w:szCs w:val="21"/>
          <w:highlight w:val="none"/>
        </w:rPr>
        <w:t>.</w:t>
      </w:r>
      <w:r>
        <w:rPr>
          <w:b/>
          <w:bCs/>
          <w:color w:val="auto"/>
          <w:kern w:val="0"/>
          <w:szCs w:val="21"/>
          <w:highlight w:val="none"/>
        </w:rPr>
        <w:t>符合性审查</w:t>
      </w:r>
      <w:r>
        <w:rPr>
          <w:rFonts w:hint="eastAsia"/>
          <w:b/>
          <w:bCs/>
          <w:color w:val="auto"/>
          <w:kern w:val="0"/>
          <w:szCs w:val="21"/>
          <w:highlight w:val="none"/>
        </w:rPr>
        <w:t>标准（不满足任何一项审查内容要求，符合性审查即为不合格）</w:t>
      </w:r>
    </w:p>
    <w:tbl>
      <w:tblPr>
        <w:tblStyle w:val="51"/>
        <w:tblW w:w="9324"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9"/>
        <w:gridCol w:w="2436"/>
        <w:gridCol w:w="5309"/>
      </w:tblGrid>
      <w:tr w14:paraId="6579F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579" w:type="dxa"/>
            <w:noWrap w:val="0"/>
            <w:vAlign w:val="center"/>
          </w:tcPr>
          <w:p w14:paraId="439CA397">
            <w:pPr>
              <w:spacing w:line="240" w:lineRule="exact"/>
              <w:jc w:val="center"/>
              <w:rPr>
                <w:b/>
                <w:color w:val="auto"/>
                <w:kern w:val="0"/>
                <w:szCs w:val="21"/>
                <w:highlight w:val="none"/>
              </w:rPr>
            </w:pPr>
            <w:bookmarkStart w:id="85" w:name="_Hlk92979654"/>
            <w:r>
              <w:rPr>
                <w:rFonts w:hint="eastAsia"/>
                <w:b/>
                <w:color w:val="auto"/>
                <w:kern w:val="0"/>
                <w:szCs w:val="21"/>
                <w:highlight w:val="none"/>
              </w:rPr>
              <w:t>审查</w:t>
            </w:r>
            <w:r>
              <w:rPr>
                <w:b/>
                <w:color w:val="auto"/>
                <w:kern w:val="0"/>
                <w:szCs w:val="21"/>
                <w:highlight w:val="none"/>
              </w:rPr>
              <w:t>因素</w:t>
            </w:r>
          </w:p>
        </w:tc>
        <w:tc>
          <w:tcPr>
            <w:tcW w:w="2436" w:type="dxa"/>
            <w:noWrap w:val="0"/>
            <w:vAlign w:val="center"/>
          </w:tcPr>
          <w:p w14:paraId="0B824B9E">
            <w:pPr>
              <w:spacing w:line="240" w:lineRule="exact"/>
              <w:jc w:val="center"/>
              <w:rPr>
                <w:b/>
                <w:color w:val="auto"/>
                <w:kern w:val="0"/>
                <w:szCs w:val="21"/>
                <w:highlight w:val="none"/>
              </w:rPr>
            </w:pPr>
            <w:r>
              <w:rPr>
                <w:rFonts w:hint="eastAsia"/>
                <w:b/>
                <w:color w:val="auto"/>
                <w:kern w:val="0"/>
                <w:szCs w:val="21"/>
                <w:highlight w:val="none"/>
              </w:rPr>
              <w:t>审查内容</w:t>
            </w:r>
          </w:p>
        </w:tc>
        <w:tc>
          <w:tcPr>
            <w:tcW w:w="5309" w:type="dxa"/>
            <w:noWrap w:val="0"/>
            <w:vAlign w:val="top"/>
          </w:tcPr>
          <w:p w14:paraId="008B9549">
            <w:pPr>
              <w:spacing w:line="240" w:lineRule="exact"/>
              <w:jc w:val="center"/>
              <w:rPr>
                <w:b/>
                <w:color w:val="auto"/>
                <w:kern w:val="0"/>
                <w:szCs w:val="21"/>
                <w:highlight w:val="none"/>
              </w:rPr>
            </w:pPr>
            <w:r>
              <w:rPr>
                <w:rFonts w:hint="eastAsia"/>
                <w:b/>
                <w:color w:val="auto"/>
                <w:kern w:val="0"/>
                <w:szCs w:val="21"/>
                <w:highlight w:val="none"/>
              </w:rPr>
              <w:t>说明</w:t>
            </w:r>
          </w:p>
        </w:tc>
      </w:tr>
      <w:tr w14:paraId="7CE97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1579" w:type="dxa"/>
            <w:vMerge w:val="restart"/>
            <w:noWrap w:val="0"/>
            <w:vAlign w:val="center"/>
          </w:tcPr>
          <w:p w14:paraId="286D9BBB">
            <w:pPr>
              <w:spacing w:line="240" w:lineRule="exact"/>
              <w:jc w:val="center"/>
              <w:rPr>
                <w:color w:val="auto"/>
                <w:kern w:val="0"/>
                <w:szCs w:val="21"/>
                <w:highlight w:val="none"/>
              </w:rPr>
            </w:pPr>
            <w:r>
              <w:rPr>
                <w:rFonts w:hint="eastAsia"/>
                <w:color w:val="auto"/>
                <w:kern w:val="0"/>
                <w:szCs w:val="21"/>
                <w:highlight w:val="none"/>
              </w:rPr>
              <w:t>商务资信</w:t>
            </w:r>
          </w:p>
        </w:tc>
        <w:tc>
          <w:tcPr>
            <w:tcW w:w="2436" w:type="dxa"/>
            <w:noWrap w:val="0"/>
            <w:vAlign w:val="center"/>
          </w:tcPr>
          <w:p w14:paraId="413CAF21">
            <w:pPr>
              <w:spacing w:line="240" w:lineRule="exact"/>
              <w:rPr>
                <w:color w:val="auto"/>
                <w:highlight w:val="none"/>
              </w:rPr>
            </w:pPr>
            <w:r>
              <w:rPr>
                <w:rFonts w:hint="eastAsia"/>
                <w:color w:val="auto"/>
                <w:highlight w:val="none"/>
              </w:rPr>
              <w:t>法定代表人身份证明及授权委托书</w:t>
            </w:r>
          </w:p>
        </w:tc>
        <w:tc>
          <w:tcPr>
            <w:tcW w:w="5309" w:type="dxa"/>
            <w:noWrap w:val="0"/>
            <w:vAlign w:val="center"/>
          </w:tcPr>
          <w:p w14:paraId="504B3A40">
            <w:pPr>
              <w:spacing w:line="240" w:lineRule="exact"/>
              <w:rPr>
                <w:color w:val="auto"/>
                <w:szCs w:val="21"/>
                <w:highlight w:val="none"/>
              </w:rPr>
            </w:pPr>
            <w:r>
              <w:rPr>
                <w:rFonts w:hint="eastAsia"/>
                <w:color w:val="auto"/>
                <w:szCs w:val="21"/>
                <w:highlight w:val="none"/>
              </w:rPr>
              <w:t>授权</w:t>
            </w:r>
            <w:r>
              <w:rPr>
                <w:color w:val="auto"/>
                <w:szCs w:val="21"/>
                <w:highlight w:val="none"/>
              </w:rPr>
              <w:t>代表</w:t>
            </w:r>
            <w:r>
              <w:rPr>
                <w:rFonts w:hint="eastAsia"/>
                <w:color w:val="auto"/>
                <w:szCs w:val="21"/>
                <w:highlight w:val="none"/>
              </w:rPr>
              <w:t>参加响应</w:t>
            </w:r>
            <w:r>
              <w:rPr>
                <w:color w:val="auto"/>
                <w:szCs w:val="21"/>
                <w:highlight w:val="none"/>
              </w:rPr>
              <w:t>时审查</w:t>
            </w:r>
            <w:r>
              <w:rPr>
                <w:color w:val="auto"/>
                <w:highlight w:val="none"/>
              </w:rPr>
              <w:t>：</w:t>
            </w:r>
            <w:r>
              <w:rPr>
                <w:rFonts w:ascii="宋体" w:hAnsi="宋体"/>
                <w:color w:val="auto"/>
                <w:szCs w:val="21"/>
                <w:highlight w:val="none"/>
              </w:rPr>
              <w:t>法定代表人授权委托书及附件</w:t>
            </w:r>
            <w:r>
              <w:rPr>
                <w:color w:val="auto"/>
                <w:szCs w:val="21"/>
                <w:highlight w:val="none"/>
              </w:rPr>
              <w:t xml:space="preserve"> </w:t>
            </w:r>
          </w:p>
          <w:p w14:paraId="4D7F6F3E">
            <w:pPr>
              <w:spacing w:line="240" w:lineRule="exact"/>
              <w:rPr>
                <w:rFonts w:ascii="宋体" w:hAnsi="宋体"/>
                <w:color w:val="auto"/>
                <w:szCs w:val="21"/>
                <w:highlight w:val="none"/>
              </w:rPr>
            </w:pPr>
            <w:r>
              <w:rPr>
                <w:rFonts w:hint="eastAsia"/>
                <w:color w:val="auto"/>
                <w:szCs w:val="21"/>
                <w:highlight w:val="none"/>
              </w:rPr>
              <w:t>法定代表人直接参加响应</w:t>
            </w:r>
            <w:r>
              <w:rPr>
                <w:color w:val="auto"/>
                <w:szCs w:val="21"/>
                <w:highlight w:val="none"/>
              </w:rPr>
              <w:t>时审查</w:t>
            </w:r>
            <w:r>
              <w:rPr>
                <w:color w:val="auto"/>
                <w:highlight w:val="none"/>
              </w:rPr>
              <w:t>：</w:t>
            </w:r>
            <w:r>
              <w:rPr>
                <w:rFonts w:ascii="宋体" w:hAnsi="宋体"/>
                <w:color w:val="auto"/>
                <w:szCs w:val="21"/>
                <w:highlight w:val="none"/>
              </w:rPr>
              <w:t>法定代表人身份证明</w:t>
            </w:r>
            <w:r>
              <w:rPr>
                <w:rFonts w:hint="eastAsia" w:ascii="宋体" w:hAnsi="宋体"/>
                <w:color w:val="auto"/>
                <w:szCs w:val="21"/>
                <w:highlight w:val="none"/>
              </w:rPr>
              <w:t>及</w:t>
            </w:r>
            <w:r>
              <w:rPr>
                <w:rFonts w:ascii="宋体" w:hAnsi="宋体"/>
                <w:color w:val="auto"/>
                <w:szCs w:val="21"/>
                <w:highlight w:val="none"/>
              </w:rPr>
              <w:t>附件</w:t>
            </w:r>
          </w:p>
          <w:p w14:paraId="0DD9FB68">
            <w:pPr>
              <w:spacing w:line="240" w:lineRule="exact"/>
              <w:rPr>
                <w:color w:val="auto"/>
                <w:highlight w:val="none"/>
              </w:rPr>
            </w:pPr>
            <w:r>
              <w:rPr>
                <w:rFonts w:ascii="宋体" w:hAnsi="宋体"/>
                <w:color w:val="auto"/>
                <w:szCs w:val="21"/>
                <w:highlight w:val="none"/>
              </w:rPr>
              <w:t>格式及附件见第六章响应文件格式要求</w:t>
            </w:r>
          </w:p>
        </w:tc>
      </w:tr>
      <w:tr w14:paraId="5F37D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579" w:type="dxa"/>
            <w:vMerge w:val="continue"/>
            <w:noWrap w:val="0"/>
            <w:vAlign w:val="center"/>
          </w:tcPr>
          <w:p w14:paraId="60FF17F2">
            <w:pPr>
              <w:spacing w:line="240" w:lineRule="exact"/>
              <w:jc w:val="center"/>
              <w:rPr>
                <w:color w:val="auto"/>
                <w:kern w:val="0"/>
                <w:szCs w:val="21"/>
                <w:highlight w:val="none"/>
              </w:rPr>
            </w:pPr>
          </w:p>
        </w:tc>
        <w:tc>
          <w:tcPr>
            <w:tcW w:w="2436" w:type="dxa"/>
            <w:noWrap w:val="0"/>
            <w:vAlign w:val="center"/>
          </w:tcPr>
          <w:p w14:paraId="641E2E0E">
            <w:pPr>
              <w:spacing w:line="240" w:lineRule="exact"/>
              <w:rPr>
                <w:color w:val="auto"/>
                <w:szCs w:val="21"/>
                <w:highlight w:val="none"/>
              </w:rPr>
            </w:pPr>
            <w:r>
              <w:rPr>
                <w:rFonts w:hint="eastAsia"/>
                <w:color w:val="auto"/>
                <w:szCs w:val="21"/>
                <w:highlight w:val="none"/>
              </w:rPr>
              <w:t>实质性条款响应</w:t>
            </w:r>
          </w:p>
        </w:tc>
        <w:tc>
          <w:tcPr>
            <w:tcW w:w="5309" w:type="dxa"/>
            <w:noWrap w:val="0"/>
            <w:vAlign w:val="center"/>
          </w:tcPr>
          <w:p w14:paraId="3D7D8E56">
            <w:pPr>
              <w:spacing w:line="240" w:lineRule="exact"/>
              <w:rPr>
                <w:color w:val="auto"/>
                <w:szCs w:val="21"/>
                <w:highlight w:val="none"/>
              </w:rPr>
            </w:pPr>
            <w:r>
              <w:rPr>
                <w:rFonts w:hint="eastAsia" w:ascii="宋体" w:hAnsi="宋体"/>
                <w:color w:val="auto"/>
                <w:szCs w:val="21"/>
                <w:highlight w:val="none"/>
              </w:rPr>
              <w:t>采购文件实质性要求响应均无负偏离</w:t>
            </w:r>
          </w:p>
        </w:tc>
      </w:tr>
      <w:tr w14:paraId="44FEF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1579" w:type="dxa"/>
            <w:vMerge w:val="continue"/>
            <w:noWrap w:val="0"/>
            <w:vAlign w:val="center"/>
          </w:tcPr>
          <w:p w14:paraId="61400521">
            <w:pPr>
              <w:spacing w:line="240" w:lineRule="exact"/>
              <w:jc w:val="center"/>
              <w:rPr>
                <w:color w:val="auto"/>
                <w:kern w:val="0"/>
                <w:szCs w:val="21"/>
                <w:highlight w:val="none"/>
              </w:rPr>
            </w:pPr>
          </w:p>
        </w:tc>
        <w:tc>
          <w:tcPr>
            <w:tcW w:w="2436" w:type="dxa"/>
            <w:noWrap w:val="0"/>
            <w:vAlign w:val="center"/>
          </w:tcPr>
          <w:p w14:paraId="3A6F5FC9">
            <w:pPr>
              <w:spacing w:line="240" w:lineRule="exact"/>
              <w:rPr>
                <w:color w:val="auto"/>
                <w:szCs w:val="21"/>
                <w:highlight w:val="none"/>
              </w:rPr>
            </w:pPr>
            <w:r>
              <w:rPr>
                <w:rFonts w:hint="eastAsia"/>
                <w:color w:val="auto"/>
                <w:szCs w:val="21"/>
                <w:highlight w:val="none"/>
              </w:rPr>
              <w:t>串通投标</w:t>
            </w:r>
          </w:p>
        </w:tc>
        <w:tc>
          <w:tcPr>
            <w:tcW w:w="5309" w:type="dxa"/>
            <w:noWrap w:val="0"/>
            <w:vAlign w:val="center"/>
          </w:tcPr>
          <w:p w14:paraId="54F3CF57">
            <w:pPr>
              <w:spacing w:line="240" w:lineRule="exact"/>
              <w:rPr>
                <w:color w:val="auto"/>
                <w:szCs w:val="21"/>
                <w:highlight w:val="none"/>
              </w:rPr>
            </w:pPr>
            <w:r>
              <w:rPr>
                <w:rFonts w:hint="eastAsia" w:ascii="宋体" w:hAnsi="宋体"/>
                <w:color w:val="auto"/>
                <w:szCs w:val="21"/>
                <w:highlight w:val="none"/>
              </w:rPr>
              <w:t>不属于供应商须知正文第</w:t>
            </w:r>
            <w:r>
              <w:rPr>
                <w:rFonts w:ascii="宋体" w:hAnsi="宋体"/>
                <w:color w:val="auto"/>
                <w:szCs w:val="21"/>
                <w:highlight w:val="none"/>
              </w:rPr>
              <w:t>6</w:t>
            </w: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w:t>
            </w:r>
            <w:r>
              <w:rPr>
                <w:rFonts w:ascii="宋体" w:hAnsi="宋体"/>
                <w:color w:val="auto"/>
                <w:szCs w:val="21"/>
                <w:highlight w:val="none"/>
              </w:rPr>
              <w:t>8</w:t>
            </w:r>
            <w:r>
              <w:rPr>
                <w:rFonts w:hint="eastAsia" w:ascii="宋体" w:hAnsi="宋体"/>
                <w:color w:val="auto"/>
                <w:szCs w:val="21"/>
                <w:highlight w:val="none"/>
              </w:rPr>
              <w:t>规定的串通投标情形，见</w:t>
            </w:r>
            <w:r>
              <w:rPr>
                <w:rFonts w:ascii="宋体" w:hAnsi="宋体"/>
                <w:color w:val="auto"/>
                <w:szCs w:val="21"/>
                <w:highlight w:val="none"/>
              </w:rPr>
              <w:t>第六章响应文件格式要求</w:t>
            </w:r>
          </w:p>
        </w:tc>
      </w:tr>
      <w:tr w14:paraId="46829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1579" w:type="dxa"/>
            <w:vMerge w:val="restart"/>
            <w:noWrap w:val="0"/>
            <w:vAlign w:val="center"/>
          </w:tcPr>
          <w:p w14:paraId="05F67C9C">
            <w:pPr>
              <w:spacing w:line="240" w:lineRule="exact"/>
              <w:jc w:val="center"/>
              <w:rPr>
                <w:color w:val="auto"/>
                <w:szCs w:val="21"/>
                <w:highlight w:val="none"/>
              </w:rPr>
            </w:pPr>
            <w:r>
              <w:rPr>
                <w:rFonts w:hint="eastAsia"/>
                <w:color w:val="auto"/>
                <w:kern w:val="0"/>
                <w:szCs w:val="21"/>
                <w:highlight w:val="none"/>
              </w:rPr>
              <w:t>技术</w:t>
            </w:r>
          </w:p>
        </w:tc>
        <w:tc>
          <w:tcPr>
            <w:tcW w:w="2436" w:type="dxa"/>
            <w:noWrap w:val="0"/>
            <w:vAlign w:val="center"/>
          </w:tcPr>
          <w:p w14:paraId="4F140048">
            <w:pPr>
              <w:spacing w:line="240" w:lineRule="exact"/>
              <w:rPr>
                <w:color w:val="auto"/>
                <w:szCs w:val="21"/>
                <w:highlight w:val="none"/>
              </w:rPr>
            </w:pPr>
            <w:r>
              <w:rPr>
                <w:rFonts w:hint="eastAsia"/>
                <w:color w:val="auto"/>
                <w:szCs w:val="21"/>
                <w:highlight w:val="none"/>
              </w:rPr>
              <w:t>节能产品（如有）</w:t>
            </w:r>
          </w:p>
        </w:tc>
        <w:tc>
          <w:tcPr>
            <w:tcW w:w="5309" w:type="dxa"/>
            <w:noWrap w:val="0"/>
            <w:vAlign w:val="center"/>
          </w:tcPr>
          <w:p w14:paraId="650DF8C3">
            <w:pPr>
              <w:spacing w:line="240" w:lineRule="exact"/>
              <w:rPr>
                <w:bCs/>
                <w:color w:val="auto"/>
                <w:kern w:val="0"/>
                <w:szCs w:val="21"/>
                <w:highlight w:val="none"/>
              </w:rPr>
            </w:pPr>
            <w:r>
              <w:rPr>
                <w:rFonts w:hint="eastAsia"/>
                <w:color w:val="auto"/>
                <w:szCs w:val="21"/>
                <w:highlight w:val="none"/>
              </w:rPr>
              <w:t>采购需求</w:t>
            </w:r>
            <w:r>
              <w:rPr>
                <w:color w:val="auto"/>
                <w:szCs w:val="21"/>
                <w:highlight w:val="none"/>
              </w:rPr>
              <w:t>如果包括政府强制采购节能产品</w:t>
            </w:r>
            <w:r>
              <w:rPr>
                <w:rFonts w:hint="eastAsia"/>
                <w:color w:val="auto"/>
                <w:szCs w:val="21"/>
                <w:highlight w:val="none"/>
              </w:rPr>
              <w:t>，响应</w:t>
            </w:r>
            <w:r>
              <w:rPr>
                <w:color w:val="auto"/>
                <w:szCs w:val="21"/>
                <w:highlight w:val="none"/>
              </w:rPr>
              <w:t>产品</w:t>
            </w:r>
            <w:r>
              <w:rPr>
                <w:rFonts w:hint="eastAsia"/>
                <w:color w:val="auto"/>
                <w:szCs w:val="21"/>
                <w:highlight w:val="none"/>
              </w:rPr>
              <w:t>未使用节能产品政府采购品目清单内的产品，或未处于有效期之内，</w:t>
            </w:r>
            <w:r>
              <w:rPr>
                <w:rFonts w:ascii="宋体" w:hAnsi="宋体"/>
                <w:color w:val="auto"/>
                <w:szCs w:val="21"/>
                <w:highlight w:val="none"/>
              </w:rPr>
              <w:t>见第六章响应文件格式要求</w:t>
            </w:r>
          </w:p>
        </w:tc>
      </w:tr>
      <w:tr w14:paraId="429CC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3" w:hRule="atLeast"/>
        </w:trPr>
        <w:tc>
          <w:tcPr>
            <w:tcW w:w="1579" w:type="dxa"/>
            <w:vMerge w:val="continue"/>
            <w:noWrap w:val="0"/>
            <w:vAlign w:val="center"/>
          </w:tcPr>
          <w:p w14:paraId="43A70274">
            <w:pPr>
              <w:spacing w:line="240" w:lineRule="exact"/>
              <w:jc w:val="center"/>
              <w:rPr>
                <w:color w:val="auto"/>
                <w:kern w:val="0"/>
                <w:szCs w:val="21"/>
                <w:highlight w:val="none"/>
              </w:rPr>
            </w:pPr>
          </w:p>
        </w:tc>
        <w:tc>
          <w:tcPr>
            <w:tcW w:w="2436" w:type="dxa"/>
            <w:noWrap w:val="0"/>
            <w:vAlign w:val="top"/>
          </w:tcPr>
          <w:p w14:paraId="3000C282">
            <w:pPr>
              <w:rPr>
                <w:color w:val="auto"/>
                <w:highlight w:val="none"/>
              </w:rPr>
            </w:pPr>
          </w:p>
          <w:p w14:paraId="231C692C">
            <w:pPr>
              <w:rPr>
                <w:color w:val="auto"/>
                <w:highlight w:val="none"/>
              </w:rPr>
            </w:pPr>
          </w:p>
          <w:p w14:paraId="6E7B3444">
            <w:pPr>
              <w:rPr>
                <w:rFonts w:hint="eastAsia"/>
                <w:color w:val="auto"/>
                <w:highlight w:val="none"/>
              </w:rPr>
            </w:pPr>
            <w:r>
              <w:rPr>
                <w:rFonts w:hint="eastAsia"/>
                <w:color w:val="auto"/>
                <w:highlight w:val="none"/>
              </w:rPr>
              <w:t>网络 安全专用产品（如有）</w:t>
            </w:r>
          </w:p>
        </w:tc>
        <w:tc>
          <w:tcPr>
            <w:tcW w:w="5309" w:type="dxa"/>
            <w:noWrap w:val="0"/>
            <w:vAlign w:val="top"/>
          </w:tcPr>
          <w:p w14:paraId="24EC9193">
            <w:pPr>
              <w:rPr>
                <w:color w:val="auto"/>
                <w:highlight w:val="none"/>
              </w:rPr>
            </w:pPr>
            <w:r>
              <w:rPr>
                <w:rFonts w:hint="eastAsia"/>
                <w:color w:val="auto"/>
                <w:highlight w:val="none"/>
              </w:rPr>
              <w:t>采购需求如果包括《网络关键设备和网络安全专用产品目录》所规定的网络安全专用产品，响应提供的网络安全专用产品应在《网络关键设备和网络安全专用产品安全认证和安全检测结果》中或具备在有效期内的《计算机信息系统安全专用产品销售许可证》，见第六章响应文件格式要求。</w:t>
            </w:r>
          </w:p>
        </w:tc>
      </w:tr>
      <w:tr w14:paraId="0D7D8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579" w:type="dxa"/>
            <w:vMerge w:val="restart"/>
            <w:noWrap w:val="0"/>
            <w:vAlign w:val="center"/>
          </w:tcPr>
          <w:p w14:paraId="2BE44564">
            <w:pPr>
              <w:spacing w:line="240" w:lineRule="exact"/>
              <w:jc w:val="center"/>
              <w:rPr>
                <w:color w:val="auto"/>
                <w:kern w:val="0"/>
                <w:szCs w:val="21"/>
                <w:highlight w:val="none"/>
              </w:rPr>
            </w:pPr>
            <w:r>
              <w:rPr>
                <w:rFonts w:hint="eastAsia"/>
                <w:color w:val="auto"/>
                <w:kern w:val="0"/>
                <w:szCs w:val="21"/>
                <w:highlight w:val="none"/>
              </w:rPr>
              <w:t>报价</w:t>
            </w:r>
          </w:p>
        </w:tc>
        <w:tc>
          <w:tcPr>
            <w:tcW w:w="2436" w:type="dxa"/>
            <w:noWrap w:val="0"/>
            <w:vAlign w:val="center"/>
          </w:tcPr>
          <w:p w14:paraId="7E0E6994">
            <w:pPr>
              <w:spacing w:line="240" w:lineRule="exact"/>
              <w:rPr>
                <w:color w:val="auto"/>
                <w:szCs w:val="21"/>
                <w:highlight w:val="none"/>
              </w:rPr>
            </w:pPr>
            <w:r>
              <w:rPr>
                <w:rFonts w:hint="eastAsia"/>
                <w:color w:val="auto"/>
                <w:szCs w:val="21"/>
                <w:highlight w:val="none"/>
              </w:rPr>
              <w:t>有效报价</w:t>
            </w:r>
          </w:p>
        </w:tc>
        <w:tc>
          <w:tcPr>
            <w:tcW w:w="5309" w:type="dxa"/>
            <w:noWrap w:val="0"/>
            <w:vAlign w:val="center"/>
          </w:tcPr>
          <w:p w14:paraId="7C2590EB">
            <w:pPr>
              <w:spacing w:line="240" w:lineRule="exact"/>
              <w:rPr>
                <w:bCs/>
                <w:color w:val="auto"/>
                <w:kern w:val="0"/>
                <w:szCs w:val="21"/>
                <w:highlight w:val="none"/>
              </w:rPr>
            </w:pPr>
            <w:r>
              <w:rPr>
                <w:rFonts w:hint="eastAsia"/>
                <w:color w:val="auto"/>
                <w:highlight w:val="none"/>
              </w:rPr>
              <w:t>最后报价未超出采购预算金额（包括分项预算），也未超出最高限价（如有）</w:t>
            </w:r>
          </w:p>
        </w:tc>
      </w:tr>
      <w:tr w14:paraId="09E38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579" w:type="dxa"/>
            <w:vMerge w:val="continue"/>
            <w:noWrap w:val="0"/>
            <w:vAlign w:val="center"/>
          </w:tcPr>
          <w:p w14:paraId="0E6CF249">
            <w:pPr>
              <w:spacing w:line="240" w:lineRule="exact"/>
              <w:jc w:val="center"/>
              <w:rPr>
                <w:color w:val="auto"/>
                <w:kern w:val="0"/>
                <w:szCs w:val="21"/>
                <w:highlight w:val="none"/>
              </w:rPr>
            </w:pPr>
          </w:p>
        </w:tc>
        <w:tc>
          <w:tcPr>
            <w:tcW w:w="2436" w:type="dxa"/>
            <w:noWrap w:val="0"/>
            <w:vAlign w:val="center"/>
          </w:tcPr>
          <w:p w14:paraId="5F08B2D5">
            <w:pPr>
              <w:spacing w:line="240" w:lineRule="exact"/>
              <w:rPr>
                <w:bCs/>
                <w:color w:val="auto"/>
                <w:kern w:val="0"/>
                <w:szCs w:val="21"/>
                <w:highlight w:val="none"/>
              </w:rPr>
            </w:pPr>
            <w:r>
              <w:rPr>
                <w:rFonts w:hint="eastAsia"/>
                <w:bCs/>
                <w:color w:val="auto"/>
                <w:kern w:val="0"/>
                <w:szCs w:val="21"/>
                <w:highlight w:val="none"/>
              </w:rPr>
              <w:t>漏项报价</w:t>
            </w:r>
          </w:p>
        </w:tc>
        <w:tc>
          <w:tcPr>
            <w:tcW w:w="5309" w:type="dxa"/>
            <w:noWrap w:val="0"/>
            <w:vAlign w:val="center"/>
          </w:tcPr>
          <w:p w14:paraId="3F9AFA36">
            <w:pPr>
              <w:spacing w:line="240" w:lineRule="exact"/>
              <w:rPr>
                <w:rFonts w:hAnsi="宋体"/>
                <w:color w:val="auto"/>
                <w:szCs w:val="21"/>
                <w:highlight w:val="none"/>
              </w:rPr>
            </w:pPr>
            <w:r>
              <w:rPr>
                <w:rFonts w:hint="eastAsia" w:ascii="宋体" w:hAnsi="宋体"/>
                <w:color w:val="auto"/>
                <w:szCs w:val="21"/>
                <w:highlight w:val="none"/>
              </w:rPr>
              <w:t>未就所投分标进行报价或者存在漏项报价；</w:t>
            </w:r>
          </w:p>
        </w:tc>
      </w:tr>
      <w:tr w14:paraId="371F2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579" w:type="dxa"/>
            <w:vMerge w:val="continue"/>
            <w:noWrap w:val="0"/>
            <w:vAlign w:val="center"/>
          </w:tcPr>
          <w:p w14:paraId="06613977">
            <w:pPr>
              <w:spacing w:line="240" w:lineRule="exact"/>
              <w:jc w:val="center"/>
              <w:rPr>
                <w:color w:val="auto"/>
                <w:kern w:val="0"/>
                <w:szCs w:val="21"/>
                <w:highlight w:val="none"/>
              </w:rPr>
            </w:pPr>
          </w:p>
        </w:tc>
        <w:tc>
          <w:tcPr>
            <w:tcW w:w="2436" w:type="dxa"/>
            <w:noWrap w:val="0"/>
            <w:vAlign w:val="center"/>
          </w:tcPr>
          <w:p w14:paraId="53FA0026">
            <w:pPr>
              <w:spacing w:line="240" w:lineRule="exact"/>
              <w:rPr>
                <w:rFonts w:hAnsi="宋体"/>
                <w:color w:val="auto"/>
                <w:szCs w:val="21"/>
                <w:highlight w:val="none"/>
              </w:rPr>
            </w:pPr>
            <w:r>
              <w:rPr>
                <w:rFonts w:hint="eastAsia" w:hAnsi="宋体"/>
                <w:color w:val="auto"/>
                <w:szCs w:val="21"/>
                <w:highlight w:val="none"/>
              </w:rPr>
              <w:t>响应报价唯一性</w:t>
            </w:r>
          </w:p>
        </w:tc>
        <w:tc>
          <w:tcPr>
            <w:tcW w:w="5309" w:type="dxa"/>
            <w:noWrap w:val="0"/>
            <w:vAlign w:val="center"/>
          </w:tcPr>
          <w:p w14:paraId="228765B7">
            <w:pPr>
              <w:spacing w:line="240" w:lineRule="exact"/>
              <w:rPr>
                <w:color w:val="auto"/>
                <w:szCs w:val="21"/>
                <w:highlight w:val="none"/>
              </w:rPr>
            </w:pPr>
            <w:r>
              <w:rPr>
                <w:rFonts w:hint="eastAsia" w:ascii="宋体" w:hAnsi="宋体"/>
                <w:color w:val="auto"/>
                <w:szCs w:val="21"/>
                <w:highlight w:val="none"/>
              </w:rPr>
              <w:t>不存在有选择、有条件的最后报价（采购文件允许有备选方案或者其他约定的除外）</w:t>
            </w:r>
          </w:p>
        </w:tc>
      </w:tr>
      <w:tr w14:paraId="6DEC6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579" w:type="dxa"/>
            <w:vMerge w:val="continue"/>
            <w:noWrap w:val="0"/>
            <w:vAlign w:val="center"/>
          </w:tcPr>
          <w:p w14:paraId="080829B7">
            <w:pPr>
              <w:spacing w:line="240" w:lineRule="exact"/>
              <w:jc w:val="center"/>
              <w:rPr>
                <w:color w:val="auto"/>
                <w:kern w:val="0"/>
                <w:szCs w:val="21"/>
                <w:highlight w:val="none"/>
              </w:rPr>
            </w:pPr>
          </w:p>
        </w:tc>
        <w:tc>
          <w:tcPr>
            <w:tcW w:w="2436" w:type="dxa"/>
            <w:noWrap w:val="0"/>
            <w:vAlign w:val="center"/>
          </w:tcPr>
          <w:p w14:paraId="03293201">
            <w:pPr>
              <w:spacing w:line="240" w:lineRule="exact"/>
              <w:rPr>
                <w:rFonts w:ascii="宋体" w:hAnsi="宋体"/>
                <w:color w:val="auto"/>
                <w:szCs w:val="21"/>
                <w:highlight w:val="none"/>
              </w:rPr>
            </w:pPr>
            <w:r>
              <w:rPr>
                <w:rFonts w:hint="eastAsia"/>
                <w:color w:val="auto"/>
                <w:szCs w:val="21"/>
                <w:highlight w:val="none"/>
              </w:rPr>
              <w:t>响应有效期</w:t>
            </w:r>
          </w:p>
        </w:tc>
        <w:tc>
          <w:tcPr>
            <w:tcW w:w="5309" w:type="dxa"/>
            <w:noWrap w:val="0"/>
            <w:vAlign w:val="center"/>
          </w:tcPr>
          <w:p w14:paraId="2DE209E2">
            <w:pPr>
              <w:spacing w:line="240" w:lineRule="exact"/>
              <w:rPr>
                <w:color w:val="auto"/>
                <w:szCs w:val="21"/>
                <w:highlight w:val="none"/>
              </w:rPr>
            </w:pPr>
            <w:r>
              <w:rPr>
                <w:rFonts w:hint="eastAsia" w:ascii="宋体" w:hAnsi="宋体"/>
                <w:color w:val="auto"/>
                <w:szCs w:val="21"/>
                <w:highlight w:val="none"/>
              </w:rPr>
              <w:t>满足采购文件规定</w:t>
            </w:r>
          </w:p>
        </w:tc>
      </w:tr>
      <w:bookmarkEnd w:id="80"/>
      <w:bookmarkEnd w:id="81"/>
      <w:bookmarkEnd w:id="84"/>
      <w:bookmarkEnd w:id="85"/>
    </w:tbl>
    <w:p w14:paraId="03CA62A7">
      <w:pPr>
        <w:spacing w:before="120" w:line="320" w:lineRule="atLeast"/>
        <w:ind w:firstLine="316" w:firstLineChars="150"/>
        <w:rPr>
          <w:rFonts w:hint="default" w:eastAsia="宋体"/>
          <w:b/>
          <w:color w:val="auto"/>
          <w:sz w:val="24"/>
          <w:highlight w:val="none"/>
          <w:lang w:val="en-US" w:eastAsia="zh-CN"/>
        </w:rPr>
      </w:pPr>
      <w:bookmarkStart w:id="86" w:name="_Toc25316"/>
      <w:bookmarkStart w:id="87" w:name="_Toc164874510"/>
      <w:bookmarkStart w:id="88" w:name="_Hlk160525271"/>
      <w:r>
        <w:rPr>
          <w:rFonts w:hint="eastAsia"/>
          <w:b/>
          <w:bCs/>
          <w:color w:val="auto"/>
          <w:kern w:val="0"/>
          <w:szCs w:val="21"/>
          <w:highlight w:val="none"/>
        </w:rPr>
        <w:t>注：</w:t>
      </w:r>
      <w:r>
        <w:rPr>
          <w:b/>
          <w:bCs/>
          <w:color w:val="auto"/>
          <w:kern w:val="0"/>
          <w:szCs w:val="21"/>
          <w:highlight w:val="none"/>
        </w:rPr>
        <w:t>政策性扣除计算方法</w:t>
      </w:r>
    </w:p>
    <w:p w14:paraId="594A376A">
      <w:pPr>
        <w:spacing w:before="120" w:line="320" w:lineRule="atLeast"/>
        <w:ind w:firstLine="420" w:firstLineChars="200"/>
        <w:rPr>
          <w:color w:val="auto"/>
          <w:szCs w:val="21"/>
          <w:highlight w:val="none"/>
        </w:rPr>
      </w:pPr>
      <w:r>
        <w:rPr>
          <w:rFonts w:hint="eastAsia"/>
          <w:color w:val="auto"/>
          <w:szCs w:val="21"/>
          <w:highlight w:val="none"/>
        </w:rPr>
        <w:t>供应商响应</w:t>
      </w:r>
      <w:r>
        <w:rPr>
          <w:color w:val="auto"/>
          <w:szCs w:val="21"/>
          <w:highlight w:val="none"/>
        </w:rPr>
        <w:t>报价将按相应比例进行扣除，用扣除后的价格参与评审（计算价格分）</w:t>
      </w:r>
      <w:r>
        <w:rPr>
          <w:rFonts w:hint="eastAsia"/>
          <w:color w:val="auto"/>
          <w:szCs w:val="21"/>
          <w:highlight w:val="none"/>
        </w:rPr>
        <w:t>，价格扣除比例分别如下：</w:t>
      </w:r>
    </w:p>
    <w:tbl>
      <w:tblPr>
        <w:tblStyle w:val="51"/>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4962"/>
        <w:gridCol w:w="2551"/>
      </w:tblGrid>
      <w:tr w14:paraId="48997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7C1E9536">
            <w:pPr>
              <w:spacing w:before="120" w:line="320" w:lineRule="atLeast"/>
              <w:jc w:val="center"/>
              <w:rPr>
                <w:color w:val="auto"/>
                <w:szCs w:val="21"/>
                <w:highlight w:val="none"/>
              </w:rPr>
            </w:pPr>
            <w:bookmarkStart w:id="89" w:name="_Hlk132881358"/>
            <w:r>
              <w:rPr>
                <w:rFonts w:hint="eastAsia"/>
                <w:color w:val="auto"/>
                <w:szCs w:val="21"/>
                <w:highlight w:val="none"/>
              </w:rPr>
              <w:t>独立响应</w:t>
            </w:r>
          </w:p>
        </w:tc>
        <w:tc>
          <w:tcPr>
            <w:tcW w:w="4962" w:type="dxa"/>
            <w:noWrap w:val="0"/>
            <w:vAlign w:val="top"/>
          </w:tcPr>
          <w:p w14:paraId="747D7EF5">
            <w:pPr>
              <w:spacing w:before="120" w:line="320" w:lineRule="atLeast"/>
              <w:rPr>
                <w:color w:val="auto"/>
                <w:szCs w:val="21"/>
                <w:highlight w:val="none"/>
              </w:rPr>
            </w:pPr>
            <w:r>
              <w:rPr>
                <w:rFonts w:hint="eastAsia"/>
                <w:color w:val="auto"/>
                <w:szCs w:val="21"/>
                <w:highlight w:val="none"/>
              </w:rPr>
              <w:t>供应商均为所列企业之一（小型企业、微型企业、残疾人福利企业、监狱企业）</w:t>
            </w:r>
          </w:p>
        </w:tc>
        <w:tc>
          <w:tcPr>
            <w:tcW w:w="2551" w:type="dxa"/>
            <w:noWrap w:val="0"/>
            <w:vAlign w:val="top"/>
          </w:tcPr>
          <w:p w14:paraId="2C50898E">
            <w:pPr>
              <w:spacing w:before="120" w:line="320" w:lineRule="atLeast"/>
              <w:rPr>
                <w:color w:val="auto"/>
                <w:szCs w:val="21"/>
                <w:highlight w:val="none"/>
              </w:rPr>
            </w:pPr>
            <w:r>
              <w:rPr>
                <w:rFonts w:hint="eastAsia"/>
                <w:color w:val="auto"/>
                <w:szCs w:val="21"/>
                <w:highlight w:val="none"/>
              </w:rPr>
              <w:t>价格扣除响应报价的10%</w:t>
            </w:r>
          </w:p>
        </w:tc>
      </w:tr>
      <w:tr w14:paraId="0596F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vMerge w:val="restart"/>
            <w:noWrap w:val="0"/>
            <w:vAlign w:val="top"/>
          </w:tcPr>
          <w:p w14:paraId="67D9A7D3">
            <w:pPr>
              <w:spacing w:before="120" w:line="320" w:lineRule="atLeast"/>
              <w:jc w:val="center"/>
              <w:rPr>
                <w:color w:val="auto"/>
                <w:szCs w:val="21"/>
                <w:highlight w:val="none"/>
              </w:rPr>
            </w:pPr>
            <w:r>
              <w:rPr>
                <w:rFonts w:hint="eastAsia"/>
                <w:color w:val="auto"/>
                <w:szCs w:val="21"/>
                <w:highlight w:val="none"/>
              </w:rPr>
              <w:t>联合体或</w:t>
            </w:r>
          </w:p>
          <w:p w14:paraId="45CD25D0">
            <w:pPr>
              <w:spacing w:before="120" w:line="320" w:lineRule="atLeast"/>
              <w:jc w:val="center"/>
              <w:rPr>
                <w:color w:val="auto"/>
                <w:szCs w:val="21"/>
                <w:highlight w:val="none"/>
              </w:rPr>
            </w:pPr>
            <w:r>
              <w:rPr>
                <w:rFonts w:hint="eastAsia"/>
                <w:color w:val="auto"/>
                <w:szCs w:val="21"/>
                <w:highlight w:val="none"/>
              </w:rPr>
              <w:t>分包</w:t>
            </w:r>
          </w:p>
        </w:tc>
        <w:tc>
          <w:tcPr>
            <w:tcW w:w="4962" w:type="dxa"/>
            <w:noWrap w:val="0"/>
            <w:vAlign w:val="top"/>
          </w:tcPr>
          <w:p w14:paraId="0A47D906">
            <w:pPr>
              <w:spacing w:before="120" w:line="320" w:lineRule="atLeast"/>
              <w:rPr>
                <w:color w:val="auto"/>
                <w:szCs w:val="21"/>
                <w:highlight w:val="none"/>
              </w:rPr>
            </w:pPr>
            <w:r>
              <w:rPr>
                <w:rFonts w:hint="eastAsia"/>
                <w:color w:val="auto"/>
                <w:szCs w:val="21"/>
                <w:highlight w:val="none"/>
              </w:rPr>
              <w:t>小微企业承接的金额比例为1</w:t>
            </w:r>
            <w:r>
              <w:rPr>
                <w:color w:val="auto"/>
                <w:szCs w:val="21"/>
                <w:highlight w:val="none"/>
              </w:rPr>
              <w:t>00</w:t>
            </w:r>
            <w:r>
              <w:rPr>
                <w:rFonts w:hint="eastAsia"/>
                <w:color w:val="auto"/>
                <w:szCs w:val="21"/>
                <w:highlight w:val="none"/>
              </w:rPr>
              <w:t>%</w:t>
            </w:r>
          </w:p>
        </w:tc>
        <w:tc>
          <w:tcPr>
            <w:tcW w:w="2551" w:type="dxa"/>
            <w:noWrap w:val="0"/>
            <w:vAlign w:val="top"/>
          </w:tcPr>
          <w:p w14:paraId="25A14E06">
            <w:pPr>
              <w:spacing w:before="120" w:line="320" w:lineRule="atLeast"/>
              <w:rPr>
                <w:color w:val="auto"/>
                <w:szCs w:val="21"/>
                <w:highlight w:val="none"/>
              </w:rPr>
            </w:pPr>
            <w:r>
              <w:rPr>
                <w:rFonts w:hint="eastAsia"/>
                <w:color w:val="auto"/>
                <w:szCs w:val="21"/>
                <w:highlight w:val="none"/>
              </w:rPr>
              <w:t>价格扣除响应报价的10%</w:t>
            </w:r>
          </w:p>
        </w:tc>
      </w:tr>
      <w:tr w14:paraId="5ECF1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vMerge w:val="continue"/>
            <w:noWrap w:val="0"/>
            <w:vAlign w:val="top"/>
          </w:tcPr>
          <w:p w14:paraId="55B0C513">
            <w:pPr>
              <w:spacing w:before="120" w:line="320" w:lineRule="atLeast"/>
              <w:rPr>
                <w:color w:val="auto"/>
                <w:szCs w:val="21"/>
                <w:highlight w:val="none"/>
              </w:rPr>
            </w:pPr>
          </w:p>
        </w:tc>
        <w:tc>
          <w:tcPr>
            <w:tcW w:w="4962" w:type="dxa"/>
            <w:noWrap w:val="0"/>
            <w:vAlign w:val="top"/>
          </w:tcPr>
          <w:p w14:paraId="0BBCF980">
            <w:pPr>
              <w:spacing w:before="120" w:line="320" w:lineRule="atLeast"/>
              <w:rPr>
                <w:color w:val="auto"/>
                <w:szCs w:val="21"/>
                <w:highlight w:val="none"/>
              </w:rPr>
            </w:pPr>
            <w:r>
              <w:rPr>
                <w:rFonts w:hint="eastAsia"/>
                <w:color w:val="auto"/>
                <w:szCs w:val="21"/>
                <w:highlight w:val="none"/>
              </w:rPr>
              <w:t>小微企业承接的金额比例达到合同总金额3</w:t>
            </w:r>
            <w:r>
              <w:rPr>
                <w:color w:val="auto"/>
                <w:szCs w:val="21"/>
                <w:highlight w:val="none"/>
              </w:rPr>
              <w:t>0%</w:t>
            </w:r>
            <w:r>
              <w:rPr>
                <w:rFonts w:hint="eastAsia"/>
                <w:color w:val="auto"/>
                <w:szCs w:val="21"/>
                <w:highlight w:val="none"/>
              </w:rPr>
              <w:t>以上</w:t>
            </w:r>
          </w:p>
        </w:tc>
        <w:tc>
          <w:tcPr>
            <w:tcW w:w="2551" w:type="dxa"/>
            <w:noWrap w:val="0"/>
            <w:vAlign w:val="top"/>
          </w:tcPr>
          <w:p w14:paraId="0DF4A39F">
            <w:pPr>
              <w:spacing w:before="120" w:line="320" w:lineRule="atLeast"/>
              <w:rPr>
                <w:color w:val="auto"/>
                <w:szCs w:val="21"/>
                <w:highlight w:val="none"/>
              </w:rPr>
            </w:pPr>
            <w:r>
              <w:rPr>
                <w:rFonts w:hint="eastAsia"/>
                <w:color w:val="auto"/>
                <w:szCs w:val="21"/>
                <w:highlight w:val="none"/>
              </w:rPr>
              <w:t>价格扣除响应报价的</w:t>
            </w:r>
            <w:r>
              <w:rPr>
                <w:color w:val="auto"/>
                <w:szCs w:val="21"/>
                <w:highlight w:val="none"/>
              </w:rPr>
              <w:t>4</w:t>
            </w:r>
            <w:r>
              <w:rPr>
                <w:rFonts w:hint="eastAsia"/>
                <w:color w:val="auto"/>
                <w:szCs w:val="21"/>
                <w:highlight w:val="none"/>
              </w:rPr>
              <w:t>%</w:t>
            </w:r>
          </w:p>
        </w:tc>
      </w:tr>
      <w:tr w14:paraId="0B679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0" w:type="dxa"/>
            <w:gridSpan w:val="3"/>
            <w:noWrap w:val="0"/>
            <w:vAlign w:val="top"/>
          </w:tcPr>
          <w:p w14:paraId="2E45C8ED">
            <w:pPr>
              <w:spacing w:before="120" w:line="320" w:lineRule="atLeast"/>
              <w:rPr>
                <w:color w:val="auto"/>
                <w:szCs w:val="21"/>
                <w:highlight w:val="none"/>
              </w:rPr>
            </w:pPr>
            <w:r>
              <w:rPr>
                <w:rFonts w:hint="eastAsia"/>
                <w:color w:val="auto"/>
                <w:szCs w:val="21"/>
                <w:highlight w:val="none"/>
              </w:rPr>
              <w:t>注：未提供《中小企业声明函》、《分包意向协议书》或《联合体协议书》或不符合条件的，不享受价格扣除优惠。</w:t>
            </w:r>
          </w:p>
        </w:tc>
      </w:tr>
      <w:bookmarkEnd w:id="89"/>
    </w:tbl>
    <w:p w14:paraId="649ECECD">
      <w:pPr>
        <w:spacing w:before="120" w:line="320" w:lineRule="atLeast"/>
        <w:ind w:firstLine="420" w:firstLineChars="200"/>
        <w:rPr>
          <w:color w:val="auto"/>
          <w:highlight w:val="none"/>
        </w:rPr>
      </w:pPr>
      <w:r>
        <w:rPr>
          <w:color w:val="auto"/>
          <w:highlight w:val="none"/>
        </w:rPr>
        <w:t>3.1</w:t>
      </w:r>
      <w:r>
        <w:rPr>
          <w:rFonts w:hint="eastAsia"/>
          <w:color w:val="auto"/>
          <w:highlight w:val="none"/>
        </w:rPr>
        <w:t>偏离认定说明</w:t>
      </w:r>
    </w:p>
    <w:p w14:paraId="71B46578">
      <w:pPr>
        <w:spacing w:before="120" w:line="320" w:lineRule="atLeast"/>
        <w:ind w:firstLine="420" w:firstLineChars="200"/>
        <w:rPr>
          <w:rFonts w:hint="eastAsia"/>
          <w:color w:val="auto"/>
          <w:szCs w:val="21"/>
          <w:highlight w:val="none"/>
        </w:rPr>
      </w:pPr>
      <w:r>
        <w:rPr>
          <w:rFonts w:hint="eastAsia"/>
          <w:color w:val="auto"/>
          <w:szCs w:val="21"/>
          <w:highlight w:val="none"/>
        </w:rPr>
        <w:t>供应商根据采购需求中技术参数为基准，填写响应表，对于响应表或证明材料与技术参数不符的，按如下规定：</w:t>
      </w:r>
    </w:p>
    <w:p w14:paraId="79DF077E">
      <w:pPr>
        <w:spacing w:before="120" w:line="320" w:lineRule="atLeast"/>
        <w:ind w:firstLine="420" w:firstLineChars="200"/>
        <w:rPr>
          <w:rFonts w:hint="eastAsia"/>
          <w:color w:val="auto"/>
          <w:szCs w:val="21"/>
          <w:highlight w:val="none"/>
        </w:rPr>
      </w:pPr>
      <w:r>
        <w:rPr>
          <w:rFonts w:hint="eastAsia"/>
          <w:color w:val="auto"/>
          <w:szCs w:val="21"/>
          <w:highlight w:val="none"/>
        </w:rPr>
        <w:t>（1）实质性参数要求提交证明材料的，证明材料没有体现响应表中响应的内容的或未提供证明材料的，视为无效响应。非实质性参数要求提交证明材料的，证明材料没有体现响应表中响应的内容的或未提供证明材料的，视为负偏离。</w:t>
      </w:r>
    </w:p>
    <w:p w14:paraId="7DF00C25">
      <w:pPr>
        <w:spacing w:before="120" w:line="320" w:lineRule="atLeast"/>
        <w:ind w:firstLine="420" w:firstLineChars="200"/>
        <w:rPr>
          <w:rFonts w:hint="eastAsia"/>
          <w:color w:val="auto"/>
          <w:szCs w:val="21"/>
          <w:highlight w:val="none"/>
        </w:rPr>
      </w:pPr>
      <w:r>
        <w:rPr>
          <w:rFonts w:hint="eastAsia"/>
          <w:color w:val="auto"/>
          <w:szCs w:val="21"/>
          <w:highlight w:val="none"/>
        </w:rPr>
        <w:t>（2）响应表中响应的内容与证明材料不一致的，以证明材料为准作为评审依据。</w:t>
      </w:r>
    </w:p>
    <w:p w14:paraId="6260CF86">
      <w:pPr>
        <w:spacing w:before="120" w:line="320" w:lineRule="atLeast"/>
        <w:ind w:firstLine="420" w:firstLineChars="200"/>
        <w:rPr>
          <w:rFonts w:hint="eastAsia"/>
          <w:color w:val="auto"/>
          <w:szCs w:val="21"/>
          <w:highlight w:val="none"/>
        </w:rPr>
      </w:pPr>
      <w:r>
        <w:rPr>
          <w:rFonts w:hint="eastAsia"/>
          <w:color w:val="auto"/>
          <w:szCs w:val="21"/>
          <w:highlight w:val="none"/>
        </w:rPr>
        <w:t>（3）同时出现以上两种情况的，按照（1）-（2）顺序认定。</w:t>
      </w:r>
    </w:p>
    <w:p w14:paraId="7E217FD3">
      <w:pPr>
        <w:spacing w:before="120" w:line="320" w:lineRule="atLeast"/>
        <w:ind w:firstLine="420" w:firstLineChars="200"/>
        <w:rPr>
          <w:rFonts w:hint="eastAsia"/>
          <w:color w:val="auto"/>
          <w:szCs w:val="21"/>
          <w:highlight w:val="none"/>
        </w:rPr>
      </w:pPr>
      <w:r>
        <w:rPr>
          <w:rFonts w:hint="eastAsia"/>
          <w:color w:val="auto"/>
          <w:szCs w:val="21"/>
          <w:highlight w:val="none"/>
        </w:rPr>
        <w:t>（4）响应表与采购需求中技术参数比较有漏项的，如为实质性参数漏项，视为未响应；如为非实质性参数漏项，视为负偏离。</w:t>
      </w:r>
    </w:p>
    <w:p w14:paraId="0955B25A">
      <w:pPr>
        <w:spacing w:before="120" w:line="320" w:lineRule="atLeast"/>
        <w:ind w:firstLine="420" w:firstLineChars="200"/>
        <w:rPr>
          <w:rFonts w:hint="eastAsia"/>
          <w:color w:val="auto"/>
          <w:szCs w:val="21"/>
          <w:highlight w:val="none"/>
        </w:rPr>
      </w:pPr>
      <w:r>
        <w:rPr>
          <w:rFonts w:hint="eastAsia"/>
          <w:color w:val="auto"/>
          <w:szCs w:val="21"/>
          <w:highlight w:val="none"/>
        </w:rPr>
        <w:t>（5）一项技术参数有多条小项要求的，必须全部响应。如只响应部分参数，视为漏项，按照（4）判定。评审时以每一条技术参数为评审依据。</w:t>
      </w:r>
    </w:p>
    <w:p w14:paraId="5FFF3596">
      <w:pPr>
        <w:spacing w:before="120" w:line="320" w:lineRule="atLeast"/>
        <w:ind w:firstLine="420" w:firstLineChars="200"/>
        <w:rPr>
          <w:rFonts w:hint="eastAsia"/>
          <w:color w:val="auto"/>
          <w:szCs w:val="21"/>
          <w:highlight w:val="none"/>
        </w:rPr>
      </w:pPr>
      <w:r>
        <w:rPr>
          <w:rFonts w:hint="eastAsia"/>
          <w:color w:val="auto"/>
          <w:szCs w:val="21"/>
          <w:highlight w:val="none"/>
        </w:rPr>
        <w:t>（6）对于区间涵盖值参数，例：电压“测量范围3V-5V”，同时满足下限值更低及上限值更高才视为正偏离，例：响应为“测量范围2V-6V”。如有一端负偏离，不管另一端如何，均视为负偏离，例：响应为“测量范围4V-6V”。</w:t>
      </w:r>
    </w:p>
    <w:p w14:paraId="61AE7242">
      <w:pPr>
        <w:spacing w:before="120" w:line="320" w:lineRule="atLeast"/>
        <w:ind w:firstLine="420" w:firstLineChars="200"/>
        <w:rPr>
          <w:rFonts w:hint="eastAsia"/>
          <w:color w:val="auto"/>
          <w:szCs w:val="21"/>
          <w:highlight w:val="none"/>
        </w:rPr>
      </w:pPr>
      <w:r>
        <w:rPr>
          <w:rFonts w:hint="eastAsia"/>
          <w:color w:val="auto"/>
          <w:szCs w:val="21"/>
          <w:highlight w:val="none"/>
        </w:rPr>
        <w:t>（7）对于区间任意值参数，例“5mm≤间距≤10mm”或“间距7.5±2.5mm”，若间距响应值为5mm-10mm中任意区间值或任意一个数值（含本数）时为无偏离，例：“6mm≤间距≤8mm”、“8±2mm”、“8mm”。超过区间范围视为负偏离，例：“3mm≤间距≤12mm”、“8±4mm”、“3-12mm”、“3mm”。此类参数不存在正偏离。</w:t>
      </w:r>
    </w:p>
    <w:p w14:paraId="6AE274D8">
      <w:pPr>
        <w:spacing w:before="120" w:line="320" w:lineRule="atLeast"/>
        <w:ind w:firstLine="420" w:firstLineChars="200"/>
        <w:rPr>
          <w:rFonts w:hint="eastAsia"/>
          <w:color w:val="auto"/>
          <w:szCs w:val="21"/>
          <w:highlight w:val="none"/>
        </w:rPr>
      </w:pPr>
      <w:r>
        <w:rPr>
          <w:rFonts w:hint="eastAsia"/>
          <w:color w:val="auto"/>
          <w:szCs w:val="21"/>
          <w:highlight w:val="none"/>
        </w:rPr>
        <w:t>（8）对于单边任意参数的要求，例“长度≥50cm”，若响应为50 cm及50cm以上任意一个数值，均视为无偏离；若响应小于50cm，视为负偏离。此类参数无正偏离。</w:t>
      </w:r>
    </w:p>
    <w:p w14:paraId="6ECF909F">
      <w:pPr>
        <w:spacing w:before="120" w:line="320" w:lineRule="atLeast"/>
        <w:ind w:firstLine="420" w:firstLineChars="200"/>
        <w:rPr>
          <w:rFonts w:hint="eastAsia"/>
          <w:color w:val="auto"/>
          <w:szCs w:val="21"/>
          <w:highlight w:val="none"/>
        </w:rPr>
      </w:pPr>
      <w:r>
        <w:rPr>
          <w:rFonts w:hint="eastAsia"/>
          <w:color w:val="auto"/>
          <w:szCs w:val="21"/>
          <w:highlight w:val="none"/>
        </w:rPr>
        <w:t>（9）对于固定参数，响应与采购需求中技术参数一致，视为无偏离，其他均视为负偏离，此类参数无正偏离。</w:t>
      </w:r>
    </w:p>
    <w:p w14:paraId="240EE67A">
      <w:pPr>
        <w:spacing w:before="120" w:line="320" w:lineRule="atLeast"/>
        <w:ind w:firstLine="420" w:firstLineChars="200"/>
        <w:rPr>
          <w:rFonts w:hint="eastAsia"/>
          <w:color w:val="auto"/>
          <w:szCs w:val="21"/>
          <w:highlight w:val="none"/>
        </w:rPr>
      </w:pPr>
      <w:r>
        <w:rPr>
          <w:rFonts w:hint="eastAsia"/>
          <w:color w:val="auto"/>
          <w:szCs w:val="21"/>
          <w:highlight w:val="none"/>
        </w:rPr>
        <w:t>（10）如采购需求中技术参数有特殊要求与上述说明不一致的，以特殊要求为准。</w:t>
      </w:r>
    </w:p>
    <w:p w14:paraId="3256870D">
      <w:pPr>
        <w:spacing w:before="120" w:line="320" w:lineRule="atLeast"/>
        <w:ind w:firstLine="420" w:firstLineChars="200"/>
        <w:rPr>
          <w:color w:val="auto"/>
          <w:szCs w:val="21"/>
          <w:highlight w:val="none"/>
        </w:rPr>
      </w:pPr>
    </w:p>
    <w:p w14:paraId="2D05255C">
      <w:pPr>
        <w:pStyle w:val="26"/>
        <w:snapToGrid w:val="0"/>
        <w:spacing w:before="120" w:after="120" w:line="320" w:lineRule="exact"/>
        <w:jc w:val="both"/>
        <w:outlineLvl w:val="0"/>
        <w:rPr>
          <w:rFonts w:ascii="Times New Roman" w:hAnsi="Times New Roman" w:cs="Times New Roman"/>
          <w:color w:val="auto"/>
          <w:sz w:val="32"/>
          <w:szCs w:val="32"/>
          <w:highlight w:val="none"/>
        </w:rPr>
      </w:pPr>
      <w:r>
        <w:rPr>
          <w:rFonts w:ascii="Times New Roman" w:hAnsi="Times New Roman" w:cs="Times New Roman"/>
          <w:color w:val="auto"/>
          <w:sz w:val="32"/>
          <w:szCs w:val="32"/>
          <w:highlight w:val="none"/>
        </w:rPr>
        <w:br w:type="page"/>
      </w:r>
      <w:r>
        <w:rPr>
          <w:rFonts w:hint="eastAsia" w:ascii="Times New Roman" w:hAnsi="Times New Roman" w:cs="Times New Roman"/>
          <w:color w:val="auto"/>
          <w:sz w:val="32"/>
          <w:szCs w:val="32"/>
          <w:highlight w:val="none"/>
          <w:lang w:val="en-US" w:eastAsia="zh-CN"/>
        </w:rPr>
        <w:t xml:space="preserve">                  </w:t>
      </w:r>
      <w:r>
        <w:rPr>
          <w:rFonts w:ascii="Times New Roman" w:hAnsi="Times New Roman" w:cs="Times New Roman"/>
          <w:color w:val="auto"/>
          <w:sz w:val="32"/>
          <w:szCs w:val="32"/>
          <w:highlight w:val="none"/>
        </w:rPr>
        <w:t>第五章  合同主要条款格式</w:t>
      </w:r>
      <w:bookmarkEnd w:id="86"/>
      <w:bookmarkEnd w:id="87"/>
    </w:p>
    <w:p w14:paraId="4DECAB5E">
      <w:pPr>
        <w:snapToGrid w:val="0"/>
        <w:spacing w:line="360" w:lineRule="exact"/>
        <w:ind w:right="480"/>
        <w:jc w:val="center"/>
        <w:rPr>
          <w:rFonts w:eastAsia="楷体_GB2312"/>
          <w:b/>
          <w:color w:val="auto"/>
          <w:sz w:val="24"/>
          <w:highlight w:val="none"/>
        </w:rPr>
      </w:pPr>
      <w:bookmarkStart w:id="90" w:name="_Hlk77607609"/>
      <w:bookmarkStart w:id="91" w:name="_Hlk77609480"/>
      <w:bookmarkStart w:id="92" w:name="_Hlk77607045"/>
    </w:p>
    <w:bookmarkEnd w:id="90"/>
    <w:bookmarkEnd w:id="91"/>
    <w:bookmarkEnd w:id="92"/>
    <w:p w14:paraId="42F2B78F">
      <w:pPr>
        <w:spacing w:before="120" w:line="320" w:lineRule="atLeast"/>
        <w:ind w:firstLine="422" w:firstLineChars="200"/>
        <w:jc w:val="center"/>
        <w:outlineLvl w:val="1"/>
        <w:rPr>
          <w:b/>
          <w:bCs/>
          <w:color w:val="auto"/>
          <w:kern w:val="0"/>
          <w:szCs w:val="21"/>
          <w:highlight w:val="none"/>
        </w:rPr>
      </w:pPr>
      <w:r>
        <w:rPr>
          <w:b/>
          <w:bCs/>
          <w:color w:val="auto"/>
          <w:kern w:val="0"/>
          <w:szCs w:val="21"/>
          <w:highlight w:val="none"/>
        </w:rPr>
        <w:t>广西壮族自治区政府采购合同</w:t>
      </w:r>
    </w:p>
    <w:tbl>
      <w:tblPr>
        <w:tblStyle w:val="51"/>
        <w:tblW w:w="0" w:type="auto"/>
        <w:tblInd w:w="108" w:type="dxa"/>
        <w:tblLayout w:type="autofit"/>
        <w:tblCellMar>
          <w:top w:w="0" w:type="dxa"/>
          <w:left w:w="108" w:type="dxa"/>
          <w:bottom w:w="0" w:type="dxa"/>
          <w:right w:w="108" w:type="dxa"/>
        </w:tblCellMar>
      </w:tblPr>
      <w:tblGrid>
        <w:gridCol w:w="2305"/>
        <w:gridCol w:w="2283"/>
        <w:gridCol w:w="2305"/>
        <w:gridCol w:w="2285"/>
      </w:tblGrid>
      <w:tr w14:paraId="10987709">
        <w:tblPrEx>
          <w:tblCellMar>
            <w:top w:w="0" w:type="dxa"/>
            <w:left w:w="108" w:type="dxa"/>
            <w:bottom w:w="0" w:type="dxa"/>
            <w:right w:w="108" w:type="dxa"/>
          </w:tblCellMar>
        </w:tblPrEx>
        <w:tc>
          <w:tcPr>
            <w:tcW w:w="2336" w:type="dxa"/>
            <w:noWrap w:val="0"/>
            <w:vAlign w:val="top"/>
          </w:tcPr>
          <w:p w14:paraId="5C515298">
            <w:pPr>
              <w:snapToGrid w:val="0"/>
              <w:spacing w:line="360" w:lineRule="exact"/>
              <w:ind w:right="480"/>
              <w:jc w:val="left"/>
              <w:rPr>
                <w:bCs/>
                <w:color w:val="auto"/>
                <w:szCs w:val="21"/>
                <w:highlight w:val="none"/>
              </w:rPr>
            </w:pPr>
            <w:r>
              <w:rPr>
                <w:rFonts w:hint="eastAsia"/>
                <w:bCs/>
                <w:color w:val="auto"/>
                <w:szCs w:val="21"/>
                <w:highlight w:val="none"/>
              </w:rPr>
              <w:t>合同编号：</w:t>
            </w:r>
          </w:p>
        </w:tc>
        <w:tc>
          <w:tcPr>
            <w:tcW w:w="2336" w:type="dxa"/>
            <w:noWrap w:val="0"/>
            <w:vAlign w:val="top"/>
          </w:tcPr>
          <w:p w14:paraId="3142CBED">
            <w:pPr>
              <w:snapToGrid w:val="0"/>
              <w:spacing w:line="360" w:lineRule="exact"/>
              <w:ind w:right="480"/>
              <w:jc w:val="left"/>
              <w:rPr>
                <w:bCs/>
                <w:color w:val="auto"/>
                <w:szCs w:val="21"/>
                <w:highlight w:val="none"/>
              </w:rPr>
            </w:pPr>
          </w:p>
        </w:tc>
        <w:tc>
          <w:tcPr>
            <w:tcW w:w="2336" w:type="dxa"/>
            <w:noWrap w:val="0"/>
            <w:vAlign w:val="top"/>
          </w:tcPr>
          <w:p w14:paraId="49623F0C">
            <w:pPr>
              <w:snapToGrid w:val="0"/>
              <w:spacing w:line="360" w:lineRule="exact"/>
              <w:ind w:right="480"/>
              <w:jc w:val="left"/>
              <w:rPr>
                <w:bCs/>
                <w:color w:val="auto"/>
                <w:szCs w:val="21"/>
                <w:highlight w:val="none"/>
              </w:rPr>
            </w:pPr>
            <w:r>
              <w:rPr>
                <w:rFonts w:hint="eastAsia"/>
                <w:bCs/>
                <w:color w:val="auto"/>
                <w:szCs w:val="21"/>
                <w:highlight w:val="none"/>
              </w:rPr>
              <w:t>采购计划号：</w:t>
            </w:r>
          </w:p>
        </w:tc>
        <w:tc>
          <w:tcPr>
            <w:tcW w:w="2337" w:type="dxa"/>
            <w:noWrap w:val="0"/>
            <w:vAlign w:val="top"/>
          </w:tcPr>
          <w:p w14:paraId="175E4515">
            <w:pPr>
              <w:snapToGrid w:val="0"/>
              <w:spacing w:line="360" w:lineRule="exact"/>
              <w:ind w:right="480"/>
              <w:jc w:val="left"/>
              <w:rPr>
                <w:bCs/>
                <w:color w:val="auto"/>
                <w:szCs w:val="21"/>
                <w:highlight w:val="none"/>
              </w:rPr>
            </w:pPr>
          </w:p>
        </w:tc>
      </w:tr>
      <w:tr w14:paraId="36F9FB28">
        <w:tblPrEx>
          <w:tblCellMar>
            <w:top w:w="0" w:type="dxa"/>
            <w:left w:w="108" w:type="dxa"/>
            <w:bottom w:w="0" w:type="dxa"/>
            <w:right w:w="108" w:type="dxa"/>
          </w:tblCellMar>
        </w:tblPrEx>
        <w:tc>
          <w:tcPr>
            <w:tcW w:w="2336" w:type="dxa"/>
            <w:noWrap w:val="0"/>
            <w:vAlign w:val="top"/>
          </w:tcPr>
          <w:p w14:paraId="26800F2D">
            <w:pPr>
              <w:snapToGrid w:val="0"/>
              <w:spacing w:line="360" w:lineRule="exact"/>
              <w:ind w:right="480"/>
              <w:jc w:val="left"/>
              <w:rPr>
                <w:bCs/>
                <w:color w:val="auto"/>
                <w:szCs w:val="21"/>
                <w:highlight w:val="none"/>
              </w:rPr>
            </w:pPr>
            <w:r>
              <w:rPr>
                <w:rFonts w:hint="eastAsia"/>
                <w:bCs/>
                <w:color w:val="auto"/>
                <w:szCs w:val="21"/>
                <w:highlight w:val="none"/>
              </w:rPr>
              <w:t>项目名称：</w:t>
            </w:r>
          </w:p>
        </w:tc>
        <w:tc>
          <w:tcPr>
            <w:tcW w:w="2336" w:type="dxa"/>
            <w:noWrap w:val="0"/>
            <w:vAlign w:val="top"/>
          </w:tcPr>
          <w:p w14:paraId="64C71BEE">
            <w:pPr>
              <w:snapToGrid w:val="0"/>
              <w:spacing w:line="360" w:lineRule="exact"/>
              <w:ind w:right="480"/>
              <w:jc w:val="left"/>
              <w:rPr>
                <w:bCs/>
                <w:color w:val="auto"/>
                <w:szCs w:val="21"/>
                <w:highlight w:val="none"/>
              </w:rPr>
            </w:pPr>
          </w:p>
        </w:tc>
        <w:tc>
          <w:tcPr>
            <w:tcW w:w="2336" w:type="dxa"/>
            <w:noWrap w:val="0"/>
            <w:vAlign w:val="top"/>
          </w:tcPr>
          <w:p w14:paraId="394332B7">
            <w:pPr>
              <w:snapToGrid w:val="0"/>
              <w:spacing w:line="360" w:lineRule="exact"/>
              <w:ind w:right="480"/>
              <w:jc w:val="left"/>
              <w:rPr>
                <w:bCs/>
                <w:color w:val="auto"/>
                <w:szCs w:val="21"/>
                <w:highlight w:val="none"/>
              </w:rPr>
            </w:pPr>
            <w:r>
              <w:rPr>
                <w:rFonts w:hint="eastAsia"/>
                <w:bCs/>
                <w:color w:val="auto"/>
                <w:szCs w:val="21"/>
                <w:highlight w:val="none"/>
              </w:rPr>
              <w:t>项目编号：</w:t>
            </w:r>
          </w:p>
        </w:tc>
        <w:tc>
          <w:tcPr>
            <w:tcW w:w="2337" w:type="dxa"/>
            <w:noWrap w:val="0"/>
            <w:vAlign w:val="top"/>
          </w:tcPr>
          <w:p w14:paraId="21D8E4CC">
            <w:pPr>
              <w:snapToGrid w:val="0"/>
              <w:spacing w:line="360" w:lineRule="exact"/>
              <w:ind w:right="480"/>
              <w:jc w:val="left"/>
              <w:rPr>
                <w:bCs/>
                <w:color w:val="auto"/>
                <w:szCs w:val="21"/>
                <w:highlight w:val="none"/>
              </w:rPr>
            </w:pPr>
          </w:p>
        </w:tc>
      </w:tr>
      <w:tr w14:paraId="2D38B8A5">
        <w:tblPrEx>
          <w:tblCellMar>
            <w:top w:w="0" w:type="dxa"/>
            <w:left w:w="108" w:type="dxa"/>
            <w:bottom w:w="0" w:type="dxa"/>
            <w:right w:w="108" w:type="dxa"/>
          </w:tblCellMar>
        </w:tblPrEx>
        <w:tc>
          <w:tcPr>
            <w:tcW w:w="2336" w:type="dxa"/>
            <w:noWrap w:val="0"/>
            <w:vAlign w:val="top"/>
          </w:tcPr>
          <w:p w14:paraId="596EEC79">
            <w:pPr>
              <w:snapToGrid w:val="0"/>
              <w:spacing w:line="360" w:lineRule="exact"/>
              <w:jc w:val="left"/>
              <w:rPr>
                <w:bCs/>
                <w:color w:val="auto"/>
                <w:szCs w:val="21"/>
                <w:highlight w:val="none"/>
              </w:rPr>
            </w:pPr>
            <w:r>
              <w:rPr>
                <w:rFonts w:hint="eastAsia"/>
                <w:bCs/>
                <w:color w:val="auto"/>
                <w:szCs w:val="21"/>
                <w:highlight w:val="none"/>
              </w:rPr>
              <w:t>采购人（甲方）：</w:t>
            </w:r>
          </w:p>
        </w:tc>
        <w:tc>
          <w:tcPr>
            <w:tcW w:w="2336" w:type="dxa"/>
            <w:noWrap w:val="0"/>
            <w:vAlign w:val="top"/>
          </w:tcPr>
          <w:p w14:paraId="59A8A51F">
            <w:pPr>
              <w:snapToGrid w:val="0"/>
              <w:spacing w:line="360" w:lineRule="exact"/>
              <w:ind w:right="480"/>
              <w:jc w:val="left"/>
              <w:rPr>
                <w:bCs/>
                <w:color w:val="auto"/>
                <w:szCs w:val="21"/>
                <w:highlight w:val="none"/>
              </w:rPr>
            </w:pPr>
          </w:p>
        </w:tc>
        <w:tc>
          <w:tcPr>
            <w:tcW w:w="2336" w:type="dxa"/>
            <w:noWrap w:val="0"/>
            <w:vAlign w:val="top"/>
          </w:tcPr>
          <w:p w14:paraId="50D3D7FD">
            <w:pPr>
              <w:snapToGrid w:val="0"/>
              <w:spacing w:line="360" w:lineRule="exact"/>
              <w:jc w:val="left"/>
              <w:rPr>
                <w:bCs/>
                <w:color w:val="auto"/>
                <w:szCs w:val="21"/>
                <w:highlight w:val="none"/>
              </w:rPr>
            </w:pPr>
            <w:r>
              <w:rPr>
                <w:rFonts w:hint="eastAsia"/>
                <w:bCs/>
                <w:color w:val="auto"/>
                <w:szCs w:val="21"/>
                <w:highlight w:val="none"/>
              </w:rPr>
              <w:t>供应商（乙方）：</w:t>
            </w:r>
          </w:p>
        </w:tc>
        <w:tc>
          <w:tcPr>
            <w:tcW w:w="2337" w:type="dxa"/>
            <w:noWrap w:val="0"/>
            <w:vAlign w:val="top"/>
          </w:tcPr>
          <w:p w14:paraId="2EF6DE2F">
            <w:pPr>
              <w:snapToGrid w:val="0"/>
              <w:spacing w:line="360" w:lineRule="exact"/>
              <w:ind w:right="480"/>
              <w:jc w:val="left"/>
              <w:rPr>
                <w:bCs/>
                <w:color w:val="auto"/>
                <w:szCs w:val="21"/>
                <w:highlight w:val="none"/>
              </w:rPr>
            </w:pPr>
          </w:p>
        </w:tc>
      </w:tr>
      <w:tr w14:paraId="7320F442">
        <w:tblPrEx>
          <w:tblCellMar>
            <w:top w:w="0" w:type="dxa"/>
            <w:left w:w="108" w:type="dxa"/>
            <w:bottom w:w="0" w:type="dxa"/>
            <w:right w:w="108" w:type="dxa"/>
          </w:tblCellMar>
        </w:tblPrEx>
        <w:tc>
          <w:tcPr>
            <w:tcW w:w="2336" w:type="dxa"/>
            <w:noWrap w:val="0"/>
            <w:vAlign w:val="top"/>
          </w:tcPr>
          <w:p w14:paraId="1004DEBE">
            <w:pPr>
              <w:snapToGrid w:val="0"/>
              <w:spacing w:line="360" w:lineRule="exact"/>
              <w:ind w:right="480"/>
              <w:jc w:val="left"/>
              <w:rPr>
                <w:bCs/>
                <w:color w:val="auto"/>
                <w:szCs w:val="21"/>
                <w:highlight w:val="none"/>
              </w:rPr>
            </w:pPr>
            <w:r>
              <w:rPr>
                <w:rFonts w:hint="eastAsia"/>
                <w:bCs/>
                <w:color w:val="auto"/>
                <w:szCs w:val="21"/>
                <w:highlight w:val="none"/>
              </w:rPr>
              <w:t>签订地点：</w:t>
            </w:r>
          </w:p>
        </w:tc>
        <w:tc>
          <w:tcPr>
            <w:tcW w:w="2336" w:type="dxa"/>
            <w:noWrap w:val="0"/>
            <w:vAlign w:val="top"/>
          </w:tcPr>
          <w:p w14:paraId="48960954">
            <w:pPr>
              <w:snapToGrid w:val="0"/>
              <w:spacing w:line="360" w:lineRule="exact"/>
              <w:ind w:right="480"/>
              <w:jc w:val="left"/>
              <w:rPr>
                <w:bCs/>
                <w:color w:val="auto"/>
                <w:szCs w:val="21"/>
                <w:highlight w:val="none"/>
              </w:rPr>
            </w:pPr>
          </w:p>
        </w:tc>
        <w:tc>
          <w:tcPr>
            <w:tcW w:w="2336" w:type="dxa"/>
            <w:noWrap w:val="0"/>
            <w:vAlign w:val="top"/>
          </w:tcPr>
          <w:p w14:paraId="5973EB19">
            <w:pPr>
              <w:snapToGrid w:val="0"/>
              <w:spacing w:line="360" w:lineRule="exact"/>
              <w:ind w:right="480"/>
              <w:jc w:val="left"/>
              <w:rPr>
                <w:bCs/>
                <w:color w:val="auto"/>
                <w:szCs w:val="21"/>
                <w:highlight w:val="none"/>
              </w:rPr>
            </w:pPr>
            <w:r>
              <w:rPr>
                <w:rFonts w:hint="eastAsia"/>
                <w:bCs/>
                <w:color w:val="auto"/>
                <w:szCs w:val="21"/>
                <w:highlight w:val="none"/>
              </w:rPr>
              <w:t>签订时间：</w:t>
            </w:r>
          </w:p>
        </w:tc>
        <w:tc>
          <w:tcPr>
            <w:tcW w:w="2337" w:type="dxa"/>
            <w:noWrap w:val="0"/>
            <w:vAlign w:val="top"/>
          </w:tcPr>
          <w:p w14:paraId="51731742">
            <w:pPr>
              <w:snapToGrid w:val="0"/>
              <w:spacing w:line="360" w:lineRule="exact"/>
              <w:ind w:right="480"/>
              <w:jc w:val="left"/>
              <w:rPr>
                <w:bCs/>
                <w:color w:val="auto"/>
                <w:szCs w:val="21"/>
                <w:highlight w:val="none"/>
              </w:rPr>
            </w:pPr>
          </w:p>
        </w:tc>
      </w:tr>
    </w:tbl>
    <w:p w14:paraId="2D964DA3">
      <w:pPr>
        <w:snapToGrid w:val="0"/>
        <w:spacing w:line="360" w:lineRule="exact"/>
        <w:ind w:firstLine="420" w:firstLineChars="200"/>
        <w:rPr>
          <w:color w:val="auto"/>
          <w:szCs w:val="21"/>
          <w:highlight w:val="none"/>
        </w:rPr>
      </w:pPr>
    </w:p>
    <w:p w14:paraId="02FC05E8">
      <w:pPr>
        <w:pStyle w:val="26"/>
        <w:spacing w:line="300" w:lineRule="exact"/>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根据《中华人民共和国政府采购法》</w:t>
      </w:r>
      <w:r>
        <w:rPr>
          <w:rFonts w:hint="eastAsia" w:ascii="Times New Roman" w:hAnsi="Times New Roman" w:cs="Times New Roman"/>
          <w:color w:val="auto"/>
          <w:highlight w:val="none"/>
        </w:rPr>
        <w:t>、</w:t>
      </w:r>
      <w:r>
        <w:rPr>
          <w:rFonts w:ascii="Times New Roman" w:hAnsi="Times New Roman" w:cs="Times New Roman"/>
          <w:color w:val="auto"/>
          <w:highlight w:val="none"/>
        </w:rPr>
        <w:t>《中华人民共和国政府采购法</w:t>
      </w:r>
      <w:r>
        <w:rPr>
          <w:rFonts w:hint="eastAsia" w:ascii="Times New Roman" w:hAnsi="Times New Roman" w:cs="Times New Roman"/>
          <w:color w:val="auto"/>
          <w:highlight w:val="none"/>
        </w:rPr>
        <w:t>实施条例</w:t>
      </w:r>
      <w:r>
        <w:rPr>
          <w:rFonts w:ascii="Times New Roman" w:hAnsi="Times New Roman" w:cs="Times New Roman"/>
          <w:color w:val="auto"/>
          <w:highlight w:val="none"/>
        </w:rPr>
        <w:t>》等法律、法规规定，按照招标文件规定</w:t>
      </w:r>
      <w:r>
        <w:rPr>
          <w:rFonts w:hint="eastAsia" w:ascii="Times New Roman" w:hAnsi="Times New Roman" w:cs="Times New Roman"/>
          <w:color w:val="auto"/>
          <w:highlight w:val="none"/>
        </w:rPr>
        <w:t>、</w:t>
      </w:r>
      <w:r>
        <w:rPr>
          <w:rFonts w:ascii="Times New Roman" w:hAnsi="Times New Roman" w:cs="Times New Roman"/>
          <w:color w:val="auto"/>
          <w:highlight w:val="none"/>
        </w:rPr>
        <w:t>乙方投标文件及其承诺</w:t>
      </w:r>
      <w:r>
        <w:rPr>
          <w:rFonts w:hint="eastAsia" w:ascii="Times New Roman" w:hAnsi="Times New Roman" w:cs="Times New Roman"/>
          <w:color w:val="auto"/>
          <w:highlight w:val="none"/>
        </w:rPr>
        <w:t>和</w:t>
      </w:r>
      <w:r>
        <w:rPr>
          <w:rFonts w:hint="eastAsia" w:ascii="Times New Roman" w:hAnsi="Times New Roman" w:cs="Times New Roman"/>
          <w:color w:val="auto"/>
          <w:highlight w:val="none"/>
          <w:lang w:val="en-US" w:eastAsia="zh-CN"/>
        </w:rPr>
        <w:t>成交</w:t>
      </w:r>
      <w:r>
        <w:rPr>
          <w:rFonts w:hint="eastAsia" w:ascii="Times New Roman" w:hAnsi="Times New Roman" w:cs="Times New Roman"/>
          <w:color w:val="auto"/>
          <w:highlight w:val="none"/>
        </w:rPr>
        <w:t>通知书</w:t>
      </w:r>
      <w:r>
        <w:rPr>
          <w:rFonts w:ascii="Times New Roman" w:hAnsi="Times New Roman" w:cs="Times New Roman"/>
          <w:color w:val="auto"/>
          <w:highlight w:val="none"/>
        </w:rPr>
        <w:t>，甲乙双方签订本合同。</w:t>
      </w:r>
    </w:p>
    <w:p w14:paraId="2FBFA414">
      <w:pPr>
        <w:snapToGrid w:val="0"/>
        <w:spacing w:line="360" w:lineRule="exact"/>
        <w:ind w:firstLine="422" w:firstLineChars="200"/>
        <w:rPr>
          <w:b/>
          <w:color w:val="auto"/>
          <w:szCs w:val="21"/>
          <w:highlight w:val="none"/>
        </w:rPr>
      </w:pPr>
      <w:r>
        <w:rPr>
          <w:b/>
          <w:color w:val="auto"/>
          <w:szCs w:val="21"/>
          <w:highlight w:val="none"/>
        </w:rPr>
        <w:t>第一条　合同标的</w:t>
      </w:r>
    </w:p>
    <w:p w14:paraId="1131C6E7">
      <w:pPr>
        <w:snapToGrid w:val="0"/>
        <w:spacing w:line="300" w:lineRule="exact"/>
        <w:ind w:firstLine="420" w:firstLineChars="200"/>
        <w:rPr>
          <w:color w:val="auto"/>
          <w:szCs w:val="21"/>
          <w:highlight w:val="none"/>
        </w:rPr>
      </w:pPr>
      <w:r>
        <w:rPr>
          <w:color w:val="auto"/>
          <w:szCs w:val="21"/>
          <w:highlight w:val="none"/>
        </w:rPr>
        <w:t>1.</w:t>
      </w:r>
      <w:r>
        <w:rPr>
          <w:rFonts w:hint="eastAsia"/>
          <w:color w:val="auto"/>
          <w:szCs w:val="21"/>
          <w:highlight w:val="none"/>
        </w:rPr>
        <w:t>合同标的</w:t>
      </w:r>
      <w:r>
        <w:rPr>
          <w:color w:val="auto"/>
          <w:szCs w:val="21"/>
          <w:highlight w:val="none"/>
        </w:rPr>
        <w:t>一览表</w:t>
      </w:r>
    </w:p>
    <w:tbl>
      <w:tblPr>
        <w:tblStyle w:val="51"/>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1304"/>
        <w:gridCol w:w="1081"/>
        <w:gridCol w:w="1194"/>
        <w:gridCol w:w="1193"/>
        <w:gridCol w:w="672"/>
        <w:gridCol w:w="1080"/>
        <w:gridCol w:w="1080"/>
        <w:gridCol w:w="1440"/>
      </w:tblGrid>
      <w:tr w14:paraId="5E9DD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496" w:type="dxa"/>
            <w:noWrap w:val="0"/>
            <w:vAlign w:val="center"/>
          </w:tcPr>
          <w:p w14:paraId="1DCE904B">
            <w:pPr>
              <w:snapToGrid w:val="0"/>
              <w:spacing w:line="300" w:lineRule="exact"/>
              <w:jc w:val="center"/>
              <w:rPr>
                <w:color w:val="auto"/>
                <w:szCs w:val="21"/>
                <w:highlight w:val="none"/>
              </w:rPr>
            </w:pPr>
            <w:r>
              <w:rPr>
                <w:color w:val="auto"/>
                <w:szCs w:val="21"/>
                <w:highlight w:val="none"/>
              </w:rPr>
              <w:t>序号</w:t>
            </w:r>
          </w:p>
        </w:tc>
        <w:tc>
          <w:tcPr>
            <w:tcW w:w="1304" w:type="dxa"/>
            <w:noWrap w:val="0"/>
            <w:vAlign w:val="center"/>
          </w:tcPr>
          <w:p w14:paraId="144D580D">
            <w:pPr>
              <w:snapToGrid w:val="0"/>
              <w:spacing w:line="300" w:lineRule="exact"/>
              <w:jc w:val="center"/>
              <w:rPr>
                <w:color w:val="auto"/>
                <w:szCs w:val="21"/>
                <w:highlight w:val="none"/>
              </w:rPr>
            </w:pPr>
            <w:r>
              <w:rPr>
                <w:color w:val="auto"/>
                <w:szCs w:val="21"/>
                <w:highlight w:val="none"/>
              </w:rPr>
              <w:t>标的</w:t>
            </w:r>
          </w:p>
          <w:p w14:paraId="2521F7B0">
            <w:pPr>
              <w:snapToGrid w:val="0"/>
              <w:spacing w:line="300" w:lineRule="exact"/>
              <w:jc w:val="center"/>
              <w:rPr>
                <w:color w:val="auto"/>
                <w:szCs w:val="21"/>
                <w:highlight w:val="none"/>
              </w:rPr>
            </w:pPr>
            <w:r>
              <w:rPr>
                <w:color w:val="auto"/>
                <w:szCs w:val="21"/>
                <w:highlight w:val="none"/>
              </w:rPr>
              <w:t>名称</w:t>
            </w:r>
          </w:p>
        </w:tc>
        <w:tc>
          <w:tcPr>
            <w:tcW w:w="1081" w:type="dxa"/>
            <w:noWrap w:val="0"/>
            <w:vAlign w:val="center"/>
          </w:tcPr>
          <w:p w14:paraId="6989A045">
            <w:pPr>
              <w:snapToGrid w:val="0"/>
              <w:spacing w:line="300" w:lineRule="exact"/>
              <w:jc w:val="center"/>
              <w:rPr>
                <w:color w:val="auto"/>
                <w:szCs w:val="21"/>
                <w:highlight w:val="none"/>
              </w:rPr>
            </w:pPr>
            <w:r>
              <w:rPr>
                <w:color w:val="auto"/>
                <w:szCs w:val="21"/>
                <w:highlight w:val="none"/>
              </w:rPr>
              <w:t>商标</w:t>
            </w:r>
          </w:p>
          <w:p w14:paraId="3C73E747">
            <w:pPr>
              <w:snapToGrid w:val="0"/>
              <w:spacing w:line="300" w:lineRule="exact"/>
              <w:jc w:val="center"/>
              <w:rPr>
                <w:color w:val="auto"/>
                <w:szCs w:val="21"/>
                <w:highlight w:val="none"/>
              </w:rPr>
            </w:pPr>
            <w:r>
              <w:rPr>
                <w:color w:val="auto"/>
                <w:szCs w:val="21"/>
                <w:highlight w:val="none"/>
              </w:rPr>
              <w:t>品牌</w:t>
            </w:r>
          </w:p>
        </w:tc>
        <w:tc>
          <w:tcPr>
            <w:tcW w:w="1194" w:type="dxa"/>
            <w:noWrap w:val="0"/>
            <w:vAlign w:val="center"/>
          </w:tcPr>
          <w:p w14:paraId="0D6B843D">
            <w:pPr>
              <w:snapToGrid w:val="0"/>
              <w:spacing w:line="300" w:lineRule="exact"/>
              <w:jc w:val="center"/>
              <w:rPr>
                <w:color w:val="auto"/>
                <w:szCs w:val="21"/>
                <w:highlight w:val="none"/>
              </w:rPr>
            </w:pPr>
            <w:r>
              <w:rPr>
                <w:color w:val="auto"/>
                <w:szCs w:val="21"/>
                <w:highlight w:val="none"/>
              </w:rPr>
              <w:t>型号</w:t>
            </w:r>
          </w:p>
          <w:p w14:paraId="6A975E3F">
            <w:pPr>
              <w:snapToGrid w:val="0"/>
              <w:spacing w:line="300" w:lineRule="exact"/>
              <w:jc w:val="center"/>
              <w:rPr>
                <w:color w:val="auto"/>
                <w:szCs w:val="21"/>
                <w:highlight w:val="none"/>
              </w:rPr>
            </w:pPr>
            <w:r>
              <w:rPr>
                <w:color w:val="auto"/>
                <w:szCs w:val="21"/>
                <w:highlight w:val="none"/>
              </w:rPr>
              <w:t>参数</w:t>
            </w:r>
          </w:p>
        </w:tc>
        <w:tc>
          <w:tcPr>
            <w:tcW w:w="1193" w:type="dxa"/>
            <w:noWrap w:val="0"/>
            <w:vAlign w:val="center"/>
          </w:tcPr>
          <w:p w14:paraId="2EE39083">
            <w:pPr>
              <w:snapToGrid w:val="0"/>
              <w:spacing w:line="300" w:lineRule="exact"/>
              <w:jc w:val="center"/>
              <w:rPr>
                <w:color w:val="auto"/>
                <w:szCs w:val="21"/>
                <w:highlight w:val="none"/>
              </w:rPr>
            </w:pPr>
            <w:r>
              <w:rPr>
                <w:color w:val="auto"/>
                <w:szCs w:val="21"/>
                <w:highlight w:val="none"/>
              </w:rPr>
              <w:t>生产</w:t>
            </w:r>
          </w:p>
          <w:p w14:paraId="636D5134">
            <w:pPr>
              <w:snapToGrid w:val="0"/>
              <w:spacing w:line="300" w:lineRule="exact"/>
              <w:jc w:val="center"/>
              <w:rPr>
                <w:color w:val="auto"/>
                <w:szCs w:val="21"/>
                <w:highlight w:val="none"/>
              </w:rPr>
            </w:pPr>
            <w:r>
              <w:rPr>
                <w:color w:val="auto"/>
                <w:szCs w:val="21"/>
                <w:highlight w:val="none"/>
              </w:rPr>
              <w:t>厂家</w:t>
            </w:r>
          </w:p>
        </w:tc>
        <w:tc>
          <w:tcPr>
            <w:tcW w:w="672" w:type="dxa"/>
            <w:noWrap w:val="0"/>
            <w:vAlign w:val="center"/>
          </w:tcPr>
          <w:p w14:paraId="6E4EA96D">
            <w:pPr>
              <w:snapToGrid w:val="0"/>
              <w:spacing w:line="300" w:lineRule="exact"/>
              <w:jc w:val="center"/>
              <w:rPr>
                <w:color w:val="auto"/>
                <w:szCs w:val="21"/>
                <w:highlight w:val="none"/>
              </w:rPr>
            </w:pPr>
            <w:r>
              <w:rPr>
                <w:color w:val="auto"/>
                <w:szCs w:val="21"/>
                <w:highlight w:val="none"/>
              </w:rPr>
              <w:t>数  量</w:t>
            </w:r>
          </w:p>
        </w:tc>
        <w:tc>
          <w:tcPr>
            <w:tcW w:w="1080" w:type="dxa"/>
            <w:noWrap w:val="0"/>
            <w:vAlign w:val="center"/>
          </w:tcPr>
          <w:p w14:paraId="55EA45C6">
            <w:pPr>
              <w:snapToGrid w:val="0"/>
              <w:spacing w:line="300" w:lineRule="exact"/>
              <w:jc w:val="center"/>
              <w:rPr>
                <w:color w:val="auto"/>
                <w:szCs w:val="21"/>
                <w:highlight w:val="none"/>
              </w:rPr>
            </w:pPr>
            <w:r>
              <w:rPr>
                <w:color w:val="auto"/>
                <w:szCs w:val="21"/>
                <w:highlight w:val="none"/>
              </w:rPr>
              <w:t>单位</w:t>
            </w:r>
          </w:p>
        </w:tc>
        <w:tc>
          <w:tcPr>
            <w:tcW w:w="1080" w:type="dxa"/>
            <w:noWrap w:val="0"/>
            <w:vAlign w:val="center"/>
          </w:tcPr>
          <w:p w14:paraId="3E171743">
            <w:pPr>
              <w:snapToGrid w:val="0"/>
              <w:spacing w:line="300" w:lineRule="exact"/>
              <w:jc w:val="center"/>
              <w:rPr>
                <w:color w:val="auto"/>
                <w:szCs w:val="21"/>
                <w:highlight w:val="none"/>
              </w:rPr>
            </w:pPr>
            <w:r>
              <w:rPr>
                <w:color w:val="auto"/>
                <w:szCs w:val="21"/>
                <w:highlight w:val="none"/>
              </w:rPr>
              <w:t>单价</w:t>
            </w:r>
          </w:p>
          <w:p w14:paraId="5268938D">
            <w:pPr>
              <w:snapToGrid w:val="0"/>
              <w:spacing w:line="300" w:lineRule="exact"/>
              <w:jc w:val="center"/>
              <w:rPr>
                <w:color w:val="auto"/>
                <w:szCs w:val="21"/>
                <w:highlight w:val="none"/>
              </w:rPr>
            </w:pPr>
            <w:r>
              <w:rPr>
                <w:color w:val="auto"/>
                <w:szCs w:val="21"/>
                <w:highlight w:val="none"/>
              </w:rPr>
              <w:t>（元）</w:t>
            </w:r>
          </w:p>
        </w:tc>
        <w:tc>
          <w:tcPr>
            <w:tcW w:w="1440" w:type="dxa"/>
            <w:noWrap w:val="0"/>
            <w:vAlign w:val="center"/>
          </w:tcPr>
          <w:p w14:paraId="432266BB">
            <w:pPr>
              <w:snapToGrid w:val="0"/>
              <w:spacing w:line="300" w:lineRule="exact"/>
              <w:jc w:val="center"/>
              <w:rPr>
                <w:color w:val="auto"/>
                <w:szCs w:val="21"/>
                <w:highlight w:val="none"/>
              </w:rPr>
            </w:pPr>
            <w:r>
              <w:rPr>
                <w:rFonts w:hint="eastAsia"/>
                <w:color w:val="auto"/>
                <w:szCs w:val="21"/>
                <w:highlight w:val="none"/>
              </w:rPr>
              <w:t>合计</w:t>
            </w:r>
          </w:p>
          <w:p w14:paraId="4C519576">
            <w:pPr>
              <w:snapToGrid w:val="0"/>
              <w:spacing w:line="300" w:lineRule="exact"/>
              <w:jc w:val="center"/>
              <w:rPr>
                <w:color w:val="auto"/>
                <w:szCs w:val="21"/>
                <w:highlight w:val="none"/>
              </w:rPr>
            </w:pPr>
            <w:r>
              <w:rPr>
                <w:color w:val="auto"/>
                <w:szCs w:val="21"/>
                <w:highlight w:val="none"/>
              </w:rPr>
              <w:t>（元）</w:t>
            </w:r>
          </w:p>
        </w:tc>
      </w:tr>
      <w:tr w14:paraId="204D3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trPr>
        <w:tc>
          <w:tcPr>
            <w:tcW w:w="496" w:type="dxa"/>
            <w:noWrap w:val="0"/>
            <w:vAlign w:val="center"/>
          </w:tcPr>
          <w:p w14:paraId="19A37159">
            <w:pPr>
              <w:snapToGrid w:val="0"/>
              <w:spacing w:line="300" w:lineRule="exact"/>
              <w:jc w:val="center"/>
              <w:rPr>
                <w:color w:val="auto"/>
                <w:szCs w:val="21"/>
                <w:highlight w:val="none"/>
              </w:rPr>
            </w:pPr>
            <w:r>
              <w:rPr>
                <w:color w:val="auto"/>
                <w:szCs w:val="21"/>
                <w:highlight w:val="none"/>
              </w:rPr>
              <w:t>1</w:t>
            </w:r>
          </w:p>
        </w:tc>
        <w:tc>
          <w:tcPr>
            <w:tcW w:w="1304" w:type="dxa"/>
            <w:noWrap w:val="0"/>
            <w:vAlign w:val="center"/>
          </w:tcPr>
          <w:p w14:paraId="391A0BFB">
            <w:pPr>
              <w:snapToGrid w:val="0"/>
              <w:spacing w:line="300" w:lineRule="exact"/>
              <w:jc w:val="center"/>
              <w:rPr>
                <w:color w:val="auto"/>
                <w:szCs w:val="21"/>
                <w:highlight w:val="none"/>
              </w:rPr>
            </w:pPr>
          </w:p>
        </w:tc>
        <w:tc>
          <w:tcPr>
            <w:tcW w:w="1081" w:type="dxa"/>
            <w:noWrap w:val="0"/>
            <w:vAlign w:val="center"/>
          </w:tcPr>
          <w:p w14:paraId="49071584">
            <w:pPr>
              <w:snapToGrid w:val="0"/>
              <w:spacing w:line="300" w:lineRule="exact"/>
              <w:jc w:val="center"/>
              <w:rPr>
                <w:color w:val="auto"/>
                <w:szCs w:val="21"/>
                <w:highlight w:val="none"/>
              </w:rPr>
            </w:pPr>
          </w:p>
        </w:tc>
        <w:tc>
          <w:tcPr>
            <w:tcW w:w="1194" w:type="dxa"/>
            <w:noWrap w:val="0"/>
            <w:vAlign w:val="center"/>
          </w:tcPr>
          <w:p w14:paraId="5054282C">
            <w:pPr>
              <w:snapToGrid w:val="0"/>
              <w:spacing w:line="300" w:lineRule="exact"/>
              <w:jc w:val="center"/>
              <w:rPr>
                <w:color w:val="auto"/>
                <w:szCs w:val="21"/>
                <w:highlight w:val="none"/>
              </w:rPr>
            </w:pPr>
          </w:p>
        </w:tc>
        <w:tc>
          <w:tcPr>
            <w:tcW w:w="1193" w:type="dxa"/>
            <w:noWrap w:val="0"/>
            <w:vAlign w:val="top"/>
          </w:tcPr>
          <w:p w14:paraId="42D6F41B">
            <w:pPr>
              <w:snapToGrid w:val="0"/>
              <w:spacing w:line="300" w:lineRule="exact"/>
              <w:jc w:val="center"/>
              <w:rPr>
                <w:color w:val="auto"/>
                <w:szCs w:val="21"/>
                <w:highlight w:val="none"/>
              </w:rPr>
            </w:pPr>
          </w:p>
        </w:tc>
        <w:tc>
          <w:tcPr>
            <w:tcW w:w="672" w:type="dxa"/>
            <w:noWrap w:val="0"/>
            <w:vAlign w:val="top"/>
          </w:tcPr>
          <w:p w14:paraId="12305CA5">
            <w:pPr>
              <w:snapToGrid w:val="0"/>
              <w:spacing w:line="300" w:lineRule="exact"/>
              <w:jc w:val="center"/>
              <w:rPr>
                <w:color w:val="auto"/>
                <w:szCs w:val="21"/>
                <w:highlight w:val="none"/>
              </w:rPr>
            </w:pPr>
          </w:p>
        </w:tc>
        <w:tc>
          <w:tcPr>
            <w:tcW w:w="1080" w:type="dxa"/>
            <w:noWrap w:val="0"/>
            <w:vAlign w:val="top"/>
          </w:tcPr>
          <w:p w14:paraId="35953D50">
            <w:pPr>
              <w:snapToGrid w:val="0"/>
              <w:spacing w:line="300" w:lineRule="exact"/>
              <w:jc w:val="center"/>
              <w:rPr>
                <w:color w:val="auto"/>
                <w:szCs w:val="21"/>
                <w:highlight w:val="none"/>
              </w:rPr>
            </w:pPr>
          </w:p>
        </w:tc>
        <w:tc>
          <w:tcPr>
            <w:tcW w:w="1080" w:type="dxa"/>
            <w:noWrap w:val="0"/>
            <w:vAlign w:val="center"/>
          </w:tcPr>
          <w:p w14:paraId="1791D7F5">
            <w:pPr>
              <w:snapToGrid w:val="0"/>
              <w:spacing w:line="300" w:lineRule="exact"/>
              <w:jc w:val="center"/>
              <w:rPr>
                <w:color w:val="auto"/>
                <w:szCs w:val="21"/>
                <w:highlight w:val="none"/>
              </w:rPr>
            </w:pPr>
          </w:p>
        </w:tc>
        <w:tc>
          <w:tcPr>
            <w:tcW w:w="1440" w:type="dxa"/>
            <w:noWrap w:val="0"/>
            <w:vAlign w:val="center"/>
          </w:tcPr>
          <w:p w14:paraId="1F793B92">
            <w:pPr>
              <w:snapToGrid w:val="0"/>
              <w:spacing w:line="300" w:lineRule="exact"/>
              <w:jc w:val="center"/>
              <w:rPr>
                <w:color w:val="auto"/>
                <w:szCs w:val="21"/>
                <w:highlight w:val="none"/>
              </w:rPr>
            </w:pPr>
          </w:p>
        </w:tc>
      </w:tr>
      <w:tr w14:paraId="6BBBA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rPr>
        <w:tc>
          <w:tcPr>
            <w:tcW w:w="496" w:type="dxa"/>
            <w:noWrap w:val="0"/>
            <w:vAlign w:val="center"/>
          </w:tcPr>
          <w:p w14:paraId="333DEB79">
            <w:pPr>
              <w:snapToGrid w:val="0"/>
              <w:spacing w:line="300" w:lineRule="exact"/>
              <w:jc w:val="center"/>
              <w:rPr>
                <w:color w:val="auto"/>
                <w:szCs w:val="21"/>
                <w:highlight w:val="none"/>
              </w:rPr>
            </w:pPr>
            <w:r>
              <w:rPr>
                <w:color w:val="auto"/>
                <w:szCs w:val="21"/>
                <w:highlight w:val="none"/>
              </w:rPr>
              <w:t>2</w:t>
            </w:r>
          </w:p>
        </w:tc>
        <w:tc>
          <w:tcPr>
            <w:tcW w:w="1304" w:type="dxa"/>
            <w:noWrap w:val="0"/>
            <w:vAlign w:val="center"/>
          </w:tcPr>
          <w:p w14:paraId="01C01A54">
            <w:pPr>
              <w:snapToGrid w:val="0"/>
              <w:spacing w:line="300" w:lineRule="exact"/>
              <w:jc w:val="center"/>
              <w:rPr>
                <w:color w:val="auto"/>
                <w:szCs w:val="21"/>
                <w:highlight w:val="none"/>
              </w:rPr>
            </w:pPr>
          </w:p>
        </w:tc>
        <w:tc>
          <w:tcPr>
            <w:tcW w:w="1081" w:type="dxa"/>
            <w:noWrap w:val="0"/>
            <w:vAlign w:val="center"/>
          </w:tcPr>
          <w:p w14:paraId="46981FAF">
            <w:pPr>
              <w:snapToGrid w:val="0"/>
              <w:spacing w:line="300" w:lineRule="exact"/>
              <w:jc w:val="center"/>
              <w:rPr>
                <w:color w:val="auto"/>
                <w:szCs w:val="21"/>
                <w:highlight w:val="none"/>
              </w:rPr>
            </w:pPr>
          </w:p>
        </w:tc>
        <w:tc>
          <w:tcPr>
            <w:tcW w:w="1194" w:type="dxa"/>
            <w:noWrap w:val="0"/>
            <w:vAlign w:val="center"/>
          </w:tcPr>
          <w:p w14:paraId="0AE251EC">
            <w:pPr>
              <w:snapToGrid w:val="0"/>
              <w:spacing w:line="300" w:lineRule="exact"/>
              <w:jc w:val="center"/>
              <w:rPr>
                <w:color w:val="auto"/>
                <w:szCs w:val="21"/>
                <w:highlight w:val="none"/>
              </w:rPr>
            </w:pPr>
          </w:p>
        </w:tc>
        <w:tc>
          <w:tcPr>
            <w:tcW w:w="1193" w:type="dxa"/>
            <w:noWrap w:val="0"/>
            <w:vAlign w:val="top"/>
          </w:tcPr>
          <w:p w14:paraId="747446DB">
            <w:pPr>
              <w:snapToGrid w:val="0"/>
              <w:spacing w:line="300" w:lineRule="exact"/>
              <w:jc w:val="center"/>
              <w:rPr>
                <w:color w:val="auto"/>
                <w:szCs w:val="21"/>
                <w:highlight w:val="none"/>
              </w:rPr>
            </w:pPr>
          </w:p>
        </w:tc>
        <w:tc>
          <w:tcPr>
            <w:tcW w:w="672" w:type="dxa"/>
            <w:noWrap w:val="0"/>
            <w:vAlign w:val="top"/>
          </w:tcPr>
          <w:p w14:paraId="4F94D144">
            <w:pPr>
              <w:snapToGrid w:val="0"/>
              <w:spacing w:line="300" w:lineRule="exact"/>
              <w:jc w:val="center"/>
              <w:rPr>
                <w:color w:val="auto"/>
                <w:szCs w:val="21"/>
                <w:highlight w:val="none"/>
              </w:rPr>
            </w:pPr>
          </w:p>
        </w:tc>
        <w:tc>
          <w:tcPr>
            <w:tcW w:w="1080" w:type="dxa"/>
            <w:noWrap w:val="0"/>
            <w:vAlign w:val="top"/>
          </w:tcPr>
          <w:p w14:paraId="7FED8398">
            <w:pPr>
              <w:snapToGrid w:val="0"/>
              <w:spacing w:line="300" w:lineRule="exact"/>
              <w:jc w:val="center"/>
              <w:rPr>
                <w:color w:val="auto"/>
                <w:szCs w:val="21"/>
                <w:highlight w:val="none"/>
              </w:rPr>
            </w:pPr>
          </w:p>
        </w:tc>
        <w:tc>
          <w:tcPr>
            <w:tcW w:w="1080" w:type="dxa"/>
            <w:noWrap w:val="0"/>
            <w:vAlign w:val="center"/>
          </w:tcPr>
          <w:p w14:paraId="40AF3387">
            <w:pPr>
              <w:snapToGrid w:val="0"/>
              <w:spacing w:line="300" w:lineRule="exact"/>
              <w:jc w:val="center"/>
              <w:rPr>
                <w:color w:val="auto"/>
                <w:szCs w:val="21"/>
                <w:highlight w:val="none"/>
              </w:rPr>
            </w:pPr>
          </w:p>
        </w:tc>
        <w:tc>
          <w:tcPr>
            <w:tcW w:w="1440" w:type="dxa"/>
            <w:noWrap w:val="0"/>
            <w:vAlign w:val="center"/>
          </w:tcPr>
          <w:p w14:paraId="2AA244DE">
            <w:pPr>
              <w:snapToGrid w:val="0"/>
              <w:spacing w:line="300" w:lineRule="exact"/>
              <w:jc w:val="center"/>
              <w:rPr>
                <w:color w:val="auto"/>
                <w:szCs w:val="21"/>
                <w:highlight w:val="none"/>
              </w:rPr>
            </w:pPr>
          </w:p>
        </w:tc>
      </w:tr>
      <w:tr w14:paraId="0C1EE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atLeast"/>
        </w:trPr>
        <w:tc>
          <w:tcPr>
            <w:tcW w:w="496" w:type="dxa"/>
            <w:noWrap w:val="0"/>
            <w:vAlign w:val="center"/>
          </w:tcPr>
          <w:p w14:paraId="5DECD94E">
            <w:pPr>
              <w:snapToGrid w:val="0"/>
              <w:spacing w:line="300" w:lineRule="exact"/>
              <w:jc w:val="center"/>
              <w:rPr>
                <w:color w:val="auto"/>
                <w:szCs w:val="21"/>
                <w:highlight w:val="none"/>
              </w:rPr>
            </w:pPr>
            <w:r>
              <w:rPr>
                <w:color w:val="auto"/>
                <w:szCs w:val="21"/>
                <w:highlight w:val="none"/>
              </w:rPr>
              <w:t>3</w:t>
            </w:r>
          </w:p>
        </w:tc>
        <w:tc>
          <w:tcPr>
            <w:tcW w:w="1304" w:type="dxa"/>
            <w:noWrap w:val="0"/>
            <w:vAlign w:val="center"/>
          </w:tcPr>
          <w:p w14:paraId="0C889495">
            <w:pPr>
              <w:snapToGrid w:val="0"/>
              <w:spacing w:line="300" w:lineRule="exact"/>
              <w:jc w:val="center"/>
              <w:rPr>
                <w:color w:val="auto"/>
                <w:szCs w:val="21"/>
                <w:highlight w:val="none"/>
              </w:rPr>
            </w:pPr>
          </w:p>
        </w:tc>
        <w:tc>
          <w:tcPr>
            <w:tcW w:w="1081" w:type="dxa"/>
            <w:noWrap w:val="0"/>
            <w:vAlign w:val="center"/>
          </w:tcPr>
          <w:p w14:paraId="6F749C01">
            <w:pPr>
              <w:snapToGrid w:val="0"/>
              <w:spacing w:line="300" w:lineRule="exact"/>
              <w:jc w:val="center"/>
              <w:rPr>
                <w:color w:val="auto"/>
                <w:szCs w:val="21"/>
                <w:highlight w:val="none"/>
              </w:rPr>
            </w:pPr>
          </w:p>
        </w:tc>
        <w:tc>
          <w:tcPr>
            <w:tcW w:w="1194" w:type="dxa"/>
            <w:noWrap w:val="0"/>
            <w:vAlign w:val="center"/>
          </w:tcPr>
          <w:p w14:paraId="2F9853CB">
            <w:pPr>
              <w:snapToGrid w:val="0"/>
              <w:spacing w:line="300" w:lineRule="exact"/>
              <w:jc w:val="center"/>
              <w:rPr>
                <w:color w:val="auto"/>
                <w:szCs w:val="21"/>
                <w:highlight w:val="none"/>
              </w:rPr>
            </w:pPr>
          </w:p>
        </w:tc>
        <w:tc>
          <w:tcPr>
            <w:tcW w:w="1193" w:type="dxa"/>
            <w:noWrap w:val="0"/>
            <w:vAlign w:val="top"/>
          </w:tcPr>
          <w:p w14:paraId="4F5674C6">
            <w:pPr>
              <w:snapToGrid w:val="0"/>
              <w:spacing w:line="300" w:lineRule="exact"/>
              <w:jc w:val="center"/>
              <w:rPr>
                <w:color w:val="auto"/>
                <w:szCs w:val="21"/>
                <w:highlight w:val="none"/>
              </w:rPr>
            </w:pPr>
          </w:p>
        </w:tc>
        <w:tc>
          <w:tcPr>
            <w:tcW w:w="672" w:type="dxa"/>
            <w:noWrap w:val="0"/>
            <w:vAlign w:val="top"/>
          </w:tcPr>
          <w:p w14:paraId="24664AED">
            <w:pPr>
              <w:snapToGrid w:val="0"/>
              <w:spacing w:line="300" w:lineRule="exact"/>
              <w:jc w:val="center"/>
              <w:rPr>
                <w:color w:val="auto"/>
                <w:szCs w:val="21"/>
                <w:highlight w:val="none"/>
              </w:rPr>
            </w:pPr>
          </w:p>
        </w:tc>
        <w:tc>
          <w:tcPr>
            <w:tcW w:w="1080" w:type="dxa"/>
            <w:noWrap w:val="0"/>
            <w:vAlign w:val="top"/>
          </w:tcPr>
          <w:p w14:paraId="132E9906">
            <w:pPr>
              <w:snapToGrid w:val="0"/>
              <w:spacing w:line="300" w:lineRule="exact"/>
              <w:jc w:val="center"/>
              <w:rPr>
                <w:color w:val="auto"/>
                <w:szCs w:val="21"/>
                <w:highlight w:val="none"/>
              </w:rPr>
            </w:pPr>
          </w:p>
        </w:tc>
        <w:tc>
          <w:tcPr>
            <w:tcW w:w="1080" w:type="dxa"/>
            <w:noWrap w:val="0"/>
            <w:vAlign w:val="center"/>
          </w:tcPr>
          <w:p w14:paraId="5CF1489D">
            <w:pPr>
              <w:snapToGrid w:val="0"/>
              <w:spacing w:line="300" w:lineRule="exact"/>
              <w:jc w:val="center"/>
              <w:rPr>
                <w:color w:val="auto"/>
                <w:szCs w:val="21"/>
                <w:highlight w:val="none"/>
              </w:rPr>
            </w:pPr>
          </w:p>
        </w:tc>
        <w:tc>
          <w:tcPr>
            <w:tcW w:w="1440" w:type="dxa"/>
            <w:noWrap w:val="0"/>
            <w:vAlign w:val="center"/>
          </w:tcPr>
          <w:p w14:paraId="21562352">
            <w:pPr>
              <w:snapToGrid w:val="0"/>
              <w:spacing w:line="300" w:lineRule="exact"/>
              <w:jc w:val="center"/>
              <w:rPr>
                <w:color w:val="auto"/>
                <w:szCs w:val="21"/>
                <w:highlight w:val="none"/>
              </w:rPr>
            </w:pPr>
          </w:p>
        </w:tc>
      </w:tr>
      <w:tr w14:paraId="3DF39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trPr>
        <w:tc>
          <w:tcPr>
            <w:tcW w:w="9540" w:type="dxa"/>
            <w:gridSpan w:val="9"/>
            <w:noWrap w:val="0"/>
            <w:vAlign w:val="center"/>
          </w:tcPr>
          <w:p w14:paraId="22D3A287">
            <w:pPr>
              <w:snapToGrid w:val="0"/>
              <w:spacing w:line="300" w:lineRule="exact"/>
              <w:rPr>
                <w:color w:val="auto"/>
                <w:szCs w:val="21"/>
                <w:highlight w:val="none"/>
              </w:rPr>
            </w:pPr>
            <w:r>
              <w:rPr>
                <w:rFonts w:hint="eastAsia"/>
                <w:color w:val="auto"/>
                <w:szCs w:val="21"/>
                <w:highlight w:val="none"/>
              </w:rPr>
              <w:t>总价（</w:t>
            </w:r>
            <w:r>
              <w:rPr>
                <w:color w:val="auto"/>
                <w:szCs w:val="21"/>
                <w:highlight w:val="none"/>
              </w:rPr>
              <w:t>人民币</w:t>
            </w:r>
            <w:r>
              <w:rPr>
                <w:rFonts w:hint="eastAsia"/>
                <w:color w:val="auto"/>
                <w:szCs w:val="21"/>
                <w:highlight w:val="none"/>
              </w:rPr>
              <w:t>）</w:t>
            </w:r>
            <w:r>
              <w:rPr>
                <w:color w:val="auto"/>
                <w:szCs w:val="21"/>
                <w:highlight w:val="none"/>
              </w:rPr>
              <w:t xml:space="preserve">（大写）                          （小写）                 </w:t>
            </w:r>
          </w:p>
        </w:tc>
      </w:tr>
    </w:tbl>
    <w:p w14:paraId="5BA69365">
      <w:pPr>
        <w:pStyle w:val="26"/>
        <w:spacing w:line="300" w:lineRule="exact"/>
        <w:ind w:firstLine="420" w:firstLineChars="200"/>
        <w:rPr>
          <w:rFonts w:ascii="Times New Roman" w:hAnsi="Times New Roman" w:cs="Times New Roman"/>
          <w:color w:val="auto"/>
          <w:highlight w:val="none"/>
        </w:rPr>
      </w:pPr>
      <w:bookmarkStart w:id="93" w:name="_Hlk77609505"/>
      <w:r>
        <w:rPr>
          <w:rFonts w:hint="eastAsia" w:ascii="Times New Roman" w:hAnsi="Times New Roman" w:cs="Times New Roman"/>
          <w:color w:val="auto"/>
          <w:highlight w:val="none"/>
        </w:rPr>
        <w:t>2.合同价格形式：</w:t>
      </w:r>
      <w:r>
        <w:rPr>
          <w:rFonts w:hint="eastAsia" w:ascii="Times New Roman" w:hAnsi="Times New Roman" w:cs="Times New Roman"/>
          <w:color w:val="auto"/>
          <w:highlight w:val="none"/>
        </w:rPr>
        <w:sym w:font="Wingdings 2" w:char="F052"/>
      </w:r>
      <w:r>
        <w:rPr>
          <w:rFonts w:hint="eastAsia" w:ascii="Times New Roman" w:hAnsi="Times New Roman" w:cs="Times New Roman"/>
          <w:color w:val="auto"/>
          <w:highlight w:val="none"/>
        </w:rPr>
        <w:t>固定总价 □固定单价 □成本补偿 □绩效激励 □其他</w:t>
      </w:r>
    </w:p>
    <w:bookmarkEnd w:id="93"/>
    <w:p w14:paraId="4391E57C">
      <w:pPr>
        <w:pStyle w:val="26"/>
        <w:spacing w:line="300" w:lineRule="exact"/>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3</w:t>
      </w:r>
      <w:r>
        <w:rPr>
          <w:rFonts w:hint="eastAsia" w:ascii="Times New Roman" w:hAnsi="Times New Roman" w:cs="Times New Roman"/>
          <w:color w:val="auto"/>
          <w:highlight w:val="none"/>
        </w:rPr>
        <w:t>.</w:t>
      </w:r>
      <w:r>
        <w:rPr>
          <w:rFonts w:ascii="Times New Roman" w:hAnsi="Times New Roman" w:cs="Times New Roman"/>
          <w:color w:val="auto"/>
          <w:highlight w:val="none"/>
        </w:rPr>
        <w:t>合同</w:t>
      </w:r>
      <w:r>
        <w:rPr>
          <w:rFonts w:hint="eastAsia" w:ascii="Times New Roman" w:hAnsi="Times New Roman" w:cs="Times New Roman"/>
          <w:color w:val="auto"/>
          <w:highlight w:val="none"/>
        </w:rPr>
        <w:t>总价</w:t>
      </w:r>
      <w:r>
        <w:rPr>
          <w:rFonts w:ascii="Times New Roman" w:hAnsi="Times New Roman" w:cs="Times New Roman"/>
          <w:color w:val="auto"/>
          <w:highlight w:val="none"/>
        </w:rPr>
        <w:t>包括</w:t>
      </w:r>
      <w:r>
        <w:rPr>
          <w:color w:val="auto"/>
          <w:highlight w:val="none"/>
        </w:rPr>
        <w:t>产品价、运输费（含装卸费）、保险费、安装调试费、税费、培训费、产品检测费</w:t>
      </w:r>
      <w:r>
        <w:rPr>
          <w:rFonts w:hint="eastAsia"/>
          <w:color w:val="auto"/>
          <w:highlight w:val="none"/>
        </w:rPr>
        <w:t>、</w:t>
      </w:r>
      <w:r>
        <w:rPr>
          <w:color w:val="auto"/>
          <w:highlight w:val="none"/>
        </w:rPr>
        <w:t>产品质保期内维护等费用。</w:t>
      </w:r>
    </w:p>
    <w:p w14:paraId="28BE7628">
      <w:pPr>
        <w:snapToGrid w:val="0"/>
        <w:spacing w:line="360" w:lineRule="exact"/>
        <w:ind w:firstLine="422" w:firstLineChars="200"/>
        <w:rPr>
          <w:color w:val="auto"/>
          <w:szCs w:val="21"/>
          <w:highlight w:val="none"/>
        </w:rPr>
      </w:pPr>
      <w:r>
        <w:rPr>
          <w:b/>
          <w:color w:val="auto"/>
          <w:szCs w:val="21"/>
          <w:highlight w:val="none"/>
        </w:rPr>
        <w:t>第二条　质量保证</w:t>
      </w:r>
    </w:p>
    <w:p w14:paraId="75F0DCBF">
      <w:pPr>
        <w:pStyle w:val="26"/>
        <w:spacing w:line="300" w:lineRule="exact"/>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1.乙方所提供的货物型号、技术规格、技术参数等</w:t>
      </w:r>
      <w:r>
        <w:rPr>
          <w:rFonts w:hint="eastAsia" w:ascii="Times New Roman" w:hAnsi="Times New Roman" w:cs="Times New Roman"/>
          <w:color w:val="auto"/>
          <w:highlight w:val="none"/>
        </w:rPr>
        <w:t>指标</w:t>
      </w:r>
      <w:r>
        <w:rPr>
          <w:rFonts w:ascii="Times New Roman" w:hAnsi="Times New Roman" w:cs="Times New Roman"/>
          <w:color w:val="auto"/>
          <w:highlight w:val="none"/>
        </w:rPr>
        <w:t>必须与</w:t>
      </w:r>
      <w:r>
        <w:rPr>
          <w:rFonts w:hint="eastAsia"/>
          <w:color w:val="auto"/>
          <w:highlight w:val="none"/>
          <w:lang w:val="en-US" w:eastAsia="zh-CN"/>
        </w:rPr>
        <w:t>谈判</w:t>
      </w:r>
      <w:r>
        <w:rPr>
          <w:rFonts w:hint="eastAsia"/>
          <w:color w:val="auto"/>
          <w:highlight w:val="none"/>
        </w:rPr>
        <w:t>文件要求、</w:t>
      </w:r>
      <w:r>
        <w:rPr>
          <w:rFonts w:hint="eastAsia"/>
          <w:color w:val="auto"/>
          <w:highlight w:val="none"/>
          <w:lang w:val="en-US" w:eastAsia="zh-CN"/>
        </w:rPr>
        <w:t>响应</w:t>
      </w:r>
      <w:r>
        <w:rPr>
          <w:rFonts w:hint="eastAsia"/>
          <w:color w:val="auto"/>
          <w:highlight w:val="none"/>
        </w:rPr>
        <w:t>文件响应</w:t>
      </w:r>
      <w:r>
        <w:rPr>
          <w:rFonts w:ascii="Times New Roman" w:hAnsi="Times New Roman" w:cs="Times New Roman"/>
          <w:color w:val="auto"/>
          <w:highlight w:val="none"/>
        </w:rPr>
        <w:t>和承诺相一致。</w:t>
      </w:r>
      <w:r>
        <w:rPr>
          <w:rFonts w:hint="eastAsia" w:ascii="Times New Roman" w:hAnsi="Times New Roman" w:cs="Times New Roman"/>
          <w:color w:val="auto"/>
          <w:highlight w:val="none"/>
        </w:rPr>
        <w:t>合同标的一览表中如有</w:t>
      </w:r>
      <w:r>
        <w:rPr>
          <w:rFonts w:ascii="Times New Roman" w:hAnsi="Times New Roman" w:cs="Times New Roman"/>
          <w:color w:val="auto"/>
          <w:highlight w:val="none"/>
        </w:rPr>
        <w:t>列入</w:t>
      </w:r>
      <w:r>
        <w:rPr>
          <w:rFonts w:hint="eastAsia" w:ascii="Times New Roman" w:hAnsi="Times New Roman" w:cs="Times New Roman"/>
          <w:color w:val="auto"/>
          <w:highlight w:val="none"/>
        </w:rPr>
        <w:t>节能产品或环境标志产品</w:t>
      </w:r>
      <w:r>
        <w:rPr>
          <w:rFonts w:ascii="Times New Roman" w:hAnsi="Times New Roman" w:cs="Times New Roman"/>
          <w:color w:val="auto"/>
          <w:highlight w:val="none"/>
        </w:rPr>
        <w:t>政府采购</w:t>
      </w:r>
      <w:r>
        <w:rPr>
          <w:rFonts w:hint="eastAsia" w:ascii="Times New Roman" w:hAnsi="Times New Roman" w:cs="Times New Roman"/>
          <w:color w:val="auto"/>
          <w:highlight w:val="none"/>
        </w:rPr>
        <w:t>品目</w:t>
      </w:r>
      <w:r>
        <w:rPr>
          <w:rFonts w:ascii="Times New Roman" w:hAnsi="Times New Roman" w:cs="Times New Roman"/>
          <w:color w:val="auto"/>
          <w:highlight w:val="none"/>
        </w:rPr>
        <w:t>清单的产品</w:t>
      </w:r>
      <w:r>
        <w:rPr>
          <w:rFonts w:hint="eastAsia" w:ascii="Times New Roman" w:hAnsi="Times New Roman" w:cs="Times New Roman"/>
          <w:color w:val="auto"/>
          <w:highlight w:val="none"/>
        </w:rPr>
        <w:t>，乙方必须提供在清单中的产品，</w:t>
      </w:r>
      <w:bookmarkStart w:id="94" w:name="_Hlk138843205"/>
      <w:r>
        <w:rPr>
          <w:rFonts w:hint="eastAsia" w:ascii="Times New Roman" w:hAnsi="Times New Roman" w:cs="Times New Roman"/>
          <w:color w:val="auto"/>
          <w:highlight w:val="none"/>
        </w:rPr>
        <w:t>合同标的一览表中如有网络安全专用产品，乙方必须提供在</w:t>
      </w:r>
      <w:r>
        <w:rPr>
          <w:rFonts w:hint="eastAsia"/>
          <w:color w:val="auto"/>
          <w:highlight w:val="none"/>
        </w:rPr>
        <w:t>《网络关键设备和网络安全专用产品安全认证和安全检测结果》中的产品或具有《计算机信息系统安全专用产品销售许可证》的产品。</w:t>
      </w:r>
    </w:p>
    <w:bookmarkEnd w:id="94"/>
    <w:p w14:paraId="2F8DACDC">
      <w:pPr>
        <w:pStyle w:val="26"/>
        <w:spacing w:line="300" w:lineRule="exact"/>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2.乙方所提供的货物必须是全新、未使用的原装产品，且在正常安装、使用和保养条件下，其使用寿命期内各项指标均达到</w:t>
      </w:r>
      <w:r>
        <w:rPr>
          <w:rFonts w:hint="eastAsia" w:ascii="Times New Roman" w:hAnsi="Times New Roman" w:cs="Times New Roman"/>
          <w:color w:val="auto"/>
          <w:highlight w:val="none"/>
        </w:rPr>
        <w:t>招标文件</w:t>
      </w:r>
      <w:r>
        <w:rPr>
          <w:rFonts w:ascii="Times New Roman" w:hAnsi="Times New Roman" w:cs="Times New Roman"/>
          <w:color w:val="auto"/>
          <w:highlight w:val="none"/>
        </w:rPr>
        <w:t>要求。</w:t>
      </w:r>
    </w:p>
    <w:p w14:paraId="71FFB618">
      <w:pPr>
        <w:snapToGrid w:val="0"/>
        <w:spacing w:line="360" w:lineRule="exact"/>
        <w:ind w:firstLine="422" w:firstLineChars="200"/>
        <w:rPr>
          <w:color w:val="auto"/>
          <w:szCs w:val="21"/>
          <w:highlight w:val="none"/>
        </w:rPr>
      </w:pPr>
      <w:r>
        <w:rPr>
          <w:b/>
          <w:color w:val="auto"/>
          <w:szCs w:val="21"/>
          <w:highlight w:val="none"/>
        </w:rPr>
        <w:t>第三条  权利保证</w:t>
      </w:r>
    </w:p>
    <w:p w14:paraId="7B454CCB">
      <w:pPr>
        <w:pStyle w:val="26"/>
        <w:spacing w:line="300" w:lineRule="exact"/>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1.</w:t>
      </w:r>
      <w:r>
        <w:rPr>
          <w:rFonts w:ascii="Times New Roman" w:hAnsi="Times New Roman" w:cs="Times New Roman"/>
          <w:color w:val="auto"/>
          <w:highlight w:val="none"/>
        </w:rPr>
        <w:t>乙方应保证所提供货物在使用时不会侵犯任何第三方的专利权、商标权、工业设计权或其他权利。</w:t>
      </w:r>
    </w:p>
    <w:p w14:paraId="125B6993">
      <w:pPr>
        <w:pStyle w:val="26"/>
        <w:spacing w:line="300" w:lineRule="exact"/>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2.</w:t>
      </w:r>
      <w:r>
        <w:rPr>
          <w:rFonts w:ascii="Times New Roman" w:hAnsi="Times New Roman" w:cs="Times New Roman"/>
          <w:color w:val="auto"/>
          <w:highlight w:val="none"/>
        </w:rPr>
        <w:t>乙方应按</w:t>
      </w:r>
      <w:r>
        <w:rPr>
          <w:rFonts w:hint="eastAsia" w:ascii="Times New Roman" w:hAnsi="Times New Roman" w:cs="Times New Roman"/>
          <w:color w:val="auto"/>
          <w:highlight w:val="none"/>
          <w:lang w:val="en-US" w:eastAsia="zh-CN"/>
        </w:rPr>
        <w:t>谈判</w:t>
      </w:r>
      <w:r>
        <w:rPr>
          <w:rFonts w:ascii="Times New Roman" w:hAnsi="Times New Roman" w:cs="Times New Roman"/>
          <w:color w:val="auto"/>
          <w:highlight w:val="none"/>
        </w:rPr>
        <w:t>文件规定的时间向甲方提供使用货物的有关技术资料。</w:t>
      </w:r>
    </w:p>
    <w:p w14:paraId="56734AF6">
      <w:pPr>
        <w:pStyle w:val="26"/>
        <w:spacing w:line="300" w:lineRule="exact"/>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3.</w:t>
      </w:r>
      <w:r>
        <w:rPr>
          <w:rFonts w:ascii="Times New Roman" w:hAnsi="Times New Roman" w:cs="Times New Roman"/>
          <w:color w:val="auto"/>
          <w:highlight w:val="none"/>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7FCDD041">
      <w:pPr>
        <w:pStyle w:val="26"/>
        <w:spacing w:line="300" w:lineRule="exact"/>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4.</w:t>
      </w:r>
      <w:r>
        <w:rPr>
          <w:rFonts w:ascii="Times New Roman" w:hAnsi="Times New Roman" w:cs="Times New Roman"/>
          <w:color w:val="auto"/>
          <w:highlight w:val="none"/>
        </w:rPr>
        <w:t>乙方保证所交付的货物的所有权完全属于乙方且无任何抵押、质押、查封等产权</w:t>
      </w:r>
      <w:r>
        <w:rPr>
          <w:rFonts w:hint="eastAsia" w:ascii="Times New Roman" w:hAnsi="Times New Roman" w:cs="Times New Roman"/>
          <w:color w:val="auto"/>
          <w:highlight w:val="none"/>
        </w:rPr>
        <w:t>问题</w:t>
      </w:r>
      <w:r>
        <w:rPr>
          <w:rFonts w:ascii="Times New Roman" w:hAnsi="Times New Roman" w:cs="Times New Roman"/>
          <w:color w:val="auto"/>
          <w:highlight w:val="none"/>
        </w:rPr>
        <w:t>。</w:t>
      </w:r>
    </w:p>
    <w:p w14:paraId="798174AC">
      <w:pPr>
        <w:pStyle w:val="26"/>
        <w:spacing w:line="300" w:lineRule="exact"/>
        <w:ind w:firstLine="420" w:firstLineChars="200"/>
        <w:rPr>
          <w:rFonts w:ascii="Times New Roman" w:hAnsi="Times New Roman" w:cs="Times New Roman"/>
          <w:color w:val="auto"/>
          <w:highlight w:val="none"/>
        </w:rPr>
      </w:pPr>
      <w:bookmarkStart w:id="95" w:name="_Hlk77610067"/>
      <w:r>
        <w:rPr>
          <w:rFonts w:hint="eastAsia" w:ascii="Times New Roman" w:hAnsi="Times New Roman" w:cs="Times New Roman"/>
          <w:color w:val="auto"/>
          <w:highlight w:val="none"/>
        </w:rPr>
        <w:t>5.如采购项目涉及采购标的的知识产权归属的，产权归属为：</w:t>
      </w:r>
      <w:r>
        <w:rPr>
          <w:rFonts w:hint="eastAsia"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eastAsia" w:ascii="Times New Roman" w:hAnsi="Times New Roman" w:cs="Times New Roman"/>
          <w:color w:val="auto"/>
          <w:highlight w:val="none"/>
          <w:u w:val="single"/>
        </w:rPr>
        <w:t>甲方</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eastAsia" w:ascii="Times New Roman" w:hAnsi="Times New Roman" w:cs="Times New Roman"/>
          <w:color w:val="auto"/>
          <w:highlight w:val="none"/>
        </w:rPr>
        <w:t xml:space="preserve"> </w:t>
      </w:r>
    </w:p>
    <w:p w14:paraId="418296E1">
      <w:pPr>
        <w:spacing w:line="276" w:lineRule="auto"/>
        <w:ind w:firstLine="420" w:firstLineChars="200"/>
        <w:rPr>
          <w:color w:val="auto"/>
          <w:szCs w:val="21"/>
          <w:highlight w:val="none"/>
          <w:u w:val="single"/>
        </w:rPr>
      </w:pPr>
      <w:r>
        <w:rPr>
          <w:rFonts w:hint="eastAsia"/>
          <w:color w:val="auto"/>
          <w:highlight w:val="none"/>
        </w:rPr>
        <w:t>6.产权纠纷处理方式</w:t>
      </w:r>
      <w:r>
        <w:rPr>
          <w:rFonts w:hint="eastAsia"/>
          <w:color w:val="auto"/>
          <w:highlight w:val="none"/>
          <w:u w:val="single"/>
        </w:rPr>
        <w:t>：</w:t>
      </w:r>
      <w:r>
        <w:rPr>
          <w:rFonts w:hint="eastAsia"/>
          <w:color w:val="auto"/>
          <w:szCs w:val="21"/>
          <w:highlight w:val="none"/>
          <w:u w:val="single"/>
        </w:rPr>
        <w:t>甲方</w:t>
      </w:r>
      <w:r>
        <w:rPr>
          <w:color w:val="auto"/>
          <w:szCs w:val="21"/>
          <w:highlight w:val="none"/>
          <w:u w:val="single"/>
        </w:rPr>
        <w:t>在中华人民共和国境内使用</w:t>
      </w:r>
      <w:r>
        <w:rPr>
          <w:rFonts w:hint="eastAsia"/>
          <w:color w:val="auto"/>
          <w:szCs w:val="21"/>
          <w:highlight w:val="none"/>
          <w:u w:val="single"/>
        </w:rPr>
        <w:t>乙方</w:t>
      </w:r>
      <w:r>
        <w:rPr>
          <w:color w:val="auto"/>
          <w:szCs w:val="21"/>
          <w:highlight w:val="none"/>
          <w:u w:val="single"/>
        </w:rPr>
        <w:t>提供的产品及服务时免受第三方提出的侵犯其专利权或其它知识产权的起诉。如果第三方提出侵权指控，</w:t>
      </w:r>
      <w:r>
        <w:rPr>
          <w:rFonts w:hint="eastAsia"/>
          <w:color w:val="auto"/>
          <w:szCs w:val="21"/>
          <w:highlight w:val="none"/>
          <w:u w:val="single"/>
        </w:rPr>
        <w:t>乙方</w:t>
      </w:r>
      <w:r>
        <w:rPr>
          <w:color w:val="auto"/>
          <w:szCs w:val="21"/>
          <w:highlight w:val="none"/>
          <w:u w:val="single"/>
        </w:rPr>
        <w:t>应</w:t>
      </w:r>
      <w:r>
        <w:rPr>
          <w:rFonts w:hint="eastAsia"/>
          <w:color w:val="auto"/>
          <w:szCs w:val="21"/>
          <w:highlight w:val="none"/>
          <w:u w:val="single"/>
        </w:rPr>
        <w:t>妥善处理纠纷并</w:t>
      </w:r>
      <w:r>
        <w:rPr>
          <w:color w:val="auto"/>
          <w:szCs w:val="21"/>
          <w:highlight w:val="none"/>
          <w:u w:val="single"/>
        </w:rPr>
        <w:t>承担由此而引起的一切法律责任和费用。</w:t>
      </w:r>
    </w:p>
    <w:bookmarkEnd w:id="95"/>
    <w:p w14:paraId="05EF3C6E">
      <w:pPr>
        <w:snapToGrid w:val="0"/>
        <w:spacing w:line="360" w:lineRule="exact"/>
        <w:ind w:firstLine="422" w:firstLineChars="200"/>
        <w:rPr>
          <w:b/>
          <w:color w:val="auto"/>
          <w:szCs w:val="21"/>
          <w:highlight w:val="none"/>
        </w:rPr>
      </w:pPr>
      <w:r>
        <w:rPr>
          <w:b/>
          <w:color w:val="auto"/>
          <w:szCs w:val="21"/>
          <w:highlight w:val="none"/>
        </w:rPr>
        <w:t>第四条  包装和运输</w:t>
      </w:r>
    </w:p>
    <w:p w14:paraId="34D98FA0">
      <w:pPr>
        <w:pStyle w:val="26"/>
        <w:spacing w:line="300" w:lineRule="exact"/>
        <w:ind w:firstLine="420" w:firstLineChars="200"/>
        <w:rPr>
          <w:rFonts w:ascii="Times New Roman" w:hAnsi="Times New Roman" w:cs="Times New Roman"/>
          <w:color w:val="auto"/>
          <w:highlight w:val="none"/>
        </w:rPr>
      </w:pPr>
      <w:bookmarkStart w:id="96" w:name="_Hlk88989517"/>
      <w:r>
        <w:rPr>
          <w:rFonts w:ascii="Times New Roman" w:hAnsi="Times New Roman" w:cs="Times New Roman"/>
          <w:color w:val="auto"/>
          <w:highlight w:val="none"/>
        </w:rPr>
        <w:t>1.乙方提供的货物均应按招标文件要求的包装材料、包装标准、包装方式进行包装，每一包装单元内应附详细的装箱单和质量合格证</w:t>
      </w:r>
      <w:r>
        <w:rPr>
          <w:rFonts w:hint="eastAsia" w:ascii="Times New Roman" w:hAnsi="Times New Roman" w:cs="Times New Roman"/>
          <w:color w:val="auto"/>
          <w:highlight w:val="none"/>
        </w:rPr>
        <w:t xml:space="preserve">。 </w:t>
      </w:r>
    </w:p>
    <w:p w14:paraId="513B39A9">
      <w:pPr>
        <w:pStyle w:val="26"/>
        <w:spacing w:line="300" w:lineRule="exact"/>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2.使用说明书、质量检验证明书、随配附件和工具以及清单一并附于货物内。</w:t>
      </w:r>
    </w:p>
    <w:p w14:paraId="2648F75F">
      <w:pPr>
        <w:pStyle w:val="26"/>
        <w:snapToGrid w:val="0"/>
        <w:spacing w:line="300" w:lineRule="exact"/>
        <w:ind w:firstLine="420" w:firstLineChars="200"/>
        <w:jc w:val="left"/>
        <w:rPr>
          <w:rFonts w:ascii="Times New Roman" w:hAnsi="Times New Roman" w:cs="Times New Roman"/>
          <w:color w:val="auto"/>
          <w:highlight w:val="none"/>
        </w:rPr>
      </w:pPr>
      <w:r>
        <w:rPr>
          <w:rFonts w:hint="eastAsia" w:ascii="Times New Roman" w:hAnsi="Times New Roman" w:cs="Times New Roman"/>
          <w:color w:val="auto"/>
          <w:highlight w:val="none"/>
        </w:rPr>
        <w:t>3</w:t>
      </w:r>
      <w:r>
        <w:rPr>
          <w:rFonts w:ascii="Times New Roman" w:hAnsi="Times New Roman" w:cs="Times New Roman"/>
          <w:color w:val="auto"/>
          <w:highlight w:val="none"/>
        </w:rPr>
        <w:t>. 乙方应</w:t>
      </w:r>
      <w:r>
        <w:rPr>
          <w:rFonts w:hint="eastAsia" w:ascii="Times New Roman" w:hAnsi="Times New Roman" w:cs="Times New Roman"/>
          <w:color w:val="auto"/>
          <w:highlight w:val="none"/>
        </w:rPr>
        <w:t>确保包装要求</w:t>
      </w:r>
      <w:r>
        <w:rPr>
          <w:rFonts w:ascii="Times New Roman" w:hAnsi="Times New Roman" w:cs="Times New Roman"/>
          <w:color w:val="auto"/>
          <w:highlight w:val="none"/>
        </w:rPr>
        <w:t>满足运输距离、防潮、防震、防锈和防破损装卸等要求，以保证货物安全运达甲方指定地点。</w:t>
      </w:r>
    </w:p>
    <w:p w14:paraId="2E73D37A">
      <w:pPr>
        <w:pStyle w:val="26"/>
        <w:spacing w:line="300" w:lineRule="exact"/>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4</w:t>
      </w:r>
      <w:r>
        <w:rPr>
          <w:rFonts w:ascii="Times New Roman" w:hAnsi="Times New Roman" w:cs="Times New Roman"/>
          <w:color w:val="auto"/>
          <w:highlight w:val="none"/>
        </w:rPr>
        <w:t>.</w:t>
      </w:r>
      <w:r>
        <w:rPr>
          <w:rFonts w:hint="eastAsia" w:ascii="Times New Roman" w:hAnsi="Times New Roman" w:cs="Times New Roman"/>
          <w:color w:val="auto"/>
          <w:highlight w:val="none"/>
        </w:rPr>
        <w:t>乙方提供的货物包装及快递包装应满足《财政部等三部门联合印发商品包装和快递包装政府采购需求标准（试行）》财办库【2020】123号文要求。</w:t>
      </w:r>
    </w:p>
    <w:p w14:paraId="78DDF153">
      <w:pPr>
        <w:pStyle w:val="26"/>
        <w:snapToGrid w:val="0"/>
        <w:spacing w:line="300" w:lineRule="exact"/>
        <w:ind w:firstLine="420" w:firstLineChars="200"/>
        <w:jc w:val="left"/>
        <w:rPr>
          <w:rFonts w:ascii="Times New Roman" w:hAnsi="Times New Roman" w:cs="Times New Roman"/>
          <w:color w:val="auto"/>
          <w:highlight w:val="none"/>
        </w:rPr>
      </w:pPr>
      <w:r>
        <w:rPr>
          <w:rFonts w:hint="eastAsia" w:ascii="Times New Roman" w:hAnsi="Times New Roman" w:cs="Times New Roman"/>
          <w:color w:val="auto"/>
          <w:highlight w:val="none"/>
        </w:rPr>
        <w:t>5</w:t>
      </w:r>
      <w:r>
        <w:rPr>
          <w:rFonts w:ascii="Times New Roman" w:hAnsi="Times New Roman" w:cs="Times New Roman"/>
          <w:color w:val="auto"/>
          <w:highlight w:val="none"/>
        </w:rPr>
        <w:t>. 乙方在货物发运手续办理完毕后二十四小时内或货到甲方四十八小时前通知甲方，以准备</w:t>
      </w:r>
      <w:r>
        <w:rPr>
          <w:rFonts w:hint="eastAsia" w:ascii="Times New Roman" w:hAnsi="Times New Roman" w:cs="Times New Roman"/>
          <w:color w:val="auto"/>
          <w:highlight w:val="none"/>
        </w:rPr>
        <w:t>交付</w:t>
      </w:r>
      <w:r>
        <w:rPr>
          <w:rFonts w:ascii="Times New Roman" w:hAnsi="Times New Roman" w:cs="Times New Roman"/>
          <w:color w:val="auto"/>
          <w:highlight w:val="none"/>
        </w:rPr>
        <w:t>。</w:t>
      </w:r>
    </w:p>
    <w:p w14:paraId="5C401928">
      <w:pPr>
        <w:pStyle w:val="26"/>
        <w:spacing w:line="300" w:lineRule="exact"/>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6</w:t>
      </w:r>
      <w:r>
        <w:rPr>
          <w:rFonts w:ascii="Times New Roman" w:hAnsi="Times New Roman" w:cs="Times New Roman"/>
          <w:color w:val="auto"/>
          <w:highlight w:val="none"/>
        </w:rPr>
        <w:t>.货物的运输方式：</w:t>
      </w:r>
      <w:r>
        <w:rPr>
          <w:rFonts w:ascii="Times New Roman" w:hAnsi="Times New Roman" w:cs="Times New Roman"/>
          <w:color w:val="auto"/>
          <w:highlight w:val="none"/>
          <w:u w:val="single"/>
        </w:rPr>
        <w:t>乙方自定</w:t>
      </w:r>
      <w:r>
        <w:rPr>
          <w:rFonts w:ascii="Times New Roman" w:hAnsi="Times New Roman" w:cs="Times New Roman"/>
          <w:color w:val="auto"/>
          <w:highlight w:val="none"/>
        </w:rPr>
        <w:t>。</w:t>
      </w:r>
    </w:p>
    <w:p w14:paraId="37AB60BC">
      <w:pPr>
        <w:pStyle w:val="26"/>
        <w:spacing w:line="300" w:lineRule="exact"/>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7</w:t>
      </w:r>
      <w:r>
        <w:rPr>
          <w:rFonts w:ascii="Times New Roman" w:hAnsi="Times New Roman" w:cs="Times New Roman"/>
          <w:color w:val="auto"/>
          <w:highlight w:val="none"/>
        </w:rPr>
        <w:t>.乙方负责货物运输，货物运输合理损耗及计算方法：</w:t>
      </w:r>
      <w:r>
        <w:rPr>
          <w:rFonts w:ascii="Times New Roman" w:hAnsi="Times New Roman" w:cs="Times New Roman"/>
          <w:color w:val="auto"/>
          <w:highlight w:val="none"/>
          <w:u w:val="single"/>
        </w:rPr>
        <w:t xml:space="preserve">由乙方负责 </w:t>
      </w:r>
      <w:r>
        <w:rPr>
          <w:rFonts w:ascii="Times New Roman" w:hAnsi="Times New Roman" w:cs="Times New Roman"/>
          <w:color w:val="auto"/>
          <w:highlight w:val="none"/>
        </w:rPr>
        <w:t>。</w:t>
      </w:r>
    </w:p>
    <w:p w14:paraId="36C78BC4">
      <w:pPr>
        <w:pStyle w:val="26"/>
        <w:spacing w:line="300" w:lineRule="exact"/>
        <w:ind w:firstLine="420" w:firstLineChars="200"/>
        <w:rPr>
          <w:rFonts w:ascii="Times New Roman" w:hAnsi="Times New Roman" w:cs="Times New Roman"/>
          <w:color w:val="auto"/>
          <w:highlight w:val="none"/>
        </w:rPr>
      </w:pPr>
      <w:bookmarkStart w:id="97" w:name="_Hlk60654270"/>
      <w:r>
        <w:rPr>
          <w:rFonts w:hint="eastAsia" w:ascii="Times New Roman" w:hAnsi="Times New Roman" w:cs="Times New Roman"/>
          <w:color w:val="auto"/>
          <w:highlight w:val="none"/>
        </w:rPr>
        <w:t>8</w:t>
      </w:r>
      <w:r>
        <w:rPr>
          <w:rFonts w:ascii="Times New Roman" w:hAnsi="Times New Roman" w:cs="Times New Roman"/>
          <w:color w:val="auto"/>
          <w:highlight w:val="none"/>
        </w:rPr>
        <w:t xml:space="preserve"> 货物在交付甲方前发生的风险均由乙方负责。</w:t>
      </w:r>
    </w:p>
    <w:p w14:paraId="431F3E35">
      <w:pPr>
        <w:pStyle w:val="26"/>
        <w:snapToGrid w:val="0"/>
        <w:spacing w:line="300" w:lineRule="exact"/>
        <w:ind w:firstLine="420" w:firstLineChars="200"/>
        <w:jc w:val="left"/>
        <w:rPr>
          <w:rFonts w:ascii="Times New Roman" w:hAnsi="Times New Roman" w:cs="Times New Roman"/>
          <w:color w:val="auto"/>
          <w:highlight w:val="none"/>
        </w:rPr>
      </w:pPr>
      <w:r>
        <w:rPr>
          <w:rFonts w:hint="eastAsia" w:ascii="Times New Roman" w:hAnsi="Times New Roman" w:cs="Times New Roman"/>
          <w:color w:val="auto"/>
          <w:highlight w:val="none"/>
        </w:rPr>
        <w:t>9</w:t>
      </w:r>
      <w:r>
        <w:rPr>
          <w:rFonts w:ascii="Times New Roman" w:hAnsi="Times New Roman" w:cs="Times New Roman"/>
          <w:color w:val="auto"/>
          <w:highlight w:val="none"/>
        </w:rPr>
        <w:t>. 货物在规定的交付期限内由乙方送达甲方指定的地点并</w:t>
      </w:r>
      <w:r>
        <w:rPr>
          <w:rFonts w:hint="eastAsia" w:ascii="Times New Roman" w:hAnsi="Times New Roman" w:cs="Times New Roman"/>
          <w:color w:val="auto"/>
          <w:highlight w:val="none"/>
        </w:rPr>
        <w:t>到货</w:t>
      </w:r>
      <w:r>
        <w:rPr>
          <w:rFonts w:ascii="Times New Roman" w:hAnsi="Times New Roman" w:cs="Times New Roman"/>
          <w:color w:val="auto"/>
          <w:highlight w:val="none"/>
        </w:rPr>
        <w:t>验收合格后视为交付，乙方同时需通知甲方货物已送达。</w:t>
      </w:r>
    </w:p>
    <w:bookmarkEnd w:id="96"/>
    <w:bookmarkEnd w:id="97"/>
    <w:p w14:paraId="1C7B0D8E">
      <w:pPr>
        <w:snapToGrid w:val="0"/>
        <w:spacing w:line="360" w:lineRule="exact"/>
        <w:ind w:firstLine="422" w:firstLineChars="200"/>
        <w:rPr>
          <w:color w:val="auto"/>
          <w:szCs w:val="21"/>
          <w:highlight w:val="none"/>
        </w:rPr>
      </w:pPr>
      <w:r>
        <w:rPr>
          <w:b/>
          <w:color w:val="auto"/>
          <w:szCs w:val="21"/>
          <w:highlight w:val="none"/>
        </w:rPr>
        <w:t>第五条  交付和验收</w:t>
      </w:r>
    </w:p>
    <w:p w14:paraId="5E16ED2B">
      <w:pPr>
        <w:snapToGrid w:val="0"/>
        <w:spacing w:line="300" w:lineRule="exact"/>
        <w:ind w:firstLine="420" w:firstLineChars="200"/>
        <w:rPr>
          <w:color w:val="auto"/>
          <w:szCs w:val="21"/>
          <w:highlight w:val="none"/>
        </w:rPr>
      </w:pPr>
      <w:r>
        <w:rPr>
          <w:color w:val="auto"/>
          <w:szCs w:val="21"/>
          <w:highlight w:val="none"/>
        </w:rPr>
        <w:t>1.交付</w:t>
      </w:r>
      <w:r>
        <w:rPr>
          <w:rFonts w:hint="eastAsia"/>
          <w:color w:val="auto"/>
          <w:szCs w:val="21"/>
          <w:highlight w:val="none"/>
        </w:rPr>
        <w:t>及</w:t>
      </w:r>
      <w:r>
        <w:rPr>
          <w:color w:val="auto"/>
          <w:szCs w:val="21"/>
          <w:highlight w:val="none"/>
        </w:rPr>
        <w:t>使用时间：</w:t>
      </w:r>
      <w:r>
        <w:rPr>
          <w:color w:val="auto"/>
          <w:szCs w:val="21"/>
          <w:highlight w:val="none"/>
          <w:u w:val="single"/>
        </w:rPr>
        <w:t>按乙方</w:t>
      </w:r>
      <w:r>
        <w:rPr>
          <w:rFonts w:hint="eastAsia"/>
          <w:color w:val="auto"/>
          <w:szCs w:val="21"/>
          <w:highlight w:val="none"/>
          <w:u w:val="single"/>
          <w:lang w:val="en-US" w:eastAsia="zh-CN"/>
        </w:rPr>
        <w:t>响应</w:t>
      </w:r>
      <w:r>
        <w:rPr>
          <w:color w:val="auto"/>
          <w:szCs w:val="21"/>
          <w:highlight w:val="none"/>
          <w:u w:val="single"/>
        </w:rPr>
        <w:t>文件中所承诺的时间</w:t>
      </w:r>
      <w:r>
        <w:rPr>
          <w:color w:val="auto"/>
          <w:szCs w:val="21"/>
          <w:highlight w:val="none"/>
        </w:rPr>
        <w:t>；地点：</w:t>
      </w:r>
      <w:r>
        <w:rPr>
          <w:color w:val="auto"/>
          <w:szCs w:val="21"/>
          <w:highlight w:val="none"/>
          <w:u w:val="single"/>
        </w:rPr>
        <w:t xml:space="preserve"> 甲方指定地点。</w:t>
      </w:r>
    </w:p>
    <w:p w14:paraId="6F746070">
      <w:pPr>
        <w:snapToGrid w:val="0"/>
        <w:spacing w:line="300" w:lineRule="exact"/>
        <w:ind w:firstLine="420" w:firstLineChars="200"/>
        <w:rPr>
          <w:color w:val="auto"/>
          <w:highlight w:val="none"/>
        </w:rPr>
      </w:pPr>
      <w:bookmarkStart w:id="98" w:name="_Hlk88989539"/>
      <w:r>
        <w:rPr>
          <w:color w:val="auto"/>
          <w:highlight w:val="none"/>
        </w:rPr>
        <w:t>2.</w:t>
      </w:r>
      <w:r>
        <w:rPr>
          <w:rFonts w:hint="eastAsia"/>
          <w:color w:val="auto"/>
          <w:highlight w:val="none"/>
        </w:rPr>
        <w:t>交付标准：</w:t>
      </w:r>
      <w:r>
        <w:rPr>
          <w:color w:val="auto"/>
          <w:highlight w:val="none"/>
        </w:rPr>
        <w:t>乙方交</w:t>
      </w:r>
      <w:r>
        <w:rPr>
          <w:rFonts w:hint="eastAsia"/>
          <w:color w:val="auto"/>
          <w:highlight w:val="none"/>
        </w:rPr>
        <w:t>付</w:t>
      </w:r>
      <w:r>
        <w:rPr>
          <w:color w:val="auto"/>
          <w:highlight w:val="none"/>
        </w:rPr>
        <w:t>前应对</w:t>
      </w:r>
      <w:r>
        <w:rPr>
          <w:rFonts w:hint="eastAsia"/>
          <w:color w:val="auto"/>
          <w:highlight w:val="none"/>
        </w:rPr>
        <w:t>货物</w:t>
      </w:r>
      <w:r>
        <w:rPr>
          <w:color w:val="auto"/>
          <w:highlight w:val="none"/>
        </w:rPr>
        <w:t>作出全面检查</w:t>
      </w:r>
      <w:r>
        <w:rPr>
          <w:rFonts w:hint="eastAsia"/>
          <w:color w:val="auto"/>
          <w:highlight w:val="none"/>
        </w:rPr>
        <w:t>后</w:t>
      </w:r>
      <w:r>
        <w:rPr>
          <w:color w:val="auto"/>
          <w:highlight w:val="none"/>
        </w:rPr>
        <w:t>，</w:t>
      </w:r>
      <w:r>
        <w:rPr>
          <w:color w:val="auto"/>
          <w:szCs w:val="21"/>
          <w:highlight w:val="none"/>
        </w:rPr>
        <w:t>将</w:t>
      </w:r>
      <w:r>
        <w:rPr>
          <w:rFonts w:hint="eastAsia"/>
          <w:color w:val="auto"/>
          <w:szCs w:val="21"/>
          <w:highlight w:val="none"/>
        </w:rPr>
        <w:t>符合合同文件要求的货物与相关</w:t>
      </w:r>
      <w:r>
        <w:rPr>
          <w:color w:val="auto"/>
          <w:szCs w:val="21"/>
          <w:highlight w:val="none"/>
        </w:rPr>
        <w:t>的装箱清单、用户手册、保修卡</w:t>
      </w:r>
      <w:r>
        <w:rPr>
          <w:rFonts w:hint="eastAsia"/>
          <w:color w:val="auto"/>
          <w:szCs w:val="21"/>
          <w:highlight w:val="none"/>
        </w:rPr>
        <w:t>等单证和</w:t>
      </w:r>
      <w:r>
        <w:rPr>
          <w:color w:val="auto"/>
          <w:szCs w:val="21"/>
          <w:highlight w:val="none"/>
        </w:rPr>
        <w:t>资料、工具和备品备件等</w:t>
      </w:r>
      <w:r>
        <w:rPr>
          <w:rFonts w:hint="eastAsia"/>
          <w:color w:val="auto"/>
          <w:szCs w:val="21"/>
          <w:highlight w:val="none"/>
        </w:rPr>
        <w:t>一同</w:t>
      </w:r>
      <w:r>
        <w:rPr>
          <w:color w:val="auto"/>
          <w:szCs w:val="21"/>
          <w:highlight w:val="none"/>
        </w:rPr>
        <w:t>交付给甲方。</w:t>
      </w:r>
    </w:p>
    <w:p w14:paraId="007DEEA3">
      <w:pPr>
        <w:snapToGrid w:val="0"/>
        <w:spacing w:line="300" w:lineRule="exact"/>
        <w:ind w:firstLine="420" w:firstLineChars="200"/>
        <w:rPr>
          <w:color w:val="auto"/>
          <w:highlight w:val="none"/>
        </w:rPr>
      </w:pPr>
      <w:r>
        <w:rPr>
          <w:rFonts w:hint="eastAsia"/>
          <w:color w:val="auto"/>
          <w:highlight w:val="none"/>
        </w:rPr>
        <w:t>3</w:t>
      </w:r>
      <w:r>
        <w:rPr>
          <w:color w:val="auto"/>
          <w:highlight w:val="none"/>
        </w:rPr>
        <w:t>.</w:t>
      </w:r>
      <w:r>
        <w:rPr>
          <w:rFonts w:hint="eastAsia"/>
          <w:color w:val="auto"/>
          <w:highlight w:val="none"/>
        </w:rPr>
        <w:t>验收程序：验收一般分为到货验收、初步验收及最终验收三次单项验收。经甲方同意，单项验收可以部分或全部合并进行。本项目采用的验收方式为：</w:t>
      </w:r>
      <w:r>
        <w:rPr>
          <w:rFonts w:hint="eastAsia"/>
          <w:color w:val="auto"/>
          <w:highlight w:val="none"/>
        </w:rPr>
        <w:sym w:font="Wingdings 2" w:char="F052"/>
      </w:r>
      <w:r>
        <w:rPr>
          <w:rFonts w:hint="eastAsia"/>
          <w:color w:val="auto"/>
          <w:highlight w:val="none"/>
        </w:rPr>
        <w:t xml:space="preserve">到货验收  </w:t>
      </w:r>
      <w:r>
        <w:rPr>
          <w:rFonts w:hint="eastAsia"/>
          <w:color w:val="auto"/>
          <w:highlight w:val="none"/>
        </w:rPr>
        <w:sym w:font="Wingdings 2" w:char="00A3"/>
      </w:r>
      <w:r>
        <w:rPr>
          <w:rFonts w:hint="eastAsia"/>
          <w:color w:val="auto"/>
          <w:highlight w:val="none"/>
        </w:rPr>
        <w:t xml:space="preserve">初步验收  </w:t>
      </w:r>
      <w:r>
        <w:rPr>
          <w:rFonts w:hint="eastAsia"/>
          <w:color w:val="auto"/>
          <w:highlight w:val="none"/>
        </w:rPr>
        <w:sym w:font="Wingdings 2" w:char="00A3"/>
      </w:r>
      <w:r>
        <w:rPr>
          <w:rFonts w:hint="eastAsia"/>
          <w:color w:val="auto"/>
          <w:highlight w:val="none"/>
        </w:rPr>
        <w:t>最终验收  □合并验收</w:t>
      </w:r>
    </w:p>
    <w:p w14:paraId="4633F591">
      <w:pPr>
        <w:snapToGrid w:val="0"/>
        <w:spacing w:line="300" w:lineRule="exact"/>
        <w:ind w:firstLine="420" w:firstLineChars="200"/>
        <w:rPr>
          <w:color w:val="auto"/>
          <w:highlight w:val="none"/>
        </w:rPr>
      </w:pPr>
      <w:r>
        <w:rPr>
          <w:rFonts w:hint="eastAsia"/>
          <w:color w:val="auto"/>
          <w:highlight w:val="none"/>
        </w:rPr>
        <w:t>（1）到货验收：</w:t>
      </w:r>
      <w:r>
        <w:rPr>
          <w:color w:val="auto"/>
          <w:highlight w:val="none"/>
        </w:rPr>
        <w:t>甲方</w:t>
      </w:r>
      <w:r>
        <w:rPr>
          <w:rFonts w:hint="eastAsia"/>
          <w:color w:val="auto"/>
          <w:highlight w:val="none"/>
        </w:rPr>
        <w:t>在接到</w:t>
      </w:r>
      <w:r>
        <w:rPr>
          <w:color w:val="auto"/>
          <w:highlight w:val="none"/>
        </w:rPr>
        <w:t>乙方</w:t>
      </w:r>
      <w:r>
        <w:rPr>
          <w:rFonts w:hint="eastAsia"/>
          <w:color w:val="auto"/>
          <w:highlight w:val="none"/>
        </w:rPr>
        <w:t>通知后对交付</w:t>
      </w:r>
      <w:r>
        <w:rPr>
          <w:color w:val="auto"/>
          <w:highlight w:val="none"/>
        </w:rPr>
        <w:t>的货物依据</w:t>
      </w:r>
      <w:r>
        <w:rPr>
          <w:rFonts w:hint="eastAsia"/>
          <w:color w:val="auto"/>
          <w:highlight w:val="none"/>
        </w:rPr>
        <w:t>验收标准</w:t>
      </w:r>
      <w:r>
        <w:rPr>
          <w:color w:val="auto"/>
          <w:highlight w:val="none"/>
        </w:rPr>
        <w:t>进行</w:t>
      </w:r>
      <w:r>
        <w:rPr>
          <w:rFonts w:hint="eastAsia"/>
          <w:color w:val="auto"/>
          <w:highlight w:val="none"/>
        </w:rPr>
        <w:t>到货验收</w:t>
      </w:r>
      <w:r>
        <w:rPr>
          <w:color w:val="auto"/>
          <w:highlight w:val="none"/>
        </w:rPr>
        <w:t>，</w:t>
      </w:r>
      <w:r>
        <w:rPr>
          <w:rFonts w:hint="eastAsia"/>
          <w:color w:val="auto"/>
          <w:highlight w:val="none"/>
        </w:rPr>
        <w:t>对品牌、规格型号、</w:t>
      </w:r>
      <w:r>
        <w:rPr>
          <w:color w:val="auto"/>
          <w:highlight w:val="none"/>
        </w:rPr>
        <w:t>外观、</w:t>
      </w:r>
      <w:r>
        <w:rPr>
          <w:rFonts w:hint="eastAsia"/>
          <w:color w:val="auto"/>
          <w:highlight w:val="none"/>
        </w:rPr>
        <w:t>有关资料及备品备件、包装要求</w:t>
      </w:r>
      <w:r>
        <w:rPr>
          <w:color w:val="auto"/>
          <w:highlight w:val="none"/>
        </w:rPr>
        <w:t>符合招标文件</w:t>
      </w:r>
      <w:r>
        <w:rPr>
          <w:rFonts w:hint="eastAsia"/>
          <w:color w:val="auto"/>
          <w:highlight w:val="none"/>
        </w:rPr>
        <w:t>及合同</w:t>
      </w:r>
      <w:r>
        <w:rPr>
          <w:color w:val="auto"/>
          <w:highlight w:val="none"/>
        </w:rPr>
        <w:t>要求的，</w:t>
      </w:r>
      <w:r>
        <w:rPr>
          <w:rFonts w:hint="eastAsia"/>
          <w:color w:val="auto"/>
          <w:highlight w:val="none"/>
        </w:rPr>
        <w:t>视为到货验收合格</w:t>
      </w:r>
      <w:r>
        <w:rPr>
          <w:color w:val="auto"/>
          <w:highlight w:val="none"/>
        </w:rPr>
        <w:t>给予签收</w:t>
      </w:r>
      <w:r>
        <w:rPr>
          <w:rFonts w:hint="eastAsia"/>
          <w:color w:val="auto"/>
          <w:highlight w:val="none"/>
        </w:rPr>
        <w:t>。</w:t>
      </w:r>
    </w:p>
    <w:p w14:paraId="79A11C0D">
      <w:pPr>
        <w:pStyle w:val="26"/>
        <w:snapToGrid w:val="0"/>
        <w:spacing w:line="300" w:lineRule="exact"/>
        <w:ind w:firstLine="420" w:firstLineChars="200"/>
        <w:jc w:val="left"/>
        <w:rPr>
          <w:rFonts w:ascii="Times New Roman" w:hAnsi="Times New Roman" w:cs="Times New Roman"/>
          <w:color w:val="auto"/>
          <w:highlight w:val="none"/>
        </w:rPr>
      </w:pPr>
      <w:r>
        <w:rPr>
          <w:rFonts w:hint="eastAsia" w:ascii="Times New Roman" w:hAnsi="Times New Roman" w:cs="Times New Roman"/>
          <w:color w:val="auto"/>
          <w:highlight w:val="none"/>
        </w:rPr>
        <w:t>（2）初步验收：货物需进行安装调试的，应在安装调试后进行初步验收。</w:t>
      </w:r>
      <w:r>
        <w:rPr>
          <w:rFonts w:ascii="Times New Roman" w:hAnsi="Times New Roman" w:cs="Times New Roman"/>
          <w:color w:val="auto"/>
          <w:highlight w:val="none"/>
        </w:rPr>
        <w:t xml:space="preserve"> </w:t>
      </w:r>
      <w:r>
        <w:rPr>
          <w:rFonts w:hint="eastAsia" w:ascii="Times New Roman" w:hAnsi="Times New Roman" w:cs="Times New Roman"/>
          <w:color w:val="auto"/>
          <w:highlight w:val="none"/>
        </w:rPr>
        <w:t>甲方</w:t>
      </w:r>
      <w:r>
        <w:rPr>
          <w:rFonts w:ascii="Times New Roman" w:hAnsi="Times New Roman" w:cs="Times New Roman"/>
          <w:color w:val="auto"/>
          <w:highlight w:val="none"/>
        </w:rPr>
        <w:t>在</w:t>
      </w:r>
      <w:r>
        <w:rPr>
          <w:rFonts w:hint="eastAsia" w:ascii="Times New Roman" w:hAnsi="Times New Roman" w:cs="Times New Roman"/>
          <w:color w:val="auto"/>
          <w:highlight w:val="none"/>
        </w:rPr>
        <w:t>接到</w:t>
      </w:r>
      <w:r>
        <w:rPr>
          <w:rFonts w:ascii="Times New Roman" w:hAnsi="Times New Roman" w:cs="Times New Roman"/>
          <w:color w:val="auto"/>
          <w:highlight w:val="none"/>
        </w:rPr>
        <w:t>乙方通知</w:t>
      </w:r>
      <w:r>
        <w:rPr>
          <w:rFonts w:hint="eastAsia" w:ascii="Times New Roman" w:hAnsi="Times New Roman" w:cs="Times New Roman"/>
          <w:color w:val="auto"/>
          <w:highlight w:val="none"/>
        </w:rPr>
        <w:t>后进行</w:t>
      </w:r>
      <w:r>
        <w:rPr>
          <w:rFonts w:ascii="Times New Roman" w:hAnsi="Times New Roman" w:cs="Times New Roman"/>
          <w:color w:val="auto"/>
          <w:highlight w:val="none"/>
        </w:rPr>
        <w:t>初步验收</w:t>
      </w:r>
      <w:r>
        <w:rPr>
          <w:rFonts w:hint="eastAsia"/>
          <w:color w:val="auto"/>
          <w:highlight w:val="none"/>
        </w:rPr>
        <w:t>。</w:t>
      </w:r>
    </w:p>
    <w:p w14:paraId="57001674">
      <w:pPr>
        <w:snapToGrid w:val="0"/>
        <w:spacing w:line="300" w:lineRule="exact"/>
        <w:ind w:firstLine="420" w:firstLineChars="200"/>
        <w:rPr>
          <w:rStyle w:val="58"/>
          <w:color w:val="auto"/>
          <w:highlight w:val="none"/>
        </w:rPr>
      </w:pPr>
      <w:r>
        <w:rPr>
          <w:rFonts w:hint="eastAsia"/>
          <w:color w:val="auto"/>
          <w:highlight w:val="none"/>
        </w:rPr>
        <w:t>（3）最终验收：货物满足合同交付标准后，依照本合同验收标准进行最终验收。甲方在乙方通知后进行最终验收。</w:t>
      </w:r>
    </w:p>
    <w:p w14:paraId="22AE3E17">
      <w:pPr>
        <w:snapToGrid w:val="0"/>
        <w:spacing w:line="300" w:lineRule="exact"/>
        <w:ind w:firstLine="420" w:firstLineChars="200"/>
        <w:rPr>
          <w:rStyle w:val="58"/>
          <w:color w:val="auto"/>
          <w:highlight w:val="none"/>
        </w:rPr>
      </w:pPr>
      <w:r>
        <w:rPr>
          <w:rStyle w:val="58"/>
          <w:rFonts w:hint="eastAsia"/>
          <w:color w:val="auto"/>
          <w:highlight w:val="none"/>
        </w:rPr>
        <w:t>（4）合并验收：将以上两项或三项单项验收合并进行。</w:t>
      </w:r>
    </w:p>
    <w:p w14:paraId="2F6D818D">
      <w:pPr>
        <w:snapToGrid w:val="0"/>
        <w:spacing w:line="300" w:lineRule="exact"/>
        <w:ind w:firstLine="420" w:firstLineChars="200"/>
        <w:rPr>
          <w:color w:val="auto"/>
          <w:highlight w:val="none"/>
        </w:rPr>
      </w:pPr>
      <w:r>
        <w:rPr>
          <w:rFonts w:hint="eastAsia"/>
          <w:color w:val="auto"/>
          <w:highlight w:val="none"/>
        </w:rPr>
        <w:t>4.样品：如果在投标或响应环节乙方提供样品的，乙方交付的货物应当与封存的样品质量相同或优于样品质量。样品可以在到货验收或初步验收时进行检验，如交付货物与封存的样品质量不同则视为当次验收不合格。</w:t>
      </w:r>
    </w:p>
    <w:p w14:paraId="3923A5DD">
      <w:pPr>
        <w:snapToGrid w:val="0"/>
        <w:spacing w:line="300" w:lineRule="exact"/>
        <w:ind w:firstLine="420" w:firstLineChars="200"/>
        <w:rPr>
          <w:color w:val="auto"/>
          <w:highlight w:val="none"/>
        </w:rPr>
      </w:pPr>
      <w:r>
        <w:rPr>
          <w:rFonts w:hint="eastAsia"/>
          <w:color w:val="auto"/>
          <w:highlight w:val="none"/>
        </w:rPr>
        <w:t>5.</w:t>
      </w:r>
      <w:r>
        <w:rPr>
          <w:color w:val="auto"/>
          <w:highlight w:val="none"/>
        </w:rPr>
        <w:t>验收标准：按国家有关</w:t>
      </w:r>
      <w:r>
        <w:rPr>
          <w:rFonts w:hint="eastAsia"/>
          <w:color w:val="auto"/>
          <w:highlight w:val="none"/>
        </w:rPr>
        <w:t>标准</w:t>
      </w:r>
      <w:r>
        <w:rPr>
          <w:color w:val="auto"/>
          <w:highlight w:val="none"/>
        </w:rPr>
        <w:t>以及甲方招标文件的</w:t>
      </w:r>
      <w:r>
        <w:rPr>
          <w:rFonts w:hint="eastAsia"/>
          <w:color w:val="auto"/>
          <w:highlight w:val="none"/>
        </w:rPr>
        <w:t>采购需求</w:t>
      </w:r>
      <w:r>
        <w:rPr>
          <w:color w:val="auto"/>
          <w:highlight w:val="none"/>
        </w:rPr>
        <w:t>、乙方的投标文件</w:t>
      </w:r>
      <w:r>
        <w:rPr>
          <w:rFonts w:hint="eastAsia"/>
          <w:color w:val="auto"/>
          <w:highlight w:val="none"/>
        </w:rPr>
        <w:t>响应</w:t>
      </w:r>
      <w:r>
        <w:rPr>
          <w:color w:val="auto"/>
          <w:highlight w:val="none"/>
        </w:rPr>
        <w:t>及承诺与本合同约定进行验收；</w:t>
      </w:r>
      <w:r>
        <w:rPr>
          <w:rFonts w:hint="eastAsia"/>
          <w:color w:val="auto"/>
          <w:highlight w:val="none"/>
        </w:rPr>
        <w:t>上述标准如</w:t>
      </w:r>
      <w:r>
        <w:rPr>
          <w:color w:val="auto"/>
          <w:highlight w:val="none"/>
        </w:rPr>
        <w:t>有</w:t>
      </w:r>
      <w:r>
        <w:rPr>
          <w:rFonts w:hint="eastAsia"/>
          <w:color w:val="auto"/>
          <w:highlight w:val="none"/>
        </w:rPr>
        <w:t>不一致事项</w:t>
      </w:r>
      <w:r>
        <w:rPr>
          <w:color w:val="auto"/>
          <w:highlight w:val="none"/>
        </w:rPr>
        <w:t>，</w:t>
      </w:r>
      <w:r>
        <w:rPr>
          <w:rFonts w:hint="eastAsia"/>
          <w:color w:val="auto"/>
          <w:highlight w:val="none"/>
        </w:rPr>
        <w:t>以</w:t>
      </w:r>
      <w:r>
        <w:rPr>
          <w:color w:val="auto"/>
          <w:highlight w:val="none"/>
        </w:rPr>
        <w:t>招标</w:t>
      </w:r>
      <w:r>
        <w:rPr>
          <w:rFonts w:hint="eastAsia"/>
          <w:color w:val="auto"/>
          <w:highlight w:val="none"/>
        </w:rPr>
        <w:t>文件</w:t>
      </w:r>
      <w:r>
        <w:rPr>
          <w:color w:val="auto"/>
          <w:highlight w:val="none"/>
        </w:rPr>
        <w:t>与投标文件中</w:t>
      </w:r>
      <w:r>
        <w:rPr>
          <w:rFonts w:hint="eastAsia"/>
          <w:color w:val="auto"/>
          <w:highlight w:val="none"/>
        </w:rPr>
        <w:t>对应要求或指标中</w:t>
      </w:r>
      <w:r>
        <w:rPr>
          <w:color w:val="auto"/>
          <w:highlight w:val="none"/>
        </w:rPr>
        <w:t>较优</w:t>
      </w:r>
      <w:r>
        <w:rPr>
          <w:rFonts w:hint="eastAsia"/>
          <w:color w:val="auto"/>
          <w:highlight w:val="none"/>
        </w:rPr>
        <w:t>作为验收标准。如果货物中有执行国家强制标准的，则验收标准不得低于国家强制标准。</w:t>
      </w:r>
    </w:p>
    <w:p w14:paraId="1454C56E">
      <w:pPr>
        <w:pStyle w:val="26"/>
        <w:snapToGrid w:val="0"/>
        <w:spacing w:line="300" w:lineRule="exact"/>
        <w:ind w:firstLine="420" w:firstLineChars="200"/>
        <w:jc w:val="left"/>
        <w:rPr>
          <w:color w:val="auto"/>
          <w:highlight w:val="none"/>
        </w:rPr>
      </w:pPr>
      <w:r>
        <w:rPr>
          <w:rFonts w:hint="eastAsia" w:ascii="Times New Roman" w:hAnsi="Times New Roman" w:cs="Times New Roman"/>
          <w:color w:val="auto"/>
          <w:highlight w:val="none"/>
        </w:rPr>
        <w:t>6</w:t>
      </w:r>
      <w:r>
        <w:rPr>
          <w:rFonts w:ascii="Times New Roman" w:hAnsi="Times New Roman" w:cs="Times New Roman"/>
          <w:color w:val="auto"/>
          <w:highlight w:val="none"/>
        </w:rPr>
        <w:t>.</w:t>
      </w:r>
      <w:r>
        <w:rPr>
          <w:rFonts w:hint="eastAsia" w:ascii="Times New Roman" w:hAnsi="Times New Roman" w:cs="Times New Roman"/>
          <w:color w:val="auto"/>
          <w:highlight w:val="none"/>
        </w:rPr>
        <w:t>验收地点及验收期限：到货验收地点为货物交付地点，其他验收地点为货物使用或安装地点；</w:t>
      </w:r>
      <w:r>
        <w:rPr>
          <w:rFonts w:hint="eastAsia"/>
          <w:color w:val="auto"/>
          <w:highlight w:val="none"/>
        </w:rPr>
        <w:t>各单项验收应在甲方收到乙方的书面验收申请后</w:t>
      </w:r>
      <w:r>
        <w:rPr>
          <w:color w:val="auto"/>
          <w:highlight w:val="none"/>
          <w:u w:val="single"/>
        </w:rPr>
        <w:t>5</w:t>
      </w:r>
      <w:r>
        <w:rPr>
          <w:rFonts w:hint="eastAsia"/>
          <w:color w:val="auto"/>
          <w:highlight w:val="none"/>
        </w:rPr>
        <w:t>个工作日内组织。乙方在提出验收申请时，应确保已具备验收条件。</w:t>
      </w:r>
      <w:r>
        <w:rPr>
          <w:color w:val="auto"/>
          <w:highlight w:val="none"/>
        </w:rPr>
        <w:t>甲方</w:t>
      </w:r>
      <w:r>
        <w:rPr>
          <w:rFonts w:hint="eastAsia"/>
          <w:color w:val="auto"/>
          <w:highlight w:val="none"/>
        </w:rPr>
        <w:t>收到乙方书面通知后</w:t>
      </w:r>
      <w:r>
        <w:rPr>
          <w:color w:val="auto"/>
          <w:highlight w:val="none"/>
        </w:rPr>
        <w:t>无故不进行验收工作</w:t>
      </w:r>
      <w:r>
        <w:rPr>
          <w:rFonts w:hint="eastAsia"/>
          <w:color w:val="auto"/>
          <w:highlight w:val="none"/>
        </w:rPr>
        <w:t>的，验收期限结束之日起视为当次单项验收合格。</w:t>
      </w:r>
    </w:p>
    <w:p w14:paraId="3A654D7E">
      <w:pPr>
        <w:pStyle w:val="26"/>
        <w:snapToGrid w:val="0"/>
        <w:spacing w:line="300" w:lineRule="exact"/>
        <w:ind w:firstLine="420" w:firstLineChars="200"/>
        <w:jc w:val="left"/>
        <w:rPr>
          <w:color w:val="auto"/>
          <w:highlight w:val="none"/>
        </w:rPr>
      </w:pPr>
      <w:r>
        <w:rPr>
          <w:rFonts w:hint="eastAsia" w:ascii="Times New Roman" w:hAnsi="Times New Roman" w:cs="Times New Roman"/>
          <w:color w:val="auto"/>
          <w:highlight w:val="none"/>
        </w:rPr>
        <w:t>7.</w:t>
      </w:r>
      <w:r>
        <w:rPr>
          <w:rFonts w:ascii="Times New Roman" w:hAnsi="Times New Roman" w:cs="Times New Roman"/>
          <w:color w:val="auto"/>
          <w:highlight w:val="none"/>
        </w:rPr>
        <w:t>验收</w:t>
      </w:r>
      <w:r>
        <w:rPr>
          <w:rFonts w:hint="eastAsia" w:ascii="Times New Roman" w:hAnsi="Times New Roman" w:cs="Times New Roman"/>
          <w:color w:val="auto"/>
          <w:highlight w:val="none"/>
        </w:rPr>
        <w:t>结果：在任一单项验收环节，甲、乙双方代表均应在场，交付的货物及相关资料、备品备件等符合验收标准的为单项验收合格，不符合验收标准的为单项验收不合格。验收结果由甲方出具</w:t>
      </w:r>
      <w:r>
        <w:rPr>
          <w:color w:val="auto"/>
          <w:highlight w:val="none"/>
        </w:rPr>
        <w:t>验收结果报告</w:t>
      </w:r>
      <w:r>
        <w:rPr>
          <w:rFonts w:hint="eastAsia"/>
          <w:color w:val="auto"/>
          <w:highlight w:val="none"/>
        </w:rPr>
        <w:t>或</w:t>
      </w:r>
      <w:r>
        <w:rPr>
          <w:color w:val="auto"/>
          <w:highlight w:val="none"/>
        </w:rPr>
        <w:t>验收书</w:t>
      </w:r>
      <w:r>
        <w:rPr>
          <w:rFonts w:hint="eastAsia"/>
          <w:color w:val="auto"/>
          <w:highlight w:val="none"/>
        </w:rPr>
        <w:t>，</w:t>
      </w:r>
      <w:r>
        <w:rPr>
          <w:color w:val="auto"/>
          <w:highlight w:val="none"/>
        </w:rPr>
        <w:t>列明各项标准的验收情况</w:t>
      </w:r>
      <w:r>
        <w:rPr>
          <w:rFonts w:hint="eastAsia"/>
          <w:color w:val="auto"/>
          <w:highlight w:val="none"/>
        </w:rPr>
        <w:t>，由甲、乙双方代表共同签字确认并加盖甲方公章</w:t>
      </w:r>
      <w:r>
        <w:rPr>
          <w:color w:val="auto"/>
          <w:highlight w:val="none"/>
        </w:rPr>
        <w:t>，甲乙双方各执一份</w:t>
      </w:r>
      <w:r>
        <w:rPr>
          <w:rFonts w:hint="eastAsia"/>
          <w:color w:val="auto"/>
          <w:highlight w:val="none"/>
        </w:rPr>
        <w:t>。验收结果报告或验收书经双方代表签字后即视为验收结果已通知甲、乙双方。如乙方对验收结果有异议的，应在验收现场以书面的形式出具说明，否则视为认可验收结果。</w:t>
      </w:r>
    </w:p>
    <w:p w14:paraId="30AC46E5">
      <w:pPr>
        <w:pStyle w:val="26"/>
        <w:snapToGrid w:val="0"/>
        <w:spacing w:line="300" w:lineRule="exact"/>
        <w:ind w:firstLine="420" w:firstLineChars="200"/>
        <w:jc w:val="left"/>
        <w:rPr>
          <w:color w:val="auto"/>
          <w:highlight w:val="none"/>
        </w:rPr>
      </w:pPr>
      <w:r>
        <w:rPr>
          <w:rFonts w:hint="eastAsia" w:ascii="Times New Roman" w:hAnsi="Times New Roman" w:cs="Times New Roman"/>
          <w:color w:val="auto"/>
          <w:highlight w:val="none"/>
        </w:rPr>
        <w:t>8.不予签收或单项验收不合格的，</w:t>
      </w:r>
      <w:r>
        <w:rPr>
          <w:rFonts w:hint="eastAsia"/>
          <w:color w:val="auto"/>
          <w:highlight w:val="none"/>
        </w:rPr>
        <w:t>乙方应在不同验收阶段的当次验收后</w:t>
      </w:r>
      <w:r>
        <w:rPr>
          <w:color w:val="auto"/>
          <w:highlight w:val="none"/>
          <w:u w:val="single"/>
        </w:rPr>
        <w:t>5</w:t>
      </w:r>
      <w:r>
        <w:rPr>
          <w:rFonts w:hint="eastAsia"/>
          <w:color w:val="auto"/>
          <w:highlight w:val="none"/>
        </w:rPr>
        <w:t>个工作日内就不符合要求项以补充、更换、修理等甲方认可的方式进行整改并重新验收，未按时进行整改或整改后重新验收仍不合格的</w:t>
      </w:r>
      <w:r>
        <w:rPr>
          <w:color w:val="auto"/>
          <w:highlight w:val="none"/>
        </w:rPr>
        <w:t>视为逾期交货</w:t>
      </w:r>
      <w:r>
        <w:rPr>
          <w:rFonts w:hint="eastAsia"/>
          <w:color w:val="auto"/>
          <w:highlight w:val="none"/>
        </w:rPr>
        <w:t>，逾期交货最长不得超过</w:t>
      </w:r>
      <w:r>
        <w:rPr>
          <w:color w:val="auto"/>
          <w:highlight w:val="none"/>
          <w:u w:val="single"/>
        </w:rPr>
        <w:t>30</w:t>
      </w:r>
      <w:r>
        <w:rPr>
          <w:rFonts w:hint="eastAsia"/>
          <w:color w:val="auto"/>
          <w:highlight w:val="none"/>
        </w:rPr>
        <w:t>日，超过</w:t>
      </w:r>
      <w:r>
        <w:rPr>
          <w:color w:val="auto"/>
          <w:highlight w:val="none"/>
          <w:u w:val="single"/>
        </w:rPr>
        <w:t>30</w:t>
      </w:r>
      <w:r>
        <w:rPr>
          <w:rFonts w:hint="eastAsia"/>
          <w:color w:val="auto"/>
          <w:highlight w:val="none"/>
        </w:rPr>
        <w:t>日则视为最终验收不合格</w:t>
      </w:r>
      <w:r>
        <w:rPr>
          <w:color w:val="auto"/>
          <w:highlight w:val="none"/>
        </w:rPr>
        <w:t>。</w:t>
      </w:r>
      <w:r>
        <w:rPr>
          <w:rFonts w:hint="eastAsia"/>
          <w:color w:val="auto"/>
          <w:highlight w:val="none"/>
        </w:rPr>
        <w:t>逾期交货不影响本条第1款约定的使用时间。</w:t>
      </w:r>
    </w:p>
    <w:p w14:paraId="1C1C81E2">
      <w:pPr>
        <w:snapToGrid w:val="0"/>
        <w:spacing w:line="300" w:lineRule="exact"/>
        <w:ind w:firstLine="420" w:firstLineChars="200"/>
        <w:rPr>
          <w:color w:val="auto"/>
          <w:szCs w:val="21"/>
          <w:highlight w:val="none"/>
        </w:rPr>
      </w:pPr>
      <w:r>
        <w:rPr>
          <w:rFonts w:hint="eastAsia"/>
          <w:color w:val="auto"/>
          <w:highlight w:val="none"/>
        </w:rPr>
        <w:t>9</w:t>
      </w:r>
      <w:r>
        <w:rPr>
          <w:color w:val="auto"/>
          <w:highlight w:val="none"/>
        </w:rPr>
        <w:t>.甲方</w:t>
      </w:r>
      <w:r>
        <w:rPr>
          <w:rFonts w:hint="eastAsia"/>
          <w:color w:val="auto"/>
          <w:highlight w:val="none"/>
        </w:rPr>
        <w:t>有权委托第三方机构组织验收</w:t>
      </w:r>
      <w:r>
        <w:rPr>
          <w:color w:val="auto"/>
          <w:highlight w:val="none"/>
        </w:rPr>
        <w:t>，</w:t>
      </w:r>
      <w:r>
        <w:rPr>
          <w:rFonts w:hint="eastAsia"/>
          <w:color w:val="auto"/>
          <w:highlight w:val="none"/>
        </w:rPr>
        <w:t>验收按上述规定执行，</w:t>
      </w:r>
      <w:r>
        <w:rPr>
          <w:color w:val="auto"/>
          <w:highlight w:val="none"/>
        </w:rPr>
        <w:t>乙方</w:t>
      </w:r>
      <w:r>
        <w:rPr>
          <w:rFonts w:hint="eastAsia"/>
          <w:color w:val="auto"/>
          <w:highlight w:val="none"/>
        </w:rPr>
        <w:t>应予以</w:t>
      </w:r>
      <w:r>
        <w:rPr>
          <w:color w:val="auto"/>
          <w:highlight w:val="none"/>
        </w:rPr>
        <w:t>配合。对</w:t>
      </w:r>
      <w:r>
        <w:rPr>
          <w:rFonts w:hint="eastAsia"/>
          <w:color w:val="auto"/>
          <w:highlight w:val="none"/>
        </w:rPr>
        <w:t>大型或</w:t>
      </w:r>
      <w:r>
        <w:rPr>
          <w:color w:val="auto"/>
          <w:highlight w:val="none"/>
        </w:rPr>
        <w:t>技术复杂的货物，甲方应请国家认</w:t>
      </w:r>
      <w:r>
        <w:rPr>
          <w:rFonts w:hint="eastAsia"/>
          <w:color w:val="auto"/>
          <w:highlight w:val="none"/>
        </w:rPr>
        <w:t>可</w:t>
      </w:r>
      <w:r>
        <w:rPr>
          <w:color w:val="auto"/>
          <w:highlight w:val="none"/>
        </w:rPr>
        <w:t>的专业检测机构参与初步验收及最终验收，并由其出具质量检测报告。</w:t>
      </w:r>
      <w:r>
        <w:rPr>
          <w:rFonts w:hint="eastAsia"/>
          <w:color w:val="auto"/>
          <w:highlight w:val="none"/>
        </w:rPr>
        <w:t>甲方委托第三方机构组织或专业检测机构参与验收的，</w:t>
      </w:r>
      <w:r>
        <w:rPr>
          <w:color w:val="auto"/>
          <w:highlight w:val="none"/>
        </w:rPr>
        <w:t>验收费用由乙方负责。费用标准参照国家或自治区有关规定执行。</w:t>
      </w:r>
    </w:p>
    <w:p w14:paraId="1E1F467C">
      <w:pPr>
        <w:pStyle w:val="26"/>
        <w:snapToGrid w:val="0"/>
        <w:spacing w:line="300" w:lineRule="exact"/>
        <w:ind w:firstLine="420" w:firstLineChars="200"/>
        <w:jc w:val="left"/>
        <w:rPr>
          <w:rFonts w:ascii="Times New Roman" w:hAnsi="Times New Roman" w:cs="Times New Roman"/>
          <w:color w:val="auto"/>
          <w:highlight w:val="none"/>
        </w:rPr>
      </w:pPr>
      <w:r>
        <w:rPr>
          <w:rFonts w:hint="eastAsia" w:ascii="Times New Roman" w:hAnsi="Times New Roman" w:cs="Times New Roman"/>
          <w:color w:val="auto"/>
          <w:highlight w:val="none"/>
        </w:rPr>
        <w:t>10</w:t>
      </w:r>
      <w:r>
        <w:rPr>
          <w:rFonts w:ascii="Times New Roman" w:hAnsi="Times New Roman" w:cs="Times New Roman"/>
          <w:color w:val="auto"/>
          <w:highlight w:val="none"/>
        </w:rPr>
        <w:t>.其他未尽事宜应严格按照《关于印发广西壮族自治区政府采购项目履约验收管理办法的通知》[桂财采〔2015〕22号]以及《财政部关于进一步加强政府采购需求和履约验收管理的指导意见》[财库〔2016〕205号]规定执行。</w:t>
      </w:r>
    </w:p>
    <w:p w14:paraId="35190413">
      <w:pPr>
        <w:snapToGrid w:val="0"/>
        <w:spacing w:line="300" w:lineRule="exact"/>
        <w:ind w:firstLine="420" w:firstLineChars="200"/>
        <w:rPr>
          <w:color w:val="auto"/>
          <w:highlight w:val="none"/>
        </w:rPr>
      </w:pPr>
      <w:r>
        <w:rPr>
          <w:rFonts w:hint="eastAsia"/>
          <w:color w:val="auto"/>
          <w:szCs w:val="21"/>
          <w:highlight w:val="none"/>
        </w:rPr>
        <w:t>11</w:t>
      </w:r>
      <w:r>
        <w:rPr>
          <w:color w:val="auto"/>
          <w:szCs w:val="21"/>
          <w:highlight w:val="none"/>
        </w:rPr>
        <w:t>.甲方委托第三方组织验收</w:t>
      </w:r>
      <w:r>
        <w:rPr>
          <w:rFonts w:hint="eastAsia"/>
          <w:color w:val="auto"/>
          <w:szCs w:val="21"/>
          <w:highlight w:val="none"/>
        </w:rPr>
        <w:t>的</w:t>
      </w:r>
      <w:r>
        <w:rPr>
          <w:color w:val="auto"/>
          <w:szCs w:val="21"/>
          <w:highlight w:val="none"/>
        </w:rPr>
        <w:t>，其验收时间</w:t>
      </w:r>
      <w:r>
        <w:rPr>
          <w:rFonts w:hint="eastAsia"/>
          <w:color w:val="auto"/>
          <w:szCs w:val="21"/>
          <w:highlight w:val="none"/>
        </w:rPr>
        <w:t>、验收程序</w:t>
      </w:r>
      <w:r>
        <w:rPr>
          <w:color w:val="auto"/>
          <w:szCs w:val="21"/>
          <w:highlight w:val="none"/>
        </w:rPr>
        <w:t>以该项目验收方案确定的验收时间</w:t>
      </w:r>
      <w:r>
        <w:rPr>
          <w:rFonts w:hint="eastAsia"/>
          <w:color w:val="auto"/>
          <w:szCs w:val="21"/>
          <w:highlight w:val="none"/>
        </w:rPr>
        <w:t>、验收程序</w:t>
      </w:r>
      <w:r>
        <w:rPr>
          <w:color w:val="auto"/>
          <w:szCs w:val="21"/>
          <w:highlight w:val="none"/>
        </w:rPr>
        <w:t>为准，验收结果以该项目验收报告结论为准。</w:t>
      </w:r>
    </w:p>
    <w:p w14:paraId="35FDB4E1">
      <w:pPr>
        <w:pStyle w:val="26"/>
        <w:snapToGrid w:val="0"/>
        <w:spacing w:line="300" w:lineRule="exact"/>
        <w:ind w:firstLine="420" w:firstLineChars="200"/>
        <w:jc w:val="left"/>
        <w:rPr>
          <w:rFonts w:ascii="Times New Roman" w:hAnsi="Times New Roman" w:cs="Times New Roman"/>
          <w:color w:val="auto"/>
          <w:highlight w:val="none"/>
        </w:rPr>
      </w:pPr>
      <w:r>
        <w:rPr>
          <w:rFonts w:hint="eastAsia" w:ascii="Times New Roman" w:hAnsi="Times New Roman" w:cs="Times New Roman"/>
          <w:color w:val="auto"/>
          <w:highlight w:val="none"/>
        </w:rPr>
        <w:t>12</w:t>
      </w:r>
      <w:r>
        <w:rPr>
          <w:rFonts w:ascii="Times New Roman" w:hAnsi="Times New Roman" w:cs="Times New Roman"/>
          <w:color w:val="auto"/>
          <w:highlight w:val="none"/>
        </w:rPr>
        <w:t>.</w:t>
      </w:r>
      <w:r>
        <w:rPr>
          <w:rFonts w:hint="eastAsia" w:ascii="Times New Roman" w:hAnsi="Times New Roman" w:cs="Times New Roman"/>
          <w:color w:val="auto"/>
          <w:highlight w:val="none"/>
        </w:rPr>
        <w:t>履约验收方案详见附件。</w:t>
      </w:r>
    </w:p>
    <w:bookmarkEnd w:id="98"/>
    <w:p w14:paraId="290E4633">
      <w:pPr>
        <w:snapToGrid w:val="0"/>
        <w:spacing w:line="360" w:lineRule="exact"/>
        <w:ind w:firstLine="422" w:firstLineChars="200"/>
        <w:rPr>
          <w:b/>
          <w:color w:val="auto"/>
          <w:szCs w:val="21"/>
          <w:highlight w:val="none"/>
        </w:rPr>
      </w:pPr>
      <w:r>
        <w:rPr>
          <w:b/>
          <w:color w:val="auto"/>
          <w:szCs w:val="21"/>
          <w:highlight w:val="none"/>
        </w:rPr>
        <w:t>第六条  安装和培训</w:t>
      </w:r>
    </w:p>
    <w:p w14:paraId="4F47CDA5">
      <w:pPr>
        <w:snapToGrid w:val="0"/>
        <w:spacing w:line="300" w:lineRule="exact"/>
        <w:ind w:firstLine="420" w:firstLineChars="200"/>
        <w:rPr>
          <w:color w:val="auto"/>
          <w:szCs w:val="21"/>
          <w:highlight w:val="none"/>
        </w:rPr>
      </w:pPr>
      <w:r>
        <w:rPr>
          <w:color w:val="auto"/>
          <w:szCs w:val="21"/>
          <w:highlight w:val="none"/>
        </w:rPr>
        <w:t>1.甲方应提供必要安装条件（如场地、电源、水源等）。</w:t>
      </w:r>
    </w:p>
    <w:p w14:paraId="366AB3D9">
      <w:pPr>
        <w:snapToGrid w:val="0"/>
        <w:spacing w:line="300" w:lineRule="exact"/>
        <w:ind w:firstLine="420" w:firstLineChars="200"/>
        <w:rPr>
          <w:color w:val="auto"/>
          <w:szCs w:val="21"/>
          <w:highlight w:val="none"/>
          <w:u w:val="single"/>
        </w:rPr>
      </w:pPr>
      <w:r>
        <w:rPr>
          <w:color w:val="auto"/>
          <w:szCs w:val="21"/>
          <w:highlight w:val="none"/>
        </w:rPr>
        <w:t>2.乙方负责甲方有关人员的培训。培训时间、地点：</w:t>
      </w:r>
      <w:r>
        <w:rPr>
          <w:color w:val="auto"/>
          <w:szCs w:val="21"/>
          <w:highlight w:val="none"/>
          <w:u w:val="single"/>
        </w:rPr>
        <w:t xml:space="preserve"> 由甲方决定。</w:t>
      </w:r>
    </w:p>
    <w:p w14:paraId="55E3D0F3">
      <w:pPr>
        <w:snapToGrid w:val="0"/>
        <w:spacing w:line="360" w:lineRule="exact"/>
        <w:ind w:firstLine="422" w:firstLineChars="200"/>
        <w:rPr>
          <w:b/>
          <w:color w:val="auto"/>
          <w:szCs w:val="21"/>
          <w:highlight w:val="none"/>
        </w:rPr>
      </w:pPr>
      <w:r>
        <w:rPr>
          <w:b/>
          <w:color w:val="auto"/>
          <w:szCs w:val="21"/>
          <w:highlight w:val="none"/>
        </w:rPr>
        <w:t>第七条  售后服务、质保期</w:t>
      </w:r>
    </w:p>
    <w:p w14:paraId="3B1E0525">
      <w:pPr>
        <w:snapToGrid w:val="0"/>
        <w:spacing w:line="300" w:lineRule="exact"/>
        <w:ind w:firstLine="420" w:firstLineChars="200"/>
        <w:rPr>
          <w:color w:val="auto"/>
          <w:szCs w:val="21"/>
          <w:highlight w:val="none"/>
        </w:rPr>
      </w:pPr>
      <w:r>
        <w:rPr>
          <w:color w:val="auto"/>
          <w:szCs w:val="21"/>
          <w:highlight w:val="none"/>
        </w:rPr>
        <w:t>1.乙方应按照国家有关法律法规和“三包”规定以及</w:t>
      </w:r>
      <w:r>
        <w:rPr>
          <w:rFonts w:hint="eastAsia"/>
          <w:color w:val="auto"/>
          <w:szCs w:val="21"/>
          <w:highlight w:val="none"/>
          <w:lang w:val="en-US" w:eastAsia="zh-CN"/>
        </w:rPr>
        <w:t>谈判</w:t>
      </w:r>
      <w:r>
        <w:rPr>
          <w:rFonts w:hint="eastAsia"/>
          <w:color w:val="auto"/>
          <w:szCs w:val="21"/>
          <w:highlight w:val="none"/>
        </w:rPr>
        <w:t>文件、</w:t>
      </w:r>
      <w:r>
        <w:rPr>
          <w:rFonts w:hint="eastAsia"/>
          <w:color w:val="auto"/>
          <w:szCs w:val="21"/>
          <w:highlight w:val="none"/>
          <w:lang w:val="en-US" w:eastAsia="zh-CN"/>
        </w:rPr>
        <w:t>响应</w:t>
      </w:r>
      <w:r>
        <w:rPr>
          <w:rFonts w:hint="eastAsia"/>
          <w:color w:val="auto"/>
          <w:szCs w:val="21"/>
          <w:highlight w:val="none"/>
        </w:rPr>
        <w:t>文件</w:t>
      </w:r>
      <w:r>
        <w:rPr>
          <w:color w:val="auto"/>
          <w:szCs w:val="21"/>
          <w:highlight w:val="none"/>
        </w:rPr>
        <w:t>和本合同附件，为甲方提供售后服务。</w:t>
      </w:r>
    </w:p>
    <w:p w14:paraId="7B802A41">
      <w:pPr>
        <w:snapToGrid w:val="0"/>
        <w:spacing w:line="300" w:lineRule="exact"/>
        <w:ind w:firstLine="420" w:firstLineChars="200"/>
        <w:rPr>
          <w:color w:val="auto"/>
          <w:szCs w:val="21"/>
          <w:highlight w:val="none"/>
          <w:u w:val="single"/>
        </w:rPr>
      </w:pPr>
      <w:r>
        <w:rPr>
          <w:color w:val="auto"/>
          <w:szCs w:val="21"/>
          <w:highlight w:val="none"/>
        </w:rPr>
        <w:t>2.货物质保期：</w:t>
      </w:r>
      <w:r>
        <w:rPr>
          <w:color w:val="auto"/>
          <w:szCs w:val="21"/>
          <w:highlight w:val="none"/>
          <w:u w:val="single"/>
        </w:rPr>
        <w:t>按乙方承诺，但是不得低于国家相关标准</w:t>
      </w:r>
      <w:r>
        <w:rPr>
          <w:color w:val="auto"/>
          <w:szCs w:val="21"/>
          <w:highlight w:val="none"/>
        </w:rPr>
        <w:t>。</w:t>
      </w:r>
    </w:p>
    <w:p w14:paraId="351937CB">
      <w:pPr>
        <w:snapToGrid w:val="0"/>
        <w:spacing w:line="300" w:lineRule="exact"/>
        <w:ind w:firstLine="420" w:firstLineChars="200"/>
        <w:rPr>
          <w:color w:val="auto"/>
          <w:szCs w:val="21"/>
          <w:highlight w:val="none"/>
        </w:rPr>
      </w:pPr>
      <w:bookmarkStart w:id="99" w:name="_Hlk88989563"/>
      <w:r>
        <w:rPr>
          <w:rFonts w:hint="eastAsia"/>
          <w:color w:val="auto"/>
          <w:szCs w:val="21"/>
          <w:highlight w:val="none"/>
        </w:rPr>
        <w:t>3</w:t>
      </w:r>
      <w:r>
        <w:rPr>
          <w:color w:val="auto"/>
          <w:szCs w:val="21"/>
          <w:highlight w:val="none"/>
        </w:rPr>
        <w:t>. 乙方提供货物的质量保证期按交货验收合格之日起计（期限见《采购需求》中的要求）。在保证期内因货物本身的质量问题发生故障，乙方应负责免费修理和更换零部件。对达不到技术要求者，根据实际情况，经双方协商，可按以下办法处理：</w:t>
      </w:r>
    </w:p>
    <w:p w14:paraId="53E0D729">
      <w:pPr>
        <w:snapToGrid w:val="0"/>
        <w:spacing w:line="300" w:lineRule="exact"/>
        <w:ind w:firstLine="420" w:firstLineChars="200"/>
        <w:rPr>
          <w:color w:val="auto"/>
          <w:szCs w:val="21"/>
          <w:highlight w:val="none"/>
        </w:rPr>
      </w:pPr>
      <w:r>
        <w:rPr>
          <w:color w:val="auto"/>
          <w:szCs w:val="21"/>
          <w:highlight w:val="none"/>
        </w:rPr>
        <w:t>（1）更换：由乙方承担所发生的全部费用。</w:t>
      </w:r>
    </w:p>
    <w:p w14:paraId="51B64C84">
      <w:pPr>
        <w:snapToGrid w:val="0"/>
        <w:spacing w:line="300" w:lineRule="exact"/>
        <w:ind w:firstLine="420" w:firstLineChars="200"/>
        <w:rPr>
          <w:color w:val="auto"/>
          <w:szCs w:val="21"/>
          <w:highlight w:val="none"/>
        </w:rPr>
      </w:pPr>
      <w:r>
        <w:rPr>
          <w:color w:val="auto"/>
          <w:szCs w:val="21"/>
          <w:highlight w:val="none"/>
        </w:rPr>
        <w:t>（</w:t>
      </w:r>
      <w:r>
        <w:rPr>
          <w:rFonts w:hint="eastAsia"/>
          <w:color w:val="auto"/>
          <w:szCs w:val="21"/>
          <w:highlight w:val="none"/>
        </w:rPr>
        <w:t>2</w:t>
      </w:r>
      <w:r>
        <w:rPr>
          <w:color w:val="auto"/>
          <w:szCs w:val="21"/>
          <w:highlight w:val="none"/>
        </w:rPr>
        <w:t>）退货处理：乙方应退还甲方支付的合同款，同时应承担该货物的直接费用（运输、保险、检验、货款利息及银行手续费等）。</w:t>
      </w:r>
    </w:p>
    <w:p w14:paraId="27E7E638">
      <w:pPr>
        <w:pStyle w:val="26"/>
        <w:snapToGrid w:val="0"/>
        <w:spacing w:line="300" w:lineRule="exact"/>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4</w:t>
      </w:r>
      <w:r>
        <w:rPr>
          <w:rFonts w:ascii="Times New Roman" w:hAnsi="Times New Roman" w:cs="Times New Roman"/>
          <w:color w:val="auto"/>
          <w:highlight w:val="none"/>
        </w:rPr>
        <w:t>.如在使用过程中发生质量问题，乙方在接到甲方通知后在</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小时内到达甲方现场。</w:t>
      </w:r>
    </w:p>
    <w:p w14:paraId="4346A141">
      <w:pPr>
        <w:pStyle w:val="26"/>
        <w:snapToGrid w:val="0"/>
        <w:spacing w:line="300" w:lineRule="exact"/>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5</w:t>
      </w:r>
      <w:r>
        <w:rPr>
          <w:rFonts w:ascii="Times New Roman" w:hAnsi="Times New Roman" w:cs="Times New Roman"/>
          <w:color w:val="auto"/>
          <w:highlight w:val="none"/>
        </w:rPr>
        <w:t>.在质保期内，乙方应对货物出现的质量及安全问题负责处理解决并承担一切费用。</w:t>
      </w:r>
    </w:p>
    <w:p w14:paraId="03E0213E">
      <w:pPr>
        <w:pStyle w:val="26"/>
        <w:snapToGrid w:val="0"/>
        <w:spacing w:line="300" w:lineRule="exact"/>
        <w:ind w:firstLine="420" w:firstLineChars="200"/>
        <w:rPr>
          <w:color w:val="auto"/>
          <w:highlight w:val="none"/>
        </w:rPr>
      </w:pPr>
      <w:r>
        <w:rPr>
          <w:rFonts w:hint="eastAsia" w:ascii="Times New Roman" w:hAnsi="Times New Roman" w:cs="Times New Roman"/>
          <w:color w:val="auto"/>
          <w:highlight w:val="none"/>
        </w:rPr>
        <w:t>6</w:t>
      </w:r>
      <w:r>
        <w:rPr>
          <w:rFonts w:ascii="Times New Roman" w:hAnsi="Times New Roman" w:cs="Times New Roman"/>
          <w:color w:val="auto"/>
          <w:highlight w:val="none"/>
        </w:rPr>
        <w:t>.上述的货物因人为因素出现的故障不在免费保修范围内。超过质保期的机器设备，终生维修，维修时只收部件成本费。</w:t>
      </w:r>
    </w:p>
    <w:p w14:paraId="5F125884">
      <w:pPr>
        <w:snapToGrid w:val="0"/>
        <w:spacing w:line="300" w:lineRule="exact"/>
        <w:ind w:firstLine="420" w:firstLineChars="200"/>
        <w:rPr>
          <w:color w:val="auto"/>
          <w:szCs w:val="21"/>
          <w:highlight w:val="none"/>
          <w:u w:val="single"/>
        </w:rPr>
      </w:pPr>
      <w:r>
        <w:rPr>
          <w:rFonts w:hint="eastAsia"/>
          <w:color w:val="auto"/>
          <w:szCs w:val="21"/>
          <w:highlight w:val="none"/>
        </w:rPr>
        <w:t>7</w:t>
      </w:r>
      <w:r>
        <w:rPr>
          <w:color w:val="auto"/>
          <w:szCs w:val="21"/>
          <w:highlight w:val="none"/>
        </w:rPr>
        <w:t>.乙方提供的服务承诺和售后服务及质保期责任等其它具体约定事项。</w:t>
      </w:r>
    </w:p>
    <w:bookmarkEnd w:id="99"/>
    <w:p w14:paraId="322BE11E">
      <w:pPr>
        <w:snapToGrid w:val="0"/>
        <w:spacing w:line="360" w:lineRule="exact"/>
        <w:ind w:firstLine="422" w:firstLineChars="200"/>
        <w:rPr>
          <w:color w:val="auto"/>
          <w:szCs w:val="21"/>
          <w:highlight w:val="none"/>
        </w:rPr>
      </w:pPr>
      <w:r>
        <w:rPr>
          <w:b/>
          <w:color w:val="auto"/>
          <w:szCs w:val="21"/>
          <w:highlight w:val="none"/>
        </w:rPr>
        <w:t>第八条</w:t>
      </w:r>
      <w:r>
        <w:rPr>
          <w:rFonts w:hint="eastAsia"/>
          <w:b/>
          <w:color w:val="auto"/>
          <w:szCs w:val="21"/>
          <w:highlight w:val="none"/>
        </w:rPr>
        <w:t xml:space="preserve"> </w:t>
      </w:r>
      <w:r>
        <w:rPr>
          <w:b/>
          <w:color w:val="auto"/>
          <w:szCs w:val="21"/>
          <w:highlight w:val="none"/>
        </w:rPr>
        <w:t>付款方式</w:t>
      </w:r>
    </w:p>
    <w:p w14:paraId="1C02D790">
      <w:pPr>
        <w:snapToGrid w:val="0"/>
        <w:spacing w:line="300" w:lineRule="exact"/>
        <w:ind w:firstLine="420" w:firstLineChars="200"/>
        <w:rPr>
          <w:rFonts w:hint="eastAsia" w:eastAsia="宋体"/>
          <w:color w:val="auto"/>
          <w:szCs w:val="21"/>
          <w:highlight w:val="none"/>
          <w:lang w:eastAsia="zh-CN"/>
        </w:rPr>
      </w:pPr>
      <w:r>
        <w:rPr>
          <w:rFonts w:hint="eastAsia" w:ascii="宋体" w:hAnsi="宋体" w:cs="宋体"/>
          <w:color w:val="auto"/>
          <w:szCs w:val="21"/>
          <w:highlight w:val="none"/>
          <w:lang w:val="en-US" w:eastAsia="zh-CN"/>
        </w:rPr>
        <w:t xml:space="preserve"> 资金来源为财政资金，支付方式为财政国库集中支付，财政部门支付账款期间不计入合同支付期限；本项目无预付款，乙方交货完成经甲方验收合格后，甲方收到有效且足额的发票后10个工作日内支付合同货款。</w:t>
      </w:r>
    </w:p>
    <w:p w14:paraId="3E6D7D45">
      <w:pPr>
        <w:snapToGrid w:val="0"/>
        <w:spacing w:line="360" w:lineRule="exact"/>
        <w:ind w:firstLine="422" w:firstLineChars="200"/>
        <w:rPr>
          <w:b/>
          <w:color w:val="auto"/>
          <w:szCs w:val="21"/>
          <w:highlight w:val="none"/>
        </w:rPr>
      </w:pPr>
      <w:r>
        <w:rPr>
          <w:b/>
          <w:color w:val="auto"/>
          <w:szCs w:val="21"/>
          <w:highlight w:val="none"/>
        </w:rPr>
        <w:t xml:space="preserve">第九条 </w:t>
      </w:r>
      <w:bookmarkStart w:id="100" w:name="_Hlk48144402"/>
      <w:r>
        <w:rPr>
          <w:b/>
          <w:color w:val="auto"/>
          <w:szCs w:val="21"/>
          <w:highlight w:val="none"/>
        </w:rPr>
        <w:t>履约保证金</w:t>
      </w:r>
      <w:bookmarkStart w:id="101" w:name="_Hlk47715711"/>
      <w:r>
        <w:rPr>
          <w:b/>
          <w:color w:val="auto"/>
          <w:szCs w:val="21"/>
          <w:highlight w:val="none"/>
        </w:rPr>
        <w:t xml:space="preserve"> </w:t>
      </w:r>
      <w:bookmarkEnd w:id="101"/>
      <w:r>
        <w:rPr>
          <w:b/>
          <w:color w:val="auto"/>
          <w:szCs w:val="21"/>
          <w:highlight w:val="none"/>
        </w:rPr>
        <w:t xml:space="preserve">  </w:t>
      </w:r>
    </w:p>
    <w:bookmarkEnd w:id="100"/>
    <w:p w14:paraId="71F61F28">
      <w:pPr>
        <w:snapToGrid w:val="0"/>
        <w:spacing w:line="300" w:lineRule="exact"/>
        <w:ind w:firstLine="420" w:firstLineChars="200"/>
        <w:rPr>
          <w:color w:val="auto"/>
          <w:szCs w:val="21"/>
          <w:highlight w:val="none"/>
        </w:rPr>
      </w:pPr>
      <w:r>
        <w:rPr>
          <w:rFonts w:hint="eastAsia"/>
          <w:color w:val="auto"/>
          <w:szCs w:val="21"/>
          <w:highlight w:val="none"/>
        </w:rPr>
        <w:t>无</w:t>
      </w:r>
    </w:p>
    <w:p w14:paraId="03C8958C">
      <w:pPr>
        <w:snapToGrid w:val="0"/>
        <w:spacing w:line="360" w:lineRule="exact"/>
        <w:ind w:firstLine="422" w:firstLineChars="200"/>
        <w:rPr>
          <w:b/>
          <w:color w:val="auto"/>
          <w:szCs w:val="21"/>
          <w:highlight w:val="none"/>
        </w:rPr>
      </w:pPr>
      <w:r>
        <w:rPr>
          <w:b/>
          <w:color w:val="auto"/>
          <w:szCs w:val="21"/>
          <w:highlight w:val="none"/>
        </w:rPr>
        <w:t>第十条 税费</w:t>
      </w:r>
    </w:p>
    <w:p w14:paraId="6496E57A">
      <w:pPr>
        <w:snapToGrid w:val="0"/>
        <w:spacing w:line="300" w:lineRule="exact"/>
        <w:ind w:firstLine="420" w:firstLineChars="200"/>
        <w:rPr>
          <w:color w:val="auto"/>
          <w:szCs w:val="21"/>
          <w:highlight w:val="none"/>
        </w:rPr>
      </w:pPr>
      <w:r>
        <w:rPr>
          <w:color w:val="auto"/>
          <w:szCs w:val="21"/>
          <w:highlight w:val="none"/>
        </w:rPr>
        <w:t>本合同执行中相关的一切税费均由乙方</w:t>
      </w:r>
      <w:r>
        <w:rPr>
          <w:rFonts w:hint="eastAsia"/>
          <w:color w:val="auto"/>
          <w:szCs w:val="21"/>
          <w:highlight w:val="none"/>
        </w:rPr>
        <w:t>承</w:t>
      </w:r>
      <w:r>
        <w:rPr>
          <w:color w:val="auto"/>
          <w:szCs w:val="21"/>
          <w:highlight w:val="none"/>
        </w:rPr>
        <w:t>担。</w:t>
      </w:r>
    </w:p>
    <w:p w14:paraId="6FA1F952">
      <w:pPr>
        <w:snapToGrid w:val="0"/>
        <w:spacing w:line="360" w:lineRule="exact"/>
        <w:ind w:firstLine="422" w:firstLineChars="200"/>
        <w:rPr>
          <w:b/>
          <w:color w:val="auto"/>
          <w:szCs w:val="21"/>
          <w:highlight w:val="none"/>
        </w:rPr>
      </w:pPr>
      <w:r>
        <w:rPr>
          <w:b/>
          <w:color w:val="auto"/>
          <w:szCs w:val="21"/>
          <w:highlight w:val="none"/>
        </w:rPr>
        <w:t>第十</w:t>
      </w:r>
      <w:r>
        <w:rPr>
          <w:rFonts w:hint="eastAsia"/>
          <w:b/>
          <w:color w:val="auto"/>
          <w:szCs w:val="21"/>
          <w:highlight w:val="none"/>
        </w:rPr>
        <w:t>一</w:t>
      </w:r>
      <w:r>
        <w:rPr>
          <w:b/>
          <w:color w:val="auto"/>
          <w:szCs w:val="21"/>
          <w:highlight w:val="none"/>
        </w:rPr>
        <w:t>条　违约责任</w:t>
      </w:r>
    </w:p>
    <w:p w14:paraId="3633DB4F">
      <w:pPr>
        <w:snapToGrid w:val="0"/>
        <w:spacing w:line="300" w:lineRule="exact"/>
        <w:ind w:firstLine="420" w:firstLineChars="200"/>
        <w:rPr>
          <w:color w:val="auto"/>
          <w:szCs w:val="21"/>
          <w:highlight w:val="none"/>
        </w:rPr>
      </w:pPr>
      <w:r>
        <w:rPr>
          <w:rFonts w:hint="eastAsia"/>
          <w:color w:val="auto"/>
          <w:szCs w:val="21"/>
          <w:highlight w:val="none"/>
        </w:rPr>
        <w:t>1</w:t>
      </w:r>
      <w:r>
        <w:rPr>
          <w:color w:val="auto"/>
          <w:szCs w:val="21"/>
          <w:highlight w:val="none"/>
        </w:rPr>
        <w:t>.最终验收不合格的，甲方</w:t>
      </w:r>
      <w:r>
        <w:rPr>
          <w:rFonts w:hint="eastAsia"/>
          <w:color w:val="auto"/>
          <w:szCs w:val="21"/>
          <w:highlight w:val="none"/>
        </w:rPr>
        <w:t>有权</w:t>
      </w:r>
      <w:r>
        <w:rPr>
          <w:color w:val="auto"/>
          <w:szCs w:val="21"/>
          <w:highlight w:val="none"/>
        </w:rPr>
        <w:t>解除合同，由此产生的费用由乙方承担</w:t>
      </w:r>
      <w:r>
        <w:rPr>
          <w:rFonts w:hint="eastAsia"/>
          <w:color w:val="auto"/>
          <w:szCs w:val="21"/>
          <w:highlight w:val="none"/>
        </w:rPr>
        <w:t>，给甲方造成其他损失的，乙方应进行赔偿，并承担甲方追究的其他违约责任。</w:t>
      </w:r>
    </w:p>
    <w:p w14:paraId="5E823B5D">
      <w:pPr>
        <w:snapToGrid w:val="0"/>
        <w:spacing w:line="300" w:lineRule="exact"/>
        <w:ind w:firstLine="420" w:firstLineChars="200"/>
        <w:rPr>
          <w:color w:val="auto"/>
          <w:szCs w:val="21"/>
          <w:highlight w:val="none"/>
        </w:rPr>
      </w:pPr>
      <w:r>
        <w:rPr>
          <w:rFonts w:hint="eastAsia"/>
          <w:color w:val="auto"/>
          <w:szCs w:val="21"/>
          <w:highlight w:val="none"/>
        </w:rPr>
        <w:t>2</w:t>
      </w:r>
      <w:r>
        <w:rPr>
          <w:color w:val="auto"/>
          <w:szCs w:val="21"/>
          <w:highlight w:val="none"/>
        </w:rPr>
        <w:t>.乙方逾期交货的，</w:t>
      </w:r>
      <w:r>
        <w:rPr>
          <w:rFonts w:hint="eastAsia"/>
          <w:color w:val="auto"/>
          <w:szCs w:val="21"/>
          <w:highlight w:val="none"/>
        </w:rPr>
        <w:t>应</w:t>
      </w:r>
      <w:r>
        <w:rPr>
          <w:color w:val="auto"/>
          <w:szCs w:val="21"/>
          <w:highlight w:val="none"/>
        </w:rPr>
        <w:t>向</w:t>
      </w:r>
      <w:r>
        <w:rPr>
          <w:rFonts w:hint="eastAsia"/>
          <w:color w:val="auto"/>
          <w:szCs w:val="21"/>
          <w:highlight w:val="none"/>
        </w:rPr>
        <w:t>甲</w:t>
      </w:r>
      <w:r>
        <w:rPr>
          <w:color w:val="auto"/>
          <w:szCs w:val="21"/>
          <w:highlight w:val="none"/>
        </w:rPr>
        <w:t>方</w:t>
      </w:r>
      <w:r>
        <w:rPr>
          <w:rFonts w:hint="eastAsia"/>
          <w:color w:val="auto"/>
          <w:szCs w:val="21"/>
          <w:highlight w:val="none"/>
        </w:rPr>
        <w:t>支付</w:t>
      </w:r>
      <w:r>
        <w:rPr>
          <w:color w:val="auto"/>
          <w:szCs w:val="21"/>
          <w:highlight w:val="none"/>
        </w:rPr>
        <w:t>违约</w:t>
      </w:r>
      <w:r>
        <w:rPr>
          <w:rFonts w:hint="eastAsia"/>
          <w:color w:val="auto"/>
          <w:szCs w:val="21"/>
          <w:highlight w:val="none"/>
        </w:rPr>
        <w:t>金，标准为合同总价</w:t>
      </w:r>
      <w:r>
        <w:rPr>
          <w:color w:val="auto"/>
          <w:szCs w:val="21"/>
          <w:highlight w:val="none"/>
          <w:u w:val="single"/>
        </w:rPr>
        <w:t>3‰</w:t>
      </w:r>
      <w:r>
        <w:rPr>
          <w:color w:val="auto"/>
          <w:szCs w:val="21"/>
          <w:highlight w:val="none"/>
        </w:rPr>
        <w:t>/</w:t>
      </w:r>
      <w:r>
        <w:rPr>
          <w:rFonts w:hint="eastAsia"/>
          <w:color w:val="auto"/>
          <w:szCs w:val="21"/>
          <w:highlight w:val="none"/>
        </w:rPr>
        <w:t>日</w:t>
      </w:r>
      <w:r>
        <w:rPr>
          <w:color w:val="auto"/>
          <w:szCs w:val="21"/>
          <w:highlight w:val="none"/>
        </w:rPr>
        <w:t>，但违约金累计不得超过违约货款额</w:t>
      </w:r>
      <w:r>
        <w:rPr>
          <w:color w:val="auto"/>
          <w:szCs w:val="21"/>
          <w:highlight w:val="none"/>
          <w:u w:val="single"/>
        </w:rPr>
        <w:t>5%，</w:t>
      </w:r>
      <w:r>
        <w:rPr>
          <w:color w:val="auto"/>
          <w:szCs w:val="21"/>
          <w:highlight w:val="none"/>
        </w:rPr>
        <w:t>甲方延期付货款的，</w:t>
      </w:r>
      <w:r>
        <w:rPr>
          <w:rFonts w:hint="eastAsia"/>
          <w:color w:val="auto"/>
          <w:szCs w:val="21"/>
          <w:highlight w:val="none"/>
        </w:rPr>
        <w:t>应</w:t>
      </w:r>
      <w:r>
        <w:rPr>
          <w:color w:val="auto"/>
          <w:szCs w:val="21"/>
          <w:highlight w:val="none"/>
        </w:rPr>
        <w:t>向乙方</w:t>
      </w:r>
      <w:r>
        <w:rPr>
          <w:rFonts w:hint="eastAsia"/>
          <w:color w:val="auto"/>
          <w:szCs w:val="21"/>
          <w:highlight w:val="none"/>
        </w:rPr>
        <w:t>支</w:t>
      </w:r>
      <w:r>
        <w:rPr>
          <w:color w:val="auto"/>
          <w:szCs w:val="21"/>
          <w:highlight w:val="none"/>
        </w:rPr>
        <w:t>付延期滞纳金</w:t>
      </w:r>
      <w:r>
        <w:rPr>
          <w:rFonts w:hint="eastAsia"/>
          <w:color w:val="auto"/>
          <w:szCs w:val="21"/>
          <w:highlight w:val="none"/>
        </w:rPr>
        <w:t>，标准为合同总价</w:t>
      </w:r>
      <w:r>
        <w:rPr>
          <w:color w:val="auto"/>
          <w:szCs w:val="21"/>
          <w:highlight w:val="none"/>
        </w:rPr>
        <w:t>额</w:t>
      </w:r>
      <w:r>
        <w:rPr>
          <w:color w:val="auto"/>
          <w:szCs w:val="21"/>
          <w:highlight w:val="none"/>
          <w:u w:val="single"/>
        </w:rPr>
        <w:t>3‰/</w:t>
      </w:r>
      <w:r>
        <w:rPr>
          <w:rFonts w:hint="eastAsia"/>
          <w:color w:val="auto"/>
          <w:szCs w:val="21"/>
          <w:highlight w:val="none"/>
          <w:u w:val="single"/>
        </w:rPr>
        <w:t>日</w:t>
      </w:r>
      <w:r>
        <w:rPr>
          <w:color w:val="auto"/>
          <w:szCs w:val="21"/>
          <w:highlight w:val="none"/>
        </w:rPr>
        <w:t>，但滞纳金累计不得超过延期货款额</w:t>
      </w:r>
      <w:r>
        <w:rPr>
          <w:color w:val="auto"/>
          <w:szCs w:val="21"/>
          <w:highlight w:val="none"/>
          <w:u w:val="single"/>
        </w:rPr>
        <w:t>5%</w:t>
      </w:r>
      <w:r>
        <w:rPr>
          <w:color w:val="auto"/>
          <w:szCs w:val="21"/>
          <w:highlight w:val="none"/>
        </w:rPr>
        <w:t>。</w:t>
      </w:r>
    </w:p>
    <w:p w14:paraId="5912C8C5">
      <w:pPr>
        <w:snapToGrid w:val="0"/>
        <w:spacing w:line="300" w:lineRule="exact"/>
        <w:ind w:firstLine="420" w:firstLineChars="200"/>
        <w:rPr>
          <w:rFonts w:hint="eastAsia"/>
          <w:color w:val="auto"/>
          <w:szCs w:val="21"/>
          <w:highlight w:val="none"/>
        </w:rPr>
      </w:pPr>
      <w:r>
        <w:rPr>
          <w:rFonts w:hint="eastAsia"/>
          <w:color w:val="auto"/>
          <w:szCs w:val="21"/>
          <w:highlight w:val="none"/>
        </w:rPr>
        <w:t>3</w:t>
      </w:r>
      <w:r>
        <w:rPr>
          <w:color w:val="auto"/>
          <w:szCs w:val="21"/>
          <w:highlight w:val="none"/>
        </w:rPr>
        <w:t>.乙方提供的货物在质量保证期内，因设计、工艺或材料的缺陷和其它质量原因造成的问题，由乙方负责</w:t>
      </w:r>
      <w:r>
        <w:rPr>
          <w:rFonts w:hint="eastAsia"/>
          <w:color w:val="auto"/>
          <w:szCs w:val="21"/>
          <w:highlight w:val="none"/>
        </w:rPr>
        <w:t>。</w:t>
      </w:r>
    </w:p>
    <w:p w14:paraId="3A96FFC7">
      <w:pPr>
        <w:snapToGrid w:val="0"/>
        <w:spacing w:line="300" w:lineRule="exact"/>
        <w:ind w:firstLine="420" w:firstLineChars="200"/>
        <w:rPr>
          <w:color w:val="auto"/>
          <w:szCs w:val="21"/>
          <w:highlight w:val="none"/>
        </w:rPr>
      </w:pPr>
      <w:r>
        <w:rPr>
          <w:rFonts w:hint="eastAsia"/>
          <w:color w:val="auto"/>
          <w:szCs w:val="21"/>
          <w:highlight w:val="none"/>
        </w:rPr>
        <w:t>4</w:t>
      </w:r>
      <w:r>
        <w:rPr>
          <w:color w:val="auto"/>
          <w:szCs w:val="21"/>
          <w:highlight w:val="none"/>
        </w:rPr>
        <w:t>.乙方提供的货物如侵犯了第三方合法权益而引发的任何纠纷或诉讼，均由乙方负责交涉并承担全部责任。</w:t>
      </w:r>
    </w:p>
    <w:p w14:paraId="7BA5D088">
      <w:pPr>
        <w:snapToGrid w:val="0"/>
        <w:spacing w:line="300" w:lineRule="exact"/>
        <w:ind w:firstLine="420" w:firstLineChars="200"/>
        <w:rPr>
          <w:rFonts w:hint="eastAsia"/>
          <w:color w:val="auto"/>
          <w:szCs w:val="21"/>
          <w:highlight w:val="none"/>
        </w:rPr>
      </w:pPr>
      <w:r>
        <w:rPr>
          <w:rFonts w:hint="eastAsia"/>
          <w:color w:val="auto"/>
          <w:szCs w:val="21"/>
          <w:highlight w:val="none"/>
        </w:rPr>
        <w:t>5</w:t>
      </w:r>
      <w:r>
        <w:rPr>
          <w:color w:val="auto"/>
          <w:szCs w:val="21"/>
          <w:highlight w:val="none"/>
        </w:rPr>
        <w:t>.</w:t>
      </w:r>
      <w:r>
        <w:rPr>
          <w:rFonts w:hint="eastAsia"/>
          <w:color w:val="auto"/>
          <w:szCs w:val="21"/>
          <w:highlight w:val="none"/>
        </w:rPr>
        <w:t>因甲方原因导致变更、中止或者终止政府采购合同的，应当依照合同约定对乙方受到的损失予以赔偿或者补偿。</w:t>
      </w:r>
    </w:p>
    <w:p w14:paraId="4F6A5447">
      <w:pPr>
        <w:pStyle w:val="26"/>
        <w:snapToGrid w:val="0"/>
        <w:spacing w:before="120" w:after="120" w:line="360" w:lineRule="exact"/>
        <w:ind w:firstLine="413" w:firstLineChars="196"/>
        <w:rPr>
          <w:rFonts w:ascii="Times New Roman" w:hAnsi="Times New Roman" w:cs="Times New Roman"/>
          <w:b/>
          <w:color w:val="auto"/>
          <w:highlight w:val="none"/>
        </w:rPr>
      </w:pPr>
      <w:r>
        <w:rPr>
          <w:rFonts w:ascii="Times New Roman" w:hAnsi="Times New Roman" w:cs="Times New Roman"/>
          <w:b/>
          <w:color w:val="auto"/>
          <w:highlight w:val="none"/>
        </w:rPr>
        <w:t>第十</w:t>
      </w:r>
      <w:r>
        <w:rPr>
          <w:rFonts w:hint="eastAsia" w:ascii="Times New Roman" w:hAnsi="Times New Roman" w:cs="Times New Roman"/>
          <w:b/>
          <w:color w:val="auto"/>
          <w:highlight w:val="none"/>
        </w:rPr>
        <w:t>二</w:t>
      </w:r>
      <w:r>
        <w:rPr>
          <w:rFonts w:ascii="Times New Roman" w:hAnsi="Times New Roman" w:cs="Times New Roman"/>
          <w:b/>
          <w:color w:val="auto"/>
          <w:highlight w:val="none"/>
        </w:rPr>
        <w:t>条 不可抗力事件处理</w:t>
      </w:r>
    </w:p>
    <w:p w14:paraId="39B68415">
      <w:pPr>
        <w:snapToGrid w:val="0"/>
        <w:spacing w:line="300" w:lineRule="exact"/>
        <w:ind w:firstLine="420" w:firstLineChars="200"/>
        <w:rPr>
          <w:color w:val="auto"/>
          <w:szCs w:val="21"/>
          <w:highlight w:val="none"/>
        </w:rPr>
      </w:pPr>
      <w:r>
        <w:rPr>
          <w:color w:val="auto"/>
          <w:szCs w:val="21"/>
          <w:highlight w:val="none"/>
        </w:rPr>
        <w:t>1. 在合同有效期内，任何一方因不可抗力事件导致不能履行合同，则合同履行期可延长，其延长期与不可抗力影响期相同。</w:t>
      </w:r>
    </w:p>
    <w:p w14:paraId="0CA19163">
      <w:pPr>
        <w:snapToGrid w:val="0"/>
        <w:spacing w:line="300" w:lineRule="exact"/>
        <w:ind w:firstLine="420" w:firstLineChars="200"/>
        <w:rPr>
          <w:color w:val="auto"/>
          <w:szCs w:val="21"/>
          <w:highlight w:val="none"/>
        </w:rPr>
      </w:pPr>
      <w:r>
        <w:rPr>
          <w:color w:val="auto"/>
          <w:szCs w:val="21"/>
          <w:highlight w:val="none"/>
        </w:rPr>
        <w:t>2. 不可抗力事件发生后，应立即通知对方，并寄送有关权威机构出具的证明。</w:t>
      </w:r>
    </w:p>
    <w:p w14:paraId="258CE37A">
      <w:pPr>
        <w:snapToGrid w:val="0"/>
        <w:spacing w:line="300" w:lineRule="exact"/>
        <w:ind w:firstLine="420" w:firstLineChars="200"/>
        <w:rPr>
          <w:color w:val="auto"/>
          <w:szCs w:val="21"/>
          <w:highlight w:val="none"/>
        </w:rPr>
      </w:pPr>
      <w:r>
        <w:rPr>
          <w:color w:val="auto"/>
          <w:szCs w:val="21"/>
          <w:highlight w:val="none"/>
        </w:rPr>
        <w:t>3. 不可抗力事件延续一百二十天以上，双方应通过友好协商，确定是否继续履行合同。</w:t>
      </w:r>
    </w:p>
    <w:p w14:paraId="6F53406D">
      <w:pPr>
        <w:snapToGrid w:val="0"/>
        <w:spacing w:line="360" w:lineRule="exact"/>
        <w:ind w:firstLine="422" w:firstLineChars="200"/>
        <w:rPr>
          <w:color w:val="auto"/>
          <w:szCs w:val="21"/>
          <w:highlight w:val="none"/>
        </w:rPr>
      </w:pPr>
      <w:r>
        <w:rPr>
          <w:b/>
          <w:color w:val="auto"/>
          <w:szCs w:val="21"/>
          <w:highlight w:val="none"/>
        </w:rPr>
        <w:t>第十</w:t>
      </w:r>
      <w:r>
        <w:rPr>
          <w:rFonts w:hint="eastAsia"/>
          <w:b/>
          <w:color w:val="auto"/>
          <w:szCs w:val="21"/>
          <w:highlight w:val="none"/>
        </w:rPr>
        <w:t>三</w:t>
      </w:r>
      <w:r>
        <w:rPr>
          <w:b/>
          <w:color w:val="auto"/>
          <w:szCs w:val="21"/>
          <w:highlight w:val="none"/>
        </w:rPr>
        <w:t>条  合同争议解决</w:t>
      </w:r>
    </w:p>
    <w:p w14:paraId="74DB0A8B">
      <w:pPr>
        <w:snapToGrid w:val="0"/>
        <w:spacing w:line="300" w:lineRule="exact"/>
        <w:ind w:firstLine="420" w:firstLineChars="200"/>
        <w:rPr>
          <w:color w:val="auto"/>
          <w:szCs w:val="21"/>
          <w:highlight w:val="none"/>
        </w:rPr>
      </w:pPr>
      <w:r>
        <w:rPr>
          <w:color w:val="auto"/>
          <w:szCs w:val="21"/>
          <w:highlight w:val="none"/>
        </w:rPr>
        <w:t>1</w:t>
      </w:r>
      <w:r>
        <w:rPr>
          <w:rFonts w:hint="eastAsia"/>
          <w:color w:val="auto"/>
          <w:szCs w:val="21"/>
          <w:highlight w:val="none"/>
        </w:rPr>
        <w:t>.</w:t>
      </w:r>
      <w:r>
        <w:rPr>
          <w:color w:val="auto"/>
          <w:szCs w:val="21"/>
          <w:highlight w:val="none"/>
        </w:rPr>
        <w:t xml:space="preserve"> 因货物质量问题</w:t>
      </w:r>
      <w:r>
        <w:rPr>
          <w:rFonts w:hint="eastAsia"/>
          <w:color w:val="auto"/>
          <w:szCs w:val="21"/>
          <w:highlight w:val="none"/>
        </w:rPr>
        <w:t>或验收结果</w:t>
      </w:r>
      <w:r>
        <w:rPr>
          <w:color w:val="auto"/>
          <w:szCs w:val="21"/>
          <w:highlight w:val="none"/>
        </w:rPr>
        <w:t>发生争议的，应邀请国家认</w:t>
      </w:r>
      <w:r>
        <w:rPr>
          <w:rFonts w:hint="eastAsia"/>
          <w:color w:val="auto"/>
          <w:szCs w:val="21"/>
          <w:highlight w:val="none"/>
        </w:rPr>
        <w:t>定</w:t>
      </w:r>
      <w:r>
        <w:rPr>
          <w:color w:val="auto"/>
          <w:szCs w:val="21"/>
          <w:highlight w:val="none"/>
        </w:rPr>
        <w:t>的质量检测机构按照国家标准对货物质量进行验收。货物符合</w:t>
      </w:r>
      <w:r>
        <w:rPr>
          <w:rFonts w:hint="eastAsia"/>
          <w:color w:val="auto"/>
          <w:szCs w:val="21"/>
          <w:highlight w:val="none"/>
        </w:rPr>
        <w:t>验收</w:t>
      </w:r>
      <w:r>
        <w:rPr>
          <w:color w:val="auto"/>
          <w:szCs w:val="21"/>
          <w:highlight w:val="none"/>
        </w:rPr>
        <w:t>标准的，鉴定费由甲方承担；货物不符合</w:t>
      </w:r>
      <w:r>
        <w:rPr>
          <w:rFonts w:hint="eastAsia"/>
          <w:color w:val="auto"/>
          <w:szCs w:val="21"/>
          <w:highlight w:val="none"/>
        </w:rPr>
        <w:t>验收</w:t>
      </w:r>
      <w:r>
        <w:rPr>
          <w:color w:val="auto"/>
          <w:szCs w:val="21"/>
          <w:highlight w:val="none"/>
        </w:rPr>
        <w:t>标准的，鉴定费由乙方承担。</w:t>
      </w:r>
    </w:p>
    <w:p w14:paraId="609B2407">
      <w:pPr>
        <w:snapToGrid w:val="0"/>
        <w:spacing w:line="300" w:lineRule="exact"/>
        <w:ind w:firstLine="420" w:firstLineChars="200"/>
        <w:rPr>
          <w:color w:val="auto"/>
          <w:szCs w:val="21"/>
          <w:highlight w:val="none"/>
        </w:rPr>
      </w:pPr>
      <w:r>
        <w:rPr>
          <w:color w:val="auto"/>
          <w:szCs w:val="21"/>
          <w:highlight w:val="none"/>
        </w:rPr>
        <w:t xml:space="preserve">2 </w:t>
      </w:r>
      <w:r>
        <w:rPr>
          <w:rFonts w:hint="eastAsia"/>
          <w:color w:val="auto"/>
          <w:szCs w:val="21"/>
          <w:highlight w:val="none"/>
        </w:rPr>
        <w:t>.</w:t>
      </w:r>
      <w:r>
        <w:rPr>
          <w:color w:val="auto"/>
          <w:szCs w:val="21"/>
          <w:highlight w:val="none"/>
        </w:rPr>
        <w:t>因履行本合同引起的或与本合同有关的争议，甲乙双方应首先通过友好协商解决</w:t>
      </w:r>
      <w:r>
        <w:rPr>
          <w:rFonts w:hint="eastAsia"/>
          <w:color w:val="auto"/>
          <w:szCs w:val="21"/>
          <w:highlight w:val="none"/>
        </w:rPr>
        <w:t>，若协商不能解决，起诉方向法院提起仲裁，因仲裁发生的一切费用(包括法院费用、律师费用、执行费用及其它有关费用)由败诉方承担。本合同的仲裁管辖地为乙方所在地。</w:t>
      </w:r>
    </w:p>
    <w:p w14:paraId="37E0633D">
      <w:pPr>
        <w:snapToGrid w:val="0"/>
        <w:spacing w:line="300" w:lineRule="exact"/>
        <w:ind w:firstLine="420" w:firstLineChars="200"/>
        <w:rPr>
          <w:color w:val="auto"/>
          <w:szCs w:val="21"/>
          <w:highlight w:val="none"/>
        </w:rPr>
      </w:pPr>
      <w:r>
        <w:rPr>
          <w:color w:val="auto"/>
          <w:szCs w:val="21"/>
          <w:highlight w:val="none"/>
        </w:rPr>
        <w:t xml:space="preserve">3 </w:t>
      </w:r>
      <w:r>
        <w:rPr>
          <w:rFonts w:hint="eastAsia"/>
          <w:color w:val="auto"/>
          <w:szCs w:val="21"/>
          <w:highlight w:val="none"/>
        </w:rPr>
        <w:t>.仲裁</w:t>
      </w:r>
      <w:r>
        <w:rPr>
          <w:color w:val="auto"/>
          <w:szCs w:val="21"/>
          <w:highlight w:val="none"/>
        </w:rPr>
        <w:t>期间，本合同继续履行。</w:t>
      </w:r>
    </w:p>
    <w:p w14:paraId="4D72ACE6">
      <w:pPr>
        <w:pStyle w:val="26"/>
        <w:snapToGrid w:val="0"/>
        <w:spacing w:before="120" w:after="120" w:line="360" w:lineRule="exact"/>
        <w:ind w:firstLine="422" w:firstLineChars="200"/>
        <w:rPr>
          <w:rFonts w:ascii="Times New Roman" w:hAnsi="Times New Roman" w:cs="Times New Roman"/>
          <w:b/>
          <w:color w:val="auto"/>
          <w:highlight w:val="none"/>
        </w:rPr>
      </w:pPr>
      <w:r>
        <w:rPr>
          <w:rFonts w:ascii="Times New Roman" w:hAnsi="Times New Roman" w:cs="Times New Roman"/>
          <w:b/>
          <w:color w:val="auto"/>
          <w:highlight w:val="none"/>
        </w:rPr>
        <w:t>第十</w:t>
      </w:r>
      <w:r>
        <w:rPr>
          <w:rFonts w:hint="eastAsia" w:ascii="Times New Roman" w:hAnsi="Times New Roman" w:cs="Times New Roman"/>
          <w:b/>
          <w:color w:val="auto"/>
          <w:highlight w:val="none"/>
        </w:rPr>
        <w:t>四</w:t>
      </w:r>
      <w:r>
        <w:rPr>
          <w:rFonts w:ascii="Times New Roman" w:hAnsi="Times New Roman" w:cs="Times New Roman"/>
          <w:b/>
          <w:color w:val="auto"/>
          <w:highlight w:val="none"/>
        </w:rPr>
        <w:t>条 合同生效及其它</w:t>
      </w:r>
    </w:p>
    <w:p w14:paraId="561CAE23">
      <w:pPr>
        <w:snapToGrid w:val="0"/>
        <w:spacing w:line="300" w:lineRule="exact"/>
        <w:ind w:firstLine="420" w:firstLineChars="200"/>
        <w:rPr>
          <w:color w:val="auto"/>
          <w:szCs w:val="21"/>
          <w:highlight w:val="none"/>
        </w:rPr>
      </w:pPr>
      <w:r>
        <w:rPr>
          <w:color w:val="auto"/>
          <w:szCs w:val="21"/>
          <w:highlight w:val="none"/>
        </w:rPr>
        <w:t>1</w:t>
      </w:r>
      <w:r>
        <w:rPr>
          <w:rFonts w:hint="eastAsia"/>
          <w:color w:val="auto"/>
          <w:szCs w:val="21"/>
          <w:highlight w:val="none"/>
        </w:rPr>
        <w:t>.</w:t>
      </w:r>
      <w:r>
        <w:rPr>
          <w:color w:val="auto"/>
          <w:szCs w:val="21"/>
          <w:highlight w:val="none"/>
        </w:rPr>
        <w:t>本合同履行期限为：</w:t>
      </w:r>
      <w:r>
        <w:rPr>
          <w:color w:val="auto"/>
          <w:szCs w:val="21"/>
          <w:highlight w:val="none"/>
          <w:u w:val="single"/>
        </w:rPr>
        <w:t xml:space="preserve"> </w:t>
      </w:r>
      <w:r>
        <w:rPr>
          <w:rFonts w:hint="eastAsia"/>
          <w:color w:val="auto"/>
          <w:szCs w:val="21"/>
          <w:highlight w:val="none"/>
          <w:u w:val="single"/>
        </w:rPr>
        <w:t>本项目结束止</w:t>
      </w:r>
      <w:r>
        <w:rPr>
          <w:color w:val="auto"/>
          <w:szCs w:val="21"/>
          <w:highlight w:val="none"/>
          <w:u w:val="single"/>
        </w:rPr>
        <w:t xml:space="preserve">  </w:t>
      </w:r>
      <w:r>
        <w:rPr>
          <w:color w:val="auto"/>
          <w:szCs w:val="21"/>
          <w:highlight w:val="none"/>
        </w:rPr>
        <w:t>；合同履行地点为：</w:t>
      </w:r>
      <w:r>
        <w:rPr>
          <w:color w:val="auto"/>
          <w:szCs w:val="21"/>
          <w:highlight w:val="none"/>
          <w:u w:val="single"/>
        </w:rPr>
        <w:t xml:space="preserve"> </w:t>
      </w:r>
      <w:r>
        <w:rPr>
          <w:rFonts w:hint="eastAsia"/>
          <w:color w:val="auto"/>
          <w:szCs w:val="21"/>
          <w:highlight w:val="none"/>
          <w:u w:val="single"/>
        </w:rPr>
        <w:t>采购人指定的地点</w:t>
      </w:r>
      <w:r>
        <w:rPr>
          <w:color w:val="auto"/>
          <w:szCs w:val="21"/>
          <w:highlight w:val="none"/>
          <w:u w:val="single"/>
        </w:rPr>
        <w:t xml:space="preserve">  </w:t>
      </w:r>
      <w:r>
        <w:rPr>
          <w:color w:val="auto"/>
          <w:szCs w:val="21"/>
          <w:highlight w:val="none"/>
        </w:rPr>
        <w:t>；合同履行的方式：</w:t>
      </w:r>
      <w:r>
        <w:rPr>
          <w:color w:val="auto"/>
          <w:szCs w:val="21"/>
          <w:highlight w:val="none"/>
          <w:u w:val="single"/>
        </w:rPr>
        <w:t xml:space="preserve"> 按照本合同约定  </w:t>
      </w:r>
      <w:r>
        <w:rPr>
          <w:color w:val="auto"/>
          <w:szCs w:val="21"/>
          <w:highlight w:val="none"/>
        </w:rPr>
        <w:t>。</w:t>
      </w:r>
    </w:p>
    <w:p w14:paraId="007558D4">
      <w:pPr>
        <w:snapToGrid w:val="0"/>
        <w:spacing w:line="300" w:lineRule="exact"/>
        <w:ind w:firstLine="420" w:firstLineChars="200"/>
        <w:rPr>
          <w:color w:val="auto"/>
          <w:szCs w:val="21"/>
          <w:highlight w:val="none"/>
        </w:rPr>
      </w:pPr>
      <w:r>
        <w:rPr>
          <w:color w:val="auto"/>
          <w:szCs w:val="21"/>
          <w:highlight w:val="none"/>
        </w:rPr>
        <w:t>2</w:t>
      </w:r>
      <w:r>
        <w:rPr>
          <w:rFonts w:hint="eastAsia"/>
          <w:color w:val="auto"/>
          <w:szCs w:val="21"/>
          <w:highlight w:val="none"/>
        </w:rPr>
        <w:t>.</w:t>
      </w:r>
      <w:r>
        <w:rPr>
          <w:color w:val="auto"/>
          <w:szCs w:val="21"/>
          <w:highlight w:val="none"/>
        </w:rPr>
        <w:t>合同经双方法定代表人或授权代表签字并加盖单位公章后生效。</w:t>
      </w:r>
    </w:p>
    <w:p w14:paraId="246DC711">
      <w:pPr>
        <w:snapToGrid w:val="0"/>
        <w:spacing w:line="300" w:lineRule="exact"/>
        <w:ind w:firstLine="420" w:firstLineChars="200"/>
        <w:rPr>
          <w:color w:val="auto"/>
          <w:szCs w:val="21"/>
          <w:highlight w:val="none"/>
        </w:rPr>
      </w:pPr>
      <w:r>
        <w:rPr>
          <w:color w:val="auto"/>
          <w:szCs w:val="21"/>
          <w:highlight w:val="none"/>
        </w:rPr>
        <w:t>3</w:t>
      </w:r>
      <w:r>
        <w:rPr>
          <w:rFonts w:hint="eastAsia"/>
          <w:color w:val="auto"/>
          <w:szCs w:val="21"/>
          <w:highlight w:val="none"/>
        </w:rPr>
        <w:t>.</w:t>
      </w:r>
      <w:r>
        <w:rPr>
          <w:color w:val="auto"/>
          <w:szCs w:val="21"/>
          <w:highlight w:val="none"/>
        </w:rPr>
        <w:t>合同执行中涉及采购资金和采购内容修改或补充的，须</w:t>
      </w:r>
      <w:r>
        <w:rPr>
          <w:rFonts w:hint="eastAsia"/>
          <w:color w:val="auto"/>
          <w:szCs w:val="21"/>
          <w:highlight w:val="none"/>
        </w:rPr>
        <w:t>报</w:t>
      </w:r>
      <w:r>
        <w:rPr>
          <w:color w:val="auto"/>
          <w:szCs w:val="21"/>
          <w:highlight w:val="none"/>
        </w:rPr>
        <w:t>财政部门</w:t>
      </w:r>
      <w:r>
        <w:rPr>
          <w:rFonts w:hint="eastAsia"/>
          <w:color w:val="auto"/>
          <w:szCs w:val="21"/>
          <w:highlight w:val="none"/>
        </w:rPr>
        <w:t>备案</w:t>
      </w:r>
      <w:r>
        <w:rPr>
          <w:color w:val="auto"/>
          <w:szCs w:val="21"/>
          <w:highlight w:val="none"/>
        </w:rPr>
        <w:t>，</w:t>
      </w:r>
      <w:r>
        <w:rPr>
          <w:rFonts w:hint="eastAsia"/>
          <w:color w:val="auto"/>
          <w:szCs w:val="21"/>
          <w:highlight w:val="none"/>
        </w:rPr>
        <w:t>经</w:t>
      </w:r>
      <w:r>
        <w:rPr>
          <w:color w:val="auto"/>
          <w:szCs w:val="21"/>
          <w:highlight w:val="none"/>
        </w:rPr>
        <w:t>财政部门</w:t>
      </w:r>
      <w:r>
        <w:rPr>
          <w:rFonts w:hint="eastAsia"/>
          <w:color w:val="auto"/>
          <w:szCs w:val="21"/>
          <w:highlight w:val="none"/>
        </w:rPr>
        <w:t>同意后</w:t>
      </w:r>
      <w:r>
        <w:rPr>
          <w:color w:val="auto"/>
          <w:szCs w:val="21"/>
          <w:highlight w:val="none"/>
        </w:rPr>
        <w:t>签书面补充协议。</w:t>
      </w:r>
    </w:p>
    <w:p w14:paraId="2958F16A">
      <w:pPr>
        <w:snapToGrid w:val="0"/>
        <w:spacing w:line="300" w:lineRule="exact"/>
        <w:ind w:firstLine="420" w:firstLineChars="200"/>
        <w:rPr>
          <w:color w:val="auto"/>
          <w:szCs w:val="21"/>
          <w:highlight w:val="none"/>
        </w:rPr>
      </w:pPr>
      <w:r>
        <w:rPr>
          <w:color w:val="auto"/>
          <w:szCs w:val="21"/>
          <w:highlight w:val="none"/>
        </w:rPr>
        <w:t>4.</w:t>
      </w:r>
      <w:r>
        <w:rPr>
          <w:rFonts w:hint="eastAsia"/>
          <w:color w:val="auto"/>
          <w:szCs w:val="21"/>
          <w:highlight w:val="none"/>
        </w:rPr>
        <w:t xml:space="preserve"> 如无特别说明，</w:t>
      </w:r>
      <w:r>
        <w:rPr>
          <w:color w:val="auto"/>
          <w:szCs w:val="21"/>
          <w:highlight w:val="none"/>
        </w:rPr>
        <w:t>本合同使用货币币制为人民币</w:t>
      </w:r>
      <w:r>
        <w:rPr>
          <w:rFonts w:hint="eastAsia"/>
          <w:color w:val="auto"/>
          <w:szCs w:val="21"/>
          <w:highlight w:val="none"/>
        </w:rPr>
        <w:t>，使用单位为中国国家法定计量单位。</w:t>
      </w:r>
    </w:p>
    <w:p w14:paraId="30AD200D">
      <w:pPr>
        <w:snapToGrid w:val="0"/>
        <w:spacing w:line="300" w:lineRule="exact"/>
        <w:ind w:firstLine="420" w:firstLineChars="200"/>
        <w:rPr>
          <w:color w:val="auto"/>
          <w:szCs w:val="21"/>
          <w:highlight w:val="none"/>
        </w:rPr>
      </w:pPr>
      <w:r>
        <w:rPr>
          <w:rFonts w:hint="eastAsia"/>
          <w:color w:val="auto"/>
          <w:szCs w:val="21"/>
          <w:highlight w:val="none"/>
        </w:rPr>
        <w:t>5.本合同中提及的招标与谈判、磋商、询价、单一来源采购为同一含义，提及的投标与响应为同一含义，提及的中标与成交为同一含义。</w:t>
      </w:r>
    </w:p>
    <w:p w14:paraId="67E09C7F">
      <w:pPr>
        <w:snapToGrid w:val="0"/>
        <w:spacing w:line="300" w:lineRule="exact"/>
        <w:ind w:firstLine="420" w:firstLineChars="200"/>
        <w:rPr>
          <w:color w:val="auto"/>
          <w:szCs w:val="21"/>
          <w:highlight w:val="none"/>
        </w:rPr>
      </w:pPr>
      <w:r>
        <w:rPr>
          <w:color w:val="auto"/>
          <w:szCs w:val="21"/>
          <w:highlight w:val="none"/>
        </w:rPr>
        <w:t>6</w:t>
      </w:r>
      <w:r>
        <w:rPr>
          <w:rFonts w:hint="eastAsia"/>
          <w:color w:val="auto"/>
          <w:szCs w:val="21"/>
          <w:highlight w:val="none"/>
        </w:rPr>
        <w:t>.</w:t>
      </w:r>
      <w:r>
        <w:rPr>
          <w:color w:val="auto"/>
          <w:szCs w:val="21"/>
          <w:highlight w:val="none"/>
        </w:rPr>
        <w:t>本合同未尽事宜，遵照《</w:t>
      </w:r>
      <w:r>
        <w:rPr>
          <w:rFonts w:hint="eastAsia"/>
          <w:color w:val="auto"/>
          <w:szCs w:val="21"/>
          <w:highlight w:val="none"/>
        </w:rPr>
        <w:t>民法典</w:t>
      </w:r>
      <w:r>
        <w:rPr>
          <w:color w:val="auto"/>
          <w:szCs w:val="21"/>
          <w:highlight w:val="none"/>
        </w:rPr>
        <w:t>》有关条文执行。</w:t>
      </w:r>
    </w:p>
    <w:p w14:paraId="70194C22">
      <w:pPr>
        <w:snapToGrid w:val="0"/>
        <w:spacing w:line="300" w:lineRule="exact"/>
        <w:ind w:firstLine="420" w:firstLineChars="200"/>
        <w:rPr>
          <w:color w:val="auto"/>
          <w:szCs w:val="21"/>
          <w:highlight w:val="none"/>
        </w:rPr>
      </w:pPr>
      <w:r>
        <w:rPr>
          <w:rFonts w:hint="eastAsia"/>
          <w:color w:val="auto"/>
          <w:szCs w:val="21"/>
          <w:highlight w:val="none"/>
        </w:rPr>
        <w:t>7.本合同（</w:t>
      </w:r>
      <w:r>
        <w:rPr>
          <w:color w:val="auto"/>
          <w:szCs w:val="21"/>
          <w:highlight w:val="none"/>
        </w:rPr>
        <w:sym w:font="Wingdings 2" w:char="00A3"/>
      </w:r>
      <w:r>
        <w:rPr>
          <w:rFonts w:hint="eastAsia"/>
          <w:color w:val="auto"/>
          <w:szCs w:val="21"/>
          <w:highlight w:val="none"/>
        </w:rPr>
        <w:t>是  □否）为中小企业预留合同</w:t>
      </w:r>
    </w:p>
    <w:p w14:paraId="60603329">
      <w:pPr>
        <w:snapToGrid w:val="0"/>
        <w:spacing w:line="360" w:lineRule="exact"/>
        <w:ind w:firstLine="422" w:firstLineChars="200"/>
        <w:rPr>
          <w:b/>
          <w:color w:val="auto"/>
          <w:szCs w:val="21"/>
          <w:highlight w:val="none"/>
        </w:rPr>
      </w:pPr>
      <w:r>
        <w:rPr>
          <w:b/>
          <w:color w:val="auto"/>
          <w:szCs w:val="21"/>
          <w:highlight w:val="none"/>
        </w:rPr>
        <w:t>第十</w:t>
      </w:r>
      <w:r>
        <w:rPr>
          <w:rFonts w:hint="eastAsia"/>
          <w:b/>
          <w:color w:val="auto"/>
          <w:szCs w:val="21"/>
          <w:highlight w:val="none"/>
        </w:rPr>
        <w:t>五</w:t>
      </w:r>
      <w:r>
        <w:rPr>
          <w:b/>
          <w:color w:val="auto"/>
          <w:szCs w:val="21"/>
          <w:highlight w:val="none"/>
        </w:rPr>
        <w:t>条　合同的变更、终止与转让</w:t>
      </w:r>
    </w:p>
    <w:p w14:paraId="51067CC2">
      <w:pPr>
        <w:snapToGrid w:val="0"/>
        <w:spacing w:line="300" w:lineRule="exact"/>
        <w:ind w:firstLine="420" w:firstLineChars="200"/>
        <w:rPr>
          <w:color w:val="auto"/>
          <w:szCs w:val="21"/>
          <w:highlight w:val="none"/>
        </w:rPr>
      </w:pPr>
      <w:r>
        <w:rPr>
          <w:color w:val="auto"/>
          <w:szCs w:val="21"/>
          <w:highlight w:val="none"/>
        </w:rPr>
        <w:t>1.除《中华人民共和国政府采购法》第五十条规定的情形外，本合同一经签订，甲乙双方不得擅自变更、中止或终止。</w:t>
      </w:r>
      <w:bookmarkStart w:id="102" w:name="_Hlk155172858"/>
      <w:r>
        <w:rPr>
          <w:rFonts w:hint="eastAsia"/>
          <w:color w:val="auto"/>
          <w:szCs w:val="21"/>
          <w:highlight w:val="none"/>
        </w:rPr>
        <w:t>如依照政府采购法确需变更合同内容的，甲方应当自合同变更之日起2个工作日内在省级以上财政部门指定的媒体上发布合同变更公告。</w:t>
      </w:r>
      <w:bookmarkEnd w:id="102"/>
    </w:p>
    <w:p w14:paraId="2AAE0604">
      <w:pPr>
        <w:snapToGrid w:val="0"/>
        <w:spacing w:line="300" w:lineRule="exact"/>
        <w:ind w:firstLine="420" w:firstLineChars="200"/>
        <w:rPr>
          <w:color w:val="auto"/>
          <w:szCs w:val="21"/>
          <w:highlight w:val="none"/>
        </w:rPr>
      </w:pPr>
      <w:r>
        <w:rPr>
          <w:color w:val="auto"/>
          <w:szCs w:val="21"/>
          <w:highlight w:val="none"/>
        </w:rPr>
        <w:t>2.未经甲方书面同意，乙方不得擅自转让（无进口资格的乙方委托进口货物除外）其应履行的合同义务。</w:t>
      </w:r>
    </w:p>
    <w:p w14:paraId="3EA578F3">
      <w:pPr>
        <w:snapToGrid w:val="0"/>
        <w:spacing w:line="360" w:lineRule="exact"/>
        <w:ind w:firstLine="422" w:firstLineChars="200"/>
        <w:rPr>
          <w:b/>
          <w:color w:val="auto"/>
          <w:szCs w:val="21"/>
          <w:highlight w:val="none"/>
        </w:rPr>
      </w:pPr>
      <w:r>
        <w:rPr>
          <w:b/>
          <w:color w:val="auto"/>
          <w:szCs w:val="21"/>
          <w:highlight w:val="none"/>
        </w:rPr>
        <w:t>第十</w:t>
      </w:r>
      <w:r>
        <w:rPr>
          <w:rFonts w:hint="eastAsia"/>
          <w:b/>
          <w:color w:val="auto"/>
          <w:szCs w:val="21"/>
          <w:highlight w:val="none"/>
        </w:rPr>
        <w:t>六</w:t>
      </w:r>
      <w:r>
        <w:rPr>
          <w:b/>
          <w:color w:val="auto"/>
          <w:szCs w:val="21"/>
          <w:highlight w:val="none"/>
        </w:rPr>
        <w:t>条　</w:t>
      </w:r>
      <w:r>
        <w:rPr>
          <w:rFonts w:hint="eastAsia"/>
          <w:b/>
          <w:color w:val="auto"/>
          <w:szCs w:val="21"/>
          <w:highlight w:val="none"/>
        </w:rPr>
        <w:t>合同文件的组成</w:t>
      </w:r>
    </w:p>
    <w:p w14:paraId="2BB201AF">
      <w:pPr>
        <w:snapToGrid w:val="0"/>
        <w:spacing w:line="300" w:lineRule="exact"/>
        <w:ind w:firstLine="420" w:firstLineChars="200"/>
        <w:rPr>
          <w:rFonts w:hAnsi="宋体" w:cs="宋体"/>
          <w:color w:val="auto"/>
          <w:kern w:val="0"/>
          <w:highlight w:val="none"/>
        </w:rPr>
      </w:pPr>
      <w:r>
        <w:rPr>
          <w:color w:val="auto"/>
          <w:szCs w:val="21"/>
          <w:highlight w:val="none"/>
        </w:rPr>
        <w:t>1.</w:t>
      </w:r>
      <w:r>
        <w:rPr>
          <w:rFonts w:hint="eastAsia" w:hAnsi="宋体" w:cs="宋体"/>
          <w:color w:val="auto"/>
          <w:kern w:val="0"/>
          <w:highlight w:val="none"/>
        </w:rPr>
        <w:t>政府采购合同；</w:t>
      </w:r>
    </w:p>
    <w:p w14:paraId="2A6DD648">
      <w:pPr>
        <w:snapToGrid w:val="0"/>
        <w:spacing w:line="300" w:lineRule="exact"/>
        <w:ind w:firstLine="420" w:firstLineChars="200"/>
        <w:rPr>
          <w:color w:val="auto"/>
          <w:szCs w:val="21"/>
          <w:highlight w:val="none"/>
        </w:rPr>
      </w:pPr>
      <w:r>
        <w:rPr>
          <w:rFonts w:hint="eastAsia"/>
          <w:color w:val="auto"/>
          <w:szCs w:val="21"/>
          <w:highlight w:val="none"/>
        </w:rPr>
        <w:t>2.</w:t>
      </w:r>
      <w:r>
        <w:rPr>
          <w:rFonts w:hint="eastAsia"/>
          <w:color w:val="auto"/>
          <w:szCs w:val="21"/>
          <w:highlight w:val="none"/>
          <w:lang w:val="en-US" w:eastAsia="zh-CN"/>
        </w:rPr>
        <w:t>成交</w:t>
      </w:r>
      <w:r>
        <w:rPr>
          <w:color w:val="auto"/>
          <w:szCs w:val="21"/>
          <w:highlight w:val="none"/>
        </w:rPr>
        <w:t>通知书</w:t>
      </w:r>
      <w:r>
        <w:rPr>
          <w:rFonts w:hint="eastAsia"/>
          <w:color w:val="auto"/>
          <w:szCs w:val="21"/>
          <w:highlight w:val="none"/>
        </w:rPr>
        <w:t>（如有）；</w:t>
      </w:r>
    </w:p>
    <w:p w14:paraId="1C065E6C">
      <w:pPr>
        <w:snapToGrid w:val="0"/>
        <w:spacing w:line="300" w:lineRule="exact"/>
        <w:ind w:firstLine="420" w:firstLineChars="200"/>
        <w:rPr>
          <w:color w:val="auto"/>
          <w:szCs w:val="21"/>
          <w:highlight w:val="none"/>
        </w:rPr>
      </w:pPr>
      <w:r>
        <w:rPr>
          <w:rFonts w:hint="eastAsia"/>
          <w:color w:val="auto"/>
          <w:szCs w:val="21"/>
          <w:highlight w:val="none"/>
        </w:rPr>
        <w:t>3</w:t>
      </w:r>
      <w:r>
        <w:rPr>
          <w:color w:val="auto"/>
          <w:szCs w:val="21"/>
          <w:highlight w:val="none"/>
        </w:rPr>
        <w:t>.乙方的</w:t>
      </w:r>
      <w:r>
        <w:rPr>
          <w:rFonts w:hint="eastAsia"/>
          <w:color w:val="auto"/>
          <w:szCs w:val="21"/>
          <w:highlight w:val="none"/>
          <w:lang w:val="en-US" w:eastAsia="zh-CN"/>
        </w:rPr>
        <w:t>响应</w:t>
      </w:r>
      <w:r>
        <w:rPr>
          <w:color w:val="auto"/>
          <w:szCs w:val="21"/>
          <w:highlight w:val="none"/>
        </w:rPr>
        <w:t>文件；</w:t>
      </w:r>
    </w:p>
    <w:p w14:paraId="0F3BCB1E">
      <w:pPr>
        <w:snapToGrid w:val="0"/>
        <w:spacing w:line="300" w:lineRule="exact"/>
        <w:ind w:firstLine="420" w:firstLineChars="200"/>
        <w:rPr>
          <w:color w:val="auto"/>
          <w:szCs w:val="21"/>
          <w:highlight w:val="none"/>
        </w:rPr>
      </w:pPr>
      <w:r>
        <w:rPr>
          <w:rFonts w:hint="eastAsia"/>
          <w:color w:val="auto"/>
          <w:szCs w:val="21"/>
          <w:highlight w:val="none"/>
        </w:rPr>
        <w:t>4</w:t>
      </w:r>
      <w:r>
        <w:rPr>
          <w:color w:val="auto"/>
          <w:szCs w:val="21"/>
          <w:highlight w:val="none"/>
        </w:rPr>
        <w:t>.</w:t>
      </w:r>
      <w:r>
        <w:rPr>
          <w:rFonts w:hint="eastAsia"/>
          <w:color w:val="auto"/>
          <w:szCs w:val="21"/>
          <w:highlight w:val="none"/>
        </w:rPr>
        <w:t>采购文件</w:t>
      </w:r>
      <w:r>
        <w:rPr>
          <w:color w:val="auto"/>
          <w:szCs w:val="21"/>
          <w:highlight w:val="none"/>
        </w:rPr>
        <w:t>；</w:t>
      </w:r>
    </w:p>
    <w:p w14:paraId="793C6234">
      <w:pPr>
        <w:snapToGrid w:val="0"/>
        <w:spacing w:line="300" w:lineRule="exact"/>
        <w:ind w:firstLine="420" w:firstLineChars="200"/>
        <w:rPr>
          <w:color w:val="auto"/>
          <w:szCs w:val="21"/>
          <w:highlight w:val="none"/>
        </w:rPr>
      </w:pPr>
      <w:r>
        <w:rPr>
          <w:rFonts w:hint="eastAsia"/>
          <w:color w:val="auto"/>
          <w:highlight w:val="none"/>
        </w:rPr>
        <w:t>5.其他合同文件。</w:t>
      </w:r>
    </w:p>
    <w:p w14:paraId="57514173">
      <w:pPr>
        <w:snapToGrid w:val="0"/>
        <w:spacing w:line="300" w:lineRule="exact"/>
        <w:ind w:firstLine="422" w:firstLineChars="200"/>
        <w:rPr>
          <w:color w:val="auto"/>
          <w:szCs w:val="21"/>
          <w:highlight w:val="none"/>
        </w:rPr>
      </w:pPr>
      <w:r>
        <w:rPr>
          <w:b/>
          <w:color w:val="auto"/>
          <w:szCs w:val="21"/>
          <w:highlight w:val="none"/>
        </w:rPr>
        <w:t>第</w:t>
      </w:r>
      <w:r>
        <w:rPr>
          <w:rFonts w:hint="eastAsia"/>
          <w:b/>
          <w:color w:val="auto"/>
          <w:szCs w:val="21"/>
          <w:highlight w:val="none"/>
        </w:rPr>
        <w:t>十七</w:t>
      </w:r>
      <w:r>
        <w:rPr>
          <w:b/>
          <w:color w:val="auto"/>
          <w:szCs w:val="21"/>
          <w:highlight w:val="none"/>
        </w:rPr>
        <w:t>条　</w:t>
      </w:r>
      <w:r>
        <w:rPr>
          <w:color w:val="auto"/>
          <w:szCs w:val="21"/>
          <w:highlight w:val="none"/>
        </w:rPr>
        <w:t>本合同一式五份，具有同等法律效力。甲</w:t>
      </w:r>
      <w:r>
        <w:rPr>
          <w:rFonts w:hint="eastAsia"/>
          <w:color w:val="auto"/>
          <w:szCs w:val="21"/>
          <w:highlight w:val="none"/>
        </w:rPr>
        <w:t>、乙双方各执</w:t>
      </w:r>
      <w:r>
        <w:rPr>
          <w:color w:val="auto"/>
          <w:szCs w:val="21"/>
          <w:highlight w:val="none"/>
        </w:rPr>
        <w:t>两份，</w:t>
      </w:r>
      <w:r>
        <w:rPr>
          <w:color w:val="auto"/>
          <w:spacing w:val="4"/>
          <w:szCs w:val="21"/>
          <w:highlight w:val="none"/>
        </w:rPr>
        <w:t>采购代理机构</w:t>
      </w:r>
      <w:r>
        <w:rPr>
          <w:color w:val="auto"/>
          <w:szCs w:val="21"/>
          <w:highlight w:val="none"/>
        </w:rPr>
        <w:t>一份。</w:t>
      </w:r>
    </w:p>
    <w:p w14:paraId="4E56FEE0">
      <w:pPr>
        <w:snapToGrid w:val="0"/>
        <w:spacing w:line="300" w:lineRule="exact"/>
        <w:ind w:firstLine="420" w:firstLineChars="200"/>
        <w:rPr>
          <w:color w:val="auto"/>
          <w:szCs w:val="21"/>
          <w:highlight w:val="none"/>
        </w:rPr>
      </w:pPr>
      <w:r>
        <w:rPr>
          <w:color w:val="auto"/>
          <w:szCs w:val="21"/>
          <w:highlight w:val="none"/>
        </w:rPr>
        <w:t>本合同经甲乙双方法定代表人或授权代表签字并加盖单位公章后生效。</w:t>
      </w:r>
    </w:p>
    <w:tbl>
      <w:tblPr>
        <w:tblStyle w:val="51"/>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7"/>
        <w:gridCol w:w="4688"/>
      </w:tblGrid>
      <w:tr w14:paraId="2642D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5" w:hRule="atLeast"/>
        </w:trPr>
        <w:tc>
          <w:tcPr>
            <w:tcW w:w="4437" w:type="dxa"/>
            <w:noWrap w:val="0"/>
            <w:vAlign w:val="center"/>
          </w:tcPr>
          <w:p w14:paraId="1CFA9F73">
            <w:pPr>
              <w:snapToGrid w:val="0"/>
              <w:spacing w:line="360" w:lineRule="exact"/>
              <w:rPr>
                <w:color w:val="auto"/>
                <w:szCs w:val="21"/>
                <w:highlight w:val="none"/>
              </w:rPr>
            </w:pPr>
            <w:r>
              <w:rPr>
                <w:color w:val="auto"/>
                <w:szCs w:val="21"/>
                <w:highlight w:val="none"/>
              </w:rPr>
              <w:t xml:space="preserve">甲方（章）           </w:t>
            </w:r>
          </w:p>
          <w:p w14:paraId="0245B065">
            <w:pPr>
              <w:snapToGrid w:val="0"/>
              <w:spacing w:line="360" w:lineRule="exact"/>
              <w:ind w:right="105" w:firstLine="945" w:firstLineChars="450"/>
              <w:jc w:val="right"/>
              <w:rPr>
                <w:color w:val="auto"/>
                <w:szCs w:val="21"/>
                <w:highlight w:val="none"/>
              </w:rPr>
            </w:pPr>
          </w:p>
        </w:tc>
        <w:tc>
          <w:tcPr>
            <w:tcW w:w="4688" w:type="dxa"/>
            <w:noWrap w:val="0"/>
            <w:vAlign w:val="center"/>
          </w:tcPr>
          <w:p w14:paraId="2860EA28">
            <w:pPr>
              <w:snapToGrid w:val="0"/>
              <w:spacing w:line="360" w:lineRule="exact"/>
              <w:rPr>
                <w:color w:val="auto"/>
                <w:szCs w:val="21"/>
                <w:highlight w:val="none"/>
              </w:rPr>
            </w:pPr>
            <w:r>
              <w:rPr>
                <w:color w:val="auto"/>
                <w:szCs w:val="21"/>
                <w:highlight w:val="none"/>
              </w:rPr>
              <w:t xml:space="preserve">乙方（章）              </w:t>
            </w:r>
          </w:p>
          <w:p w14:paraId="3AF0DC96">
            <w:pPr>
              <w:snapToGrid w:val="0"/>
              <w:spacing w:line="360" w:lineRule="exact"/>
              <w:jc w:val="right"/>
              <w:rPr>
                <w:color w:val="auto"/>
                <w:szCs w:val="21"/>
                <w:highlight w:val="none"/>
              </w:rPr>
            </w:pPr>
          </w:p>
        </w:tc>
      </w:tr>
      <w:tr w14:paraId="6EBD9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4437" w:type="dxa"/>
            <w:noWrap w:val="0"/>
            <w:vAlign w:val="center"/>
          </w:tcPr>
          <w:p w14:paraId="41AD7AB0">
            <w:pPr>
              <w:snapToGrid w:val="0"/>
              <w:spacing w:line="360" w:lineRule="exact"/>
              <w:rPr>
                <w:color w:val="auto"/>
                <w:szCs w:val="21"/>
                <w:highlight w:val="none"/>
              </w:rPr>
            </w:pPr>
            <w:r>
              <w:rPr>
                <w:color w:val="auto"/>
                <w:szCs w:val="21"/>
                <w:highlight w:val="none"/>
              </w:rPr>
              <w:t>单位地址：</w:t>
            </w:r>
          </w:p>
        </w:tc>
        <w:tc>
          <w:tcPr>
            <w:tcW w:w="4688" w:type="dxa"/>
            <w:noWrap w:val="0"/>
            <w:vAlign w:val="center"/>
          </w:tcPr>
          <w:p w14:paraId="7780A58B">
            <w:pPr>
              <w:snapToGrid w:val="0"/>
              <w:spacing w:line="360" w:lineRule="exact"/>
              <w:rPr>
                <w:color w:val="auto"/>
                <w:szCs w:val="21"/>
                <w:highlight w:val="none"/>
              </w:rPr>
            </w:pPr>
            <w:r>
              <w:rPr>
                <w:color w:val="auto"/>
                <w:szCs w:val="21"/>
                <w:highlight w:val="none"/>
              </w:rPr>
              <w:t>单位地址：</w:t>
            </w:r>
          </w:p>
        </w:tc>
      </w:tr>
      <w:tr w14:paraId="660EE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4437" w:type="dxa"/>
            <w:noWrap w:val="0"/>
            <w:vAlign w:val="center"/>
          </w:tcPr>
          <w:p w14:paraId="7AE8902C">
            <w:pPr>
              <w:snapToGrid w:val="0"/>
              <w:spacing w:line="360" w:lineRule="exact"/>
              <w:rPr>
                <w:color w:val="auto"/>
                <w:szCs w:val="21"/>
                <w:highlight w:val="none"/>
              </w:rPr>
            </w:pPr>
            <w:r>
              <w:rPr>
                <w:color w:val="auto"/>
                <w:szCs w:val="21"/>
                <w:highlight w:val="none"/>
              </w:rPr>
              <w:t>法定代表人：</w:t>
            </w:r>
          </w:p>
        </w:tc>
        <w:tc>
          <w:tcPr>
            <w:tcW w:w="4688" w:type="dxa"/>
            <w:noWrap w:val="0"/>
            <w:vAlign w:val="center"/>
          </w:tcPr>
          <w:p w14:paraId="5915B1A8">
            <w:pPr>
              <w:snapToGrid w:val="0"/>
              <w:spacing w:line="360" w:lineRule="exact"/>
              <w:rPr>
                <w:color w:val="auto"/>
                <w:szCs w:val="21"/>
                <w:highlight w:val="none"/>
              </w:rPr>
            </w:pPr>
            <w:r>
              <w:rPr>
                <w:color w:val="auto"/>
                <w:szCs w:val="21"/>
                <w:highlight w:val="none"/>
              </w:rPr>
              <w:t>法定代表人：</w:t>
            </w:r>
          </w:p>
        </w:tc>
      </w:tr>
      <w:tr w14:paraId="67D9D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trPr>
        <w:tc>
          <w:tcPr>
            <w:tcW w:w="4437" w:type="dxa"/>
            <w:noWrap w:val="0"/>
            <w:vAlign w:val="center"/>
          </w:tcPr>
          <w:p w14:paraId="76DC91DA">
            <w:pPr>
              <w:snapToGrid w:val="0"/>
              <w:spacing w:line="360" w:lineRule="exact"/>
              <w:rPr>
                <w:color w:val="auto"/>
                <w:szCs w:val="21"/>
                <w:highlight w:val="none"/>
              </w:rPr>
            </w:pPr>
            <w:r>
              <w:rPr>
                <w:color w:val="auto"/>
                <w:szCs w:val="21"/>
                <w:highlight w:val="none"/>
              </w:rPr>
              <w:t>委托代理人：</w:t>
            </w:r>
          </w:p>
        </w:tc>
        <w:tc>
          <w:tcPr>
            <w:tcW w:w="4688" w:type="dxa"/>
            <w:noWrap w:val="0"/>
            <w:vAlign w:val="center"/>
          </w:tcPr>
          <w:p w14:paraId="7E0D03B1">
            <w:pPr>
              <w:snapToGrid w:val="0"/>
              <w:spacing w:line="360" w:lineRule="exact"/>
              <w:rPr>
                <w:color w:val="auto"/>
                <w:szCs w:val="21"/>
                <w:highlight w:val="none"/>
              </w:rPr>
            </w:pPr>
            <w:r>
              <w:rPr>
                <w:color w:val="auto"/>
                <w:szCs w:val="21"/>
                <w:highlight w:val="none"/>
              </w:rPr>
              <w:t>委托代理人</w:t>
            </w:r>
            <w:r>
              <w:rPr>
                <w:rFonts w:hint="eastAsia"/>
                <w:color w:val="auto"/>
                <w:szCs w:val="21"/>
                <w:highlight w:val="none"/>
              </w:rPr>
              <w:t>：</w:t>
            </w:r>
          </w:p>
        </w:tc>
      </w:tr>
      <w:tr w14:paraId="14A76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trPr>
        <w:tc>
          <w:tcPr>
            <w:tcW w:w="4437" w:type="dxa"/>
            <w:noWrap w:val="0"/>
            <w:vAlign w:val="center"/>
          </w:tcPr>
          <w:p w14:paraId="5FB63543">
            <w:pPr>
              <w:snapToGrid w:val="0"/>
              <w:spacing w:line="360" w:lineRule="exact"/>
              <w:rPr>
                <w:color w:val="auto"/>
                <w:szCs w:val="21"/>
                <w:highlight w:val="none"/>
              </w:rPr>
            </w:pPr>
            <w:r>
              <w:rPr>
                <w:color w:val="auto"/>
                <w:szCs w:val="21"/>
                <w:highlight w:val="none"/>
              </w:rPr>
              <w:t>电话：</w:t>
            </w:r>
          </w:p>
        </w:tc>
        <w:tc>
          <w:tcPr>
            <w:tcW w:w="4688" w:type="dxa"/>
            <w:noWrap w:val="0"/>
            <w:vAlign w:val="center"/>
          </w:tcPr>
          <w:p w14:paraId="3D787DE4">
            <w:pPr>
              <w:snapToGrid w:val="0"/>
              <w:spacing w:line="360" w:lineRule="exact"/>
              <w:rPr>
                <w:color w:val="auto"/>
                <w:szCs w:val="21"/>
                <w:highlight w:val="none"/>
              </w:rPr>
            </w:pPr>
            <w:r>
              <w:rPr>
                <w:color w:val="auto"/>
                <w:szCs w:val="21"/>
                <w:highlight w:val="none"/>
              </w:rPr>
              <w:t>电话：</w:t>
            </w:r>
          </w:p>
        </w:tc>
      </w:tr>
      <w:tr w14:paraId="2677C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trPr>
        <w:tc>
          <w:tcPr>
            <w:tcW w:w="4437" w:type="dxa"/>
            <w:noWrap w:val="0"/>
            <w:vAlign w:val="center"/>
          </w:tcPr>
          <w:p w14:paraId="4242FEC1">
            <w:pPr>
              <w:snapToGrid w:val="0"/>
              <w:spacing w:line="360" w:lineRule="exact"/>
              <w:rPr>
                <w:color w:val="auto"/>
                <w:szCs w:val="21"/>
                <w:highlight w:val="none"/>
              </w:rPr>
            </w:pPr>
            <w:r>
              <w:rPr>
                <w:color w:val="auto"/>
                <w:szCs w:val="21"/>
                <w:highlight w:val="none"/>
              </w:rPr>
              <w:t>开户银行：</w:t>
            </w:r>
          </w:p>
        </w:tc>
        <w:tc>
          <w:tcPr>
            <w:tcW w:w="4688" w:type="dxa"/>
            <w:noWrap w:val="0"/>
            <w:vAlign w:val="center"/>
          </w:tcPr>
          <w:p w14:paraId="512D29BB">
            <w:pPr>
              <w:snapToGrid w:val="0"/>
              <w:spacing w:line="360" w:lineRule="exact"/>
              <w:rPr>
                <w:color w:val="auto"/>
                <w:szCs w:val="21"/>
                <w:highlight w:val="none"/>
              </w:rPr>
            </w:pPr>
            <w:r>
              <w:rPr>
                <w:color w:val="auto"/>
                <w:szCs w:val="21"/>
                <w:highlight w:val="none"/>
              </w:rPr>
              <w:t>开户银行：</w:t>
            </w:r>
          </w:p>
        </w:tc>
      </w:tr>
      <w:tr w14:paraId="325BD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 w:hRule="atLeast"/>
        </w:trPr>
        <w:tc>
          <w:tcPr>
            <w:tcW w:w="4437" w:type="dxa"/>
            <w:noWrap w:val="0"/>
            <w:vAlign w:val="center"/>
          </w:tcPr>
          <w:p w14:paraId="736407E9">
            <w:pPr>
              <w:snapToGrid w:val="0"/>
              <w:spacing w:line="360" w:lineRule="exact"/>
              <w:rPr>
                <w:color w:val="auto"/>
                <w:szCs w:val="21"/>
                <w:highlight w:val="none"/>
              </w:rPr>
            </w:pPr>
            <w:r>
              <w:rPr>
                <w:color w:val="auto"/>
                <w:szCs w:val="21"/>
                <w:highlight w:val="none"/>
              </w:rPr>
              <w:t>账号：</w:t>
            </w:r>
          </w:p>
        </w:tc>
        <w:tc>
          <w:tcPr>
            <w:tcW w:w="4688" w:type="dxa"/>
            <w:noWrap w:val="0"/>
            <w:vAlign w:val="center"/>
          </w:tcPr>
          <w:p w14:paraId="41009EDC">
            <w:pPr>
              <w:snapToGrid w:val="0"/>
              <w:spacing w:line="360" w:lineRule="exact"/>
              <w:rPr>
                <w:color w:val="auto"/>
                <w:szCs w:val="21"/>
                <w:highlight w:val="none"/>
              </w:rPr>
            </w:pPr>
            <w:r>
              <w:rPr>
                <w:color w:val="auto"/>
                <w:szCs w:val="21"/>
                <w:highlight w:val="none"/>
              </w:rPr>
              <w:t>账号：</w:t>
            </w:r>
          </w:p>
        </w:tc>
      </w:tr>
    </w:tbl>
    <w:p w14:paraId="0842E48B">
      <w:pPr>
        <w:pStyle w:val="26"/>
        <w:snapToGrid w:val="0"/>
        <w:rPr>
          <w:rFonts w:ascii="Times New Roman" w:hAnsi="Times New Roman" w:cs="Times New Roman"/>
          <w:color w:val="auto"/>
          <w:highlight w:val="none"/>
        </w:rPr>
      </w:pPr>
    </w:p>
    <w:bookmarkEnd w:id="88"/>
    <w:p w14:paraId="3F96EAE9">
      <w:pPr>
        <w:widowControl/>
        <w:jc w:val="left"/>
        <w:rPr>
          <w:color w:val="auto"/>
          <w:szCs w:val="21"/>
          <w:highlight w:val="none"/>
        </w:rPr>
      </w:pPr>
    </w:p>
    <w:p w14:paraId="25684FF9">
      <w:pPr>
        <w:widowControl/>
        <w:jc w:val="left"/>
        <w:rPr>
          <w:color w:val="auto"/>
          <w:szCs w:val="21"/>
          <w:highlight w:val="none"/>
        </w:rPr>
      </w:pPr>
      <w:r>
        <w:rPr>
          <w:color w:val="auto"/>
          <w:highlight w:val="none"/>
        </w:rPr>
        <w:br w:type="page"/>
      </w:r>
    </w:p>
    <w:p w14:paraId="04FA107C">
      <w:pPr>
        <w:spacing w:before="120" w:line="320" w:lineRule="atLeast"/>
        <w:jc w:val="left"/>
        <w:outlineLvl w:val="1"/>
        <w:rPr>
          <w:b/>
          <w:bCs/>
          <w:color w:val="auto"/>
          <w:kern w:val="0"/>
          <w:szCs w:val="21"/>
          <w:highlight w:val="none"/>
        </w:rPr>
      </w:pPr>
      <w:r>
        <w:rPr>
          <w:b/>
          <w:bCs/>
          <w:color w:val="auto"/>
          <w:kern w:val="0"/>
          <w:szCs w:val="21"/>
          <w:highlight w:val="none"/>
        </w:rPr>
        <w:t>合同附件1</w:t>
      </w:r>
    </w:p>
    <w:p w14:paraId="53CAEED6">
      <w:pPr>
        <w:snapToGrid w:val="0"/>
        <w:spacing w:line="360" w:lineRule="exact"/>
        <w:jc w:val="center"/>
        <w:rPr>
          <w:b/>
          <w:bCs/>
          <w:color w:val="auto"/>
          <w:szCs w:val="21"/>
          <w:highlight w:val="none"/>
        </w:rPr>
      </w:pPr>
      <w:r>
        <w:rPr>
          <w:b/>
          <w:bCs/>
          <w:color w:val="auto"/>
          <w:szCs w:val="21"/>
          <w:highlight w:val="none"/>
        </w:rPr>
        <w:t>政府采购项目履约保证金退付意见书</w:t>
      </w:r>
    </w:p>
    <w:p w14:paraId="43E92278">
      <w:pPr>
        <w:jc w:val="center"/>
        <w:rPr>
          <w:color w:val="auto"/>
          <w:sz w:val="36"/>
          <w:szCs w:val="36"/>
          <w:highlight w:val="none"/>
        </w:rPr>
      </w:pPr>
    </w:p>
    <w:tbl>
      <w:tblPr>
        <w:tblStyle w:val="51"/>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8640"/>
      </w:tblGrid>
      <w:tr w14:paraId="78C07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1008" w:type="dxa"/>
            <w:vMerge w:val="restart"/>
            <w:noWrap w:val="0"/>
            <w:vAlign w:val="center"/>
          </w:tcPr>
          <w:p w14:paraId="14A935C0">
            <w:pPr>
              <w:jc w:val="center"/>
              <w:rPr>
                <w:color w:val="auto"/>
                <w:szCs w:val="21"/>
                <w:highlight w:val="none"/>
              </w:rPr>
            </w:pPr>
            <w:r>
              <w:rPr>
                <w:color w:val="auto"/>
                <w:szCs w:val="21"/>
                <w:highlight w:val="none"/>
              </w:rPr>
              <w:t>供</w:t>
            </w:r>
          </w:p>
          <w:p w14:paraId="0F6D935E">
            <w:pPr>
              <w:jc w:val="center"/>
              <w:rPr>
                <w:color w:val="auto"/>
                <w:szCs w:val="21"/>
                <w:highlight w:val="none"/>
              </w:rPr>
            </w:pPr>
            <w:r>
              <w:rPr>
                <w:color w:val="auto"/>
                <w:szCs w:val="21"/>
                <w:highlight w:val="none"/>
              </w:rPr>
              <w:t>应</w:t>
            </w:r>
          </w:p>
          <w:p w14:paraId="38EFCF25">
            <w:pPr>
              <w:jc w:val="center"/>
              <w:rPr>
                <w:color w:val="auto"/>
                <w:szCs w:val="21"/>
                <w:highlight w:val="none"/>
              </w:rPr>
            </w:pPr>
            <w:r>
              <w:rPr>
                <w:color w:val="auto"/>
                <w:szCs w:val="21"/>
                <w:highlight w:val="none"/>
              </w:rPr>
              <w:t>商</w:t>
            </w:r>
          </w:p>
          <w:p w14:paraId="34A396A7">
            <w:pPr>
              <w:jc w:val="center"/>
              <w:rPr>
                <w:color w:val="auto"/>
                <w:szCs w:val="21"/>
                <w:highlight w:val="none"/>
              </w:rPr>
            </w:pPr>
            <w:r>
              <w:rPr>
                <w:color w:val="auto"/>
                <w:szCs w:val="21"/>
                <w:highlight w:val="none"/>
              </w:rPr>
              <w:t>申</w:t>
            </w:r>
          </w:p>
          <w:p w14:paraId="013EAE40">
            <w:pPr>
              <w:jc w:val="center"/>
              <w:rPr>
                <w:color w:val="auto"/>
                <w:szCs w:val="21"/>
                <w:highlight w:val="none"/>
              </w:rPr>
            </w:pPr>
            <w:r>
              <w:rPr>
                <w:color w:val="auto"/>
                <w:szCs w:val="21"/>
                <w:highlight w:val="none"/>
              </w:rPr>
              <w:t>请</w:t>
            </w:r>
          </w:p>
        </w:tc>
        <w:tc>
          <w:tcPr>
            <w:tcW w:w="8640" w:type="dxa"/>
            <w:noWrap w:val="0"/>
            <w:vAlign w:val="center"/>
          </w:tcPr>
          <w:p w14:paraId="495E8950">
            <w:pPr>
              <w:rPr>
                <w:color w:val="auto"/>
                <w:szCs w:val="21"/>
                <w:highlight w:val="none"/>
              </w:rPr>
            </w:pPr>
            <w:r>
              <w:rPr>
                <w:color w:val="auto"/>
                <w:szCs w:val="21"/>
                <w:highlight w:val="none"/>
              </w:rPr>
              <w:t>项目编号：</w:t>
            </w:r>
          </w:p>
        </w:tc>
      </w:tr>
      <w:tr w14:paraId="65D4E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trPr>
        <w:tc>
          <w:tcPr>
            <w:tcW w:w="1008" w:type="dxa"/>
            <w:vMerge w:val="continue"/>
            <w:noWrap w:val="0"/>
            <w:vAlign w:val="center"/>
          </w:tcPr>
          <w:p w14:paraId="4A22C638">
            <w:pPr>
              <w:rPr>
                <w:color w:val="auto"/>
                <w:szCs w:val="21"/>
                <w:highlight w:val="none"/>
              </w:rPr>
            </w:pPr>
          </w:p>
        </w:tc>
        <w:tc>
          <w:tcPr>
            <w:tcW w:w="8640" w:type="dxa"/>
            <w:noWrap w:val="0"/>
            <w:vAlign w:val="center"/>
          </w:tcPr>
          <w:p w14:paraId="3D5DC444">
            <w:pPr>
              <w:rPr>
                <w:color w:val="auto"/>
                <w:szCs w:val="21"/>
                <w:highlight w:val="none"/>
              </w:rPr>
            </w:pPr>
            <w:r>
              <w:rPr>
                <w:color w:val="auto"/>
                <w:szCs w:val="21"/>
                <w:highlight w:val="none"/>
              </w:rPr>
              <w:t>项目名称：</w:t>
            </w:r>
          </w:p>
        </w:tc>
      </w:tr>
      <w:tr w14:paraId="0FFD0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08" w:type="dxa"/>
            <w:vMerge w:val="continue"/>
            <w:noWrap w:val="0"/>
            <w:vAlign w:val="top"/>
          </w:tcPr>
          <w:p w14:paraId="72D01912">
            <w:pPr>
              <w:rPr>
                <w:color w:val="auto"/>
                <w:szCs w:val="21"/>
                <w:highlight w:val="none"/>
              </w:rPr>
            </w:pPr>
          </w:p>
        </w:tc>
        <w:tc>
          <w:tcPr>
            <w:tcW w:w="8640" w:type="dxa"/>
            <w:noWrap w:val="0"/>
            <w:vAlign w:val="top"/>
          </w:tcPr>
          <w:p w14:paraId="27F14887">
            <w:pPr>
              <w:rPr>
                <w:color w:val="auto"/>
                <w:szCs w:val="21"/>
                <w:highlight w:val="none"/>
              </w:rPr>
            </w:pPr>
            <w:r>
              <w:rPr>
                <w:color w:val="auto"/>
                <w:szCs w:val="21"/>
                <w:highlight w:val="none"/>
              </w:rPr>
              <w:t xml:space="preserve">  </w:t>
            </w:r>
          </w:p>
          <w:p w14:paraId="391FC9C5">
            <w:pPr>
              <w:spacing w:line="400" w:lineRule="exact"/>
              <w:ind w:firstLine="420" w:firstLineChars="200"/>
              <w:rPr>
                <w:color w:val="auto"/>
                <w:szCs w:val="21"/>
                <w:highlight w:val="none"/>
              </w:rPr>
            </w:pPr>
            <w:r>
              <w:rPr>
                <w:color w:val="auto"/>
                <w:szCs w:val="21"/>
                <w:highlight w:val="none"/>
              </w:rPr>
              <w:t>该项目已于</w:t>
            </w:r>
            <w:r>
              <w:rPr>
                <w:color w:val="auto"/>
                <w:szCs w:val="21"/>
                <w:highlight w:val="none"/>
                <w:u w:val="single"/>
              </w:rPr>
              <w:t xml:space="preserve">       </w:t>
            </w:r>
            <w:r>
              <w:rPr>
                <w:color w:val="auto"/>
                <w:szCs w:val="21"/>
                <w:highlight w:val="none"/>
              </w:rPr>
              <w:t>年</w:t>
            </w:r>
            <w:r>
              <w:rPr>
                <w:color w:val="auto"/>
                <w:szCs w:val="21"/>
                <w:highlight w:val="none"/>
                <w:u w:val="single"/>
              </w:rPr>
              <w:t xml:space="preserve">     </w:t>
            </w:r>
            <w:r>
              <w:rPr>
                <w:color w:val="auto"/>
                <w:szCs w:val="21"/>
                <w:highlight w:val="none"/>
              </w:rPr>
              <w:t>月</w:t>
            </w:r>
            <w:r>
              <w:rPr>
                <w:color w:val="auto"/>
                <w:szCs w:val="21"/>
                <w:highlight w:val="none"/>
                <w:u w:val="single"/>
              </w:rPr>
              <w:t xml:space="preserve">     </w:t>
            </w:r>
            <w:r>
              <w:rPr>
                <w:color w:val="auto"/>
                <w:szCs w:val="21"/>
                <w:highlight w:val="none"/>
              </w:rPr>
              <w:t>日验收并交付使用。根据合同规定，该项目的履约保证金期限于</w:t>
            </w:r>
            <w:r>
              <w:rPr>
                <w:color w:val="auto"/>
                <w:szCs w:val="21"/>
                <w:highlight w:val="none"/>
                <w:u w:val="single"/>
              </w:rPr>
              <w:t xml:space="preserve">         </w:t>
            </w:r>
            <w:r>
              <w:rPr>
                <w:color w:val="auto"/>
                <w:szCs w:val="21"/>
                <w:highlight w:val="none"/>
              </w:rPr>
              <w:t>年</w:t>
            </w:r>
            <w:r>
              <w:rPr>
                <w:color w:val="auto"/>
                <w:szCs w:val="21"/>
                <w:highlight w:val="none"/>
                <w:u w:val="single"/>
              </w:rPr>
              <w:t xml:space="preserve">      </w:t>
            </w:r>
            <w:r>
              <w:rPr>
                <w:color w:val="auto"/>
                <w:szCs w:val="21"/>
                <w:highlight w:val="none"/>
              </w:rPr>
              <w:t>月</w:t>
            </w:r>
            <w:r>
              <w:rPr>
                <w:color w:val="auto"/>
                <w:szCs w:val="21"/>
                <w:highlight w:val="none"/>
                <w:u w:val="single"/>
              </w:rPr>
              <w:t xml:space="preserve">       </w:t>
            </w:r>
            <w:r>
              <w:rPr>
                <w:color w:val="auto"/>
                <w:szCs w:val="21"/>
                <w:highlight w:val="none"/>
              </w:rPr>
              <w:t>日已满，请将履约保证金</w:t>
            </w:r>
          </w:p>
          <w:p w14:paraId="3C24DF0F">
            <w:pPr>
              <w:spacing w:line="400" w:lineRule="exact"/>
              <w:rPr>
                <w:color w:val="auto"/>
                <w:szCs w:val="21"/>
                <w:highlight w:val="none"/>
              </w:rPr>
            </w:pPr>
            <w:r>
              <w:rPr>
                <w:color w:val="auto"/>
                <w:szCs w:val="21"/>
                <w:highlight w:val="none"/>
                <w:u w:val="single"/>
              </w:rPr>
              <w:t xml:space="preserve">                                        </w:t>
            </w:r>
            <w:r>
              <w:rPr>
                <w:color w:val="auto"/>
                <w:szCs w:val="21"/>
                <w:highlight w:val="none"/>
              </w:rPr>
              <w:t>（大写）¥</w:t>
            </w:r>
            <w:r>
              <w:rPr>
                <w:color w:val="auto"/>
                <w:szCs w:val="21"/>
                <w:highlight w:val="none"/>
                <w:u w:val="single"/>
              </w:rPr>
              <w:t xml:space="preserve">          </w:t>
            </w:r>
            <w:r>
              <w:rPr>
                <w:color w:val="auto"/>
                <w:szCs w:val="21"/>
                <w:highlight w:val="none"/>
              </w:rPr>
              <w:t>（小写）退付到达以下账户。</w:t>
            </w:r>
          </w:p>
          <w:p w14:paraId="7D7EADF1">
            <w:pPr>
              <w:spacing w:line="400" w:lineRule="exact"/>
              <w:ind w:firstLine="705"/>
              <w:rPr>
                <w:color w:val="auto"/>
                <w:szCs w:val="21"/>
                <w:highlight w:val="none"/>
              </w:rPr>
            </w:pPr>
            <w:r>
              <w:rPr>
                <w:color w:val="auto"/>
                <w:szCs w:val="21"/>
                <w:highlight w:val="none"/>
              </w:rPr>
              <w:t>单位名称：</w:t>
            </w:r>
          </w:p>
          <w:p w14:paraId="0C80825E">
            <w:pPr>
              <w:spacing w:line="400" w:lineRule="exact"/>
              <w:ind w:firstLine="705"/>
              <w:rPr>
                <w:color w:val="auto"/>
                <w:szCs w:val="21"/>
                <w:highlight w:val="none"/>
              </w:rPr>
            </w:pPr>
            <w:r>
              <w:rPr>
                <w:color w:val="auto"/>
                <w:szCs w:val="21"/>
                <w:highlight w:val="none"/>
              </w:rPr>
              <w:t>开户银行：</w:t>
            </w:r>
          </w:p>
          <w:p w14:paraId="3B6B56B0">
            <w:pPr>
              <w:spacing w:line="400" w:lineRule="exact"/>
              <w:ind w:firstLine="705"/>
              <w:rPr>
                <w:color w:val="auto"/>
                <w:szCs w:val="21"/>
                <w:highlight w:val="none"/>
              </w:rPr>
            </w:pPr>
            <w:r>
              <w:rPr>
                <w:color w:val="auto"/>
                <w:szCs w:val="21"/>
                <w:highlight w:val="none"/>
              </w:rPr>
              <w:t>账   号：</w:t>
            </w:r>
          </w:p>
          <w:p w14:paraId="3EC365C7">
            <w:pPr>
              <w:spacing w:line="400" w:lineRule="exact"/>
              <w:rPr>
                <w:color w:val="auto"/>
                <w:szCs w:val="21"/>
                <w:highlight w:val="none"/>
              </w:rPr>
            </w:pPr>
            <w:r>
              <w:rPr>
                <w:color w:val="auto"/>
                <w:szCs w:val="21"/>
                <w:highlight w:val="none"/>
              </w:rPr>
              <w:t>联系人及电话：</w:t>
            </w:r>
          </w:p>
          <w:p w14:paraId="02FE1C39">
            <w:pPr>
              <w:spacing w:line="400" w:lineRule="exact"/>
              <w:rPr>
                <w:color w:val="auto"/>
                <w:szCs w:val="21"/>
                <w:highlight w:val="none"/>
              </w:rPr>
            </w:pPr>
          </w:p>
          <w:p w14:paraId="501D666A">
            <w:pPr>
              <w:spacing w:line="520" w:lineRule="exact"/>
              <w:jc w:val="center"/>
              <w:rPr>
                <w:color w:val="auto"/>
                <w:szCs w:val="21"/>
                <w:highlight w:val="none"/>
              </w:rPr>
            </w:pPr>
            <w:r>
              <w:rPr>
                <w:color w:val="auto"/>
                <w:szCs w:val="21"/>
                <w:highlight w:val="none"/>
              </w:rPr>
              <w:t xml:space="preserve">                                     供应商</w:t>
            </w:r>
            <w:r>
              <w:rPr>
                <w:rFonts w:hint="eastAsia"/>
                <w:color w:val="auto"/>
                <w:szCs w:val="21"/>
                <w:highlight w:val="none"/>
              </w:rPr>
              <w:t>公</w:t>
            </w:r>
            <w:r>
              <w:rPr>
                <w:color w:val="auto"/>
                <w:szCs w:val="21"/>
                <w:highlight w:val="none"/>
              </w:rPr>
              <w:t>章：</w:t>
            </w:r>
          </w:p>
          <w:p w14:paraId="78AF7652">
            <w:pPr>
              <w:spacing w:line="520" w:lineRule="exact"/>
              <w:jc w:val="center"/>
              <w:rPr>
                <w:color w:val="auto"/>
                <w:szCs w:val="21"/>
                <w:highlight w:val="none"/>
              </w:rPr>
            </w:pPr>
            <w:r>
              <w:rPr>
                <w:color w:val="auto"/>
                <w:szCs w:val="21"/>
                <w:highlight w:val="none"/>
              </w:rPr>
              <w:t xml:space="preserve">                           年    月     日</w:t>
            </w:r>
          </w:p>
        </w:tc>
      </w:tr>
      <w:tr w14:paraId="7A56B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val="0"/>
            <w:vAlign w:val="center"/>
          </w:tcPr>
          <w:p w14:paraId="4B6A8B8E">
            <w:pPr>
              <w:jc w:val="center"/>
              <w:rPr>
                <w:color w:val="auto"/>
                <w:szCs w:val="21"/>
                <w:highlight w:val="none"/>
              </w:rPr>
            </w:pPr>
            <w:r>
              <w:rPr>
                <w:color w:val="auto"/>
                <w:szCs w:val="21"/>
                <w:highlight w:val="none"/>
              </w:rPr>
              <w:t>采</w:t>
            </w:r>
          </w:p>
          <w:p w14:paraId="5191D59B">
            <w:pPr>
              <w:jc w:val="center"/>
              <w:rPr>
                <w:color w:val="auto"/>
                <w:szCs w:val="21"/>
                <w:highlight w:val="none"/>
              </w:rPr>
            </w:pPr>
            <w:r>
              <w:rPr>
                <w:color w:val="auto"/>
                <w:szCs w:val="21"/>
                <w:highlight w:val="none"/>
              </w:rPr>
              <w:t>购</w:t>
            </w:r>
          </w:p>
          <w:p w14:paraId="44EBCF8C">
            <w:pPr>
              <w:jc w:val="center"/>
              <w:rPr>
                <w:color w:val="auto"/>
                <w:szCs w:val="21"/>
                <w:highlight w:val="none"/>
              </w:rPr>
            </w:pPr>
            <w:r>
              <w:rPr>
                <w:color w:val="auto"/>
                <w:szCs w:val="21"/>
                <w:highlight w:val="none"/>
              </w:rPr>
              <w:t>单</w:t>
            </w:r>
          </w:p>
          <w:p w14:paraId="67E928F3">
            <w:pPr>
              <w:jc w:val="center"/>
              <w:rPr>
                <w:color w:val="auto"/>
                <w:szCs w:val="21"/>
                <w:highlight w:val="none"/>
              </w:rPr>
            </w:pPr>
            <w:r>
              <w:rPr>
                <w:color w:val="auto"/>
                <w:szCs w:val="21"/>
                <w:highlight w:val="none"/>
              </w:rPr>
              <w:t>位</w:t>
            </w:r>
          </w:p>
          <w:p w14:paraId="78515EDF">
            <w:pPr>
              <w:jc w:val="center"/>
              <w:rPr>
                <w:color w:val="auto"/>
                <w:szCs w:val="21"/>
                <w:highlight w:val="none"/>
              </w:rPr>
            </w:pPr>
            <w:r>
              <w:rPr>
                <w:color w:val="auto"/>
                <w:szCs w:val="21"/>
                <w:highlight w:val="none"/>
              </w:rPr>
              <w:t>意</w:t>
            </w:r>
          </w:p>
          <w:p w14:paraId="017E1698">
            <w:pPr>
              <w:jc w:val="center"/>
              <w:rPr>
                <w:color w:val="auto"/>
                <w:szCs w:val="21"/>
                <w:highlight w:val="none"/>
              </w:rPr>
            </w:pPr>
            <w:r>
              <w:rPr>
                <w:color w:val="auto"/>
                <w:szCs w:val="21"/>
                <w:highlight w:val="none"/>
              </w:rPr>
              <w:t>见</w:t>
            </w:r>
          </w:p>
        </w:tc>
        <w:tc>
          <w:tcPr>
            <w:tcW w:w="8640" w:type="dxa"/>
            <w:noWrap w:val="0"/>
            <w:vAlign w:val="top"/>
          </w:tcPr>
          <w:p w14:paraId="267969D8">
            <w:pPr>
              <w:rPr>
                <w:color w:val="auto"/>
                <w:szCs w:val="21"/>
                <w:highlight w:val="none"/>
              </w:rPr>
            </w:pPr>
          </w:p>
          <w:p w14:paraId="78EDEF7B">
            <w:pPr>
              <w:rPr>
                <w:color w:val="auto"/>
                <w:szCs w:val="21"/>
                <w:highlight w:val="none"/>
              </w:rPr>
            </w:pPr>
            <w:r>
              <w:rPr>
                <w:color w:val="auto"/>
                <w:szCs w:val="21"/>
                <w:highlight w:val="none"/>
              </w:rPr>
              <w:t>退付意见：是否同意退付履约保证金及退付金额：</w:t>
            </w:r>
          </w:p>
          <w:p w14:paraId="25398E60">
            <w:pPr>
              <w:rPr>
                <w:color w:val="auto"/>
                <w:szCs w:val="21"/>
                <w:highlight w:val="none"/>
              </w:rPr>
            </w:pPr>
          </w:p>
          <w:p w14:paraId="6F934A15">
            <w:pPr>
              <w:rPr>
                <w:color w:val="auto"/>
                <w:szCs w:val="21"/>
                <w:highlight w:val="none"/>
              </w:rPr>
            </w:pPr>
          </w:p>
          <w:p w14:paraId="475D200D">
            <w:pPr>
              <w:spacing w:line="520" w:lineRule="exact"/>
              <w:rPr>
                <w:color w:val="auto"/>
                <w:szCs w:val="21"/>
                <w:highlight w:val="none"/>
              </w:rPr>
            </w:pPr>
            <w:r>
              <w:rPr>
                <w:color w:val="auto"/>
                <w:szCs w:val="21"/>
                <w:highlight w:val="none"/>
              </w:rPr>
              <w:t>联系人及电话：                                 采购单位</w:t>
            </w:r>
            <w:r>
              <w:rPr>
                <w:rFonts w:hint="eastAsia"/>
                <w:color w:val="auto"/>
                <w:szCs w:val="21"/>
                <w:highlight w:val="none"/>
              </w:rPr>
              <w:t>公</w:t>
            </w:r>
            <w:r>
              <w:rPr>
                <w:color w:val="auto"/>
                <w:szCs w:val="21"/>
                <w:highlight w:val="none"/>
              </w:rPr>
              <w:t>章</w:t>
            </w:r>
          </w:p>
          <w:p w14:paraId="5697A034">
            <w:pPr>
              <w:spacing w:line="520" w:lineRule="exact"/>
              <w:jc w:val="center"/>
              <w:rPr>
                <w:color w:val="auto"/>
                <w:szCs w:val="21"/>
                <w:highlight w:val="none"/>
              </w:rPr>
            </w:pPr>
            <w:r>
              <w:rPr>
                <w:color w:val="auto"/>
                <w:szCs w:val="21"/>
                <w:highlight w:val="none"/>
              </w:rPr>
              <w:t xml:space="preserve">                                        年    月     日</w:t>
            </w:r>
          </w:p>
        </w:tc>
      </w:tr>
      <w:tr w14:paraId="7BBAD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val="0"/>
            <w:vAlign w:val="center"/>
          </w:tcPr>
          <w:p w14:paraId="7A641CF2">
            <w:pPr>
              <w:jc w:val="center"/>
              <w:rPr>
                <w:color w:val="auto"/>
                <w:szCs w:val="21"/>
                <w:highlight w:val="none"/>
              </w:rPr>
            </w:pPr>
            <w:r>
              <w:rPr>
                <w:color w:val="auto"/>
                <w:szCs w:val="21"/>
                <w:highlight w:val="none"/>
              </w:rPr>
              <w:t>财</w:t>
            </w:r>
          </w:p>
          <w:p w14:paraId="100E793B">
            <w:pPr>
              <w:jc w:val="center"/>
              <w:rPr>
                <w:color w:val="auto"/>
                <w:szCs w:val="21"/>
                <w:highlight w:val="none"/>
              </w:rPr>
            </w:pPr>
            <w:r>
              <w:rPr>
                <w:color w:val="auto"/>
                <w:szCs w:val="21"/>
                <w:highlight w:val="none"/>
              </w:rPr>
              <w:t>务</w:t>
            </w:r>
          </w:p>
          <w:p w14:paraId="69F14ABE">
            <w:pPr>
              <w:jc w:val="center"/>
              <w:rPr>
                <w:color w:val="auto"/>
                <w:szCs w:val="21"/>
                <w:highlight w:val="none"/>
              </w:rPr>
            </w:pPr>
            <w:r>
              <w:rPr>
                <w:color w:val="auto"/>
                <w:szCs w:val="21"/>
                <w:highlight w:val="none"/>
              </w:rPr>
              <w:t>部</w:t>
            </w:r>
          </w:p>
          <w:p w14:paraId="7AEC243C">
            <w:pPr>
              <w:jc w:val="center"/>
              <w:rPr>
                <w:color w:val="auto"/>
                <w:szCs w:val="21"/>
                <w:highlight w:val="none"/>
              </w:rPr>
            </w:pPr>
            <w:r>
              <w:rPr>
                <w:color w:val="auto"/>
                <w:szCs w:val="21"/>
                <w:highlight w:val="none"/>
              </w:rPr>
              <w:t>门</w:t>
            </w:r>
          </w:p>
          <w:p w14:paraId="2D1BB070">
            <w:pPr>
              <w:jc w:val="center"/>
              <w:rPr>
                <w:color w:val="auto"/>
                <w:szCs w:val="21"/>
                <w:highlight w:val="none"/>
              </w:rPr>
            </w:pPr>
            <w:r>
              <w:rPr>
                <w:color w:val="auto"/>
                <w:szCs w:val="21"/>
                <w:highlight w:val="none"/>
              </w:rPr>
              <w:t>意</w:t>
            </w:r>
          </w:p>
          <w:p w14:paraId="426C09D2">
            <w:pPr>
              <w:jc w:val="center"/>
              <w:rPr>
                <w:color w:val="auto"/>
                <w:szCs w:val="21"/>
                <w:highlight w:val="none"/>
              </w:rPr>
            </w:pPr>
            <w:r>
              <w:rPr>
                <w:color w:val="auto"/>
                <w:szCs w:val="21"/>
                <w:highlight w:val="none"/>
              </w:rPr>
              <w:t>见</w:t>
            </w:r>
          </w:p>
        </w:tc>
        <w:tc>
          <w:tcPr>
            <w:tcW w:w="8640" w:type="dxa"/>
            <w:noWrap w:val="0"/>
            <w:vAlign w:val="top"/>
          </w:tcPr>
          <w:p w14:paraId="6684E130">
            <w:pPr>
              <w:spacing w:line="640" w:lineRule="exact"/>
              <w:rPr>
                <w:color w:val="auto"/>
                <w:szCs w:val="21"/>
                <w:highlight w:val="none"/>
              </w:rPr>
            </w:pPr>
            <w:r>
              <w:rPr>
                <w:color w:val="auto"/>
                <w:szCs w:val="21"/>
                <w:highlight w:val="none"/>
              </w:rPr>
              <w:t>此表于</w:t>
            </w:r>
            <w:r>
              <w:rPr>
                <w:color w:val="auto"/>
                <w:szCs w:val="21"/>
                <w:highlight w:val="none"/>
                <w:u w:val="single"/>
              </w:rPr>
              <w:t xml:space="preserve">     </w:t>
            </w:r>
            <w:r>
              <w:rPr>
                <w:color w:val="auto"/>
                <w:szCs w:val="21"/>
                <w:highlight w:val="none"/>
              </w:rPr>
              <w:t>年</w:t>
            </w:r>
            <w:r>
              <w:rPr>
                <w:color w:val="auto"/>
                <w:szCs w:val="21"/>
                <w:highlight w:val="none"/>
                <w:u w:val="single"/>
              </w:rPr>
              <w:t xml:space="preserve">    </w:t>
            </w:r>
            <w:r>
              <w:rPr>
                <w:color w:val="auto"/>
                <w:szCs w:val="21"/>
                <w:highlight w:val="none"/>
              </w:rPr>
              <w:t xml:space="preserve"> 月 </w:t>
            </w:r>
            <w:r>
              <w:rPr>
                <w:color w:val="auto"/>
                <w:szCs w:val="21"/>
                <w:highlight w:val="none"/>
                <w:u w:val="single"/>
              </w:rPr>
              <w:t xml:space="preserve">   </w:t>
            </w:r>
            <w:r>
              <w:rPr>
                <w:color w:val="auto"/>
                <w:szCs w:val="21"/>
                <w:highlight w:val="none"/>
              </w:rPr>
              <w:t xml:space="preserve"> 日收到。</w:t>
            </w:r>
          </w:p>
          <w:p w14:paraId="26916A48">
            <w:pPr>
              <w:spacing w:line="640" w:lineRule="exact"/>
              <w:rPr>
                <w:color w:val="auto"/>
                <w:szCs w:val="21"/>
                <w:highlight w:val="none"/>
              </w:rPr>
            </w:pPr>
            <w:r>
              <w:rPr>
                <w:color w:val="auto"/>
                <w:szCs w:val="21"/>
                <w:highlight w:val="none"/>
              </w:rPr>
              <w:t>会计审核：</w:t>
            </w:r>
          </w:p>
          <w:p w14:paraId="5002F17D">
            <w:pPr>
              <w:spacing w:line="640" w:lineRule="exact"/>
              <w:rPr>
                <w:color w:val="auto"/>
                <w:szCs w:val="21"/>
                <w:highlight w:val="none"/>
              </w:rPr>
            </w:pPr>
            <w:r>
              <w:rPr>
                <w:color w:val="auto"/>
                <w:szCs w:val="21"/>
                <w:highlight w:val="none"/>
              </w:rPr>
              <w:t>财务负责人审核：</w:t>
            </w:r>
          </w:p>
          <w:p w14:paraId="50070723">
            <w:pPr>
              <w:spacing w:line="640" w:lineRule="exact"/>
              <w:rPr>
                <w:color w:val="auto"/>
                <w:szCs w:val="21"/>
                <w:highlight w:val="none"/>
              </w:rPr>
            </w:pPr>
            <w:r>
              <w:rPr>
                <w:color w:val="auto"/>
                <w:szCs w:val="21"/>
                <w:highlight w:val="none"/>
              </w:rPr>
              <w:t>单位负责人签字：</w:t>
            </w:r>
          </w:p>
          <w:p w14:paraId="155ADD68">
            <w:pPr>
              <w:spacing w:line="640" w:lineRule="exact"/>
              <w:rPr>
                <w:color w:val="auto"/>
                <w:szCs w:val="21"/>
                <w:highlight w:val="none"/>
              </w:rPr>
            </w:pPr>
            <w:r>
              <w:rPr>
                <w:color w:val="auto"/>
                <w:szCs w:val="21"/>
                <w:highlight w:val="none"/>
              </w:rPr>
              <w:t>出纳办理转账日期：</w:t>
            </w:r>
          </w:p>
        </w:tc>
      </w:tr>
    </w:tbl>
    <w:p w14:paraId="10199536">
      <w:pPr>
        <w:pStyle w:val="19"/>
        <w:ind w:left="450" w:leftChars="114" w:hanging="211" w:hangingChars="100"/>
        <w:rPr>
          <w:b/>
          <w:bCs/>
          <w:color w:val="auto"/>
          <w:sz w:val="21"/>
          <w:szCs w:val="21"/>
          <w:highlight w:val="none"/>
        </w:rPr>
      </w:pPr>
      <w:r>
        <w:rPr>
          <w:b/>
          <w:bCs/>
          <w:color w:val="auto"/>
          <w:sz w:val="21"/>
          <w:szCs w:val="21"/>
          <w:highlight w:val="none"/>
        </w:rPr>
        <w:t>注：供应商凭经采购单位审批的退付意见书到相关财务部办理履约保证金退付事宜。</w:t>
      </w:r>
    </w:p>
    <w:p w14:paraId="1F05EC76">
      <w:pPr>
        <w:widowControl/>
        <w:jc w:val="left"/>
        <w:rPr>
          <w:b/>
          <w:bCs/>
          <w:color w:val="auto"/>
          <w:szCs w:val="21"/>
          <w:highlight w:val="none"/>
        </w:rPr>
      </w:pPr>
      <w:r>
        <w:rPr>
          <w:b/>
          <w:bCs/>
          <w:color w:val="auto"/>
          <w:szCs w:val="21"/>
          <w:highlight w:val="none"/>
        </w:rPr>
        <w:br w:type="page"/>
      </w:r>
      <w:r>
        <w:rPr>
          <w:b/>
          <w:bCs/>
          <w:color w:val="auto"/>
          <w:kern w:val="0"/>
          <w:szCs w:val="21"/>
          <w:highlight w:val="none"/>
        </w:rPr>
        <w:t>合同附件2</w:t>
      </w:r>
    </w:p>
    <w:p w14:paraId="1190AB57">
      <w:pPr>
        <w:snapToGrid w:val="0"/>
        <w:spacing w:line="360" w:lineRule="exact"/>
        <w:jc w:val="center"/>
        <w:rPr>
          <w:b/>
          <w:bCs/>
          <w:color w:val="auto"/>
          <w:szCs w:val="21"/>
          <w:highlight w:val="none"/>
        </w:rPr>
      </w:pPr>
      <w:bookmarkStart w:id="103" w:name="_Hlk80978015"/>
    </w:p>
    <w:p w14:paraId="0DD1D78B">
      <w:pPr>
        <w:snapToGrid w:val="0"/>
        <w:spacing w:line="360" w:lineRule="exact"/>
        <w:jc w:val="center"/>
        <w:rPr>
          <w:b/>
          <w:bCs/>
          <w:color w:val="auto"/>
          <w:szCs w:val="21"/>
          <w:highlight w:val="none"/>
        </w:rPr>
      </w:pPr>
      <w:bookmarkStart w:id="104" w:name="_Hlk77607667"/>
      <w:r>
        <w:rPr>
          <w:b/>
          <w:bCs/>
          <w:color w:val="auto"/>
          <w:szCs w:val="21"/>
          <w:highlight w:val="none"/>
        </w:rPr>
        <w:t>履约</w:t>
      </w:r>
      <w:r>
        <w:rPr>
          <w:rFonts w:hint="eastAsia"/>
          <w:b/>
          <w:bCs/>
          <w:color w:val="auto"/>
          <w:szCs w:val="21"/>
          <w:highlight w:val="none"/>
        </w:rPr>
        <w:t>验收方案</w:t>
      </w:r>
    </w:p>
    <w:p w14:paraId="2D2C182B">
      <w:pPr>
        <w:pStyle w:val="169"/>
        <w:ind w:firstLine="0" w:firstLineChars="0"/>
        <w:rPr>
          <w:rFonts w:ascii="Times New Roman" w:hAnsi="Times New Roman" w:eastAsia="宋体"/>
          <w:color w:val="auto"/>
          <w:kern w:val="2"/>
          <w:sz w:val="21"/>
          <w:szCs w:val="21"/>
          <w:highlight w:val="none"/>
        </w:rPr>
      </w:pPr>
    </w:p>
    <w:p w14:paraId="6FBE5007">
      <w:pPr>
        <w:spacing w:before="120" w:line="320" w:lineRule="exact"/>
        <w:jc w:val="left"/>
        <w:rPr>
          <w:rFonts w:ascii="宋体" w:hAnsi="宋体" w:cs="宋体"/>
          <w:b/>
          <w:bCs/>
          <w:color w:val="auto"/>
          <w:szCs w:val="21"/>
          <w:highlight w:val="none"/>
        </w:rPr>
      </w:pPr>
      <w:r>
        <w:rPr>
          <w:rFonts w:hint="eastAsia" w:ascii="宋体" w:hAnsi="宋体" w:cs="宋体"/>
          <w:b/>
          <w:bCs/>
          <w:color w:val="auto"/>
          <w:szCs w:val="21"/>
          <w:highlight w:val="none"/>
        </w:rPr>
        <w:t>1.履约验收工作参加人员</w:t>
      </w:r>
    </w:p>
    <w:p w14:paraId="72D1F2D2">
      <w:pPr>
        <w:spacing w:before="120" w:line="320" w:lineRule="exact"/>
        <w:jc w:val="left"/>
        <w:rPr>
          <w:rFonts w:ascii="宋体" w:hAnsi="宋体" w:cs="宋体"/>
          <w:color w:val="auto"/>
          <w:szCs w:val="21"/>
          <w:highlight w:val="none"/>
        </w:rPr>
      </w:pPr>
      <w:r>
        <w:rPr>
          <w:rFonts w:hint="eastAsia" w:ascii="宋体" w:hAnsi="宋体" w:cs="宋体"/>
          <w:b/>
          <w:bCs/>
          <w:color w:val="auto"/>
          <w:szCs w:val="21"/>
          <w:highlight w:val="none"/>
        </w:rPr>
        <w:t>1.1履约验收主体单位</w:t>
      </w:r>
    </w:p>
    <w:p w14:paraId="4D82AB42">
      <w:pPr>
        <w:spacing w:before="120" w:line="320" w:lineRule="exact"/>
        <w:ind w:firstLine="420" w:firstLineChars="200"/>
        <w:jc w:val="left"/>
        <w:rPr>
          <w:rFonts w:ascii="宋体" w:hAnsi="宋体" w:cs="宋体"/>
          <w:color w:val="auto"/>
          <w:szCs w:val="21"/>
          <w:highlight w:val="none"/>
          <w:u w:val="single"/>
        </w:rPr>
      </w:pPr>
      <w:r>
        <w:rPr>
          <w:rStyle w:val="58"/>
          <w:rFonts w:hint="eastAsia"/>
          <w:color w:val="auto"/>
          <w:highlight w:val="none"/>
          <w:u w:val="single"/>
        </w:rPr>
        <w:t>采购人</w:t>
      </w:r>
      <w:r>
        <w:rPr>
          <w:rStyle w:val="58"/>
          <w:rFonts w:hint="eastAsia"/>
          <w:color w:val="auto"/>
          <w:highlight w:val="none"/>
        </w:rPr>
        <w:t>（如委托第三方机构签订，应注明收费方式）</w:t>
      </w:r>
    </w:p>
    <w:p w14:paraId="266EA8B2">
      <w:pPr>
        <w:spacing w:before="120" w:line="320" w:lineRule="exact"/>
        <w:jc w:val="left"/>
        <w:rPr>
          <w:rFonts w:ascii="宋体" w:hAnsi="宋体" w:cs="宋体"/>
          <w:color w:val="auto"/>
          <w:szCs w:val="21"/>
          <w:highlight w:val="none"/>
        </w:rPr>
      </w:pPr>
      <w:r>
        <w:rPr>
          <w:rFonts w:hint="eastAsia" w:ascii="宋体" w:hAnsi="宋体" w:cs="宋体"/>
          <w:b/>
          <w:bCs/>
          <w:color w:val="auto"/>
          <w:szCs w:val="21"/>
          <w:highlight w:val="none"/>
        </w:rPr>
        <w:t>1.2履约验收参加人员</w:t>
      </w:r>
    </w:p>
    <w:p w14:paraId="0A8B73F3">
      <w:pPr>
        <w:spacing w:before="120" w:line="320" w:lineRule="exact"/>
        <w:ind w:firstLine="420" w:firstLineChars="200"/>
        <w:jc w:val="left"/>
        <w:rPr>
          <w:rFonts w:ascii="宋体" w:hAnsi="宋体" w:cs="宋体"/>
          <w:color w:val="auto"/>
          <w:szCs w:val="21"/>
          <w:highlight w:val="none"/>
          <w:u w:val="single"/>
        </w:rPr>
      </w:pPr>
      <w:r>
        <w:rPr>
          <w:rFonts w:hint="eastAsia"/>
          <w:color w:val="auto"/>
          <w:highlight w:val="none"/>
        </w:rPr>
        <w:t>采购人代表、委托机构代表、成交供应商代表及采购人邀请的其他人员</w:t>
      </w:r>
    </w:p>
    <w:p w14:paraId="5AFFAABD">
      <w:pPr>
        <w:spacing w:before="120" w:line="320" w:lineRule="exact"/>
        <w:jc w:val="left"/>
        <w:rPr>
          <w:rFonts w:ascii="宋体" w:hAnsi="宋体" w:cs="宋体"/>
          <w:b/>
          <w:bCs/>
          <w:color w:val="auto"/>
          <w:szCs w:val="21"/>
          <w:highlight w:val="none"/>
        </w:rPr>
      </w:pPr>
      <w:r>
        <w:rPr>
          <w:rFonts w:hint="eastAsia" w:ascii="宋体" w:hAnsi="宋体" w:cs="宋体"/>
          <w:b/>
          <w:bCs/>
          <w:color w:val="auto"/>
          <w:szCs w:val="21"/>
          <w:highlight w:val="none"/>
        </w:rPr>
        <w:t>2.履约验收时间</w:t>
      </w:r>
    </w:p>
    <w:p w14:paraId="3C7A8BE3">
      <w:pPr>
        <w:spacing w:before="120" w:line="320" w:lineRule="exact"/>
        <w:jc w:val="left"/>
        <w:rPr>
          <w:rFonts w:ascii="宋体" w:hAnsi="宋体" w:cs="宋体"/>
          <w:color w:val="auto"/>
          <w:szCs w:val="21"/>
          <w:highlight w:val="none"/>
        </w:rPr>
      </w:pPr>
      <w:r>
        <w:rPr>
          <w:rFonts w:hint="eastAsia" w:ascii="宋体" w:hAnsi="宋体" w:cs="宋体"/>
          <w:color w:val="auto"/>
          <w:szCs w:val="21"/>
          <w:highlight w:val="none"/>
        </w:rPr>
        <w:t>20XX年XX月XX日</w:t>
      </w:r>
    </w:p>
    <w:p w14:paraId="2F5D635C">
      <w:pPr>
        <w:spacing w:before="120" w:line="320" w:lineRule="exact"/>
        <w:jc w:val="left"/>
        <w:rPr>
          <w:rFonts w:ascii="宋体" w:hAnsi="宋体" w:cs="宋体"/>
          <w:b/>
          <w:bCs/>
          <w:color w:val="auto"/>
          <w:szCs w:val="21"/>
          <w:highlight w:val="none"/>
        </w:rPr>
      </w:pPr>
      <w:r>
        <w:rPr>
          <w:rFonts w:hint="eastAsia" w:ascii="宋体" w:hAnsi="宋体" w:cs="宋体"/>
          <w:b/>
          <w:bCs/>
          <w:color w:val="auto"/>
          <w:szCs w:val="21"/>
          <w:highlight w:val="none"/>
        </w:rPr>
        <w:t>3.履约验收地点</w:t>
      </w:r>
    </w:p>
    <w:p w14:paraId="0D5CF436">
      <w:pPr>
        <w:spacing w:before="120" w:line="320" w:lineRule="exact"/>
        <w:jc w:val="left"/>
        <w:rPr>
          <w:rFonts w:ascii="宋体" w:hAnsi="宋体" w:cs="宋体"/>
          <w:color w:val="auto"/>
          <w:szCs w:val="21"/>
          <w:highlight w:val="none"/>
        </w:rPr>
      </w:pPr>
      <w:r>
        <w:rPr>
          <w:rFonts w:hint="eastAsia" w:ascii="宋体" w:hAnsi="宋体" w:cs="宋体"/>
          <w:color w:val="auto"/>
          <w:szCs w:val="21"/>
          <w:highlight w:val="none"/>
        </w:rPr>
        <w:t>采购人指定地点</w:t>
      </w:r>
    </w:p>
    <w:p w14:paraId="5C322C20">
      <w:pPr>
        <w:spacing w:before="120" w:line="320" w:lineRule="exact"/>
        <w:jc w:val="left"/>
        <w:rPr>
          <w:rFonts w:ascii="宋体" w:hAnsi="宋体" w:cs="宋体"/>
          <w:b/>
          <w:bCs/>
          <w:color w:val="auto"/>
          <w:szCs w:val="21"/>
          <w:highlight w:val="none"/>
        </w:rPr>
      </w:pPr>
      <w:r>
        <w:rPr>
          <w:rFonts w:hint="eastAsia" w:ascii="宋体" w:hAnsi="宋体" w:cs="宋体"/>
          <w:b/>
          <w:bCs/>
          <w:color w:val="auto"/>
          <w:szCs w:val="21"/>
          <w:highlight w:val="none"/>
        </w:rPr>
        <w:t>4.履约验收方式</w:t>
      </w:r>
    </w:p>
    <w:p w14:paraId="1DFF702E">
      <w:pPr>
        <w:spacing w:before="120" w:line="320" w:lineRule="exact"/>
        <w:jc w:val="left"/>
        <w:rPr>
          <w:rFonts w:ascii="宋体" w:hAnsi="宋体" w:cs="宋体"/>
          <w:b/>
          <w:bCs/>
          <w:color w:val="auto"/>
          <w:szCs w:val="21"/>
          <w:highlight w:val="none"/>
        </w:rPr>
      </w:pPr>
      <w:r>
        <w:rPr>
          <w:rFonts w:hint="eastAsia" w:ascii="宋体" w:hAnsi="宋体" w:cs="宋体"/>
          <w:color w:val="auto"/>
          <w:szCs w:val="21"/>
          <w:highlight w:val="none"/>
          <w:u w:val="single"/>
        </w:rPr>
        <w:t>采购人自行验收</w:t>
      </w:r>
    </w:p>
    <w:p w14:paraId="4A379B15">
      <w:pPr>
        <w:spacing w:before="120" w:line="320" w:lineRule="exact"/>
        <w:jc w:val="left"/>
        <w:rPr>
          <w:rFonts w:ascii="宋体" w:hAnsi="宋体" w:cs="宋体"/>
          <w:b/>
          <w:bCs/>
          <w:color w:val="auto"/>
          <w:szCs w:val="21"/>
          <w:highlight w:val="none"/>
        </w:rPr>
      </w:pPr>
      <w:r>
        <w:rPr>
          <w:rFonts w:hint="eastAsia" w:ascii="宋体" w:hAnsi="宋体" w:cs="宋体"/>
          <w:b/>
          <w:bCs/>
          <w:color w:val="auto"/>
          <w:szCs w:val="21"/>
          <w:highlight w:val="none"/>
        </w:rPr>
        <w:t>5.履约验收程序</w:t>
      </w:r>
    </w:p>
    <w:p w14:paraId="3DBA4CEC">
      <w:pPr>
        <w:spacing w:before="120" w:line="320" w:lineRule="exact"/>
        <w:jc w:val="left"/>
        <w:rPr>
          <w:rFonts w:ascii="宋体" w:hAnsi="宋体" w:cs="宋体"/>
          <w:b/>
          <w:bCs/>
          <w:color w:val="auto"/>
          <w:szCs w:val="21"/>
          <w:highlight w:val="none"/>
        </w:rPr>
      </w:pPr>
      <w:r>
        <w:rPr>
          <w:rFonts w:hint="eastAsia" w:ascii="宋体" w:hAnsi="宋体" w:cs="宋体"/>
          <w:b/>
          <w:bCs/>
          <w:color w:val="auto"/>
          <w:szCs w:val="21"/>
          <w:highlight w:val="none"/>
        </w:rPr>
        <w:t>5.1成立验收小组</w:t>
      </w:r>
    </w:p>
    <w:p w14:paraId="789F70C5">
      <w:pPr>
        <w:spacing w:before="120" w:line="320" w:lineRule="exact"/>
        <w:jc w:val="left"/>
        <w:rPr>
          <w:rFonts w:ascii="宋体" w:hAnsi="宋体" w:cs="宋体"/>
          <w:b/>
          <w:bCs/>
          <w:color w:val="auto"/>
          <w:szCs w:val="21"/>
          <w:highlight w:val="none"/>
        </w:rPr>
      </w:pPr>
      <w:r>
        <w:rPr>
          <w:rFonts w:hint="eastAsia" w:ascii="宋体" w:hAnsi="宋体" w:cs="宋体"/>
          <w:b/>
          <w:bCs/>
          <w:color w:val="auto"/>
          <w:szCs w:val="21"/>
          <w:highlight w:val="none"/>
        </w:rPr>
        <w:t>5</w:t>
      </w:r>
      <w:r>
        <w:rPr>
          <w:rFonts w:ascii="宋体" w:hAnsi="宋体" w:cs="宋体"/>
          <w:b/>
          <w:bCs/>
          <w:color w:val="auto"/>
          <w:szCs w:val="21"/>
          <w:highlight w:val="none"/>
        </w:rPr>
        <w:t>.2</w:t>
      </w:r>
      <w:r>
        <w:rPr>
          <w:rFonts w:hint="eastAsia" w:ascii="宋体" w:hAnsi="宋体" w:cs="宋体"/>
          <w:b/>
          <w:bCs/>
          <w:color w:val="auto"/>
          <w:szCs w:val="21"/>
          <w:highlight w:val="none"/>
        </w:rPr>
        <w:t>量化验收标准</w:t>
      </w:r>
    </w:p>
    <w:p w14:paraId="015FF332">
      <w:pPr>
        <w:spacing w:before="120" w:line="320" w:lineRule="exact"/>
        <w:jc w:val="left"/>
        <w:rPr>
          <w:rFonts w:ascii="宋体" w:hAnsi="宋体" w:cs="宋体"/>
          <w:b/>
          <w:bCs/>
          <w:color w:val="auto"/>
          <w:szCs w:val="21"/>
          <w:highlight w:val="none"/>
        </w:rPr>
      </w:pPr>
      <w:r>
        <w:rPr>
          <w:rFonts w:hint="eastAsia" w:ascii="宋体" w:hAnsi="宋体" w:cs="宋体"/>
          <w:b/>
          <w:bCs/>
          <w:color w:val="auto"/>
          <w:szCs w:val="21"/>
          <w:highlight w:val="none"/>
        </w:rPr>
        <w:t>5.</w:t>
      </w:r>
      <w:r>
        <w:rPr>
          <w:rFonts w:ascii="宋体" w:hAnsi="宋体" w:cs="宋体"/>
          <w:b/>
          <w:bCs/>
          <w:color w:val="auto"/>
          <w:szCs w:val="21"/>
          <w:highlight w:val="none"/>
        </w:rPr>
        <w:t>3</w:t>
      </w:r>
      <w:r>
        <w:rPr>
          <w:rFonts w:hint="eastAsia" w:ascii="宋体" w:hAnsi="宋体" w:cs="宋体"/>
          <w:b/>
          <w:bCs/>
          <w:color w:val="auto"/>
          <w:szCs w:val="21"/>
          <w:highlight w:val="none"/>
        </w:rPr>
        <w:t>组织验收</w:t>
      </w:r>
    </w:p>
    <w:p w14:paraId="247785BB">
      <w:pPr>
        <w:spacing w:before="120" w:line="320" w:lineRule="exact"/>
        <w:jc w:val="left"/>
        <w:rPr>
          <w:rFonts w:ascii="宋体" w:hAnsi="宋体" w:cs="宋体"/>
          <w:b/>
          <w:bCs/>
          <w:color w:val="auto"/>
          <w:szCs w:val="21"/>
          <w:highlight w:val="none"/>
        </w:rPr>
      </w:pPr>
      <w:r>
        <w:rPr>
          <w:rFonts w:hint="eastAsia" w:ascii="宋体" w:hAnsi="宋体" w:cs="宋体"/>
          <w:b/>
          <w:bCs/>
          <w:color w:val="auto"/>
          <w:szCs w:val="21"/>
          <w:highlight w:val="none"/>
        </w:rPr>
        <w:t>5.</w:t>
      </w:r>
      <w:r>
        <w:rPr>
          <w:rFonts w:ascii="宋体" w:hAnsi="宋体" w:cs="宋体"/>
          <w:b/>
          <w:bCs/>
          <w:color w:val="auto"/>
          <w:szCs w:val="21"/>
          <w:highlight w:val="none"/>
        </w:rPr>
        <w:t>4</w:t>
      </w:r>
      <w:r>
        <w:rPr>
          <w:rFonts w:hint="eastAsia" w:ascii="宋体" w:hAnsi="宋体" w:cs="宋体"/>
          <w:b/>
          <w:bCs/>
          <w:color w:val="auto"/>
          <w:szCs w:val="21"/>
          <w:highlight w:val="none"/>
        </w:rPr>
        <w:t>出具验收报告</w:t>
      </w:r>
    </w:p>
    <w:p w14:paraId="65A95CD4">
      <w:pPr>
        <w:spacing w:before="120" w:line="320" w:lineRule="exact"/>
        <w:jc w:val="left"/>
        <w:rPr>
          <w:rFonts w:ascii="宋体" w:hAnsi="宋体" w:cs="宋体"/>
          <w:b/>
          <w:bCs/>
          <w:color w:val="auto"/>
          <w:szCs w:val="21"/>
          <w:highlight w:val="none"/>
        </w:rPr>
      </w:pPr>
      <w:r>
        <w:rPr>
          <w:rFonts w:hint="eastAsia" w:ascii="宋体" w:hAnsi="宋体" w:cs="宋体"/>
          <w:b/>
          <w:bCs/>
          <w:color w:val="auto"/>
          <w:szCs w:val="21"/>
          <w:highlight w:val="none"/>
        </w:rPr>
        <w:t>5.</w:t>
      </w:r>
      <w:r>
        <w:rPr>
          <w:rFonts w:ascii="宋体" w:hAnsi="宋体" w:cs="宋体"/>
          <w:b/>
          <w:bCs/>
          <w:color w:val="auto"/>
          <w:szCs w:val="21"/>
          <w:highlight w:val="none"/>
        </w:rPr>
        <w:t>5</w:t>
      </w:r>
      <w:r>
        <w:rPr>
          <w:rFonts w:hint="eastAsia" w:ascii="宋体" w:hAnsi="宋体" w:cs="宋体"/>
          <w:b/>
          <w:bCs/>
          <w:color w:val="auto"/>
          <w:szCs w:val="21"/>
          <w:highlight w:val="none"/>
        </w:rPr>
        <w:t>验收结果公告</w:t>
      </w:r>
    </w:p>
    <w:p w14:paraId="06876D36">
      <w:pPr>
        <w:spacing w:before="120" w:line="320" w:lineRule="exact"/>
        <w:jc w:val="left"/>
        <w:rPr>
          <w:rFonts w:ascii="宋体" w:hAnsi="宋体" w:cs="宋体"/>
          <w:b/>
          <w:bCs/>
          <w:color w:val="auto"/>
          <w:szCs w:val="21"/>
          <w:highlight w:val="none"/>
        </w:rPr>
      </w:pPr>
      <w:r>
        <w:rPr>
          <w:rFonts w:hint="eastAsia" w:ascii="宋体" w:hAnsi="宋体" w:cs="宋体"/>
          <w:b/>
          <w:bCs/>
          <w:color w:val="auto"/>
          <w:szCs w:val="21"/>
          <w:highlight w:val="none"/>
        </w:rPr>
        <w:t>5.</w:t>
      </w:r>
      <w:r>
        <w:rPr>
          <w:rFonts w:ascii="宋体" w:hAnsi="宋体" w:cs="宋体"/>
          <w:b/>
          <w:bCs/>
          <w:color w:val="auto"/>
          <w:szCs w:val="21"/>
          <w:highlight w:val="none"/>
        </w:rPr>
        <w:t>6</w:t>
      </w:r>
      <w:r>
        <w:rPr>
          <w:rFonts w:hint="eastAsia" w:ascii="宋体" w:hAnsi="宋体" w:cs="宋体"/>
          <w:b/>
          <w:bCs/>
          <w:color w:val="auto"/>
          <w:szCs w:val="21"/>
          <w:highlight w:val="none"/>
        </w:rPr>
        <w:t>验收资料归档</w:t>
      </w:r>
    </w:p>
    <w:p w14:paraId="59E6D5AE">
      <w:pPr>
        <w:spacing w:before="120"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采购合同项目完成验收后，采购人整理好验收原始记录、验收书等资料后妥善保管，不得变造、隐匿或者销毁，验收资料保存期为采购结束之日起至少保存15年。</w:t>
      </w:r>
    </w:p>
    <w:p w14:paraId="33C205F2">
      <w:pPr>
        <w:spacing w:before="120" w:line="320" w:lineRule="exact"/>
        <w:jc w:val="left"/>
        <w:rPr>
          <w:rFonts w:ascii="宋体" w:hAnsi="宋体" w:cs="宋体"/>
          <w:b/>
          <w:bCs/>
          <w:iCs/>
          <w:color w:val="auto"/>
          <w:szCs w:val="21"/>
          <w:highlight w:val="none"/>
        </w:rPr>
      </w:pPr>
      <w:r>
        <w:rPr>
          <w:rFonts w:hint="eastAsia" w:ascii="宋体" w:hAnsi="宋体" w:cs="宋体"/>
          <w:b/>
          <w:bCs/>
          <w:color w:val="auto"/>
          <w:szCs w:val="21"/>
          <w:highlight w:val="none"/>
        </w:rPr>
        <w:t>6.履约验收内容</w:t>
      </w:r>
    </w:p>
    <w:p w14:paraId="22809F9B">
      <w:pPr>
        <w:spacing w:before="120" w:line="320" w:lineRule="exact"/>
        <w:jc w:val="left"/>
        <w:rPr>
          <w:rFonts w:ascii="宋体" w:hAnsi="宋体" w:cs="宋体"/>
          <w:iCs/>
          <w:color w:val="auto"/>
          <w:szCs w:val="21"/>
          <w:highlight w:val="none"/>
        </w:rPr>
      </w:pPr>
      <w:r>
        <w:rPr>
          <w:rFonts w:hint="eastAsia" w:ascii="宋体" w:hAnsi="宋体" w:cs="宋体"/>
          <w:b/>
          <w:bCs/>
          <w:color w:val="auto"/>
          <w:szCs w:val="21"/>
          <w:highlight w:val="none"/>
        </w:rPr>
        <w:t>6.1商务验收内容</w:t>
      </w:r>
    </w:p>
    <w:p w14:paraId="7150EC77">
      <w:pPr>
        <w:spacing w:before="120" w:line="320" w:lineRule="exact"/>
        <w:ind w:firstLine="420" w:firstLineChars="200"/>
        <w:jc w:val="left"/>
        <w:rPr>
          <w:rFonts w:ascii="宋体" w:hAnsi="宋体" w:eastAsia="Microsoft YaHei UI" w:cs="宋体"/>
          <w:color w:val="auto"/>
          <w:szCs w:val="21"/>
          <w:highlight w:val="none"/>
          <w:u w:val="single"/>
        </w:rPr>
      </w:pPr>
      <w:r>
        <w:rPr>
          <w:rFonts w:hint="eastAsia" w:ascii="宋体" w:hAnsi="宋体" w:cs="宋体"/>
          <w:color w:val="auto"/>
          <w:szCs w:val="21"/>
          <w:highlight w:val="none"/>
        </w:rPr>
        <w:t>对采购标的交付的情况、财务和服务要求，包括交付（实施）的时间（期限）和地点（范围），付款条件（进度和方式），包装和运输，售后服务，保险等进行验收。</w:t>
      </w:r>
    </w:p>
    <w:p w14:paraId="1F8AF442">
      <w:pPr>
        <w:spacing w:before="120" w:line="320" w:lineRule="exact"/>
        <w:jc w:val="left"/>
        <w:rPr>
          <w:rFonts w:ascii="宋体" w:hAnsi="宋体" w:cs="宋体"/>
          <w:iCs/>
          <w:color w:val="auto"/>
          <w:szCs w:val="21"/>
          <w:highlight w:val="none"/>
        </w:rPr>
      </w:pPr>
      <w:r>
        <w:rPr>
          <w:rFonts w:hint="eastAsia" w:ascii="宋体" w:hAnsi="宋体" w:cs="宋体"/>
          <w:b/>
          <w:bCs/>
          <w:color w:val="auto"/>
          <w:szCs w:val="21"/>
          <w:highlight w:val="none"/>
        </w:rPr>
        <w:t>6.2技术验收内容</w:t>
      </w:r>
    </w:p>
    <w:p w14:paraId="3FA3EA0C">
      <w:pPr>
        <w:spacing w:before="120" w:line="32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对采购标的的功能和质量要求，包括性能、材料、结构、外观、安全，或者服务内容和标准等进行验收。</w:t>
      </w:r>
    </w:p>
    <w:p w14:paraId="16D8F8E6">
      <w:pPr>
        <w:spacing w:before="120" w:line="320" w:lineRule="exact"/>
        <w:jc w:val="left"/>
        <w:rPr>
          <w:rFonts w:ascii="宋体" w:hAnsi="宋体" w:cs="宋体"/>
          <w:b/>
          <w:bCs/>
          <w:color w:val="auto"/>
          <w:szCs w:val="21"/>
          <w:highlight w:val="none"/>
        </w:rPr>
      </w:pPr>
      <w:r>
        <w:rPr>
          <w:rFonts w:hint="eastAsia" w:ascii="宋体" w:hAnsi="宋体" w:cs="宋体"/>
          <w:b/>
          <w:bCs/>
          <w:color w:val="auto"/>
          <w:szCs w:val="21"/>
          <w:highlight w:val="none"/>
        </w:rPr>
        <w:t>7.履约验收标准</w:t>
      </w:r>
    </w:p>
    <w:p w14:paraId="372729CE">
      <w:pPr>
        <w:pStyle w:val="169"/>
        <w:spacing w:before="120" w:line="320" w:lineRule="exact"/>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验收标准：</w:t>
      </w:r>
    </w:p>
    <w:p w14:paraId="2F7A048B">
      <w:pPr>
        <w:pStyle w:val="169"/>
        <w:spacing w:before="120" w:line="320" w:lineRule="exact"/>
        <w:ind w:firstLine="42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ascii="宋体" w:hAnsi="宋体" w:eastAsia="宋体" w:cs="宋体"/>
          <w:color w:val="auto"/>
          <w:kern w:val="2"/>
          <w:sz w:val="21"/>
          <w:szCs w:val="21"/>
          <w:highlight w:val="none"/>
        </w:rPr>
        <w:t>1）中标（成交）供应商应提供完备的技术资料、装箱单和合格证等，并派遣专业人员进行现场安装调试。验收合格条件如下：</w:t>
      </w:r>
    </w:p>
    <w:p w14:paraId="4605E2DD">
      <w:pPr>
        <w:spacing w:before="120" w:line="320" w:lineRule="exact"/>
        <w:rPr>
          <w:rFonts w:ascii="宋体" w:hAnsi="宋体" w:cs="宋体"/>
          <w:color w:val="auto"/>
          <w:szCs w:val="21"/>
          <w:highlight w:val="none"/>
        </w:rPr>
      </w:pPr>
      <w:r>
        <w:rPr>
          <w:rFonts w:hint="eastAsia" w:ascii="宋体" w:hAnsi="宋体" w:cs="宋体"/>
          <w:color w:val="auto"/>
          <w:szCs w:val="21"/>
          <w:highlight w:val="none"/>
        </w:rPr>
        <w:t>货物技术参数与响应文件中响应表或证明材料一致，性能或指标达到规定的标准。否则，以实际货物技术参数与响应文件响应表参数或证明材料比较，按如下情况处理：</w:t>
      </w:r>
    </w:p>
    <w:p w14:paraId="18A67644">
      <w:pPr>
        <w:spacing w:before="120" w:line="320" w:lineRule="exact"/>
        <w:rPr>
          <w:rFonts w:ascii="宋体" w:hAnsi="宋体" w:cs="宋体"/>
          <w:color w:val="auto"/>
          <w:szCs w:val="21"/>
          <w:highlight w:val="none"/>
        </w:rPr>
      </w:pPr>
      <w:r>
        <w:rPr>
          <w:rFonts w:hint="eastAsia" w:ascii="宋体" w:hAnsi="宋体" w:cs="宋体"/>
          <w:color w:val="auto"/>
          <w:szCs w:val="21"/>
          <w:highlight w:val="none"/>
        </w:rPr>
        <w:t>①供应商响应文件响应表或证明材料中满足或优于的技术参数，在验收时实际不满足技术参数要求的，视为供应商违约，采购人有权解除合同拒收货物，并追究供应商责任，同时报财政部门备案。</w:t>
      </w:r>
    </w:p>
    <w:p w14:paraId="4F747700">
      <w:pPr>
        <w:spacing w:before="120" w:line="320" w:lineRule="exact"/>
        <w:rPr>
          <w:rFonts w:ascii="宋体" w:hAnsi="宋体" w:cs="宋体"/>
          <w:color w:val="auto"/>
          <w:szCs w:val="21"/>
          <w:highlight w:val="none"/>
        </w:rPr>
      </w:pPr>
      <w:r>
        <w:rPr>
          <w:rFonts w:hint="eastAsia" w:ascii="宋体" w:hAnsi="宋体" w:cs="宋体"/>
          <w:color w:val="auto"/>
          <w:szCs w:val="21"/>
          <w:highlight w:val="none"/>
        </w:rPr>
        <w:t>②供应商响应文件响应表或证明材料中优于的技术参数，在验收时实际仅满足并未优于技术参数要求的，视为供应商违约，采购人有权终止合同拒收货物，并追究供应商责任，同时报财政部门备案。</w:t>
      </w:r>
    </w:p>
    <w:p w14:paraId="00198FE8">
      <w:pPr>
        <w:spacing w:before="120" w:line="320" w:lineRule="exact"/>
        <w:rPr>
          <w:rFonts w:ascii="宋体" w:hAnsi="宋体" w:cs="宋体"/>
          <w:color w:val="auto"/>
          <w:szCs w:val="21"/>
          <w:highlight w:val="none"/>
        </w:rPr>
      </w:pPr>
      <w:r>
        <w:rPr>
          <w:rFonts w:hint="eastAsia" w:ascii="宋体" w:hAnsi="宋体" w:cs="宋体"/>
          <w:color w:val="auto"/>
          <w:szCs w:val="21"/>
          <w:highlight w:val="none"/>
        </w:rPr>
        <w:t xml:space="preserve">③供应商响应文件响应表或证明材料中不满足的技术参数，在验收时实际满足技术参数的要求，以满足技术参数的要求验收。 </w:t>
      </w:r>
    </w:p>
    <w:p w14:paraId="7C860206">
      <w:pPr>
        <w:spacing w:before="120" w:line="320" w:lineRule="exact"/>
        <w:rPr>
          <w:rFonts w:ascii="宋体" w:hAnsi="宋体" w:cs="宋体"/>
          <w:color w:val="auto"/>
          <w:szCs w:val="21"/>
          <w:highlight w:val="none"/>
        </w:rPr>
      </w:pPr>
      <w:r>
        <w:rPr>
          <w:rFonts w:hint="eastAsia" w:ascii="宋体" w:hAnsi="宋体" w:cs="宋体"/>
          <w:color w:val="auto"/>
          <w:szCs w:val="21"/>
          <w:highlight w:val="none"/>
        </w:rPr>
        <w:t>④供应商响应文件响应表或证明材料中满足的技术参数，在验收时实际优于技术参数的要求，以满足技术参数的要求验收。</w:t>
      </w:r>
    </w:p>
    <w:p w14:paraId="16C984C4">
      <w:pPr>
        <w:spacing w:before="120" w:line="320" w:lineRule="exact"/>
        <w:rPr>
          <w:rFonts w:ascii="宋体" w:hAnsi="宋体" w:cs="宋体"/>
          <w:color w:val="auto"/>
          <w:szCs w:val="21"/>
          <w:highlight w:val="none"/>
        </w:rPr>
      </w:pPr>
      <w:r>
        <w:rPr>
          <w:rFonts w:hint="eastAsia" w:ascii="宋体" w:hAnsi="宋体" w:cs="宋体"/>
          <w:color w:val="auto"/>
          <w:szCs w:val="21"/>
          <w:highlight w:val="none"/>
        </w:rPr>
        <w:t>⑤供应商响应文件响应表或证明材料中优于的技术参数，在验收时实际也优于技术参数的要求，但没有达到响应表或证明材料中优于的程度，由采购人与供应商协商按是否满足要求验收。</w:t>
      </w:r>
    </w:p>
    <w:p w14:paraId="261CB236">
      <w:pPr>
        <w:spacing w:before="120" w:line="320" w:lineRule="exact"/>
        <w:rPr>
          <w:rFonts w:ascii="宋体" w:hAnsi="宋体" w:cs="宋体"/>
          <w:color w:val="auto"/>
          <w:szCs w:val="21"/>
          <w:highlight w:val="none"/>
        </w:rPr>
      </w:pPr>
      <w:r>
        <w:rPr>
          <w:rFonts w:hint="eastAsia" w:ascii="宋体" w:hAnsi="宋体" w:cs="宋体"/>
          <w:color w:val="auto"/>
          <w:szCs w:val="21"/>
          <w:highlight w:val="none"/>
        </w:rPr>
        <w:t>⑥实际货物与响应货物型号不一致的，验收时不论实际是优于还是满足技术参数的要求，采购人均有权解除合同拒收货物。如影响货物的使用、质量、档次及采购人需求的，还可视为供应商违约，追究供应商责任，同时报财政部门备案。</w:t>
      </w:r>
    </w:p>
    <w:p w14:paraId="070DD3FB">
      <w:pPr>
        <w:spacing w:before="120"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（1）技术资料、装箱单、合格证等资料齐全。</w:t>
      </w:r>
    </w:p>
    <w:p w14:paraId="42A3BE5A">
      <w:pPr>
        <w:spacing w:before="120"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（2）在测试或试运行期间所出现的问题得到解决，并运行或工作正常。</w:t>
      </w:r>
    </w:p>
    <w:p w14:paraId="67B780C7">
      <w:pPr>
        <w:spacing w:before="120"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（3）在规定时间内完成交货及验收，并经采购人确认。</w:t>
      </w:r>
    </w:p>
    <w:p w14:paraId="35FA59A3">
      <w:pPr>
        <w:spacing w:before="120"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（4）货物在安装调试并试运行符合要求后，才作为最终验收。</w:t>
      </w:r>
    </w:p>
    <w:p w14:paraId="4B92D776">
      <w:pPr>
        <w:spacing w:before="120"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（5）成交供应商提供的货物未达到采购文件规定要求，且对采购人造成损失的，由成交供应商承担一切责任，并赔偿所造成的损失。</w:t>
      </w:r>
    </w:p>
    <w:p w14:paraId="05E8F8BA">
      <w:pPr>
        <w:spacing w:before="120"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（6）采购人需要制造商对成交供应商交付的产品（包括质量、参数等）进行确认的，制造商应予以配合并出具书面意见，相关配合事项由成交供应商与制造商协调。</w:t>
      </w:r>
    </w:p>
    <w:p w14:paraId="277ADB77">
      <w:pPr>
        <w:spacing w:before="120"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（7）产品包装材料归采购人所有。</w:t>
      </w:r>
    </w:p>
    <w:p w14:paraId="3F04C56A">
      <w:pPr>
        <w:spacing w:before="120"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（8）政府采购合同约定的其他要求及响应文件响应的其他标准。</w:t>
      </w:r>
    </w:p>
    <w:p w14:paraId="79A85EA5">
      <w:pPr>
        <w:spacing w:before="120" w:line="320" w:lineRule="exact"/>
        <w:jc w:val="left"/>
        <w:rPr>
          <w:rFonts w:ascii="宋体" w:hAnsi="宋体" w:cs="宋体"/>
          <w:b/>
          <w:bCs/>
          <w:color w:val="auto"/>
          <w:szCs w:val="21"/>
          <w:highlight w:val="none"/>
        </w:rPr>
      </w:pPr>
      <w:r>
        <w:rPr>
          <w:rFonts w:hint="eastAsia" w:ascii="宋体" w:hAnsi="宋体" w:cs="宋体"/>
          <w:b/>
          <w:bCs/>
          <w:color w:val="auto"/>
          <w:szCs w:val="21"/>
          <w:highlight w:val="none"/>
        </w:rPr>
        <w:t>8.履约验收其他事项</w:t>
      </w:r>
    </w:p>
    <w:p w14:paraId="588D0FFF">
      <w:pPr>
        <w:spacing w:before="120" w:line="320" w:lineRule="exact"/>
        <w:rPr>
          <w:rFonts w:ascii="仿宋" w:hAnsi="仿宋" w:eastAsia="仿宋"/>
          <w:color w:val="auto"/>
          <w:szCs w:val="21"/>
          <w:highlight w:val="none"/>
          <w:u w:val="single"/>
        </w:rPr>
      </w:pPr>
      <w:r>
        <w:rPr>
          <w:rFonts w:hint="eastAsia" w:ascii="宋体" w:hAnsi="宋体" w:cs="宋体"/>
          <w:color w:val="auto"/>
          <w:szCs w:val="21"/>
          <w:highlight w:val="none"/>
        </w:rPr>
        <w:t>无</w:t>
      </w:r>
      <w:r>
        <w:rPr>
          <w:rFonts w:hint="eastAsia" w:ascii="仿宋" w:hAnsi="仿宋" w:eastAsia="仿宋"/>
          <w:color w:val="auto"/>
          <w:szCs w:val="21"/>
          <w:highlight w:val="none"/>
          <w:u w:val="single"/>
        </w:rPr>
        <w:br w:type="page"/>
      </w:r>
    </w:p>
    <w:bookmarkEnd w:id="103"/>
    <w:bookmarkEnd w:id="104"/>
    <w:p w14:paraId="50B9A528">
      <w:pPr>
        <w:snapToGrid w:val="0"/>
        <w:spacing w:line="360" w:lineRule="exact"/>
        <w:jc w:val="center"/>
        <w:rPr>
          <w:b/>
          <w:bCs/>
          <w:color w:val="auto"/>
          <w:szCs w:val="21"/>
          <w:highlight w:val="none"/>
        </w:rPr>
      </w:pPr>
      <w:r>
        <w:rPr>
          <w:b/>
          <w:bCs/>
          <w:color w:val="auto"/>
          <w:szCs w:val="21"/>
          <w:highlight w:val="none"/>
        </w:rPr>
        <w:t>广西壮族自治区政府采购项目合同验收书</w:t>
      </w:r>
    </w:p>
    <w:p w14:paraId="37E12A83">
      <w:pPr>
        <w:widowControl/>
        <w:snapToGrid w:val="0"/>
        <w:spacing w:before="100" w:beforeAutospacing="1" w:after="100" w:afterAutospacing="1" w:line="320" w:lineRule="exact"/>
        <w:ind w:left="-359" w:leftChars="-171" w:firstLine="420" w:firstLineChars="200"/>
        <w:jc w:val="left"/>
        <w:rPr>
          <w:color w:val="auto"/>
          <w:kern w:val="0"/>
          <w:szCs w:val="21"/>
          <w:highlight w:val="none"/>
        </w:rPr>
      </w:pPr>
      <w:r>
        <w:rPr>
          <w:color w:val="auto"/>
          <w:kern w:val="0"/>
          <w:szCs w:val="21"/>
          <w:highlight w:val="none"/>
        </w:rPr>
        <w:t>根据政府采购项目（</w:t>
      </w:r>
      <w:r>
        <w:rPr>
          <w:color w:val="auto"/>
          <w:kern w:val="0"/>
          <w:szCs w:val="21"/>
          <w:highlight w:val="none"/>
          <w:u w:val="single"/>
        </w:rPr>
        <w:t>采购合同编号：</w:t>
      </w:r>
      <w:r>
        <w:rPr>
          <w:rFonts w:cs="Arial"/>
          <w:color w:val="auto"/>
          <w:szCs w:val="21"/>
          <w:highlight w:val="none"/>
          <w:u w:val="single"/>
        </w:rPr>
        <w:t>GXZC20XX-XX-XXXXX-JDZB</w:t>
      </w:r>
      <w:r>
        <w:rPr>
          <w:color w:val="auto"/>
          <w:kern w:val="0"/>
          <w:szCs w:val="21"/>
          <w:highlight w:val="none"/>
        </w:rPr>
        <w:t>）的约定，我单位对（</w:t>
      </w:r>
      <w:r>
        <w:rPr>
          <w:rFonts w:hint="eastAsia" w:cs="Arial"/>
          <w:color w:val="auto"/>
          <w:szCs w:val="21"/>
          <w:highlight w:val="none"/>
          <w:u w:val="single"/>
        </w:rPr>
        <w:t>XXXX采购项目</w:t>
      </w:r>
      <w:r>
        <w:rPr>
          <w:color w:val="auto"/>
          <w:kern w:val="0"/>
          <w:szCs w:val="21"/>
          <w:highlight w:val="none"/>
        </w:rPr>
        <w:t>）政府采购项目中标（或成交）供应商</w:t>
      </w:r>
      <w:r>
        <w:rPr>
          <w:rFonts w:hint="eastAsia"/>
          <w:color w:val="auto"/>
          <w:kern w:val="0"/>
          <w:szCs w:val="21"/>
          <w:highlight w:val="none"/>
          <w:u w:val="single"/>
        </w:rPr>
        <w:t>XX公司（填写供应商名称）</w:t>
      </w:r>
      <w:r>
        <w:rPr>
          <w:color w:val="auto"/>
          <w:kern w:val="0"/>
          <w:szCs w:val="21"/>
          <w:highlight w:val="none"/>
        </w:rPr>
        <w:t>提供的</w:t>
      </w:r>
      <w:r>
        <w:rPr>
          <w:rFonts w:hint="eastAsia"/>
          <w:color w:val="auto"/>
          <w:kern w:val="0"/>
          <w:szCs w:val="21"/>
          <w:highlight w:val="none"/>
        </w:rPr>
        <w:t>货物（或工程、服务）</w:t>
      </w:r>
      <w:r>
        <w:rPr>
          <w:color w:val="auto"/>
          <w:kern w:val="0"/>
          <w:szCs w:val="21"/>
          <w:highlight w:val="none"/>
        </w:rPr>
        <w:t>进行了验收，验收情况如下：</w:t>
      </w:r>
    </w:p>
    <w:tbl>
      <w:tblPr>
        <w:tblStyle w:val="51"/>
        <w:tblW w:w="962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661"/>
        <w:gridCol w:w="866"/>
        <w:gridCol w:w="977"/>
        <w:gridCol w:w="2263"/>
        <w:gridCol w:w="1608"/>
        <w:gridCol w:w="850"/>
        <w:gridCol w:w="242"/>
        <w:gridCol w:w="2160"/>
      </w:tblGrid>
      <w:tr w14:paraId="2C79C2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61" w:hRule="atLeast"/>
          <w:jc w:val="center"/>
        </w:trPr>
        <w:tc>
          <w:tcPr>
            <w:tcW w:w="2504" w:type="dxa"/>
            <w:gridSpan w:val="3"/>
            <w:tcBorders>
              <w:top w:val="single" w:color="auto" w:sz="8" w:space="0"/>
              <w:left w:val="single" w:color="auto" w:sz="8" w:space="0"/>
              <w:bottom w:val="single" w:color="auto" w:sz="8" w:space="0"/>
              <w:right w:val="single" w:color="auto" w:sz="8" w:space="0"/>
            </w:tcBorders>
            <w:noWrap w:val="0"/>
            <w:vAlign w:val="center"/>
          </w:tcPr>
          <w:p w14:paraId="40061B9D">
            <w:pPr>
              <w:widowControl/>
              <w:snapToGrid w:val="0"/>
              <w:spacing w:before="100" w:beforeAutospacing="1" w:after="100" w:afterAutospacing="1" w:line="320" w:lineRule="exact"/>
              <w:ind w:left="-3" w:firstLine="4" w:firstLineChars="2"/>
              <w:jc w:val="center"/>
              <w:rPr>
                <w:color w:val="auto"/>
                <w:kern w:val="0"/>
                <w:szCs w:val="21"/>
                <w:highlight w:val="none"/>
              </w:rPr>
            </w:pPr>
            <w:r>
              <w:rPr>
                <w:color w:val="auto"/>
                <w:kern w:val="0"/>
                <w:szCs w:val="21"/>
                <w:highlight w:val="none"/>
              </w:rPr>
              <w:t>验收方式：</w:t>
            </w:r>
          </w:p>
        </w:tc>
        <w:tc>
          <w:tcPr>
            <w:tcW w:w="7123" w:type="dxa"/>
            <w:gridSpan w:val="5"/>
            <w:tcBorders>
              <w:top w:val="single" w:color="auto" w:sz="8" w:space="0"/>
              <w:left w:val="single" w:color="auto" w:sz="8" w:space="0"/>
              <w:bottom w:val="single" w:color="auto" w:sz="8" w:space="0"/>
              <w:right w:val="single" w:color="auto" w:sz="8" w:space="0"/>
            </w:tcBorders>
            <w:noWrap w:val="0"/>
            <w:vAlign w:val="center"/>
          </w:tcPr>
          <w:p w14:paraId="50D602EA">
            <w:pPr>
              <w:widowControl/>
              <w:snapToGrid w:val="0"/>
              <w:spacing w:before="100" w:beforeAutospacing="1" w:after="100" w:afterAutospacing="1" w:line="320" w:lineRule="exact"/>
              <w:ind w:left="-3" w:firstLine="420" w:firstLineChars="200"/>
              <w:jc w:val="center"/>
              <w:rPr>
                <w:color w:val="auto"/>
                <w:kern w:val="0"/>
                <w:szCs w:val="21"/>
                <w:highlight w:val="none"/>
              </w:rPr>
            </w:pPr>
            <w:r>
              <w:rPr>
                <w:rFonts w:hint="eastAsia" w:cs="Arial"/>
                <w:color w:val="auto"/>
                <w:szCs w:val="21"/>
                <w:highlight w:val="none"/>
              </w:rPr>
              <w:t>□</w:t>
            </w:r>
            <w:r>
              <w:rPr>
                <w:color w:val="auto"/>
                <w:kern w:val="0"/>
                <w:szCs w:val="21"/>
                <w:highlight w:val="none"/>
              </w:rPr>
              <w:t>自行验收        </w:t>
            </w:r>
            <w:r>
              <w:rPr>
                <w:rFonts w:cs="Arial"/>
                <w:color w:val="auto"/>
                <w:szCs w:val="21"/>
                <w:highlight w:val="none"/>
              </w:rPr>
              <w:sym w:font="Wingdings 2" w:char="00A3"/>
            </w:r>
            <w:r>
              <w:rPr>
                <w:color w:val="auto"/>
                <w:kern w:val="0"/>
                <w:szCs w:val="21"/>
                <w:highlight w:val="none"/>
              </w:rPr>
              <w:t>委托验收</w:t>
            </w:r>
          </w:p>
        </w:tc>
      </w:tr>
      <w:tr w14:paraId="77B6EE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24" w:hRule="atLeast"/>
          <w:jc w:val="center"/>
        </w:trPr>
        <w:tc>
          <w:tcPr>
            <w:tcW w:w="661" w:type="dxa"/>
            <w:tcBorders>
              <w:top w:val="single" w:color="auto" w:sz="8" w:space="0"/>
              <w:left w:val="single" w:color="auto" w:sz="8" w:space="0"/>
              <w:bottom w:val="single" w:color="auto" w:sz="8" w:space="0"/>
              <w:right w:val="single" w:color="auto" w:sz="8" w:space="0"/>
            </w:tcBorders>
            <w:noWrap w:val="0"/>
            <w:vAlign w:val="center"/>
          </w:tcPr>
          <w:p w14:paraId="2A2BDC49">
            <w:pPr>
              <w:widowControl/>
              <w:snapToGrid w:val="0"/>
              <w:spacing w:before="100" w:beforeAutospacing="1" w:after="100" w:afterAutospacing="1" w:line="320" w:lineRule="exact"/>
              <w:ind w:firstLine="2" w:firstLineChars="1"/>
              <w:jc w:val="center"/>
              <w:rPr>
                <w:color w:val="auto"/>
                <w:kern w:val="0"/>
                <w:szCs w:val="21"/>
                <w:highlight w:val="none"/>
              </w:rPr>
            </w:pPr>
            <w:r>
              <w:rPr>
                <w:color w:val="auto"/>
                <w:kern w:val="0"/>
                <w:szCs w:val="21"/>
                <w:highlight w:val="none"/>
              </w:rPr>
              <w:t>序号</w:t>
            </w:r>
          </w:p>
        </w:tc>
        <w:tc>
          <w:tcPr>
            <w:tcW w:w="1843" w:type="dxa"/>
            <w:gridSpan w:val="2"/>
            <w:tcBorders>
              <w:top w:val="single" w:color="auto" w:sz="8" w:space="0"/>
              <w:left w:val="single" w:color="auto" w:sz="8" w:space="0"/>
              <w:bottom w:val="single" w:color="auto" w:sz="8" w:space="0"/>
              <w:right w:val="single" w:color="auto" w:sz="8" w:space="0"/>
            </w:tcBorders>
            <w:noWrap w:val="0"/>
            <w:vAlign w:val="center"/>
          </w:tcPr>
          <w:p w14:paraId="25ADD1C3">
            <w:pPr>
              <w:widowControl/>
              <w:snapToGrid w:val="0"/>
              <w:spacing w:before="100" w:beforeAutospacing="1" w:after="100" w:afterAutospacing="1" w:line="320" w:lineRule="exact"/>
              <w:ind w:left="-3" w:firstLine="2" w:firstLineChars="1"/>
              <w:jc w:val="center"/>
              <w:rPr>
                <w:color w:val="auto"/>
                <w:kern w:val="0"/>
                <w:szCs w:val="21"/>
                <w:highlight w:val="none"/>
              </w:rPr>
            </w:pPr>
            <w:r>
              <w:rPr>
                <w:color w:val="auto"/>
                <w:kern w:val="0"/>
                <w:szCs w:val="21"/>
                <w:highlight w:val="none"/>
              </w:rPr>
              <w:t>名  称</w:t>
            </w:r>
          </w:p>
        </w:tc>
        <w:tc>
          <w:tcPr>
            <w:tcW w:w="3871" w:type="dxa"/>
            <w:gridSpan w:val="2"/>
            <w:tcBorders>
              <w:top w:val="single" w:color="auto" w:sz="8" w:space="0"/>
              <w:left w:val="single" w:color="auto" w:sz="8" w:space="0"/>
              <w:bottom w:val="single" w:color="auto" w:sz="8" w:space="0"/>
              <w:right w:val="single" w:color="auto" w:sz="8" w:space="0"/>
            </w:tcBorders>
            <w:noWrap w:val="0"/>
            <w:vAlign w:val="center"/>
          </w:tcPr>
          <w:p w14:paraId="63161FFC">
            <w:pPr>
              <w:widowControl/>
              <w:snapToGrid w:val="0"/>
              <w:spacing w:before="100" w:beforeAutospacing="1" w:after="100" w:afterAutospacing="1" w:line="320" w:lineRule="exact"/>
              <w:ind w:left="-3" w:firstLine="2" w:firstLineChars="1"/>
              <w:jc w:val="center"/>
              <w:rPr>
                <w:color w:val="auto"/>
                <w:kern w:val="0"/>
                <w:szCs w:val="21"/>
                <w:highlight w:val="none"/>
              </w:rPr>
            </w:pPr>
            <w:r>
              <w:rPr>
                <w:color w:val="auto"/>
                <w:kern w:val="0"/>
                <w:szCs w:val="21"/>
                <w:highlight w:val="none"/>
              </w:rPr>
              <w:t>货物型号规格、标准及配置等（或服务内容、标准）</w:t>
            </w:r>
          </w:p>
        </w:tc>
        <w:tc>
          <w:tcPr>
            <w:tcW w:w="850" w:type="dxa"/>
            <w:tcBorders>
              <w:top w:val="single" w:color="auto" w:sz="8" w:space="0"/>
              <w:left w:val="single" w:color="auto" w:sz="8" w:space="0"/>
              <w:bottom w:val="single" w:color="auto" w:sz="8" w:space="0"/>
              <w:right w:val="single" w:color="auto" w:sz="8" w:space="0"/>
            </w:tcBorders>
            <w:noWrap w:val="0"/>
            <w:vAlign w:val="center"/>
          </w:tcPr>
          <w:p w14:paraId="08F17FBE">
            <w:pPr>
              <w:widowControl/>
              <w:snapToGrid w:val="0"/>
              <w:spacing w:before="100" w:beforeAutospacing="1" w:after="100" w:afterAutospacing="1" w:line="320" w:lineRule="exact"/>
              <w:jc w:val="center"/>
              <w:rPr>
                <w:color w:val="auto"/>
                <w:kern w:val="0"/>
                <w:szCs w:val="21"/>
                <w:highlight w:val="none"/>
              </w:rPr>
            </w:pPr>
            <w:r>
              <w:rPr>
                <w:color w:val="auto"/>
                <w:kern w:val="0"/>
                <w:szCs w:val="21"/>
                <w:highlight w:val="none"/>
              </w:rPr>
              <w:t>数量</w:t>
            </w:r>
          </w:p>
        </w:tc>
        <w:tc>
          <w:tcPr>
            <w:tcW w:w="2402" w:type="dxa"/>
            <w:gridSpan w:val="2"/>
            <w:tcBorders>
              <w:top w:val="single" w:color="auto" w:sz="8" w:space="0"/>
              <w:left w:val="single" w:color="auto" w:sz="8" w:space="0"/>
              <w:bottom w:val="single" w:color="auto" w:sz="8" w:space="0"/>
              <w:right w:val="single" w:color="auto" w:sz="8" w:space="0"/>
            </w:tcBorders>
            <w:noWrap w:val="0"/>
            <w:vAlign w:val="center"/>
          </w:tcPr>
          <w:p w14:paraId="400CF080">
            <w:pPr>
              <w:widowControl/>
              <w:snapToGrid w:val="0"/>
              <w:spacing w:before="100" w:beforeAutospacing="1" w:after="100" w:afterAutospacing="1" w:line="320" w:lineRule="exact"/>
              <w:ind w:left="-3" w:firstLine="2" w:firstLineChars="1"/>
              <w:jc w:val="center"/>
              <w:rPr>
                <w:color w:val="auto"/>
                <w:kern w:val="0"/>
                <w:szCs w:val="21"/>
                <w:highlight w:val="none"/>
              </w:rPr>
            </w:pPr>
            <w:r>
              <w:rPr>
                <w:color w:val="auto"/>
                <w:kern w:val="0"/>
                <w:szCs w:val="21"/>
                <w:highlight w:val="none"/>
              </w:rPr>
              <w:t>金  额</w:t>
            </w:r>
          </w:p>
        </w:tc>
      </w:tr>
      <w:tr w14:paraId="326443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661" w:type="dxa"/>
            <w:tcBorders>
              <w:top w:val="single" w:color="auto" w:sz="8" w:space="0"/>
              <w:left w:val="single" w:color="auto" w:sz="8" w:space="0"/>
              <w:bottom w:val="single" w:color="auto" w:sz="8" w:space="0"/>
              <w:right w:val="single" w:color="auto" w:sz="8" w:space="0"/>
            </w:tcBorders>
            <w:noWrap w:val="0"/>
            <w:vAlign w:val="center"/>
          </w:tcPr>
          <w:p w14:paraId="50B16D3C">
            <w:pPr>
              <w:widowControl/>
              <w:snapToGrid w:val="0"/>
              <w:spacing w:before="100" w:beforeAutospacing="1" w:after="100" w:afterAutospacing="1" w:line="320" w:lineRule="exact"/>
              <w:ind w:left="-3" w:firstLine="4" w:firstLineChars="2"/>
              <w:jc w:val="center"/>
              <w:rPr>
                <w:color w:val="auto"/>
                <w:kern w:val="0"/>
                <w:szCs w:val="21"/>
                <w:highlight w:val="none"/>
              </w:rPr>
            </w:pPr>
            <w:r>
              <w:rPr>
                <w:rFonts w:hint="eastAsia"/>
                <w:color w:val="auto"/>
                <w:kern w:val="0"/>
                <w:szCs w:val="21"/>
                <w:highlight w:val="none"/>
              </w:rPr>
              <w:t>1</w:t>
            </w:r>
          </w:p>
        </w:tc>
        <w:tc>
          <w:tcPr>
            <w:tcW w:w="1843" w:type="dxa"/>
            <w:gridSpan w:val="2"/>
            <w:tcBorders>
              <w:top w:val="single" w:color="auto" w:sz="8" w:space="0"/>
              <w:left w:val="single" w:color="auto" w:sz="8" w:space="0"/>
              <w:bottom w:val="single" w:color="auto" w:sz="8" w:space="0"/>
              <w:right w:val="single" w:color="auto" w:sz="8" w:space="0"/>
            </w:tcBorders>
            <w:noWrap w:val="0"/>
            <w:vAlign w:val="center"/>
          </w:tcPr>
          <w:p w14:paraId="05462597">
            <w:pPr>
              <w:widowControl/>
              <w:snapToGrid w:val="0"/>
              <w:spacing w:before="100" w:beforeAutospacing="1" w:after="100" w:afterAutospacing="1" w:line="320" w:lineRule="exact"/>
              <w:ind w:left="-3" w:firstLine="420" w:firstLineChars="200"/>
              <w:jc w:val="left"/>
              <w:rPr>
                <w:color w:val="auto"/>
                <w:kern w:val="0"/>
                <w:szCs w:val="21"/>
                <w:highlight w:val="none"/>
              </w:rPr>
            </w:pPr>
            <w:r>
              <w:rPr>
                <w:rFonts w:hint="eastAsia"/>
                <w:color w:val="auto"/>
                <w:kern w:val="0"/>
                <w:szCs w:val="21"/>
                <w:highlight w:val="none"/>
              </w:rPr>
              <w:t>XXXX设备</w:t>
            </w:r>
          </w:p>
        </w:tc>
        <w:tc>
          <w:tcPr>
            <w:tcW w:w="3871" w:type="dxa"/>
            <w:gridSpan w:val="2"/>
            <w:tcBorders>
              <w:top w:val="single" w:color="auto" w:sz="8" w:space="0"/>
              <w:left w:val="single" w:color="auto" w:sz="8" w:space="0"/>
              <w:bottom w:val="single" w:color="auto" w:sz="8" w:space="0"/>
              <w:right w:val="single" w:color="auto" w:sz="8" w:space="0"/>
            </w:tcBorders>
            <w:noWrap w:val="0"/>
            <w:vAlign w:val="center"/>
          </w:tcPr>
          <w:p w14:paraId="1887556C">
            <w:pPr>
              <w:pStyle w:val="172"/>
              <w:ind w:firstLine="0" w:firstLineChars="0"/>
              <w:rPr>
                <w:color w:val="auto"/>
                <w:kern w:val="0"/>
                <w:szCs w:val="21"/>
                <w:highlight w:val="none"/>
              </w:rPr>
            </w:pPr>
          </w:p>
        </w:tc>
        <w:tc>
          <w:tcPr>
            <w:tcW w:w="850" w:type="dxa"/>
            <w:tcBorders>
              <w:top w:val="single" w:color="auto" w:sz="8" w:space="0"/>
              <w:left w:val="single" w:color="auto" w:sz="8" w:space="0"/>
              <w:bottom w:val="single" w:color="auto" w:sz="8" w:space="0"/>
              <w:right w:val="single" w:color="auto" w:sz="8" w:space="0"/>
            </w:tcBorders>
            <w:noWrap w:val="0"/>
            <w:vAlign w:val="center"/>
          </w:tcPr>
          <w:p w14:paraId="378239DC">
            <w:pPr>
              <w:widowControl/>
              <w:snapToGrid w:val="0"/>
              <w:spacing w:before="100" w:beforeAutospacing="1" w:after="100" w:afterAutospacing="1" w:line="320" w:lineRule="exact"/>
              <w:jc w:val="center"/>
              <w:rPr>
                <w:color w:val="auto"/>
                <w:kern w:val="0"/>
                <w:szCs w:val="21"/>
                <w:highlight w:val="none"/>
              </w:rPr>
            </w:pPr>
            <w:r>
              <w:rPr>
                <w:color w:val="auto"/>
                <w:kern w:val="0"/>
                <w:szCs w:val="21"/>
                <w:highlight w:val="none"/>
              </w:rPr>
              <w:t>1</w:t>
            </w:r>
            <w:r>
              <w:rPr>
                <w:rFonts w:hint="eastAsia"/>
                <w:color w:val="auto"/>
                <w:kern w:val="0"/>
                <w:szCs w:val="21"/>
                <w:highlight w:val="none"/>
              </w:rPr>
              <w:t>套</w:t>
            </w:r>
          </w:p>
        </w:tc>
        <w:tc>
          <w:tcPr>
            <w:tcW w:w="2402" w:type="dxa"/>
            <w:gridSpan w:val="2"/>
            <w:tcBorders>
              <w:top w:val="single" w:color="auto" w:sz="8" w:space="0"/>
              <w:left w:val="single" w:color="auto" w:sz="8" w:space="0"/>
              <w:bottom w:val="single" w:color="auto" w:sz="8" w:space="0"/>
              <w:right w:val="single" w:color="auto" w:sz="8" w:space="0"/>
            </w:tcBorders>
            <w:noWrap w:val="0"/>
            <w:vAlign w:val="center"/>
          </w:tcPr>
          <w:p w14:paraId="152C76A6">
            <w:pPr>
              <w:pStyle w:val="172"/>
              <w:ind w:firstLine="0" w:firstLineChars="0"/>
              <w:jc w:val="center"/>
              <w:rPr>
                <w:color w:val="auto"/>
                <w:kern w:val="0"/>
                <w:szCs w:val="21"/>
                <w:highlight w:val="none"/>
              </w:rPr>
            </w:pPr>
            <w:r>
              <w:rPr>
                <w:color w:val="auto"/>
                <w:kern w:val="0"/>
                <w:szCs w:val="21"/>
                <w:highlight w:val="none"/>
              </w:rPr>
              <w:t>¥0.00元</w:t>
            </w:r>
          </w:p>
        </w:tc>
      </w:tr>
      <w:tr w14:paraId="5F0DFD9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6375" w:type="dxa"/>
            <w:gridSpan w:val="5"/>
            <w:tcBorders>
              <w:top w:val="single" w:color="auto" w:sz="8" w:space="0"/>
              <w:left w:val="single" w:color="auto" w:sz="8" w:space="0"/>
              <w:bottom w:val="single" w:color="auto" w:sz="8" w:space="0"/>
              <w:right w:val="single" w:color="auto" w:sz="8" w:space="0"/>
            </w:tcBorders>
            <w:noWrap w:val="0"/>
            <w:vAlign w:val="center"/>
          </w:tcPr>
          <w:p w14:paraId="033E3550">
            <w:pPr>
              <w:pStyle w:val="172"/>
              <w:ind w:firstLine="0" w:firstLineChars="0"/>
              <w:jc w:val="center"/>
              <w:rPr>
                <w:color w:val="auto"/>
                <w:kern w:val="0"/>
                <w:szCs w:val="21"/>
                <w:highlight w:val="none"/>
              </w:rPr>
            </w:pPr>
            <w:r>
              <w:rPr>
                <w:rFonts w:hint="eastAsia"/>
                <w:color w:val="auto"/>
                <w:kern w:val="0"/>
                <w:szCs w:val="21"/>
                <w:highlight w:val="none"/>
              </w:rPr>
              <w:t>合 计</w:t>
            </w:r>
          </w:p>
        </w:tc>
        <w:tc>
          <w:tcPr>
            <w:tcW w:w="850" w:type="dxa"/>
            <w:tcBorders>
              <w:top w:val="single" w:color="auto" w:sz="8" w:space="0"/>
              <w:left w:val="single" w:color="auto" w:sz="8" w:space="0"/>
              <w:bottom w:val="single" w:color="auto" w:sz="8" w:space="0"/>
              <w:right w:val="single" w:color="auto" w:sz="8" w:space="0"/>
            </w:tcBorders>
            <w:noWrap w:val="0"/>
            <w:vAlign w:val="center"/>
          </w:tcPr>
          <w:p w14:paraId="09385433">
            <w:pPr>
              <w:widowControl/>
              <w:snapToGrid w:val="0"/>
              <w:spacing w:before="100" w:beforeAutospacing="1" w:after="100" w:afterAutospacing="1" w:line="320" w:lineRule="exact"/>
              <w:jc w:val="center"/>
              <w:rPr>
                <w:color w:val="auto"/>
                <w:kern w:val="0"/>
                <w:szCs w:val="21"/>
                <w:highlight w:val="none"/>
              </w:rPr>
            </w:pPr>
          </w:p>
        </w:tc>
        <w:tc>
          <w:tcPr>
            <w:tcW w:w="2402" w:type="dxa"/>
            <w:gridSpan w:val="2"/>
            <w:tcBorders>
              <w:top w:val="single" w:color="auto" w:sz="8" w:space="0"/>
              <w:left w:val="single" w:color="auto" w:sz="8" w:space="0"/>
              <w:bottom w:val="single" w:color="auto" w:sz="8" w:space="0"/>
              <w:right w:val="single" w:color="auto" w:sz="8" w:space="0"/>
            </w:tcBorders>
            <w:noWrap w:val="0"/>
            <w:vAlign w:val="center"/>
          </w:tcPr>
          <w:p w14:paraId="659D6D5A">
            <w:pPr>
              <w:pStyle w:val="172"/>
              <w:ind w:firstLine="0" w:firstLineChars="0"/>
              <w:jc w:val="center"/>
              <w:rPr>
                <w:color w:val="auto"/>
                <w:kern w:val="0"/>
                <w:szCs w:val="21"/>
                <w:highlight w:val="none"/>
              </w:rPr>
            </w:pPr>
            <w:r>
              <w:rPr>
                <w:color w:val="auto"/>
                <w:kern w:val="0"/>
                <w:szCs w:val="21"/>
                <w:highlight w:val="none"/>
              </w:rPr>
              <w:t>¥0.00元</w:t>
            </w:r>
          </w:p>
        </w:tc>
      </w:tr>
      <w:tr w14:paraId="66E31F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55" w:hRule="atLeast"/>
          <w:jc w:val="center"/>
        </w:trPr>
        <w:tc>
          <w:tcPr>
            <w:tcW w:w="9627" w:type="dxa"/>
            <w:gridSpan w:val="8"/>
            <w:tcBorders>
              <w:top w:val="single" w:color="auto" w:sz="8" w:space="0"/>
              <w:left w:val="single" w:color="auto" w:sz="8" w:space="0"/>
              <w:bottom w:val="single" w:color="auto" w:sz="8" w:space="0"/>
              <w:right w:val="single" w:color="auto" w:sz="8" w:space="0"/>
            </w:tcBorders>
            <w:noWrap w:val="0"/>
            <w:vAlign w:val="center"/>
          </w:tcPr>
          <w:p w14:paraId="78761CFD">
            <w:pPr>
              <w:widowControl/>
              <w:snapToGrid w:val="0"/>
              <w:spacing w:before="100" w:beforeAutospacing="1" w:after="100" w:afterAutospacing="1" w:line="320" w:lineRule="exact"/>
              <w:ind w:firstLine="2" w:firstLineChars="1"/>
              <w:jc w:val="left"/>
              <w:rPr>
                <w:color w:val="auto"/>
                <w:kern w:val="0"/>
                <w:szCs w:val="21"/>
                <w:highlight w:val="none"/>
              </w:rPr>
            </w:pPr>
            <w:r>
              <w:rPr>
                <w:color w:val="auto"/>
                <w:kern w:val="0"/>
                <w:szCs w:val="21"/>
                <w:highlight w:val="none"/>
              </w:rPr>
              <w:t>合计大写金额：</w:t>
            </w:r>
            <w:r>
              <w:rPr>
                <w:rFonts w:hint="eastAsia"/>
                <w:color w:val="auto"/>
                <w:kern w:val="0"/>
                <w:szCs w:val="21"/>
                <w:highlight w:val="none"/>
              </w:rPr>
              <w:t>人民币元整</w:t>
            </w:r>
          </w:p>
        </w:tc>
      </w:tr>
      <w:tr w14:paraId="098548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49" w:hRule="atLeast"/>
          <w:jc w:val="center"/>
        </w:trPr>
        <w:tc>
          <w:tcPr>
            <w:tcW w:w="1527" w:type="dxa"/>
            <w:gridSpan w:val="2"/>
            <w:tcBorders>
              <w:top w:val="single" w:color="auto" w:sz="8" w:space="0"/>
              <w:left w:val="single" w:color="auto" w:sz="8" w:space="0"/>
              <w:bottom w:val="single" w:color="auto" w:sz="8" w:space="0"/>
              <w:right w:val="single" w:color="auto" w:sz="8" w:space="0"/>
            </w:tcBorders>
            <w:noWrap w:val="0"/>
            <w:vAlign w:val="center"/>
          </w:tcPr>
          <w:p w14:paraId="586AFDBC">
            <w:pPr>
              <w:widowControl/>
              <w:snapToGrid w:val="0"/>
              <w:spacing w:before="100" w:beforeAutospacing="1" w:after="100" w:afterAutospacing="1" w:line="320" w:lineRule="exact"/>
              <w:ind w:firstLine="2" w:firstLineChars="1"/>
              <w:jc w:val="left"/>
              <w:rPr>
                <w:rFonts w:ascii="宋体" w:hAnsi="宋体" w:cs="宋体"/>
                <w:color w:val="auto"/>
                <w:kern w:val="0"/>
                <w:szCs w:val="21"/>
                <w:highlight w:val="none"/>
              </w:rPr>
            </w:pPr>
            <w:r>
              <w:rPr>
                <w:rFonts w:hint="eastAsia" w:ascii="宋体" w:hAnsi="宋体" w:cs="宋体"/>
                <w:color w:val="auto"/>
                <w:kern w:val="0"/>
                <w:szCs w:val="21"/>
                <w:highlight w:val="none"/>
              </w:rPr>
              <w:t>实际供货日期</w:t>
            </w:r>
          </w:p>
        </w:tc>
        <w:tc>
          <w:tcPr>
            <w:tcW w:w="3240" w:type="dxa"/>
            <w:gridSpan w:val="2"/>
            <w:tcBorders>
              <w:top w:val="single" w:color="auto" w:sz="8" w:space="0"/>
              <w:left w:val="single" w:color="auto" w:sz="8" w:space="0"/>
              <w:bottom w:val="single" w:color="auto" w:sz="8" w:space="0"/>
              <w:right w:val="single" w:color="auto" w:sz="8" w:space="0"/>
            </w:tcBorders>
            <w:noWrap w:val="0"/>
            <w:vAlign w:val="center"/>
          </w:tcPr>
          <w:p w14:paraId="6C9FFC79">
            <w:pPr>
              <w:snapToGrid w:val="0"/>
              <w:spacing w:before="100" w:beforeAutospacing="1" w:after="100" w:afterAutospacing="1" w:line="32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20  年  月  日</w:t>
            </w:r>
          </w:p>
        </w:tc>
        <w:tc>
          <w:tcPr>
            <w:tcW w:w="2700" w:type="dxa"/>
            <w:gridSpan w:val="3"/>
            <w:tcBorders>
              <w:top w:val="single" w:color="auto" w:sz="8" w:space="0"/>
              <w:left w:val="single" w:color="auto" w:sz="8" w:space="0"/>
              <w:bottom w:val="single" w:color="auto" w:sz="8" w:space="0"/>
              <w:right w:val="single" w:color="auto" w:sz="8" w:space="0"/>
            </w:tcBorders>
            <w:noWrap w:val="0"/>
            <w:vAlign w:val="center"/>
          </w:tcPr>
          <w:p w14:paraId="70B9259B">
            <w:pPr>
              <w:snapToGrid w:val="0"/>
              <w:spacing w:before="100" w:beforeAutospacing="1" w:after="100" w:afterAutospacing="1" w:line="320" w:lineRule="exact"/>
              <w:ind w:firstLine="39" w:firstLineChars="19"/>
              <w:jc w:val="center"/>
              <w:rPr>
                <w:rFonts w:ascii="宋体" w:hAnsi="宋体" w:cs="宋体"/>
                <w:color w:val="auto"/>
                <w:kern w:val="0"/>
                <w:szCs w:val="21"/>
                <w:highlight w:val="none"/>
              </w:rPr>
            </w:pPr>
            <w:r>
              <w:rPr>
                <w:rFonts w:hint="eastAsia" w:ascii="宋体" w:hAnsi="宋体" w:cs="宋体"/>
                <w:color w:val="auto"/>
                <w:kern w:val="0"/>
                <w:szCs w:val="21"/>
                <w:highlight w:val="none"/>
              </w:rPr>
              <w:t>合同交货验收日期</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7DE50675">
            <w:pPr>
              <w:snapToGrid w:val="0"/>
              <w:spacing w:before="100" w:beforeAutospacing="1" w:after="100" w:afterAutospacing="1" w:line="32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20  年  月  日</w:t>
            </w:r>
          </w:p>
        </w:tc>
      </w:tr>
      <w:tr w14:paraId="1576285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93" w:hRule="atLeast"/>
          <w:jc w:val="center"/>
        </w:trPr>
        <w:tc>
          <w:tcPr>
            <w:tcW w:w="1527" w:type="dxa"/>
            <w:gridSpan w:val="2"/>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2A492CA2">
            <w:pPr>
              <w:widowControl/>
              <w:snapToGrid w:val="0"/>
              <w:spacing w:before="100" w:beforeAutospacing="1" w:after="100" w:afterAutospacing="1"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验收具体内容</w:t>
            </w:r>
          </w:p>
        </w:tc>
        <w:tc>
          <w:tcPr>
            <w:tcW w:w="8100" w:type="dxa"/>
            <w:gridSpan w:val="6"/>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244374C3">
            <w:pPr>
              <w:pStyle w:val="172"/>
              <w:ind w:firstLine="0" w:firstLineChars="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1.成交供应商所供货的设备的技术性能能满足采购合同约定的技术标准。</w:t>
            </w:r>
          </w:p>
          <w:p w14:paraId="35FA5C28">
            <w:pPr>
              <w:pStyle w:val="172"/>
              <w:ind w:firstLine="0" w:firstLineChars="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2.成交供应商对设备的安装调试符合合同约定或服务规范的要求。</w:t>
            </w:r>
          </w:p>
          <w:p w14:paraId="7A191828">
            <w:pPr>
              <w:pStyle w:val="172"/>
              <w:ind w:firstLine="0" w:firstLineChars="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3.成交供应商提供的质量保证证明材料齐全。</w:t>
            </w:r>
          </w:p>
          <w:p w14:paraId="01644C62">
            <w:pPr>
              <w:pStyle w:val="172"/>
              <w:ind w:firstLine="0" w:firstLineChars="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验收过程材料详见验收书附件《验收书附表——商务（服务）验收》以及《验收书附表——技术验收、安全验收》。</w:t>
            </w:r>
          </w:p>
        </w:tc>
      </w:tr>
      <w:tr w14:paraId="1DC092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46" w:hRule="atLeast"/>
          <w:jc w:val="center"/>
        </w:trPr>
        <w:tc>
          <w:tcPr>
            <w:tcW w:w="1527" w:type="dxa"/>
            <w:gridSpan w:val="2"/>
            <w:vMerge w:val="restart"/>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0AABACAD">
            <w:pPr>
              <w:widowControl/>
              <w:spacing w:before="100" w:beforeAutospacing="1" w:after="100" w:afterAutospacing="1"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验收小组意见</w:t>
            </w:r>
          </w:p>
        </w:tc>
        <w:tc>
          <w:tcPr>
            <w:tcW w:w="8100" w:type="dxa"/>
            <w:gridSpan w:val="6"/>
            <w:tcBorders>
              <w:top w:val="single" w:color="auto" w:sz="8" w:space="0"/>
              <w:left w:val="single" w:color="auto" w:sz="8" w:space="0"/>
              <w:bottom w:val="single" w:color="auto" w:sz="4" w:space="0"/>
              <w:right w:val="single" w:color="auto" w:sz="8" w:space="0"/>
            </w:tcBorders>
            <w:noWrap w:val="0"/>
            <w:vAlign w:val="center"/>
          </w:tcPr>
          <w:p w14:paraId="00A8345B">
            <w:pPr>
              <w:widowControl/>
              <w:spacing w:before="100" w:beforeAutospacing="1" w:after="100" w:afterAutospacing="1"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验收结论性意见：同意（不同意）通过项目验收</w:t>
            </w:r>
          </w:p>
        </w:tc>
      </w:tr>
      <w:tr w14:paraId="7DD27C1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037" w:hRule="atLeast"/>
          <w:jc w:val="center"/>
        </w:trPr>
        <w:tc>
          <w:tcPr>
            <w:tcW w:w="1527" w:type="dxa"/>
            <w:gridSpan w:val="2"/>
            <w:vMerge w:val="continue"/>
            <w:tcBorders>
              <w:top w:val="single" w:color="auto" w:sz="8" w:space="0"/>
              <w:left w:val="single" w:color="auto" w:sz="8" w:space="0"/>
              <w:bottom w:val="single" w:color="auto" w:sz="8" w:space="0"/>
              <w:right w:val="single" w:color="auto" w:sz="8" w:space="0"/>
            </w:tcBorders>
            <w:noWrap w:val="0"/>
            <w:vAlign w:val="center"/>
          </w:tcPr>
          <w:p w14:paraId="202C3397">
            <w:pPr>
              <w:widowControl/>
              <w:spacing w:line="320" w:lineRule="exact"/>
              <w:jc w:val="left"/>
              <w:rPr>
                <w:rFonts w:ascii="宋体" w:hAnsi="宋体" w:cs="宋体"/>
                <w:color w:val="auto"/>
                <w:kern w:val="0"/>
                <w:szCs w:val="21"/>
                <w:highlight w:val="none"/>
              </w:rPr>
            </w:pPr>
          </w:p>
        </w:tc>
        <w:tc>
          <w:tcPr>
            <w:tcW w:w="8100" w:type="dxa"/>
            <w:gridSpan w:val="6"/>
            <w:tcBorders>
              <w:top w:val="single" w:color="auto" w:sz="4" w:space="0"/>
              <w:left w:val="single" w:color="auto" w:sz="8" w:space="0"/>
              <w:bottom w:val="single" w:color="auto" w:sz="8" w:space="0"/>
              <w:right w:val="single" w:color="auto" w:sz="8" w:space="0"/>
            </w:tcBorders>
            <w:noWrap w:val="0"/>
            <w:vAlign w:val="center"/>
          </w:tcPr>
          <w:p w14:paraId="43CB7D27">
            <w:pPr>
              <w:pStyle w:val="172"/>
              <w:ind w:firstLine="0" w:firstLineChars="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有异议的意见和说明理由：</w:t>
            </w:r>
          </w:p>
          <w:p w14:paraId="5900801A">
            <w:pPr>
              <w:pStyle w:val="172"/>
              <w:ind w:firstLine="5880" w:firstLineChars="28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签字：</w:t>
            </w:r>
          </w:p>
        </w:tc>
      </w:tr>
      <w:tr w14:paraId="115FBEC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331" w:hRule="atLeast"/>
          <w:jc w:val="center"/>
        </w:trPr>
        <w:tc>
          <w:tcPr>
            <w:tcW w:w="9627" w:type="dxa"/>
            <w:gridSpan w:val="8"/>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7AC4C6DC">
            <w:pPr>
              <w:widowControl/>
              <w:spacing w:before="100" w:beforeAutospacing="1" w:after="100" w:afterAutospacing="1" w:line="320" w:lineRule="exact"/>
              <w:jc w:val="left"/>
              <w:rPr>
                <w:color w:val="auto"/>
                <w:kern w:val="0"/>
                <w:szCs w:val="21"/>
                <w:highlight w:val="none"/>
              </w:rPr>
            </w:pPr>
            <w:r>
              <w:rPr>
                <w:color w:val="auto"/>
                <w:kern w:val="0"/>
                <w:szCs w:val="21"/>
                <w:highlight w:val="none"/>
              </w:rPr>
              <w:t>验收小组成员签字：</w:t>
            </w:r>
          </w:p>
          <w:p w14:paraId="2A7C82F3">
            <w:pPr>
              <w:widowControl/>
              <w:spacing w:before="100" w:beforeAutospacing="1" w:after="100" w:afterAutospacing="1" w:line="320" w:lineRule="exact"/>
              <w:jc w:val="left"/>
              <w:rPr>
                <w:color w:val="auto"/>
                <w:kern w:val="0"/>
                <w:szCs w:val="21"/>
                <w:highlight w:val="none"/>
              </w:rPr>
            </w:pPr>
          </w:p>
        </w:tc>
      </w:tr>
      <w:tr w14:paraId="68E48B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110" w:hRule="atLeast"/>
          <w:jc w:val="center"/>
        </w:trPr>
        <w:tc>
          <w:tcPr>
            <w:tcW w:w="9627" w:type="dxa"/>
            <w:gridSpan w:val="8"/>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728F4F8D">
            <w:pPr>
              <w:widowControl/>
              <w:spacing w:before="100" w:beforeAutospacing="1" w:after="100" w:afterAutospacing="1" w:line="320" w:lineRule="exact"/>
              <w:jc w:val="left"/>
              <w:rPr>
                <w:color w:val="auto"/>
                <w:kern w:val="0"/>
                <w:szCs w:val="21"/>
                <w:highlight w:val="none"/>
              </w:rPr>
            </w:pPr>
            <w:r>
              <w:rPr>
                <w:color w:val="auto"/>
                <w:kern w:val="0"/>
                <w:szCs w:val="21"/>
                <w:highlight w:val="none"/>
              </w:rPr>
              <w:t>监督人员或其他相关人员签字：</w:t>
            </w:r>
          </w:p>
          <w:p w14:paraId="7D101B99">
            <w:pPr>
              <w:widowControl/>
              <w:spacing w:before="100" w:beforeAutospacing="1" w:after="100" w:afterAutospacing="1" w:line="320" w:lineRule="exact"/>
              <w:ind w:firstLine="65" w:firstLineChars="31"/>
              <w:jc w:val="left"/>
              <w:rPr>
                <w:color w:val="auto"/>
                <w:kern w:val="0"/>
                <w:szCs w:val="21"/>
                <w:highlight w:val="none"/>
              </w:rPr>
            </w:pPr>
            <w:r>
              <w:rPr>
                <w:color w:val="auto"/>
                <w:kern w:val="0"/>
                <w:szCs w:val="21"/>
                <w:highlight w:val="none"/>
              </w:rPr>
              <w:t>或受邀机构的意见（盖章）：</w:t>
            </w:r>
          </w:p>
        </w:tc>
      </w:tr>
      <w:tr w14:paraId="774715E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418" w:hRule="atLeast"/>
          <w:jc w:val="center"/>
        </w:trPr>
        <w:tc>
          <w:tcPr>
            <w:tcW w:w="4767" w:type="dxa"/>
            <w:gridSpan w:val="4"/>
            <w:tcBorders>
              <w:top w:val="single" w:color="auto" w:sz="8" w:space="0"/>
              <w:left w:val="single" w:color="auto" w:sz="8" w:space="0"/>
              <w:bottom w:val="single" w:color="auto" w:sz="8" w:space="0"/>
              <w:right w:val="nil"/>
            </w:tcBorders>
            <w:noWrap w:val="0"/>
            <w:tcMar>
              <w:top w:w="0" w:type="dxa"/>
              <w:left w:w="108" w:type="dxa"/>
              <w:bottom w:w="0" w:type="dxa"/>
              <w:right w:w="108" w:type="dxa"/>
            </w:tcMar>
            <w:vAlign w:val="center"/>
          </w:tcPr>
          <w:p w14:paraId="6D5FF887">
            <w:pPr>
              <w:widowControl/>
              <w:spacing w:before="100" w:beforeAutospacing="1" w:after="100" w:afterAutospacing="1" w:line="320" w:lineRule="exact"/>
              <w:ind w:firstLine="65" w:firstLineChars="31"/>
              <w:jc w:val="left"/>
              <w:rPr>
                <w:color w:val="auto"/>
                <w:kern w:val="0"/>
                <w:szCs w:val="21"/>
                <w:highlight w:val="none"/>
              </w:rPr>
            </w:pPr>
            <w:r>
              <w:rPr>
                <w:color w:val="auto"/>
                <w:kern w:val="0"/>
                <w:szCs w:val="21"/>
                <w:highlight w:val="none"/>
              </w:rPr>
              <w:t>中标或者成交供应商负责人签字或盖章：</w:t>
            </w:r>
          </w:p>
          <w:p w14:paraId="668237E9">
            <w:pPr>
              <w:widowControl/>
              <w:spacing w:before="100" w:beforeAutospacing="1" w:after="100" w:afterAutospacing="1" w:line="320" w:lineRule="exact"/>
              <w:jc w:val="left"/>
              <w:rPr>
                <w:color w:val="auto"/>
                <w:kern w:val="0"/>
                <w:szCs w:val="21"/>
                <w:highlight w:val="none"/>
              </w:rPr>
            </w:pPr>
            <w:r>
              <w:rPr>
                <w:color w:val="auto"/>
                <w:kern w:val="0"/>
                <w:szCs w:val="21"/>
                <w:highlight w:val="none"/>
              </w:rPr>
              <w:t>联系电话：     </w:t>
            </w:r>
            <w:r>
              <w:rPr>
                <w:rFonts w:hint="eastAsia"/>
                <w:color w:val="auto"/>
                <w:kern w:val="0"/>
                <w:szCs w:val="21"/>
                <w:highlight w:val="none"/>
              </w:rPr>
              <w:t xml:space="preserve">   </w:t>
            </w:r>
            <w:r>
              <w:rPr>
                <w:color w:val="auto"/>
                <w:kern w:val="0"/>
                <w:szCs w:val="21"/>
                <w:highlight w:val="none"/>
              </w:rPr>
              <w:t>  年</w:t>
            </w:r>
            <w:r>
              <w:rPr>
                <w:rFonts w:hint="eastAsia"/>
                <w:color w:val="auto"/>
                <w:kern w:val="0"/>
                <w:szCs w:val="21"/>
                <w:highlight w:val="none"/>
              </w:rPr>
              <w:t xml:space="preserve">  </w:t>
            </w:r>
            <w:r>
              <w:rPr>
                <w:color w:val="auto"/>
                <w:kern w:val="0"/>
                <w:szCs w:val="21"/>
                <w:highlight w:val="none"/>
              </w:rPr>
              <w:t> 月 </w:t>
            </w:r>
            <w:r>
              <w:rPr>
                <w:rFonts w:hint="eastAsia"/>
                <w:color w:val="auto"/>
                <w:kern w:val="0"/>
                <w:szCs w:val="21"/>
                <w:highlight w:val="none"/>
              </w:rPr>
              <w:t xml:space="preserve">  </w:t>
            </w:r>
            <w:r>
              <w:rPr>
                <w:color w:val="auto"/>
                <w:kern w:val="0"/>
                <w:szCs w:val="21"/>
                <w:highlight w:val="none"/>
              </w:rPr>
              <w:t>日</w:t>
            </w:r>
          </w:p>
          <w:p w14:paraId="63A1B93A">
            <w:pPr>
              <w:widowControl/>
              <w:spacing w:before="100" w:beforeAutospacing="1" w:after="100" w:afterAutospacing="1" w:line="320" w:lineRule="exact"/>
              <w:jc w:val="left"/>
              <w:rPr>
                <w:color w:val="auto"/>
                <w:kern w:val="0"/>
                <w:szCs w:val="21"/>
                <w:highlight w:val="none"/>
              </w:rPr>
            </w:pPr>
          </w:p>
          <w:p w14:paraId="095197FE">
            <w:pPr>
              <w:widowControl/>
              <w:spacing w:before="100" w:beforeAutospacing="1" w:after="100" w:afterAutospacing="1" w:line="320" w:lineRule="exact"/>
              <w:ind w:firstLine="65" w:firstLineChars="31"/>
              <w:jc w:val="left"/>
              <w:rPr>
                <w:color w:val="auto"/>
                <w:kern w:val="0"/>
                <w:szCs w:val="21"/>
                <w:highlight w:val="none"/>
              </w:rPr>
            </w:pPr>
            <w:r>
              <w:rPr>
                <w:rFonts w:hint="eastAsia"/>
                <w:color w:val="auto"/>
                <w:kern w:val="0"/>
                <w:szCs w:val="21"/>
                <w:highlight w:val="none"/>
              </w:rPr>
              <w:t>采购人</w:t>
            </w:r>
            <w:r>
              <w:rPr>
                <w:color w:val="auto"/>
                <w:kern w:val="0"/>
                <w:szCs w:val="21"/>
                <w:highlight w:val="none"/>
              </w:rPr>
              <w:t>签字或盖章：</w:t>
            </w:r>
          </w:p>
          <w:p w14:paraId="01FD9ABA">
            <w:pPr>
              <w:widowControl/>
              <w:spacing w:before="100" w:beforeAutospacing="1" w:after="100" w:afterAutospacing="1" w:line="320" w:lineRule="exact"/>
              <w:jc w:val="left"/>
              <w:rPr>
                <w:color w:val="auto"/>
                <w:kern w:val="0"/>
                <w:szCs w:val="21"/>
                <w:highlight w:val="none"/>
              </w:rPr>
            </w:pPr>
            <w:r>
              <w:rPr>
                <w:color w:val="auto"/>
                <w:kern w:val="0"/>
                <w:szCs w:val="21"/>
                <w:highlight w:val="none"/>
              </w:rPr>
              <w:t xml:space="preserve">联系电话：      </w:t>
            </w:r>
            <w:r>
              <w:rPr>
                <w:rFonts w:hint="eastAsia"/>
                <w:color w:val="auto"/>
                <w:kern w:val="0"/>
                <w:szCs w:val="21"/>
                <w:highlight w:val="none"/>
              </w:rPr>
              <w:t xml:space="preserve"> </w:t>
            </w:r>
            <w:r>
              <w:rPr>
                <w:color w:val="auto"/>
                <w:kern w:val="0"/>
                <w:szCs w:val="21"/>
                <w:highlight w:val="none"/>
              </w:rPr>
              <w:t>  年</w:t>
            </w:r>
            <w:r>
              <w:rPr>
                <w:rFonts w:hint="eastAsia"/>
                <w:color w:val="auto"/>
                <w:kern w:val="0"/>
                <w:szCs w:val="21"/>
                <w:highlight w:val="none"/>
              </w:rPr>
              <w:t xml:space="preserve">  </w:t>
            </w:r>
            <w:r>
              <w:rPr>
                <w:color w:val="auto"/>
                <w:kern w:val="0"/>
                <w:szCs w:val="21"/>
                <w:highlight w:val="none"/>
              </w:rPr>
              <w:t> 月 </w:t>
            </w:r>
            <w:r>
              <w:rPr>
                <w:rFonts w:hint="eastAsia"/>
                <w:color w:val="auto"/>
                <w:kern w:val="0"/>
                <w:szCs w:val="21"/>
                <w:highlight w:val="none"/>
              </w:rPr>
              <w:t xml:space="preserve">  </w:t>
            </w:r>
            <w:r>
              <w:rPr>
                <w:color w:val="auto"/>
                <w:kern w:val="0"/>
                <w:szCs w:val="21"/>
                <w:highlight w:val="none"/>
              </w:rPr>
              <w:t>日</w:t>
            </w:r>
          </w:p>
        </w:tc>
        <w:tc>
          <w:tcPr>
            <w:tcW w:w="4860" w:type="dxa"/>
            <w:gridSpan w:val="4"/>
            <w:tcBorders>
              <w:top w:val="single" w:color="auto" w:sz="8" w:space="0"/>
              <w:left w:val="nil"/>
              <w:bottom w:val="single" w:color="auto" w:sz="8" w:space="0"/>
              <w:right w:val="single" w:color="auto" w:sz="8" w:space="0"/>
            </w:tcBorders>
            <w:noWrap w:val="0"/>
            <w:vAlign w:val="center"/>
          </w:tcPr>
          <w:p w14:paraId="05E07D53">
            <w:pPr>
              <w:widowControl/>
              <w:spacing w:before="100" w:beforeAutospacing="1" w:after="100" w:afterAutospacing="1" w:line="320" w:lineRule="exact"/>
              <w:jc w:val="left"/>
              <w:rPr>
                <w:color w:val="auto"/>
                <w:kern w:val="0"/>
                <w:szCs w:val="21"/>
                <w:highlight w:val="none"/>
              </w:rPr>
            </w:pPr>
            <w:r>
              <w:rPr>
                <w:color w:val="auto"/>
                <w:kern w:val="0"/>
                <w:szCs w:val="21"/>
                <w:highlight w:val="none"/>
              </w:rPr>
              <w:t> 受托机构的意见（盖章）：</w:t>
            </w:r>
          </w:p>
          <w:p w14:paraId="47C7B1AE">
            <w:pPr>
              <w:widowControl/>
              <w:spacing w:before="100" w:beforeAutospacing="1" w:after="100" w:afterAutospacing="1" w:line="320" w:lineRule="exact"/>
              <w:jc w:val="left"/>
              <w:rPr>
                <w:color w:val="auto"/>
                <w:kern w:val="0"/>
                <w:szCs w:val="21"/>
                <w:highlight w:val="none"/>
              </w:rPr>
            </w:pPr>
            <w:r>
              <w:rPr>
                <w:color w:val="auto"/>
                <w:kern w:val="0"/>
                <w:szCs w:val="21"/>
                <w:highlight w:val="none"/>
              </w:rPr>
              <w:t xml:space="preserve">联系电话：                 </w:t>
            </w:r>
            <w:r>
              <w:rPr>
                <w:rFonts w:hint="eastAsia"/>
                <w:color w:val="auto"/>
                <w:kern w:val="0"/>
                <w:szCs w:val="21"/>
                <w:highlight w:val="none"/>
              </w:rPr>
              <w:t xml:space="preserve">    </w:t>
            </w:r>
            <w:r>
              <w:rPr>
                <w:color w:val="auto"/>
                <w:kern w:val="0"/>
                <w:szCs w:val="21"/>
                <w:highlight w:val="none"/>
              </w:rPr>
              <w:t>年   月   日</w:t>
            </w:r>
          </w:p>
          <w:p w14:paraId="524FCE28">
            <w:pPr>
              <w:widowControl/>
              <w:spacing w:before="100" w:beforeAutospacing="1" w:after="100" w:afterAutospacing="1" w:line="320" w:lineRule="exact"/>
              <w:jc w:val="left"/>
              <w:rPr>
                <w:color w:val="auto"/>
                <w:kern w:val="0"/>
                <w:szCs w:val="21"/>
                <w:highlight w:val="none"/>
              </w:rPr>
            </w:pPr>
          </w:p>
          <w:p w14:paraId="04EE4D84">
            <w:pPr>
              <w:widowControl/>
              <w:spacing w:before="100" w:beforeAutospacing="1" w:after="100" w:afterAutospacing="1" w:line="320" w:lineRule="exact"/>
              <w:jc w:val="left"/>
              <w:rPr>
                <w:color w:val="auto"/>
                <w:kern w:val="0"/>
                <w:szCs w:val="21"/>
                <w:highlight w:val="none"/>
              </w:rPr>
            </w:pPr>
          </w:p>
          <w:p w14:paraId="68940E88">
            <w:pPr>
              <w:widowControl/>
              <w:spacing w:before="100" w:beforeAutospacing="1" w:after="100" w:afterAutospacing="1" w:line="320" w:lineRule="exact"/>
              <w:jc w:val="left"/>
              <w:rPr>
                <w:color w:val="auto"/>
                <w:kern w:val="0"/>
                <w:szCs w:val="21"/>
                <w:highlight w:val="none"/>
              </w:rPr>
            </w:pPr>
          </w:p>
        </w:tc>
      </w:tr>
    </w:tbl>
    <w:p w14:paraId="24F9F108">
      <w:pPr>
        <w:widowControl/>
        <w:jc w:val="left"/>
        <w:rPr>
          <w:rFonts w:ascii="仿宋" w:hAnsi="仿宋" w:eastAsia="仿宋"/>
          <w:color w:val="auto"/>
          <w:szCs w:val="21"/>
          <w:highlight w:val="none"/>
          <w:u w:val="single"/>
        </w:rPr>
      </w:pPr>
      <w:r>
        <w:rPr>
          <w:color w:val="auto"/>
          <w:spacing w:val="-10"/>
          <w:kern w:val="0"/>
          <w:szCs w:val="21"/>
          <w:highlight w:val="none"/>
        </w:rPr>
        <w:t>备注：本报告单一式4份（采购单位1份、供应商1份、采购监督部门备案1份、采购代理机构1份）</w:t>
      </w:r>
    </w:p>
    <w:p w14:paraId="1D1E93B8">
      <w:pPr>
        <w:pStyle w:val="26"/>
        <w:snapToGrid w:val="0"/>
        <w:spacing w:before="120" w:after="120"/>
        <w:outlineLvl w:val="0"/>
        <w:rPr>
          <w:rFonts w:ascii="Times New Roman" w:hAnsi="Times New Roman" w:cs="Times New Roman"/>
          <w:b/>
          <w:color w:val="auto"/>
          <w:sz w:val="32"/>
          <w:szCs w:val="32"/>
          <w:highlight w:val="none"/>
        </w:rPr>
        <w:sectPr>
          <w:headerReference r:id="rId12" w:type="default"/>
          <w:pgSz w:w="11906" w:h="16838"/>
          <w:pgMar w:top="1418" w:right="1418" w:bottom="1246" w:left="1418" w:header="851" w:footer="992" w:gutter="0"/>
          <w:cols w:space="720" w:num="1"/>
          <w:docGrid w:linePitch="312" w:charSpace="0"/>
        </w:sectPr>
      </w:pPr>
    </w:p>
    <w:bookmarkEnd w:id="0"/>
    <w:bookmarkEnd w:id="1"/>
    <w:p w14:paraId="32EA4A82">
      <w:pPr>
        <w:widowControl/>
        <w:jc w:val="center"/>
        <w:outlineLvl w:val="0"/>
        <w:rPr>
          <w:color w:val="auto"/>
          <w:sz w:val="32"/>
          <w:szCs w:val="32"/>
          <w:highlight w:val="none"/>
        </w:rPr>
      </w:pPr>
      <w:bookmarkStart w:id="105" w:name="_Toc164874511"/>
      <w:r>
        <w:rPr>
          <w:color w:val="auto"/>
          <w:sz w:val="32"/>
          <w:szCs w:val="32"/>
          <w:highlight w:val="none"/>
        </w:rPr>
        <w:t>第六章  响应文件格式</w:t>
      </w:r>
      <w:bookmarkEnd w:id="105"/>
    </w:p>
    <w:p w14:paraId="6CC5F2DC">
      <w:pPr>
        <w:rPr>
          <w:rFonts w:hint="eastAsia"/>
          <w:color w:val="auto"/>
          <w:sz w:val="28"/>
          <w:szCs w:val="28"/>
          <w:highlight w:val="none"/>
        </w:rPr>
      </w:pPr>
      <w:bookmarkStart w:id="106" w:name="_Toc254970556"/>
      <w:bookmarkStart w:id="107" w:name="_Toc254970697"/>
    </w:p>
    <w:p w14:paraId="72E0B597">
      <w:pPr>
        <w:rPr>
          <w:rFonts w:hint="eastAsia"/>
          <w:color w:val="auto"/>
          <w:sz w:val="28"/>
          <w:szCs w:val="28"/>
          <w:highlight w:val="none"/>
        </w:rPr>
      </w:pPr>
    </w:p>
    <w:p w14:paraId="2A0570C7">
      <w:pPr>
        <w:spacing w:line="500" w:lineRule="exact"/>
        <w:ind w:firstLine="560" w:firstLineChars="200"/>
        <w:rPr>
          <w:rFonts w:hint="eastAsia"/>
          <w:color w:val="auto"/>
          <w:sz w:val="28"/>
          <w:szCs w:val="28"/>
          <w:highlight w:val="none"/>
        </w:rPr>
      </w:pPr>
      <w:bookmarkStart w:id="108" w:name="_Hlk89181132"/>
      <w:r>
        <w:rPr>
          <w:rFonts w:hint="eastAsia"/>
          <w:color w:val="auto"/>
          <w:sz w:val="28"/>
          <w:szCs w:val="28"/>
          <w:highlight w:val="none"/>
        </w:rPr>
        <w:t>注：有签字、盖章要求的应按要求签字（签章）、盖章（签章）</w:t>
      </w:r>
      <w:bookmarkEnd w:id="106"/>
      <w:bookmarkEnd w:id="107"/>
      <w:bookmarkEnd w:id="108"/>
    </w:p>
    <w:p w14:paraId="77A644A3">
      <w:pPr>
        <w:snapToGrid w:val="0"/>
        <w:spacing w:before="120" w:beforeLines="50" w:after="50" w:line="440" w:lineRule="exact"/>
        <w:jc w:val="left"/>
        <w:outlineLvl w:val="1"/>
        <w:rPr>
          <w:b/>
          <w:color w:val="auto"/>
          <w:sz w:val="24"/>
          <w:highlight w:val="none"/>
        </w:rPr>
      </w:pPr>
      <w:r>
        <w:rPr>
          <w:color w:val="auto"/>
          <w:sz w:val="24"/>
          <w:highlight w:val="none"/>
        </w:rPr>
        <w:br w:type="page"/>
      </w:r>
      <w:r>
        <w:rPr>
          <w:rFonts w:hint="eastAsia"/>
          <w:color w:val="auto"/>
          <w:sz w:val="24"/>
          <w:highlight w:val="none"/>
        </w:rPr>
        <w:t>1.</w:t>
      </w:r>
      <w:r>
        <w:rPr>
          <w:b/>
          <w:color w:val="auto"/>
          <w:sz w:val="24"/>
          <w:highlight w:val="none"/>
        </w:rPr>
        <w:t xml:space="preserve">响应文件封面格式： </w:t>
      </w:r>
    </w:p>
    <w:p w14:paraId="23E538B7">
      <w:pPr>
        <w:snapToGrid w:val="0"/>
        <w:spacing w:before="120" w:beforeLines="50" w:after="50" w:line="360" w:lineRule="exact"/>
        <w:rPr>
          <w:color w:val="auto"/>
          <w:sz w:val="24"/>
          <w:highlight w:val="none"/>
        </w:rPr>
      </w:pPr>
    </w:p>
    <w:p w14:paraId="506CAAC2">
      <w:pPr>
        <w:snapToGrid w:val="0"/>
        <w:spacing w:before="120" w:beforeLines="50" w:after="50" w:line="360" w:lineRule="exact"/>
        <w:jc w:val="right"/>
        <w:rPr>
          <w:rFonts w:hint="eastAsia"/>
          <w:bCs/>
          <w:color w:val="auto"/>
          <w:sz w:val="24"/>
          <w:highlight w:val="none"/>
        </w:rPr>
      </w:pPr>
    </w:p>
    <w:p w14:paraId="3DA35097">
      <w:pPr>
        <w:snapToGrid w:val="0"/>
        <w:spacing w:before="120" w:beforeLines="50" w:after="50" w:line="360" w:lineRule="exact"/>
        <w:jc w:val="center"/>
        <w:rPr>
          <w:bCs/>
          <w:color w:val="auto"/>
          <w:sz w:val="24"/>
          <w:highlight w:val="none"/>
        </w:rPr>
      </w:pPr>
    </w:p>
    <w:p w14:paraId="74B07045">
      <w:pPr>
        <w:snapToGrid w:val="0"/>
        <w:spacing w:before="120" w:beforeLines="50" w:after="50" w:line="360" w:lineRule="exact"/>
        <w:jc w:val="center"/>
        <w:rPr>
          <w:b/>
          <w:bCs/>
          <w:color w:val="auto"/>
          <w:sz w:val="44"/>
          <w:szCs w:val="44"/>
          <w:highlight w:val="none"/>
        </w:rPr>
      </w:pPr>
    </w:p>
    <w:p w14:paraId="0169F67E">
      <w:pPr>
        <w:snapToGrid w:val="0"/>
        <w:spacing w:before="120" w:beforeLines="50" w:after="50" w:line="360" w:lineRule="exact"/>
        <w:jc w:val="center"/>
        <w:rPr>
          <w:b/>
          <w:bCs/>
          <w:color w:val="auto"/>
          <w:sz w:val="44"/>
          <w:szCs w:val="44"/>
          <w:highlight w:val="none"/>
        </w:rPr>
      </w:pPr>
      <w:r>
        <w:rPr>
          <w:rFonts w:hint="eastAsia"/>
          <w:b/>
          <w:bCs/>
          <w:color w:val="auto"/>
          <w:sz w:val="44"/>
          <w:szCs w:val="44"/>
          <w:highlight w:val="none"/>
        </w:rPr>
        <w:t>电子</w:t>
      </w:r>
      <w:r>
        <w:rPr>
          <w:b/>
          <w:bCs/>
          <w:color w:val="auto"/>
          <w:sz w:val="44"/>
          <w:szCs w:val="44"/>
          <w:highlight w:val="none"/>
        </w:rPr>
        <w:t>响应文件</w:t>
      </w:r>
    </w:p>
    <w:p w14:paraId="729DA2F4">
      <w:pPr>
        <w:snapToGrid w:val="0"/>
        <w:spacing w:before="120" w:beforeLines="50" w:after="50" w:line="360" w:lineRule="exact"/>
        <w:rPr>
          <w:bCs/>
          <w:color w:val="auto"/>
          <w:sz w:val="24"/>
          <w:highlight w:val="none"/>
        </w:rPr>
      </w:pPr>
    </w:p>
    <w:p w14:paraId="0D5EB5CF">
      <w:pPr>
        <w:snapToGrid w:val="0"/>
        <w:spacing w:before="120" w:beforeLines="50" w:after="50" w:line="360" w:lineRule="exact"/>
        <w:ind w:firstLine="720" w:firstLineChars="300"/>
        <w:rPr>
          <w:bCs/>
          <w:color w:val="auto"/>
          <w:sz w:val="24"/>
          <w:highlight w:val="none"/>
        </w:rPr>
      </w:pPr>
      <w:r>
        <w:rPr>
          <w:bCs/>
          <w:color w:val="auto"/>
          <w:sz w:val="24"/>
          <w:highlight w:val="none"/>
        </w:rPr>
        <w:t xml:space="preserve">项目名称： </w:t>
      </w:r>
    </w:p>
    <w:p w14:paraId="0B908969">
      <w:pPr>
        <w:snapToGrid w:val="0"/>
        <w:spacing w:before="120" w:beforeLines="50" w:after="50" w:line="360" w:lineRule="exact"/>
        <w:ind w:firstLine="720" w:firstLineChars="300"/>
        <w:rPr>
          <w:bCs/>
          <w:color w:val="auto"/>
          <w:sz w:val="24"/>
          <w:highlight w:val="none"/>
        </w:rPr>
      </w:pPr>
      <w:r>
        <w:rPr>
          <w:bCs/>
          <w:color w:val="auto"/>
          <w:sz w:val="24"/>
          <w:highlight w:val="none"/>
        </w:rPr>
        <w:t>项目编号：</w:t>
      </w:r>
    </w:p>
    <w:p w14:paraId="02AB87BF">
      <w:pPr>
        <w:snapToGrid w:val="0"/>
        <w:spacing w:before="120" w:beforeLines="50" w:after="50" w:line="440" w:lineRule="exact"/>
        <w:ind w:firstLine="720" w:firstLineChars="300"/>
        <w:rPr>
          <w:bCs/>
          <w:color w:val="auto"/>
          <w:sz w:val="24"/>
          <w:highlight w:val="none"/>
        </w:rPr>
      </w:pPr>
      <w:r>
        <w:rPr>
          <w:bCs/>
          <w:color w:val="auto"/>
          <w:sz w:val="24"/>
          <w:highlight w:val="none"/>
        </w:rPr>
        <w:t>分标号：（若无</w:t>
      </w:r>
      <w:r>
        <w:rPr>
          <w:rFonts w:hint="eastAsia"/>
          <w:bCs/>
          <w:color w:val="auto"/>
          <w:sz w:val="24"/>
          <w:highlight w:val="none"/>
        </w:rPr>
        <w:t>留空或写</w:t>
      </w:r>
      <w:r>
        <w:rPr>
          <w:bCs/>
          <w:color w:val="auto"/>
          <w:sz w:val="24"/>
          <w:highlight w:val="none"/>
        </w:rPr>
        <w:t>“/”）</w:t>
      </w:r>
    </w:p>
    <w:p w14:paraId="2A3339D9">
      <w:pPr>
        <w:pStyle w:val="7"/>
        <w:snapToGrid w:val="0"/>
        <w:spacing w:before="50" w:after="50" w:line="440" w:lineRule="exact"/>
        <w:ind w:firstLine="720" w:firstLineChars="300"/>
        <w:rPr>
          <w:bCs/>
          <w:color w:val="auto"/>
          <w:sz w:val="24"/>
          <w:szCs w:val="24"/>
          <w:highlight w:val="none"/>
        </w:rPr>
      </w:pPr>
      <w:r>
        <w:rPr>
          <w:bCs/>
          <w:color w:val="auto"/>
          <w:sz w:val="24"/>
          <w:szCs w:val="24"/>
          <w:highlight w:val="none"/>
        </w:rPr>
        <w:t>响应文件名称：资格</w:t>
      </w:r>
      <w:r>
        <w:rPr>
          <w:rFonts w:hint="eastAsia"/>
          <w:bCs/>
          <w:color w:val="auto"/>
          <w:sz w:val="24"/>
          <w:szCs w:val="24"/>
          <w:highlight w:val="none"/>
        </w:rPr>
        <w:t>证明</w:t>
      </w:r>
      <w:r>
        <w:rPr>
          <w:bCs/>
          <w:color w:val="auto"/>
          <w:sz w:val="24"/>
          <w:szCs w:val="24"/>
          <w:highlight w:val="none"/>
        </w:rPr>
        <w:t>文件、商务技术文件、报价文件</w:t>
      </w:r>
    </w:p>
    <w:p w14:paraId="0539B898">
      <w:pPr>
        <w:snapToGrid w:val="0"/>
        <w:spacing w:before="120" w:beforeLines="50" w:after="50" w:line="360" w:lineRule="exact"/>
        <w:ind w:firstLine="720" w:firstLineChars="300"/>
        <w:rPr>
          <w:bCs/>
          <w:color w:val="auto"/>
          <w:sz w:val="24"/>
          <w:highlight w:val="none"/>
        </w:rPr>
      </w:pPr>
      <w:r>
        <w:rPr>
          <w:bCs/>
          <w:color w:val="auto"/>
          <w:sz w:val="24"/>
          <w:highlight w:val="none"/>
        </w:rPr>
        <w:t>供应商名称：</w:t>
      </w:r>
    </w:p>
    <w:p w14:paraId="0330E1E8">
      <w:pPr>
        <w:snapToGrid w:val="0"/>
        <w:spacing w:before="120" w:beforeLines="50" w:after="50" w:line="360" w:lineRule="exact"/>
        <w:ind w:firstLine="720" w:firstLineChars="300"/>
        <w:rPr>
          <w:bCs/>
          <w:color w:val="auto"/>
          <w:sz w:val="24"/>
          <w:highlight w:val="none"/>
        </w:rPr>
      </w:pPr>
      <w:r>
        <w:rPr>
          <w:bCs/>
          <w:color w:val="auto"/>
          <w:sz w:val="24"/>
          <w:highlight w:val="none"/>
        </w:rPr>
        <w:t>供应商地址：</w:t>
      </w:r>
    </w:p>
    <w:p w14:paraId="203D1728">
      <w:pPr>
        <w:pStyle w:val="7"/>
        <w:snapToGrid w:val="0"/>
        <w:spacing w:before="50" w:after="50" w:line="360" w:lineRule="exact"/>
        <w:ind w:firstLine="960" w:firstLineChars="400"/>
        <w:rPr>
          <w:bCs/>
          <w:color w:val="auto"/>
          <w:sz w:val="24"/>
          <w:szCs w:val="24"/>
          <w:highlight w:val="none"/>
        </w:rPr>
      </w:pPr>
    </w:p>
    <w:p w14:paraId="2904D958">
      <w:pPr>
        <w:snapToGrid w:val="0"/>
        <w:spacing w:before="120" w:beforeLines="50" w:after="50" w:line="360" w:lineRule="exact"/>
        <w:jc w:val="center"/>
        <w:rPr>
          <w:color w:val="auto"/>
          <w:sz w:val="24"/>
          <w:highlight w:val="none"/>
        </w:rPr>
      </w:pPr>
      <w:r>
        <w:rPr>
          <w:color w:val="auto"/>
          <w:sz w:val="24"/>
          <w:highlight w:val="none"/>
        </w:rPr>
        <w:t xml:space="preserve">                        年  月  日</w:t>
      </w:r>
    </w:p>
    <w:p w14:paraId="6FA43E35">
      <w:pPr>
        <w:snapToGrid w:val="0"/>
        <w:spacing w:before="50" w:after="50" w:line="440" w:lineRule="exact"/>
        <w:rPr>
          <w:b/>
          <w:color w:val="auto"/>
          <w:sz w:val="24"/>
          <w:highlight w:val="none"/>
        </w:rPr>
      </w:pPr>
      <w:r>
        <w:rPr>
          <w:b/>
          <w:color w:val="auto"/>
          <w:sz w:val="24"/>
          <w:highlight w:val="none"/>
        </w:rPr>
        <w:t xml:space="preserve"> </w:t>
      </w:r>
    </w:p>
    <w:p w14:paraId="466472C8">
      <w:pPr>
        <w:rPr>
          <w:color w:val="auto"/>
          <w:highlight w:val="none"/>
        </w:rPr>
      </w:pPr>
      <w:r>
        <w:rPr>
          <w:color w:val="auto"/>
          <w:highlight w:val="none"/>
        </w:rPr>
        <w:t xml:space="preserve"> </w:t>
      </w:r>
    </w:p>
    <w:p w14:paraId="0B8E1687">
      <w:pPr>
        <w:snapToGrid w:val="0"/>
        <w:spacing w:before="120" w:beforeLines="50" w:after="50" w:line="440" w:lineRule="exact"/>
        <w:jc w:val="center"/>
        <w:outlineLvl w:val="1"/>
        <w:rPr>
          <w:b/>
          <w:bCs/>
          <w:color w:val="auto"/>
          <w:sz w:val="24"/>
          <w:highlight w:val="none"/>
        </w:rPr>
      </w:pPr>
      <w:bookmarkStart w:id="109" w:name="_Toc254970698"/>
      <w:bookmarkStart w:id="110" w:name="_Toc254970557"/>
      <w:r>
        <w:rPr>
          <w:color w:val="auto"/>
          <w:sz w:val="24"/>
          <w:highlight w:val="none"/>
        </w:rPr>
        <w:br w:type="page"/>
      </w:r>
      <w:bookmarkEnd w:id="109"/>
      <w:bookmarkEnd w:id="110"/>
    </w:p>
    <w:p w14:paraId="59A25078">
      <w:pPr>
        <w:snapToGrid w:val="0"/>
        <w:spacing w:before="120" w:beforeLines="50" w:after="50" w:line="440" w:lineRule="exact"/>
        <w:jc w:val="center"/>
        <w:rPr>
          <w:color w:val="auto"/>
          <w:sz w:val="24"/>
          <w:highlight w:val="none"/>
        </w:rPr>
      </w:pPr>
    </w:p>
    <w:p w14:paraId="1BEA088B">
      <w:pPr>
        <w:snapToGrid w:val="0"/>
        <w:spacing w:before="50" w:after="50" w:line="440" w:lineRule="exact"/>
        <w:ind w:firstLine="138" w:firstLineChars="49"/>
        <w:jc w:val="center"/>
        <w:rPr>
          <w:b/>
          <w:color w:val="auto"/>
          <w:sz w:val="28"/>
          <w:szCs w:val="28"/>
          <w:highlight w:val="none"/>
        </w:rPr>
      </w:pPr>
      <w:r>
        <w:rPr>
          <w:b/>
          <w:color w:val="auto"/>
          <w:sz w:val="28"/>
          <w:szCs w:val="28"/>
          <w:highlight w:val="none"/>
        </w:rPr>
        <w:t>目录</w:t>
      </w:r>
    </w:p>
    <w:p w14:paraId="2564865F">
      <w:pPr>
        <w:snapToGrid w:val="0"/>
        <w:spacing w:before="50" w:after="50" w:line="440" w:lineRule="exact"/>
        <w:ind w:firstLine="118" w:firstLineChars="49"/>
        <w:jc w:val="center"/>
        <w:rPr>
          <w:rFonts w:hint="eastAsia"/>
          <w:b/>
          <w:color w:val="auto"/>
          <w:sz w:val="24"/>
          <w:highlight w:val="none"/>
        </w:rPr>
      </w:pPr>
      <w:r>
        <w:rPr>
          <w:b/>
          <w:color w:val="auto"/>
          <w:sz w:val="24"/>
          <w:highlight w:val="none"/>
        </w:rPr>
        <w:t>（需有页码）</w:t>
      </w:r>
    </w:p>
    <w:p w14:paraId="41350C3A">
      <w:pPr>
        <w:snapToGrid w:val="0"/>
        <w:spacing w:before="120" w:beforeLines="50" w:after="50" w:line="440" w:lineRule="exact"/>
        <w:jc w:val="center"/>
        <w:outlineLvl w:val="1"/>
        <w:rPr>
          <w:bCs/>
          <w:color w:val="auto"/>
          <w:sz w:val="24"/>
          <w:highlight w:val="none"/>
        </w:rPr>
      </w:pPr>
      <w:r>
        <w:rPr>
          <w:b/>
          <w:color w:val="auto"/>
          <w:sz w:val="24"/>
          <w:highlight w:val="none"/>
        </w:rPr>
        <w:br w:type="page"/>
      </w:r>
      <w:r>
        <w:rPr>
          <w:bCs/>
          <w:color w:val="auto"/>
          <w:sz w:val="24"/>
          <w:highlight w:val="none"/>
        </w:rPr>
        <w:t>第一部分 资格</w:t>
      </w:r>
      <w:r>
        <w:rPr>
          <w:rFonts w:hint="eastAsia"/>
          <w:bCs/>
          <w:color w:val="auto"/>
          <w:sz w:val="24"/>
          <w:highlight w:val="none"/>
        </w:rPr>
        <w:t>证明</w:t>
      </w:r>
      <w:r>
        <w:rPr>
          <w:bCs/>
          <w:color w:val="auto"/>
          <w:sz w:val="24"/>
          <w:highlight w:val="none"/>
        </w:rPr>
        <w:t>文件</w:t>
      </w:r>
    </w:p>
    <w:p w14:paraId="2504DCAC">
      <w:pPr>
        <w:snapToGrid w:val="0"/>
        <w:spacing w:before="50" w:after="50" w:line="440" w:lineRule="exact"/>
        <w:ind w:firstLine="157" w:firstLineChars="49"/>
        <w:jc w:val="center"/>
        <w:rPr>
          <w:rStyle w:val="60"/>
          <w:rFonts w:ascii="Times New Roman" w:hAnsi="Times New Roman" w:eastAsia="宋体"/>
          <w:color w:val="auto"/>
          <w:highlight w:val="none"/>
        </w:rPr>
      </w:pPr>
    </w:p>
    <w:p w14:paraId="73272541">
      <w:pPr>
        <w:snapToGrid w:val="0"/>
        <w:spacing w:before="50" w:after="120" w:afterLines="50" w:line="400" w:lineRule="exact"/>
        <w:jc w:val="left"/>
        <w:rPr>
          <w:rFonts w:ascii="Arial" w:hAnsi="Arial" w:cs="Arial"/>
          <w:b/>
          <w:color w:val="auto"/>
          <w:szCs w:val="21"/>
          <w:highlight w:val="none"/>
        </w:rPr>
      </w:pPr>
      <w:r>
        <w:rPr>
          <w:rFonts w:ascii="Arial" w:hAnsi="Arial" w:cs="Arial"/>
          <w:b/>
          <w:color w:val="auto"/>
          <w:szCs w:val="21"/>
          <w:highlight w:val="none"/>
        </w:rPr>
        <w:t>1.</w:t>
      </w:r>
      <w:r>
        <w:rPr>
          <w:color w:val="auto"/>
          <w:highlight w:val="none"/>
        </w:rPr>
        <w:t xml:space="preserve"> </w:t>
      </w:r>
      <w:r>
        <w:rPr>
          <w:rFonts w:hint="eastAsia" w:ascii="Arial" w:hAnsi="Arial" w:cs="Arial"/>
          <w:b/>
          <w:color w:val="auto"/>
          <w:szCs w:val="21"/>
          <w:highlight w:val="none"/>
        </w:rPr>
        <w:t>崇左市政府采购供应商信用承诺函</w:t>
      </w:r>
    </w:p>
    <w:p w14:paraId="2594C45C">
      <w:pPr>
        <w:widowControl/>
        <w:spacing w:line="440" w:lineRule="exact"/>
        <w:jc w:val="center"/>
        <w:rPr>
          <w:color w:val="auto"/>
          <w:sz w:val="32"/>
          <w:szCs w:val="32"/>
          <w:highlight w:val="none"/>
        </w:rPr>
      </w:pPr>
      <w:r>
        <w:rPr>
          <w:rFonts w:hint="eastAsia" w:ascii="方正小标宋简体" w:hAnsi="方正小标宋简体" w:eastAsia="方正小标宋简体" w:cs="方正小标宋简体"/>
          <w:color w:val="auto"/>
          <w:kern w:val="0"/>
          <w:sz w:val="36"/>
          <w:szCs w:val="36"/>
          <w:highlight w:val="none"/>
          <w:lang w:bidi="ar"/>
        </w:rPr>
        <w:t>崇左市政府采购供应商信用承诺函（格式）</w:t>
      </w:r>
    </w:p>
    <w:p w14:paraId="420C7B99">
      <w:pPr>
        <w:widowControl/>
        <w:spacing w:line="440" w:lineRule="exact"/>
        <w:jc w:val="left"/>
        <w:rPr>
          <w:rFonts w:ascii="仿宋_GB2312" w:hAnsi="仿宋_GB2312" w:eastAsia="仿宋_GB2312" w:cs="仿宋_GB2312"/>
          <w:color w:val="auto"/>
          <w:kern w:val="0"/>
          <w:sz w:val="32"/>
          <w:szCs w:val="32"/>
          <w:highlight w:val="none"/>
          <w:lang w:bidi="ar"/>
        </w:rPr>
      </w:pPr>
    </w:p>
    <w:p w14:paraId="5A55401F">
      <w:pPr>
        <w:widowControl/>
        <w:spacing w:line="440" w:lineRule="exact"/>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kern w:val="0"/>
          <w:sz w:val="24"/>
          <w:highlight w:val="none"/>
          <w:lang w:bidi="ar"/>
        </w:rPr>
        <w:t>致</w:t>
      </w:r>
      <w:r>
        <w:rPr>
          <w:rFonts w:hint="eastAsia" w:ascii="仿宋_GB2312" w:hAnsi="仿宋_GB2312" w:eastAsia="仿宋_GB2312" w:cs="仿宋_GB2312"/>
          <w:color w:val="auto"/>
          <w:kern w:val="0"/>
          <w:sz w:val="24"/>
          <w:highlight w:val="none"/>
          <w:u w:val="single"/>
          <w:lang w:bidi="ar"/>
        </w:rPr>
        <w:t>（采购代理机构名称）</w:t>
      </w:r>
      <w:r>
        <w:rPr>
          <w:rFonts w:hint="eastAsia" w:ascii="仿宋_GB2312" w:hAnsi="仿宋_GB2312" w:eastAsia="仿宋_GB2312" w:cs="仿宋_GB2312"/>
          <w:color w:val="auto"/>
          <w:kern w:val="0"/>
          <w:sz w:val="24"/>
          <w:highlight w:val="none"/>
          <w:lang w:bidi="ar"/>
        </w:rPr>
        <w:t>:</w:t>
      </w:r>
    </w:p>
    <w:p w14:paraId="7A97A088">
      <w:pPr>
        <w:widowControl/>
        <w:spacing w:line="440" w:lineRule="exact"/>
        <w:ind w:firstLine="480" w:firstLineChars="200"/>
        <w:rPr>
          <w:rFonts w:hint="eastAsia" w:ascii="仿宋_GB2312" w:hAnsi="仿宋_GB2312" w:eastAsia="仿宋_GB2312" w:cs="仿宋_GB2312"/>
          <w:color w:val="auto"/>
          <w:spacing w:val="-6"/>
          <w:sz w:val="24"/>
          <w:highlight w:val="none"/>
        </w:rPr>
      </w:pPr>
      <w:r>
        <w:rPr>
          <w:rFonts w:hint="eastAsia" w:ascii="仿宋_GB2312" w:hAnsi="仿宋_GB2312" w:eastAsia="仿宋_GB2312" w:cs="仿宋_GB2312"/>
          <w:color w:val="auto"/>
          <w:kern w:val="0"/>
          <w:sz w:val="24"/>
          <w:highlight w:val="none"/>
          <w:lang w:bidi="ar"/>
        </w:rPr>
        <w:t>我方自愿参加</w:t>
      </w:r>
      <w:r>
        <w:rPr>
          <w:rFonts w:hint="eastAsia" w:ascii="仿宋_GB2312" w:hAnsi="仿宋_GB2312" w:eastAsia="仿宋_GB2312" w:cs="仿宋_GB2312"/>
          <w:color w:val="auto"/>
          <w:kern w:val="0"/>
          <w:sz w:val="24"/>
          <w:highlight w:val="none"/>
          <w:u w:val="single"/>
          <w:lang w:bidi="ar"/>
        </w:rPr>
        <w:t xml:space="preserve"> （项目名称） </w:t>
      </w:r>
      <w:r>
        <w:rPr>
          <w:rFonts w:hint="eastAsia" w:ascii="仿宋_GB2312" w:hAnsi="仿宋_GB2312" w:eastAsia="仿宋_GB2312" w:cs="仿宋_GB2312"/>
          <w:color w:val="auto"/>
          <w:kern w:val="0"/>
          <w:sz w:val="24"/>
          <w:highlight w:val="none"/>
          <w:lang w:bidi="ar"/>
        </w:rPr>
        <w:t>项目</w:t>
      </w:r>
      <w:r>
        <w:rPr>
          <w:rFonts w:hint="eastAsia" w:ascii="仿宋_GB2312" w:eastAsia="仿宋_GB2312"/>
          <w:color w:val="auto"/>
          <w:spacing w:val="6"/>
          <w:sz w:val="24"/>
          <w:highlight w:val="none"/>
        </w:rPr>
        <w:t>（项目编号：</w:t>
      </w:r>
      <w:r>
        <w:rPr>
          <w:rFonts w:hint="eastAsia" w:ascii="仿宋_GB2312" w:eastAsia="仿宋_GB2312"/>
          <w:color w:val="auto"/>
          <w:spacing w:val="6"/>
          <w:sz w:val="24"/>
          <w:highlight w:val="none"/>
          <w:u w:val="single"/>
        </w:rPr>
        <w:t xml:space="preserve">         </w:t>
      </w:r>
      <w:r>
        <w:rPr>
          <w:rFonts w:hint="eastAsia" w:ascii="仿宋_GB2312" w:eastAsia="仿宋_GB2312"/>
          <w:color w:val="auto"/>
          <w:spacing w:val="6"/>
          <w:sz w:val="24"/>
          <w:highlight w:val="none"/>
        </w:rPr>
        <w:t>）</w:t>
      </w:r>
      <w:r>
        <w:rPr>
          <w:rFonts w:hint="eastAsia" w:ascii="仿宋_GB2312" w:hAnsi="仿宋_GB2312" w:eastAsia="仿宋_GB2312" w:cs="仿宋_GB2312"/>
          <w:color w:val="auto"/>
          <w:kern w:val="0"/>
          <w:sz w:val="24"/>
          <w:highlight w:val="none"/>
          <w:lang w:bidi="ar"/>
        </w:rPr>
        <w:t>的政府采购活动，严格遵守《中华人民共和国政府采购法》及相关法律法规，依法诚信经营，无条件遵守本次政府采购活动的各项规定，并郑重承诺</w:t>
      </w:r>
      <w:r>
        <w:rPr>
          <w:rFonts w:hint="eastAsia" w:ascii="仿宋_GB2312" w:hAnsi="仿宋_GB2312" w:eastAsia="仿宋_GB2312" w:cs="仿宋_GB2312"/>
          <w:color w:val="auto"/>
          <w:spacing w:val="-6"/>
          <w:kern w:val="0"/>
          <w:sz w:val="24"/>
          <w:highlight w:val="none"/>
          <w:lang w:bidi="ar"/>
        </w:rPr>
        <w:t xml:space="preserve">： </w:t>
      </w:r>
    </w:p>
    <w:p w14:paraId="6396C136">
      <w:pPr>
        <w:widowControl/>
        <w:spacing w:line="440" w:lineRule="exact"/>
        <w:ind w:firstLine="480" w:firstLineChars="200"/>
        <w:rPr>
          <w:rFonts w:hint="eastAsia" w:ascii="仿宋_GB2312" w:hAnsi="仿宋_GB2312" w:eastAsia="仿宋_GB2312" w:cs="仿宋_GB2312"/>
          <w:color w:val="auto"/>
          <w:kern w:val="0"/>
          <w:sz w:val="24"/>
          <w:highlight w:val="none"/>
          <w:lang w:bidi="ar"/>
        </w:rPr>
      </w:pPr>
      <w:r>
        <w:rPr>
          <w:rFonts w:hint="eastAsia" w:ascii="仿宋_GB2312" w:hAnsi="仿宋_GB2312" w:eastAsia="仿宋_GB2312" w:cs="仿宋_GB2312"/>
          <w:color w:val="auto"/>
          <w:kern w:val="0"/>
          <w:sz w:val="24"/>
          <w:highlight w:val="none"/>
          <w:lang w:bidi="ar"/>
        </w:rPr>
        <w:t>1.我方</w:t>
      </w:r>
      <w:r>
        <w:rPr>
          <w:rFonts w:hint="eastAsia" w:ascii="仿宋_GB2312" w:eastAsia="仿宋_GB2312"/>
          <w:color w:val="auto"/>
          <w:spacing w:val="6"/>
          <w:sz w:val="24"/>
          <w:highlight w:val="none"/>
        </w:rPr>
        <w:t>具有独立承担民事责任的能力或我方属于银行、保险、石油石化、电力、电信等有行业特殊情况的法人的分支机构在参加本次政府采购活动前已取得总公司的授权。</w:t>
      </w:r>
    </w:p>
    <w:p w14:paraId="0E573447">
      <w:pPr>
        <w:widowControl/>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 xml:space="preserve">2.我方具有符合采购文件资格要求的财务状况报告。 </w:t>
      </w:r>
    </w:p>
    <w:p w14:paraId="64EDF7DF">
      <w:pPr>
        <w:widowControl/>
        <w:spacing w:line="440" w:lineRule="exact"/>
        <w:ind w:firstLine="456" w:firstLineChars="200"/>
        <w:rPr>
          <w:rFonts w:hint="eastAsia" w:ascii="仿宋_GB2312" w:hAnsi="仿宋_GB2312" w:eastAsia="仿宋_GB2312" w:cs="仿宋_GB2312"/>
          <w:color w:val="auto"/>
          <w:spacing w:val="-17"/>
          <w:sz w:val="24"/>
          <w:highlight w:val="none"/>
        </w:rPr>
      </w:pPr>
      <w:r>
        <w:rPr>
          <w:rFonts w:hint="eastAsia" w:ascii="仿宋_GB2312" w:hAnsi="仿宋_GB2312" w:eastAsia="仿宋_GB2312" w:cs="仿宋_GB2312"/>
          <w:color w:val="auto"/>
          <w:spacing w:val="-6"/>
          <w:kern w:val="0"/>
          <w:sz w:val="24"/>
          <w:highlight w:val="none"/>
          <w:lang w:bidi="ar"/>
        </w:rPr>
        <w:t>3.我方具有符合采购文件资格要求的依法缴纳税收和社会保障资金的良好记录。</w:t>
      </w:r>
      <w:r>
        <w:rPr>
          <w:rFonts w:hint="eastAsia" w:ascii="仿宋_GB2312" w:hAnsi="仿宋_GB2312" w:eastAsia="仿宋_GB2312" w:cs="仿宋_GB2312"/>
          <w:color w:val="auto"/>
          <w:spacing w:val="-17"/>
          <w:kern w:val="0"/>
          <w:sz w:val="24"/>
          <w:highlight w:val="none"/>
          <w:lang w:bidi="ar"/>
        </w:rPr>
        <w:t xml:space="preserve"> </w:t>
      </w:r>
    </w:p>
    <w:p w14:paraId="1BF2274B">
      <w:pPr>
        <w:widowControl/>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 xml:space="preserve">4.我方具有符合采购文件资格要求履行合同所必需的设备和专业技术能力。 </w:t>
      </w:r>
    </w:p>
    <w:p w14:paraId="73459400">
      <w:pPr>
        <w:widowControl/>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 xml:space="preserve">5.我方参加政府采购活动前3年内在经营活动中没有重大违法记录。 </w:t>
      </w:r>
    </w:p>
    <w:p w14:paraId="61284C9F">
      <w:pPr>
        <w:widowControl/>
        <w:spacing w:line="440" w:lineRule="exact"/>
        <w:ind w:firstLine="480" w:firstLineChars="200"/>
        <w:rPr>
          <w:rFonts w:hint="eastAsia" w:ascii="仿宋_GB2312" w:hAnsi="仿宋_GB2312" w:eastAsia="仿宋_GB2312" w:cs="仿宋_GB2312"/>
          <w:color w:val="auto"/>
          <w:kern w:val="0"/>
          <w:sz w:val="24"/>
          <w:highlight w:val="none"/>
          <w:lang w:bidi="ar"/>
        </w:rPr>
      </w:pPr>
      <w:r>
        <w:rPr>
          <w:rFonts w:hint="eastAsia" w:ascii="仿宋_GB2312" w:hAnsi="仿宋_GB2312" w:eastAsia="仿宋_GB2312" w:cs="仿宋_GB2312"/>
          <w:color w:val="auto"/>
          <w:kern w:val="0"/>
          <w:sz w:val="24"/>
          <w:highlight w:val="none"/>
          <w:lang w:bidi="ar"/>
        </w:rPr>
        <w:t>我方对以上承诺内容的真实性负责。如有虚假，将依法承担相应责任。</w:t>
      </w:r>
    </w:p>
    <w:p w14:paraId="0BB91D59">
      <w:pPr>
        <w:widowControl/>
        <w:spacing w:line="440" w:lineRule="exact"/>
        <w:ind w:firstLine="480" w:firstLineChars="200"/>
        <w:rPr>
          <w:rFonts w:hint="eastAsia" w:ascii="仿宋_GB2312" w:hAnsi="仿宋_GB2312" w:eastAsia="仿宋_GB2312" w:cs="仿宋_GB2312"/>
          <w:color w:val="auto"/>
          <w:kern w:val="0"/>
          <w:sz w:val="24"/>
          <w:highlight w:val="none"/>
          <w:lang w:bidi="ar"/>
        </w:rPr>
      </w:pPr>
    </w:p>
    <w:p w14:paraId="12BE1CFD">
      <w:pPr>
        <w:widowControl/>
        <w:spacing w:line="440" w:lineRule="exact"/>
        <w:ind w:firstLine="480" w:firstLineChars="200"/>
        <w:rPr>
          <w:rFonts w:hint="eastAsia" w:ascii="仿宋_GB2312" w:hAnsi="仿宋_GB2312" w:eastAsia="仿宋_GB2312" w:cs="仿宋_GB2312"/>
          <w:color w:val="auto"/>
          <w:kern w:val="0"/>
          <w:sz w:val="24"/>
          <w:highlight w:val="none"/>
          <w:lang w:bidi="ar"/>
        </w:rPr>
      </w:pPr>
    </w:p>
    <w:p w14:paraId="7635F052">
      <w:pPr>
        <w:widowControl/>
        <w:spacing w:line="440" w:lineRule="exact"/>
        <w:ind w:firstLine="3600" w:firstLineChars="15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 xml:space="preserve">供应商名称（盖章）： </w:t>
      </w:r>
    </w:p>
    <w:p w14:paraId="2E589845">
      <w:pPr>
        <w:tabs>
          <w:tab w:val="left" w:pos="7560"/>
        </w:tabs>
        <w:spacing w:line="440" w:lineRule="exact"/>
        <w:ind w:firstLine="3600" w:firstLineChars="1500"/>
        <w:jc w:val="left"/>
        <w:rPr>
          <w:rFonts w:hint="eastAsia" w:ascii="仿宋_GB2312" w:hAnsi="仿宋_GB2312" w:eastAsia="仿宋_GB2312" w:cs="仿宋_GB2312"/>
          <w:color w:val="auto"/>
          <w:kern w:val="0"/>
          <w:sz w:val="24"/>
          <w:highlight w:val="none"/>
          <w:lang w:bidi="ar"/>
        </w:rPr>
      </w:pPr>
      <w:r>
        <w:rPr>
          <w:rFonts w:hint="eastAsia" w:ascii="仿宋_GB2312" w:hAnsi="仿宋_GB2312" w:eastAsia="仿宋_GB2312" w:cs="仿宋_GB2312"/>
          <w:color w:val="auto"/>
          <w:kern w:val="0"/>
          <w:sz w:val="24"/>
          <w:highlight w:val="none"/>
          <w:lang w:bidi="ar"/>
        </w:rPr>
        <w:t>日期：</w:t>
      </w:r>
    </w:p>
    <w:p w14:paraId="12AF9043">
      <w:pPr>
        <w:snapToGrid w:val="0"/>
        <w:spacing w:before="50" w:after="120" w:afterLines="50" w:line="400" w:lineRule="exact"/>
        <w:jc w:val="left"/>
        <w:rPr>
          <w:rFonts w:hint="eastAsia"/>
          <w:b/>
          <w:color w:val="auto"/>
          <w:szCs w:val="21"/>
          <w:highlight w:val="none"/>
        </w:rPr>
      </w:pPr>
      <w:r>
        <w:rPr>
          <w:rFonts w:hint="eastAsia" w:ascii="仿宋_GB2312" w:hAnsi="仿宋_GB2312" w:eastAsia="仿宋_GB2312" w:cs="仿宋_GB2312"/>
          <w:color w:val="auto"/>
          <w:highlight w:val="none"/>
          <w:lang w:bidi="ar"/>
        </w:rPr>
        <w:t>注：1.</w:t>
      </w:r>
      <w:r>
        <w:rPr>
          <w:rFonts w:hint="eastAsia" w:ascii="仿宋_GB2312" w:hAnsi="仿宋_GB2312" w:eastAsia="仿宋_GB2312" w:cs="仿宋_GB2312"/>
          <w:color w:val="auto"/>
          <w:highlight w:val="none"/>
        </w:rPr>
        <w:t>参与政府采购活动的供应商可按第1点的内容：“</w:t>
      </w:r>
      <w:r>
        <w:rPr>
          <w:rFonts w:hint="eastAsia" w:ascii="仿宋_GB2312" w:hAnsi="仿宋_GB2312" w:eastAsia="仿宋_GB2312" w:cs="仿宋_GB2312"/>
          <w:color w:val="auto"/>
          <w:highlight w:val="none"/>
          <w:lang w:bidi="ar"/>
        </w:rPr>
        <w:t>我方</w:t>
      </w:r>
      <w:r>
        <w:rPr>
          <w:rFonts w:hint="eastAsia" w:ascii="仿宋_GB2312" w:eastAsia="仿宋_GB2312"/>
          <w:color w:val="auto"/>
          <w:spacing w:val="6"/>
          <w:highlight w:val="none"/>
        </w:rPr>
        <w:t>具有独立承担民事责任的能力或我方属于银行、保险、石油石化、电力、电信等有行业特殊情况的法人的分支机构在参加本次政府采购活动前已取得总公司的授权。”进行承诺，也可以根据自身的真实情况选择以下2种方式进行承诺：一是“</w:t>
      </w:r>
      <w:r>
        <w:rPr>
          <w:rFonts w:hint="eastAsia" w:ascii="仿宋_GB2312" w:hAnsi="仿宋_GB2312" w:eastAsia="仿宋_GB2312" w:cs="仿宋_GB2312"/>
          <w:color w:val="auto"/>
          <w:highlight w:val="none"/>
          <w:lang w:bidi="ar"/>
        </w:rPr>
        <w:t>我方</w:t>
      </w:r>
      <w:r>
        <w:rPr>
          <w:rFonts w:hint="eastAsia" w:ascii="仿宋_GB2312" w:eastAsia="仿宋_GB2312"/>
          <w:color w:val="auto"/>
          <w:spacing w:val="6"/>
          <w:highlight w:val="none"/>
        </w:rPr>
        <w:t>具有独立承担民事责任的能力”进行承诺；二是“我方属于银行、保险、石油石化、电力、电信等有行业特殊情况的法人的分支机构在参加本次政府采购活动前已取得总公司的授权”进行承诺。参加政府采购活动的供应商只要第1点承诺的内容包含有：具有独立承担民事责任的能力、在参加本次政府采购活动前已取得总公司的授权等内容的即为有效的承诺。2.第1点所指的行业特殊情况使用了“等”字表示列举未尽，即行业特殊情况包含但不限于银行、保险、石油石化、电力、电信。</w:t>
      </w:r>
    </w:p>
    <w:p w14:paraId="77E3A0CA">
      <w:pPr>
        <w:snapToGrid w:val="0"/>
        <w:spacing w:before="50" w:after="120" w:afterLines="50" w:line="400" w:lineRule="exact"/>
        <w:jc w:val="left"/>
        <w:rPr>
          <w:b/>
          <w:color w:val="auto"/>
          <w:szCs w:val="21"/>
          <w:highlight w:val="none"/>
        </w:rPr>
      </w:pPr>
      <w:r>
        <w:rPr>
          <w:b/>
          <w:color w:val="auto"/>
          <w:szCs w:val="21"/>
          <w:highlight w:val="none"/>
        </w:rPr>
        <w:t xml:space="preserve"> </w:t>
      </w:r>
      <w:r>
        <w:rPr>
          <w:b/>
          <w:color w:val="auto"/>
          <w:szCs w:val="21"/>
          <w:highlight w:val="none"/>
        </w:rPr>
        <w:br w:type="page"/>
      </w:r>
      <w:r>
        <w:rPr>
          <w:rFonts w:hint="eastAsia"/>
          <w:b/>
          <w:color w:val="auto"/>
          <w:szCs w:val="21"/>
          <w:highlight w:val="none"/>
        </w:rPr>
        <w:t>2</w:t>
      </w:r>
      <w:r>
        <w:rPr>
          <w:b/>
          <w:color w:val="auto"/>
          <w:szCs w:val="21"/>
          <w:highlight w:val="none"/>
        </w:rPr>
        <w:t>．响应声明书格式：</w:t>
      </w:r>
    </w:p>
    <w:p w14:paraId="3DF33BAA">
      <w:pPr>
        <w:snapToGrid w:val="0"/>
        <w:spacing w:before="120" w:beforeLines="50" w:after="50" w:line="360" w:lineRule="exact"/>
        <w:jc w:val="center"/>
        <w:rPr>
          <w:rFonts w:hint="eastAsia"/>
          <w:b/>
          <w:color w:val="auto"/>
          <w:szCs w:val="21"/>
          <w:highlight w:val="none"/>
        </w:rPr>
      </w:pPr>
    </w:p>
    <w:p w14:paraId="56213165">
      <w:pPr>
        <w:snapToGrid w:val="0"/>
        <w:spacing w:before="120" w:beforeLines="50" w:after="50" w:line="360" w:lineRule="exact"/>
        <w:jc w:val="center"/>
        <w:rPr>
          <w:rFonts w:hint="eastAsia"/>
          <w:b/>
          <w:color w:val="auto"/>
          <w:szCs w:val="21"/>
          <w:highlight w:val="none"/>
        </w:rPr>
      </w:pPr>
      <w:r>
        <w:rPr>
          <w:b/>
          <w:color w:val="auto"/>
          <w:szCs w:val="21"/>
          <w:highlight w:val="none"/>
        </w:rPr>
        <w:t>响应声明书</w:t>
      </w:r>
    </w:p>
    <w:p w14:paraId="7BFC86DF">
      <w:pPr>
        <w:snapToGrid w:val="0"/>
        <w:spacing w:before="120" w:beforeLines="50" w:after="50" w:line="360" w:lineRule="exact"/>
        <w:rPr>
          <w:color w:val="auto"/>
          <w:szCs w:val="21"/>
          <w:highlight w:val="none"/>
        </w:rPr>
      </w:pPr>
      <w:r>
        <w:rPr>
          <w:color w:val="auto"/>
          <w:szCs w:val="21"/>
          <w:highlight w:val="none"/>
        </w:rPr>
        <w:t>致：</w:t>
      </w:r>
      <w:r>
        <w:rPr>
          <w:i/>
          <w:iCs/>
          <w:color w:val="auto"/>
          <w:szCs w:val="21"/>
          <w:highlight w:val="none"/>
          <w:u w:val="single"/>
        </w:rPr>
        <w:t>（采购</w:t>
      </w:r>
      <w:r>
        <w:rPr>
          <w:rFonts w:hint="eastAsia"/>
          <w:i/>
          <w:iCs/>
          <w:color w:val="auto"/>
          <w:szCs w:val="21"/>
          <w:highlight w:val="none"/>
          <w:u w:val="single"/>
        </w:rPr>
        <w:t>人</w:t>
      </w:r>
      <w:r>
        <w:rPr>
          <w:i/>
          <w:iCs/>
          <w:color w:val="auto"/>
          <w:szCs w:val="21"/>
          <w:highlight w:val="none"/>
          <w:u w:val="single"/>
        </w:rPr>
        <w:t>名称）</w:t>
      </w:r>
      <w:r>
        <w:rPr>
          <w:color w:val="auto"/>
          <w:szCs w:val="21"/>
          <w:highlight w:val="none"/>
        </w:rPr>
        <w:t>：</w:t>
      </w:r>
    </w:p>
    <w:p w14:paraId="5FEE6FFE">
      <w:pPr>
        <w:snapToGrid w:val="0"/>
        <w:spacing w:before="120" w:beforeLines="50" w:after="50" w:line="360" w:lineRule="exact"/>
        <w:ind w:firstLine="630" w:firstLineChars="300"/>
        <w:rPr>
          <w:color w:val="auto"/>
          <w:szCs w:val="21"/>
          <w:highlight w:val="none"/>
        </w:rPr>
      </w:pPr>
      <w:r>
        <w:rPr>
          <w:i/>
          <w:iCs/>
          <w:color w:val="auto"/>
          <w:szCs w:val="21"/>
          <w:highlight w:val="none"/>
          <w:u w:val="single"/>
        </w:rPr>
        <w:t>（供应商名称）</w:t>
      </w:r>
      <w:r>
        <w:rPr>
          <w:color w:val="auto"/>
          <w:szCs w:val="21"/>
          <w:highlight w:val="none"/>
        </w:rPr>
        <w:t>系中华人民共和国合法企业，</w:t>
      </w:r>
      <w:r>
        <w:rPr>
          <w:rFonts w:hint="eastAsia"/>
          <w:color w:val="auto"/>
          <w:szCs w:val="21"/>
          <w:highlight w:val="none"/>
          <w:u w:val="single"/>
        </w:rPr>
        <w:t xml:space="preserve"> </w:t>
      </w:r>
      <w:r>
        <w:rPr>
          <w:i/>
          <w:iCs/>
          <w:color w:val="auto"/>
          <w:szCs w:val="21"/>
          <w:highlight w:val="none"/>
          <w:u w:val="single"/>
        </w:rPr>
        <w:t xml:space="preserve"> </w:t>
      </w:r>
      <w:r>
        <w:rPr>
          <w:rFonts w:hint="eastAsia"/>
          <w:i/>
          <w:iCs/>
          <w:color w:val="auto"/>
          <w:szCs w:val="21"/>
          <w:highlight w:val="none"/>
          <w:u w:val="single"/>
        </w:rPr>
        <w:t>（</w:t>
      </w:r>
      <w:r>
        <w:rPr>
          <w:i/>
          <w:iCs/>
          <w:color w:val="auto"/>
          <w:szCs w:val="21"/>
          <w:highlight w:val="none"/>
          <w:u w:val="single"/>
        </w:rPr>
        <w:t>经营地址</w:t>
      </w:r>
      <w:r>
        <w:rPr>
          <w:rFonts w:hint="eastAsia"/>
          <w:i/>
          <w:iCs/>
          <w:color w:val="auto"/>
          <w:szCs w:val="21"/>
          <w:highlight w:val="none"/>
          <w:u w:val="single"/>
        </w:rPr>
        <w:t xml:space="preserve">） </w:t>
      </w:r>
      <w:r>
        <w:rPr>
          <w:i/>
          <w:iCs/>
          <w:color w:val="auto"/>
          <w:szCs w:val="21"/>
          <w:highlight w:val="none"/>
          <w:u w:val="single"/>
        </w:rPr>
        <w:t xml:space="preserve"> </w:t>
      </w:r>
      <w:r>
        <w:rPr>
          <w:color w:val="auto"/>
          <w:szCs w:val="21"/>
          <w:highlight w:val="none"/>
          <w:u w:val="single"/>
        </w:rPr>
        <w:t xml:space="preserve">  </w:t>
      </w:r>
      <w:r>
        <w:rPr>
          <w:color w:val="auto"/>
          <w:szCs w:val="21"/>
          <w:highlight w:val="none"/>
        </w:rPr>
        <w:t>。</w:t>
      </w:r>
    </w:p>
    <w:p w14:paraId="6B8FB1E1">
      <w:pPr>
        <w:snapToGrid w:val="0"/>
        <w:spacing w:before="120" w:beforeLines="50" w:after="50" w:line="360" w:lineRule="exact"/>
        <w:ind w:firstLine="645"/>
        <w:rPr>
          <w:color w:val="auto"/>
          <w:szCs w:val="21"/>
          <w:highlight w:val="none"/>
        </w:rPr>
      </w:pPr>
      <w:r>
        <w:rPr>
          <w:color w:val="auto"/>
          <w:szCs w:val="21"/>
          <w:highlight w:val="none"/>
        </w:rPr>
        <w:t>我</w:t>
      </w:r>
      <w:r>
        <w:rPr>
          <w:i/>
          <w:iCs/>
          <w:color w:val="auto"/>
          <w:szCs w:val="21"/>
          <w:highlight w:val="none"/>
          <w:u w:val="single"/>
        </w:rPr>
        <w:t>（姓名）</w:t>
      </w:r>
      <w:r>
        <w:rPr>
          <w:rFonts w:hint="eastAsia"/>
          <w:i/>
          <w:iCs/>
          <w:color w:val="auto"/>
          <w:szCs w:val="21"/>
          <w:highlight w:val="none"/>
          <w:u w:val="single"/>
        </w:rPr>
        <w:t xml:space="preserve"> </w:t>
      </w:r>
      <w:r>
        <w:rPr>
          <w:color w:val="auto"/>
          <w:szCs w:val="21"/>
          <w:highlight w:val="none"/>
        </w:rPr>
        <w:t>系</w:t>
      </w:r>
      <w:r>
        <w:rPr>
          <w:i/>
          <w:iCs/>
          <w:color w:val="auto"/>
          <w:szCs w:val="21"/>
          <w:highlight w:val="none"/>
          <w:u w:val="single"/>
        </w:rPr>
        <w:t>（供应商名称）</w:t>
      </w:r>
      <w:r>
        <w:rPr>
          <w:color w:val="auto"/>
          <w:szCs w:val="21"/>
          <w:highlight w:val="none"/>
        </w:rPr>
        <w:t>的法定代表人，我方愿意参加贵方组织的</w:t>
      </w:r>
      <w:r>
        <w:rPr>
          <w:rFonts w:hint="eastAsia"/>
          <w:i/>
          <w:iCs/>
          <w:color w:val="auto"/>
          <w:szCs w:val="21"/>
          <w:highlight w:val="none"/>
          <w:u w:val="single"/>
        </w:rPr>
        <w:t>（项目名称）</w:t>
      </w:r>
      <w:r>
        <w:rPr>
          <w:color w:val="auto"/>
          <w:szCs w:val="21"/>
          <w:highlight w:val="none"/>
        </w:rPr>
        <w:t>项目的</w:t>
      </w:r>
      <w:r>
        <w:rPr>
          <w:rFonts w:hint="eastAsia"/>
          <w:color w:val="auto"/>
          <w:szCs w:val="21"/>
          <w:highlight w:val="none"/>
        </w:rPr>
        <w:t>谈判</w:t>
      </w:r>
      <w:r>
        <w:rPr>
          <w:color w:val="auto"/>
          <w:szCs w:val="21"/>
          <w:highlight w:val="none"/>
        </w:rPr>
        <w:t>，为便于贵方公正、择优地确定成交供应商及其响应产品和服务，我方就本次</w:t>
      </w:r>
      <w:r>
        <w:rPr>
          <w:rFonts w:hint="eastAsia"/>
          <w:color w:val="auto"/>
          <w:szCs w:val="21"/>
          <w:highlight w:val="none"/>
        </w:rPr>
        <w:t>谈判</w:t>
      </w:r>
      <w:r>
        <w:rPr>
          <w:color w:val="auto"/>
          <w:szCs w:val="21"/>
          <w:highlight w:val="none"/>
        </w:rPr>
        <w:t>有关事项郑重声明如下：</w:t>
      </w:r>
      <w:r>
        <w:rPr>
          <w:rFonts w:hint="eastAsia"/>
          <w:color w:val="auto"/>
          <w:szCs w:val="21"/>
          <w:highlight w:val="none"/>
        </w:rPr>
        <w:t xml:space="preserve"> </w:t>
      </w:r>
    </w:p>
    <w:p w14:paraId="3CE2E24D">
      <w:pPr>
        <w:snapToGrid w:val="0"/>
        <w:spacing w:before="120" w:beforeLines="50" w:line="360" w:lineRule="exact"/>
        <w:ind w:firstLine="420" w:firstLineChars="200"/>
        <w:rPr>
          <w:color w:val="auto"/>
          <w:szCs w:val="21"/>
          <w:highlight w:val="none"/>
        </w:rPr>
      </w:pPr>
      <w:r>
        <w:rPr>
          <w:color w:val="auto"/>
          <w:szCs w:val="21"/>
          <w:highlight w:val="none"/>
        </w:rPr>
        <w:t>（1）我方向贵方提交的所有响应文件、资料都是准确的和真实的。</w:t>
      </w:r>
    </w:p>
    <w:p w14:paraId="62F26AAF">
      <w:pPr>
        <w:snapToGrid w:val="0"/>
        <w:spacing w:before="120" w:beforeLines="50" w:line="360" w:lineRule="exact"/>
        <w:ind w:firstLine="420" w:firstLineChars="200"/>
        <w:rPr>
          <w:color w:val="auto"/>
          <w:szCs w:val="21"/>
          <w:highlight w:val="none"/>
        </w:rPr>
      </w:pPr>
      <w:r>
        <w:rPr>
          <w:color w:val="auto"/>
          <w:szCs w:val="21"/>
          <w:highlight w:val="none"/>
        </w:rPr>
        <w:t>（2）我方不是采购人的附属机构；也不是为本项目提供整体设计、规范编制或者项目管理、监理、检测等服务的供应商或其附属机构。</w:t>
      </w:r>
    </w:p>
    <w:p w14:paraId="1AFD9D50">
      <w:pPr>
        <w:snapToGrid w:val="0"/>
        <w:spacing w:before="120" w:beforeLines="50" w:line="360" w:lineRule="exact"/>
        <w:ind w:firstLine="420" w:firstLineChars="200"/>
        <w:rPr>
          <w:color w:val="auto"/>
          <w:szCs w:val="21"/>
          <w:highlight w:val="none"/>
        </w:rPr>
      </w:pPr>
      <w:r>
        <w:rPr>
          <w:color w:val="auto"/>
          <w:szCs w:val="21"/>
          <w:highlight w:val="none"/>
        </w:rPr>
        <w:t>（3） 我方承诺在参加本政府采购项目活动前，没有被纳入政府部门或银行认定的失信名单，我方具有良好的商业信誉。</w:t>
      </w:r>
    </w:p>
    <w:p w14:paraId="5D10FFB8">
      <w:pPr>
        <w:snapToGrid w:val="0"/>
        <w:spacing w:before="120" w:beforeLines="50" w:line="360" w:lineRule="exact"/>
        <w:ind w:firstLine="420" w:firstLineChars="200"/>
        <w:rPr>
          <w:rFonts w:hint="eastAsia"/>
          <w:color w:val="auto"/>
          <w:szCs w:val="21"/>
          <w:highlight w:val="none"/>
        </w:rPr>
      </w:pPr>
      <w:r>
        <w:rPr>
          <w:color w:val="auto"/>
          <w:szCs w:val="21"/>
          <w:highlight w:val="none"/>
        </w:rPr>
        <w:t>（4）我方及本人承诺在参加本政府采购项目活动前三年内，在经营活动中没有重大违法记录。重大违法记录是指供应商因违法经营受到刑事处罚或者责令停产停业、吊销许可证或者执照、较大数额罚款等行政处罚。如我方提供的声明不实，则自愿承担《政府采购法》有关提供虚假材料的规定给予的处罚。</w:t>
      </w:r>
    </w:p>
    <w:p w14:paraId="51548877">
      <w:pPr>
        <w:snapToGrid w:val="0"/>
        <w:spacing w:before="120" w:beforeLines="50" w:line="360" w:lineRule="exact"/>
        <w:ind w:firstLine="420" w:firstLineChars="200"/>
        <w:rPr>
          <w:color w:val="auto"/>
          <w:szCs w:val="21"/>
          <w:highlight w:val="none"/>
          <w:lang w:val="zh-CN"/>
        </w:rPr>
      </w:pPr>
      <w:r>
        <w:rPr>
          <w:color w:val="auto"/>
          <w:szCs w:val="21"/>
          <w:highlight w:val="none"/>
        </w:rPr>
        <w:t>（5）</w:t>
      </w:r>
      <w:r>
        <w:rPr>
          <w:color w:val="auto"/>
          <w:szCs w:val="21"/>
          <w:highlight w:val="none"/>
          <w:lang w:val="zh-CN"/>
        </w:rPr>
        <w:t>我方</w:t>
      </w:r>
      <w:r>
        <w:rPr>
          <w:color w:val="auto"/>
          <w:szCs w:val="21"/>
          <w:highlight w:val="none"/>
        </w:rPr>
        <w:t>承诺</w:t>
      </w:r>
      <w:r>
        <w:rPr>
          <w:color w:val="auto"/>
          <w:szCs w:val="21"/>
          <w:highlight w:val="none"/>
          <w:lang w:val="zh-CN"/>
        </w:rPr>
        <w:t>具有履行本项目合同所必需的设备和专业技术能力。</w:t>
      </w:r>
    </w:p>
    <w:p w14:paraId="61AD9E65">
      <w:pPr>
        <w:snapToGrid w:val="0"/>
        <w:spacing w:before="120" w:beforeLines="50" w:line="360" w:lineRule="exact"/>
        <w:ind w:firstLine="420" w:firstLineChars="200"/>
        <w:rPr>
          <w:color w:val="auto"/>
          <w:szCs w:val="21"/>
          <w:highlight w:val="none"/>
        </w:rPr>
      </w:pPr>
      <w:r>
        <w:rPr>
          <w:rFonts w:hint="eastAsia"/>
          <w:color w:val="auto"/>
          <w:szCs w:val="21"/>
          <w:highlight w:val="none"/>
        </w:rPr>
        <w:t>（6）我方承诺</w:t>
      </w:r>
      <w:r>
        <w:rPr>
          <w:color w:val="auto"/>
          <w:szCs w:val="21"/>
          <w:highlight w:val="none"/>
        </w:rPr>
        <w:t>未被列入失信被执行人、重大税收违法失信主体、政府采购严重违法失信行为记录名单</w:t>
      </w:r>
      <w:r>
        <w:rPr>
          <w:rFonts w:hint="eastAsia"/>
          <w:color w:val="auto"/>
          <w:szCs w:val="21"/>
          <w:highlight w:val="none"/>
        </w:rPr>
        <w:t>，如我方提供的声明不实，则接受本次响应作为否决响应的处理，</w:t>
      </w:r>
      <w:r>
        <w:rPr>
          <w:color w:val="auto"/>
          <w:szCs w:val="21"/>
          <w:highlight w:val="none"/>
        </w:rPr>
        <w:t>并根据财库〔2016〕125号《财政部关于在政府采购活动中查询及使用信用记录有关问题的通知》规定接受失信联合惩戒。</w:t>
      </w:r>
    </w:p>
    <w:p w14:paraId="0998218F">
      <w:pPr>
        <w:snapToGrid w:val="0"/>
        <w:spacing w:before="120" w:beforeLines="50" w:line="360" w:lineRule="exact"/>
        <w:ind w:firstLine="420" w:firstLineChars="200"/>
        <w:rPr>
          <w:rFonts w:hint="eastAsia"/>
          <w:color w:val="auto"/>
          <w:szCs w:val="21"/>
          <w:highlight w:val="none"/>
        </w:rPr>
      </w:pPr>
      <w:r>
        <w:rPr>
          <w:rFonts w:hint="eastAsia"/>
          <w:color w:val="auto"/>
          <w:szCs w:val="21"/>
          <w:highlight w:val="none"/>
        </w:rPr>
        <w:t>（7）我方承诺成交后按</w:t>
      </w:r>
      <w:r>
        <w:rPr>
          <w:color w:val="auto"/>
          <w:szCs w:val="21"/>
          <w:highlight w:val="none"/>
        </w:rPr>
        <w:t>规定缴纳代理服务费</w:t>
      </w:r>
      <w:r>
        <w:rPr>
          <w:rFonts w:hint="eastAsia"/>
          <w:color w:val="auto"/>
          <w:szCs w:val="21"/>
          <w:highlight w:val="none"/>
        </w:rPr>
        <w:t>。如未按时缴纳，</w:t>
      </w:r>
      <w:r>
        <w:rPr>
          <w:color w:val="auto"/>
          <w:szCs w:val="21"/>
          <w:highlight w:val="none"/>
        </w:rPr>
        <w:t>贵方可</w:t>
      </w:r>
      <w:r>
        <w:rPr>
          <w:rFonts w:hint="eastAsia"/>
          <w:color w:val="auto"/>
          <w:szCs w:val="21"/>
          <w:highlight w:val="none"/>
        </w:rPr>
        <w:t>不退还</w:t>
      </w:r>
      <w:r>
        <w:rPr>
          <w:color w:val="auto"/>
          <w:szCs w:val="21"/>
          <w:highlight w:val="none"/>
        </w:rPr>
        <w:t>我</w:t>
      </w:r>
      <w:r>
        <w:rPr>
          <w:rFonts w:hint="eastAsia"/>
          <w:color w:val="auto"/>
          <w:szCs w:val="21"/>
          <w:highlight w:val="none"/>
        </w:rPr>
        <w:t>方</w:t>
      </w:r>
      <w:r>
        <w:rPr>
          <w:color w:val="auto"/>
          <w:szCs w:val="21"/>
          <w:highlight w:val="none"/>
        </w:rPr>
        <w:t>提交的谈判保证金</w:t>
      </w:r>
      <w:r>
        <w:rPr>
          <w:rFonts w:hint="eastAsia"/>
          <w:color w:val="auto"/>
          <w:szCs w:val="21"/>
          <w:highlight w:val="none"/>
        </w:rPr>
        <w:t>，并从中</w:t>
      </w:r>
      <w:r>
        <w:rPr>
          <w:color w:val="auto"/>
          <w:szCs w:val="21"/>
          <w:highlight w:val="none"/>
        </w:rPr>
        <w:t>扣除</w:t>
      </w:r>
      <w:r>
        <w:rPr>
          <w:rFonts w:hint="eastAsia"/>
          <w:color w:val="auto"/>
          <w:szCs w:val="21"/>
          <w:highlight w:val="none"/>
        </w:rPr>
        <w:t>代理服务费。</w:t>
      </w:r>
    </w:p>
    <w:p w14:paraId="6BEE8CB3">
      <w:pPr>
        <w:snapToGrid w:val="0"/>
        <w:spacing w:before="120" w:beforeLines="50" w:line="360" w:lineRule="exact"/>
        <w:ind w:firstLine="420" w:firstLineChars="200"/>
        <w:rPr>
          <w:color w:val="auto"/>
          <w:szCs w:val="21"/>
          <w:highlight w:val="none"/>
        </w:rPr>
      </w:pPr>
      <w:r>
        <w:rPr>
          <w:color w:val="auto"/>
          <w:szCs w:val="21"/>
          <w:highlight w:val="none"/>
        </w:rPr>
        <w:t>我方对以上声明负全部法律责任。如有虚假或隐瞒，我方愿意承担一切后果，并不再寻求任何旨在减轻或免除法律责任的辩解。</w:t>
      </w:r>
    </w:p>
    <w:p w14:paraId="40D62DE1">
      <w:pPr>
        <w:snapToGrid w:val="0"/>
        <w:spacing w:before="120" w:beforeLines="50" w:line="360" w:lineRule="exact"/>
        <w:ind w:firstLine="420" w:firstLineChars="200"/>
        <w:rPr>
          <w:color w:val="auto"/>
          <w:szCs w:val="21"/>
          <w:highlight w:val="none"/>
        </w:rPr>
      </w:pPr>
    </w:p>
    <w:p w14:paraId="3443D8E0">
      <w:pPr>
        <w:snapToGrid w:val="0"/>
        <w:spacing w:before="120" w:beforeLines="50" w:after="50" w:line="360" w:lineRule="exact"/>
        <w:ind w:firstLine="3570" w:firstLineChars="1700"/>
        <w:rPr>
          <w:color w:val="auto"/>
          <w:szCs w:val="21"/>
          <w:highlight w:val="none"/>
        </w:rPr>
      </w:pPr>
      <w:bookmarkStart w:id="111" w:name="_Hlk89181199"/>
      <w:r>
        <w:rPr>
          <w:color w:val="auto"/>
          <w:szCs w:val="21"/>
          <w:highlight w:val="none"/>
        </w:rPr>
        <w:t>供应商</w:t>
      </w:r>
      <w:r>
        <w:rPr>
          <w:rFonts w:hint="eastAsia"/>
          <w:color w:val="auto"/>
          <w:szCs w:val="21"/>
          <w:highlight w:val="none"/>
        </w:rPr>
        <w:t>名称（电子签章）</w:t>
      </w:r>
      <w:r>
        <w:rPr>
          <w:color w:val="auto"/>
          <w:szCs w:val="21"/>
          <w:highlight w:val="none"/>
        </w:rPr>
        <w:t>：</w:t>
      </w:r>
      <w:r>
        <w:rPr>
          <w:color w:val="auto"/>
          <w:szCs w:val="21"/>
          <w:highlight w:val="none"/>
          <w:u w:val="single"/>
        </w:rPr>
        <w:t xml:space="preserve">                </w:t>
      </w:r>
    </w:p>
    <w:p w14:paraId="4CB4AB1F">
      <w:pPr>
        <w:snapToGrid w:val="0"/>
        <w:spacing w:before="120" w:beforeLines="50" w:after="50" w:line="360" w:lineRule="exact"/>
        <w:ind w:firstLine="210" w:firstLineChars="100"/>
        <w:rPr>
          <w:color w:val="auto"/>
          <w:szCs w:val="21"/>
          <w:highlight w:val="none"/>
        </w:rPr>
      </w:pPr>
      <w:r>
        <w:rPr>
          <w:color w:val="auto"/>
          <w:szCs w:val="21"/>
          <w:highlight w:val="none"/>
        </w:rPr>
        <w:t xml:space="preserve">                                          年    月    日</w:t>
      </w:r>
    </w:p>
    <w:bookmarkEnd w:id="111"/>
    <w:p w14:paraId="39700292">
      <w:pPr>
        <w:snapToGrid w:val="0"/>
        <w:spacing w:before="120" w:beforeLines="50" w:after="50" w:line="360" w:lineRule="exact"/>
        <w:ind w:firstLine="210" w:firstLineChars="100"/>
        <w:rPr>
          <w:color w:val="auto"/>
          <w:szCs w:val="21"/>
          <w:highlight w:val="none"/>
        </w:rPr>
      </w:pPr>
    </w:p>
    <w:p w14:paraId="7DA39F3E">
      <w:pPr>
        <w:snapToGrid w:val="0"/>
        <w:spacing w:before="120" w:beforeLines="50" w:after="50" w:line="360" w:lineRule="exact"/>
        <w:ind w:firstLine="210" w:firstLineChars="100"/>
        <w:rPr>
          <w:rFonts w:hint="eastAsia"/>
          <w:color w:val="auto"/>
          <w:szCs w:val="21"/>
          <w:highlight w:val="none"/>
        </w:rPr>
      </w:pPr>
      <w:r>
        <w:rPr>
          <w:color w:val="auto"/>
          <w:szCs w:val="21"/>
          <w:highlight w:val="none"/>
        </w:rPr>
        <w:br w:type="page"/>
      </w:r>
    </w:p>
    <w:p w14:paraId="0586FA0E">
      <w:pPr>
        <w:snapToGrid w:val="0"/>
        <w:spacing w:before="120" w:beforeLines="50" w:after="50" w:line="360" w:lineRule="exact"/>
        <w:rPr>
          <w:b/>
          <w:color w:val="auto"/>
          <w:szCs w:val="21"/>
          <w:highlight w:val="none"/>
        </w:rPr>
      </w:pPr>
      <w:bookmarkStart w:id="112" w:name="_Toc462223472"/>
      <w:bookmarkStart w:id="113" w:name="_Toc455309222"/>
      <w:bookmarkStart w:id="114" w:name="_Toc462320613"/>
      <w:r>
        <w:rPr>
          <w:rFonts w:hint="eastAsia"/>
          <w:b/>
          <w:color w:val="auto"/>
          <w:szCs w:val="21"/>
          <w:highlight w:val="none"/>
        </w:rPr>
        <w:t>3</w:t>
      </w:r>
      <w:r>
        <w:rPr>
          <w:b/>
          <w:color w:val="auto"/>
          <w:szCs w:val="21"/>
          <w:highlight w:val="none"/>
        </w:rPr>
        <w:t>．法定代表人身份证明</w:t>
      </w:r>
      <w:r>
        <w:rPr>
          <w:rFonts w:hint="eastAsia"/>
          <w:b/>
          <w:color w:val="auto"/>
          <w:szCs w:val="21"/>
          <w:highlight w:val="none"/>
        </w:rPr>
        <w:t>（无授权</w:t>
      </w:r>
      <w:r>
        <w:rPr>
          <w:b/>
          <w:color w:val="auto"/>
          <w:szCs w:val="21"/>
          <w:highlight w:val="none"/>
        </w:rPr>
        <w:t>代表</w:t>
      </w:r>
      <w:r>
        <w:rPr>
          <w:rFonts w:hint="eastAsia"/>
          <w:b/>
          <w:color w:val="auto"/>
          <w:szCs w:val="21"/>
          <w:highlight w:val="none"/>
        </w:rPr>
        <w:t>时必须提供）</w:t>
      </w:r>
      <w:r>
        <w:rPr>
          <w:b/>
          <w:color w:val="auto"/>
          <w:szCs w:val="21"/>
          <w:highlight w:val="none"/>
        </w:rPr>
        <w:t>：</w:t>
      </w:r>
    </w:p>
    <w:p w14:paraId="6EE72603">
      <w:pPr>
        <w:snapToGrid w:val="0"/>
        <w:spacing w:before="120" w:beforeLines="50" w:after="50" w:line="360" w:lineRule="exact"/>
        <w:rPr>
          <w:color w:val="auto"/>
          <w:highlight w:val="none"/>
        </w:rPr>
      </w:pPr>
    </w:p>
    <w:p w14:paraId="68248462">
      <w:pPr>
        <w:snapToGrid w:val="0"/>
        <w:spacing w:before="120" w:beforeLines="50" w:after="50" w:line="440" w:lineRule="exact"/>
        <w:jc w:val="center"/>
        <w:rPr>
          <w:b/>
          <w:color w:val="auto"/>
          <w:szCs w:val="21"/>
          <w:highlight w:val="none"/>
        </w:rPr>
      </w:pPr>
      <w:r>
        <w:rPr>
          <w:b/>
          <w:color w:val="auto"/>
          <w:szCs w:val="21"/>
          <w:highlight w:val="none"/>
        </w:rPr>
        <w:t>法定代表人身份证明</w:t>
      </w:r>
      <w:bookmarkEnd w:id="112"/>
      <w:bookmarkEnd w:id="113"/>
      <w:bookmarkEnd w:id="114"/>
    </w:p>
    <w:p w14:paraId="450A09EB">
      <w:pPr>
        <w:spacing w:line="360" w:lineRule="auto"/>
        <w:rPr>
          <w:color w:val="auto"/>
          <w:highlight w:val="none"/>
        </w:rPr>
      </w:pPr>
    </w:p>
    <w:p w14:paraId="75144496">
      <w:pPr>
        <w:spacing w:line="360" w:lineRule="auto"/>
        <w:rPr>
          <w:color w:val="auto"/>
          <w:highlight w:val="none"/>
        </w:rPr>
      </w:pPr>
    </w:p>
    <w:p w14:paraId="692604B4">
      <w:pPr>
        <w:spacing w:line="540" w:lineRule="exact"/>
        <w:rPr>
          <w:color w:val="auto"/>
          <w:szCs w:val="21"/>
          <w:highlight w:val="none"/>
        </w:rPr>
      </w:pPr>
      <w:r>
        <w:rPr>
          <w:color w:val="auto"/>
          <w:szCs w:val="21"/>
          <w:highlight w:val="none"/>
        </w:rPr>
        <w:t>供应商名称：</w:t>
      </w:r>
      <w:r>
        <w:rPr>
          <w:color w:val="auto"/>
          <w:szCs w:val="21"/>
          <w:highlight w:val="none"/>
          <w:u w:val="single"/>
        </w:rPr>
        <w:t xml:space="preserve">                                         </w:t>
      </w:r>
    </w:p>
    <w:p w14:paraId="4076FCB5">
      <w:pPr>
        <w:spacing w:line="540" w:lineRule="exact"/>
        <w:rPr>
          <w:color w:val="auto"/>
          <w:szCs w:val="21"/>
          <w:highlight w:val="none"/>
        </w:rPr>
      </w:pPr>
      <w:r>
        <w:rPr>
          <w:color w:val="auto"/>
          <w:szCs w:val="21"/>
          <w:highlight w:val="none"/>
        </w:rPr>
        <w:t>单位性质：</w:t>
      </w:r>
      <w:r>
        <w:rPr>
          <w:color w:val="auto"/>
          <w:szCs w:val="21"/>
          <w:highlight w:val="none"/>
          <w:u w:val="single"/>
        </w:rPr>
        <w:t xml:space="preserve">                                           </w:t>
      </w:r>
    </w:p>
    <w:p w14:paraId="5118C07D">
      <w:pPr>
        <w:spacing w:line="540" w:lineRule="exact"/>
        <w:rPr>
          <w:color w:val="auto"/>
          <w:szCs w:val="21"/>
          <w:highlight w:val="none"/>
        </w:rPr>
      </w:pPr>
      <w:r>
        <w:rPr>
          <w:color w:val="auto"/>
          <w:szCs w:val="21"/>
          <w:highlight w:val="none"/>
        </w:rPr>
        <w:t>地址：</w:t>
      </w:r>
      <w:r>
        <w:rPr>
          <w:color w:val="auto"/>
          <w:szCs w:val="21"/>
          <w:highlight w:val="none"/>
          <w:u w:val="single"/>
        </w:rPr>
        <w:t xml:space="preserve">                                               </w:t>
      </w:r>
    </w:p>
    <w:p w14:paraId="1CBFA56F">
      <w:pPr>
        <w:spacing w:line="540" w:lineRule="exact"/>
        <w:rPr>
          <w:color w:val="auto"/>
          <w:szCs w:val="21"/>
          <w:highlight w:val="none"/>
          <w:u w:val="single"/>
        </w:rPr>
      </w:pPr>
      <w:r>
        <w:rPr>
          <w:color w:val="auto"/>
          <w:szCs w:val="21"/>
          <w:highlight w:val="none"/>
        </w:rPr>
        <w:t>成立时间：</w:t>
      </w:r>
      <w:r>
        <w:rPr>
          <w:color w:val="auto"/>
          <w:szCs w:val="21"/>
          <w:highlight w:val="none"/>
          <w:u w:val="single"/>
        </w:rPr>
        <w:t xml:space="preserve">          年        月        日</w:t>
      </w:r>
    </w:p>
    <w:p w14:paraId="30708106">
      <w:pPr>
        <w:spacing w:line="540" w:lineRule="exact"/>
        <w:rPr>
          <w:color w:val="auto"/>
          <w:szCs w:val="21"/>
          <w:highlight w:val="none"/>
        </w:rPr>
      </w:pPr>
      <w:r>
        <w:rPr>
          <w:color w:val="auto"/>
          <w:szCs w:val="21"/>
          <w:highlight w:val="none"/>
        </w:rPr>
        <w:t>经营期限：</w:t>
      </w:r>
      <w:r>
        <w:rPr>
          <w:color w:val="auto"/>
          <w:szCs w:val="21"/>
          <w:highlight w:val="none"/>
          <w:u w:val="single"/>
        </w:rPr>
        <w:t xml:space="preserve">                                           </w:t>
      </w:r>
    </w:p>
    <w:p w14:paraId="7A39A85F">
      <w:pPr>
        <w:spacing w:line="540" w:lineRule="exact"/>
        <w:rPr>
          <w:color w:val="auto"/>
          <w:szCs w:val="21"/>
          <w:highlight w:val="none"/>
        </w:rPr>
      </w:pPr>
      <w:r>
        <w:rPr>
          <w:color w:val="auto"/>
          <w:szCs w:val="21"/>
          <w:highlight w:val="none"/>
        </w:rPr>
        <w:t>姓名：</w:t>
      </w:r>
      <w:r>
        <w:rPr>
          <w:color w:val="auto"/>
          <w:szCs w:val="21"/>
          <w:highlight w:val="none"/>
          <w:u w:val="single"/>
        </w:rPr>
        <w:t xml:space="preserve">                   </w:t>
      </w:r>
      <w:r>
        <w:rPr>
          <w:color w:val="auto"/>
          <w:szCs w:val="21"/>
          <w:highlight w:val="none"/>
        </w:rPr>
        <w:t>；性别：</w:t>
      </w:r>
      <w:r>
        <w:rPr>
          <w:color w:val="auto"/>
          <w:szCs w:val="21"/>
          <w:highlight w:val="none"/>
          <w:u w:val="single"/>
        </w:rPr>
        <w:t xml:space="preserve">              </w:t>
      </w:r>
      <w:r>
        <w:rPr>
          <w:color w:val="auto"/>
          <w:szCs w:val="21"/>
          <w:highlight w:val="none"/>
        </w:rPr>
        <w:t xml:space="preserve">        </w:t>
      </w:r>
    </w:p>
    <w:p w14:paraId="7F8E3C56">
      <w:pPr>
        <w:spacing w:line="540" w:lineRule="exact"/>
        <w:rPr>
          <w:color w:val="auto"/>
          <w:szCs w:val="21"/>
          <w:highlight w:val="none"/>
        </w:rPr>
      </w:pPr>
      <w:r>
        <w:rPr>
          <w:color w:val="auto"/>
          <w:szCs w:val="21"/>
          <w:highlight w:val="none"/>
        </w:rPr>
        <w:t>年龄：</w:t>
      </w:r>
      <w:r>
        <w:rPr>
          <w:color w:val="auto"/>
          <w:szCs w:val="21"/>
          <w:highlight w:val="none"/>
          <w:u w:val="single"/>
        </w:rPr>
        <w:t xml:space="preserve">         </w:t>
      </w:r>
      <w:r>
        <w:rPr>
          <w:color w:val="auto"/>
          <w:szCs w:val="21"/>
          <w:highlight w:val="none"/>
        </w:rPr>
        <w:t>；职务：</w:t>
      </w:r>
      <w:r>
        <w:rPr>
          <w:color w:val="auto"/>
          <w:szCs w:val="21"/>
          <w:highlight w:val="none"/>
          <w:u w:val="single"/>
        </w:rPr>
        <w:t xml:space="preserve">              </w:t>
      </w:r>
      <w:r>
        <w:rPr>
          <w:color w:val="auto"/>
          <w:szCs w:val="21"/>
          <w:highlight w:val="none"/>
        </w:rPr>
        <w:t>；身份证：</w:t>
      </w:r>
      <w:r>
        <w:rPr>
          <w:color w:val="auto"/>
          <w:szCs w:val="21"/>
          <w:highlight w:val="none"/>
          <w:u w:val="single"/>
        </w:rPr>
        <w:t xml:space="preserve">                                      </w:t>
      </w:r>
    </w:p>
    <w:p w14:paraId="512E5A64">
      <w:pPr>
        <w:spacing w:line="540" w:lineRule="exact"/>
        <w:rPr>
          <w:color w:val="auto"/>
          <w:szCs w:val="21"/>
          <w:highlight w:val="none"/>
        </w:rPr>
      </w:pPr>
      <w:r>
        <w:rPr>
          <w:color w:val="auto"/>
          <w:szCs w:val="21"/>
          <w:highlight w:val="none"/>
        </w:rPr>
        <w:t>系</w:t>
      </w:r>
      <w:r>
        <w:rPr>
          <w:color w:val="auto"/>
          <w:szCs w:val="21"/>
          <w:highlight w:val="none"/>
          <w:u w:val="single"/>
        </w:rPr>
        <w:t xml:space="preserve">                                      （ 供应商名称）</w:t>
      </w:r>
      <w:r>
        <w:rPr>
          <w:color w:val="auto"/>
          <w:szCs w:val="21"/>
          <w:highlight w:val="none"/>
        </w:rPr>
        <w:t>的法定代表人。</w:t>
      </w:r>
    </w:p>
    <w:p w14:paraId="10636867">
      <w:pPr>
        <w:spacing w:line="540" w:lineRule="exact"/>
        <w:rPr>
          <w:color w:val="auto"/>
          <w:szCs w:val="21"/>
          <w:highlight w:val="none"/>
        </w:rPr>
      </w:pPr>
    </w:p>
    <w:p w14:paraId="1EFABA2F">
      <w:pPr>
        <w:spacing w:line="540" w:lineRule="exact"/>
        <w:ind w:firstLine="420" w:firstLineChars="200"/>
        <w:rPr>
          <w:color w:val="auto"/>
          <w:szCs w:val="21"/>
          <w:highlight w:val="none"/>
        </w:rPr>
      </w:pPr>
      <w:r>
        <w:rPr>
          <w:color w:val="auto"/>
          <w:szCs w:val="21"/>
          <w:highlight w:val="none"/>
        </w:rPr>
        <w:t>特此证明。</w:t>
      </w:r>
    </w:p>
    <w:p w14:paraId="615858F7">
      <w:pPr>
        <w:spacing w:line="360" w:lineRule="auto"/>
        <w:ind w:firstLine="420" w:firstLineChars="200"/>
        <w:rPr>
          <w:rFonts w:hint="eastAsia"/>
          <w:color w:val="auto"/>
          <w:szCs w:val="21"/>
          <w:highlight w:val="none"/>
        </w:rPr>
      </w:pPr>
    </w:p>
    <w:p w14:paraId="559EE50F">
      <w:pPr>
        <w:spacing w:line="360" w:lineRule="auto"/>
        <w:ind w:firstLine="4830" w:firstLineChars="2300"/>
        <w:rPr>
          <w:color w:val="auto"/>
          <w:szCs w:val="21"/>
          <w:highlight w:val="none"/>
        </w:rPr>
      </w:pPr>
      <w:bookmarkStart w:id="115" w:name="_Hlk89181226"/>
      <w:r>
        <w:rPr>
          <w:color w:val="auto"/>
          <w:szCs w:val="21"/>
          <w:highlight w:val="none"/>
        </w:rPr>
        <w:t>供应商</w:t>
      </w:r>
      <w:r>
        <w:rPr>
          <w:rFonts w:hint="eastAsia"/>
          <w:color w:val="auto"/>
          <w:szCs w:val="21"/>
          <w:highlight w:val="none"/>
        </w:rPr>
        <w:t>名称（电子签章）</w:t>
      </w:r>
      <w:r>
        <w:rPr>
          <w:color w:val="auto"/>
          <w:szCs w:val="21"/>
          <w:highlight w:val="none"/>
        </w:rPr>
        <w:t>：</w:t>
      </w:r>
      <w:r>
        <w:rPr>
          <w:color w:val="auto"/>
          <w:szCs w:val="21"/>
          <w:highlight w:val="none"/>
          <w:u w:val="single"/>
        </w:rPr>
        <w:t xml:space="preserve">                </w:t>
      </w:r>
    </w:p>
    <w:p w14:paraId="54B5A176">
      <w:pPr>
        <w:spacing w:line="360" w:lineRule="auto"/>
        <w:rPr>
          <w:color w:val="auto"/>
          <w:szCs w:val="21"/>
          <w:highlight w:val="none"/>
        </w:rPr>
      </w:pPr>
      <w:r>
        <w:rPr>
          <w:color w:val="auto"/>
          <w:szCs w:val="21"/>
          <w:highlight w:val="none"/>
        </w:rPr>
        <w:t xml:space="preserve">                                                   年       月       日 </w:t>
      </w:r>
    </w:p>
    <w:bookmarkEnd w:id="115"/>
    <w:p w14:paraId="6CFBD8F6">
      <w:pPr>
        <w:spacing w:line="360" w:lineRule="auto"/>
        <w:ind w:firstLine="420" w:firstLineChars="200"/>
        <w:rPr>
          <w:color w:val="auto"/>
          <w:szCs w:val="21"/>
          <w:highlight w:val="none"/>
        </w:rPr>
      </w:pPr>
    </w:p>
    <w:p w14:paraId="317ACEBF">
      <w:pPr>
        <w:spacing w:line="360" w:lineRule="auto"/>
        <w:rPr>
          <w:color w:val="auto"/>
          <w:szCs w:val="21"/>
          <w:highlight w:val="none"/>
        </w:rPr>
      </w:pPr>
      <w:r>
        <w:rPr>
          <w:color w:val="auto"/>
          <w:szCs w:val="21"/>
          <w:highlight w:val="none"/>
        </w:rPr>
        <w:t>附件：法定代表人身份证复印件</w:t>
      </w:r>
    </w:p>
    <w:p w14:paraId="656694A0">
      <w:pPr>
        <w:spacing w:line="360" w:lineRule="auto"/>
        <w:rPr>
          <w:color w:val="auto"/>
          <w:szCs w:val="21"/>
          <w:highlight w:val="none"/>
        </w:rPr>
      </w:pPr>
    </w:p>
    <w:p w14:paraId="1A4363F1">
      <w:pPr>
        <w:snapToGrid w:val="0"/>
        <w:spacing w:before="120" w:beforeLines="50" w:after="50" w:line="360" w:lineRule="exact"/>
        <w:rPr>
          <w:b/>
          <w:color w:val="auto"/>
          <w:szCs w:val="21"/>
          <w:highlight w:val="none"/>
        </w:rPr>
      </w:pPr>
      <w:r>
        <w:rPr>
          <w:b/>
          <w:color w:val="auto"/>
          <w:szCs w:val="21"/>
          <w:highlight w:val="none"/>
        </w:rPr>
        <w:br w:type="page"/>
      </w:r>
      <w:r>
        <w:rPr>
          <w:rFonts w:hint="eastAsia"/>
          <w:b/>
          <w:color w:val="auto"/>
          <w:szCs w:val="21"/>
          <w:highlight w:val="none"/>
        </w:rPr>
        <w:t>3</w:t>
      </w:r>
      <w:r>
        <w:rPr>
          <w:b/>
          <w:color w:val="auto"/>
          <w:szCs w:val="21"/>
          <w:highlight w:val="none"/>
        </w:rPr>
        <w:t>．法定代表</w:t>
      </w:r>
      <w:r>
        <w:rPr>
          <w:rFonts w:hint="eastAsia"/>
          <w:b/>
          <w:color w:val="auto"/>
          <w:szCs w:val="21"/>
          <w:highlight w:val="none"/>
        </w:rPr>
        <w:t>授权</w:t>
      </w:r>
      <w:r>
        <w:rPr>
          <w:b/>
          <w:color w:val="auto"/>
          <w:szCs w:val="21"/>
          <w:highlight w:val="none"/>
        </w:rPr>
        <w:t>委托书</w:t>
      </w:r>
      <w:r>
        <w:rPr>
          <w:rFonts w:hint="eastAsia"/>
          <w:b/>
          <w:color w:val="auto"/>
          <w:szCs w:val="21"/>
          <w:highlight w:val="none"/>
        </w:rPr>
        <w:t>（有授权</w:t>
      </w:r>
      <w:r>
        <w:rPr>
          <w:b/>
          <w:color w:val="auto"/>
          <w:szCs w:val="21"/>
          <w:highlight w:val="none"/>
        </w:rPr>
        <w:t>代表</w:t>
      </w:r>
      <w:r>
        <w:rPr>
          <w:rFonts w:hint="eastAsia"/>
          <w:b/>
          <w:color w:val="auto"/>
          <w:szCs w:val="21"/>
          <w:highlight w:val="none"/>
        </w:rPr>
        <w:t>时提供）</w:t>
      </w:r>
      <w:r>
        <w:rPr>
          <w:b/>
          <w:color w:val="auto"/>
          <w:szCs w:val="21"/>
          <w:highlight w:val="none"/>
        </w:rPr>
        <w:t>：</w:t>
      </w:r>
    </w:p>
    <w:p w14:paraId="2219F590">
      <w:pPr>
        <w:snapToGrid w:val="0"/>
        <w:spacing w:before="120" w:beforeLines="50" w:after="50" w:line="360" w:lineRule="exact"/>
        <w:rPr>
          <w:b/>
          <w:color w:val="auto"/>
          <w:szCs w:val="21"/>
          <w:highlight w:val="none"/>
        </w:rPr>
      </w:pPr>
    </w:p>
    <w:p w14:paraId="13EDDD49">
      <w:pPr>
        <w:snapToGrid w:val="0"/>
        <w:spacing w:before="120" w:beforeLines="50" w:after="50" w:line="440" w:lineRule="exact"/>
        <w:jc w:val="center"/>
        <w:rPr>
          <w:b/>
          <w:color w:val="auto"/>
          <w:szCs w:val="21"/>
          <w:highlight w:val="none"/>
        </w:rPr>
      </w:pPr>
      <w:r>
        <w:rPr>
          <w:b/>
          <w:color w:val="auto"/>
          <w:szCs w:val="21"/>
          <w:highlight w:val="none"/>
        </w:rPr>
        <w:t>法定代表人授权委托书</w:t>
      </w:r>
    </w:p>
    <w:p w14:paraId="08CDF418">
      <w:pPr>
        <w:snapToGrid w:val="0"/>
        <w:spacing w:before="120" w:beforeLines="50" w:after="50" w:line="440" w:lineRule="exact"/>
        <w:rPr>
          <w:bCs/>
          <w:color w:val="auto"/>
          <w:szCs w:val="21"/>
          <w:highlight w:val="none"/>
        </w:rPr>
      </w:pPr>
    </w:p>
    <w:p w14:paraId="3857C4BD">
      <w:pPr>
        <w:snapToGrid w:val="0"/>
        <w:spacing w:before="120" w:beforeLines="50" w:after="50" w:line="440" w:lineRule="exact"/>
        <w:rPr>
          <w:rFonts w:hint="eastAsia"/>
          <w:b/>
          <w:bCs/>
          <w:color w:val="auto"/>
          <w:szCs w:val="21"/>
          <w:highlight w:val="none"/>
        </w:rPr>
      </w:pPr>
      <w:bookmarkStart w:id="116" w:name="_Hlk21623528"/>
      <w:r>
        <w:rPr>
          <w:bCs/>
          <w:color w:val="auto"/>
          <w:szCs w:val="21"/>
          <w:highlight w:val="none"/>
        </w:rPr>
        <w:t>致：</w:t>
      </w:r>
      <w:r>
        <w:rPr>
          <w:i/>
          <w:iCs/>
          <w:color w:val="auto"/>
          <w:szCs w:val="21"/>
          <w:highlight w:val="none"/>
          <w:u w:val="single"/>
        </w:rPr>
        <w:t>（采购人名称）</w:t>
      </w:r>
    </w:p>
    <w:p w14:paraId="13D1DF95">
      <w:pPr>
        <w:snapToGrid w:val="0"/>
        <w:spacing w:before="120" w:beforeLines="50" w:after="50" w:line="440" w:lineRule="exact"/>
        <w:ind w:firstLine="420" w:firstLineChars="200"/>
        <w:rPr>
          <w:color w:val="auto"/>
          <w:szCs w:val="21"/>
          <w:highlight w:val="none"/>
        </w:rPr>
      </w:pPr>
      <w:r>
        <w:rPr>
          <w:color w:val="auto"/>
          <w:szCs w:val="21"/>
          <w:highlight w:val="none"/>
        </w:rPr>
        <w:t>我</w:t>
      </w:r>
      <w:r>
        <w:rPr>
          <w:rFonts w:hint="eastAsia"/>
          <w:color w:val="auto"/>
          <w:szCs w:val="21"/>
          <w:highlight w:val="none"/>
        </w:rPr>
        <w:t xml:space="preserve"> </w:t>
      </w:r>
      <w:r>
        <w:rPr>
          <w:i/>
          <w:iCs/>
          <w:color w:val="auto"/>
          <w:szCs w:val="21"/>
          <w:highlight w:val="none"/>
          <w:u w:val="single"/>
        </w:rPr>
        <w:t>（姓名）</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系</w:t>
      </w:r>
      <w:r>
        <w:rPr>
          <w:i/>
          <w:iCs/>
          <w:color w:val="auto"/>
          <w:szCs w:val="21"/>
          <w:highlight w:val="none"/>
          <w:u w:val="single"/>
        </w:rPr>
        <w:t>（供应商名称）</w:t>
      </w:r>
      <w:r>
        <w:rPr>
          <w:color w:val="auto"/>
          <w:szCs w:val="21"/>
          <w:highlight w:val="none"/>
        </w:rPr>
        <w:t>的法定代表人，现授权委托本单位在职职工</w:t>
      </w:r>
      <w:r>
        <w:rPr>
          <w:i/>
          <w:iCs/>
          <w:color w:val="auto"/>
          <w:szCs w:val="21"/>
          <w:highlight w:val="none"/>
          <w:u w:val="single"/>
        </w:rPr>
        <w:t>（姓名）</w:t>
      </w:r>
      <w:r>
        <w:rPr>
          <w:color w:val="auto"/>
          <w:szCs w:val="21"/>
          <w:highlight w:val="none"/>
        </w:rPr>
        <w:t>以我方的名义参加</w:t>
      </w:r>
      <w:r>
        <w:rPr>
          <w:rFonts w:hint="eastAsia"/>
          <w:i/>
          <w:iCs/>
          <w:color w:val="auto"/>
          <w:szCs w:val="21"/>
          <w:highlight w:val="none"/>
          <w:u w:val="single"/>
        </w:rPr>
        <w:t>（项目名称 ）</w:t>
      </w:r>
      <w:r>
        <w:rPr>
          <w:color w:val="auto"/>
          <w:szCs w:val="21"/>
          <w:highlight w:val="none"/>
        </w:rPr>
        <w:t>项目的</w:t>
      </w:r>
      <w:r>
        <w:rPr>
          <w:rFonts w:hint="eastAsia"/>
          <w:color w:val="auto"/>
          <w:szCs w:val="21"/>
          <w:highlight w:val="none"/>
        </w:rPr>
        <w:t>谈判</w:t>
      </w:r>
      <w:r>
        <w:rPr>
          <w:color w:val="auto"/>
          <w:szCs w:val="21"/>
          <w:highlight w:val="none"/>
        </w:rPr>
        <w:t>活动，并代表我方全权办理针对上述项目的</w:t>
      </w:r>
      <w:r>
        <w:rPr>
          <w:rFonts w:hint="eastAsia"/>
          <w:color w:val="auto"/>
          <w:szCs w:val="21"/>
          <w:highlight w:val="none"/>
        </w:rPr>
        <w:t>谈判</w:t>
      </w:r>
      <w:r>
        <w:rPr>
          <w:color w:val="auto"/>
          <w:szCs w:val="21"/>
          <w:highlight w:val="none"/>
        </w:rPr>
        <w:t>、截标、评审、签约等具体事务和签署相关文件。</w:t>
      </w:r>
    </w:p>
    <w:p w14:paraId="23A41C25">
      <w:pPr>
        <w:snapToGrid w:val="0"/>
        <w:spacing w:before="120" w:beforeLines="50" w:after="50" w:line="440" w:lineRule="exact"/>
        <w:rPr>
          <w:color w:val="auto"/>
          <w:szCs w:val="21"/>
          <w:highlight w:val="none"/>
        </w:rPr>
      </w:pPr>
      <w:r>
        <w:rPr>
          <w:color w:val="auto"/>
          <w:szCs w:val="21"/>
          <w:highlight w:val="none"/>
        </w:rPr>
        <w:t xml:space="preserve">    我方对被授权人的签名事项负全部责任。</w:t>
      </w:r>
    </w:p>
    <w:p w14:paraId="484EAE10">
      <w:pPr>
        <w:snapToGrid w:val="0"/>
        <w:spacing w:before="120" w:beforeLines="50" w:after="50" w:line="440" w:lineRule="exact"/>
        <w:ind w:firstLine="480"/>
        <w:rPr>
          <w:color w:val="auto"/>
          <w:szCs w:val="21"/>
          <w:highlight w:val="none"/>
        </w:rPr>
      </w:pPr>
      <w:r>
        <w:rPr>
          <w:color w:val="auto"/>
          <w:szCs w:val="21"/>
          <w:highlight w:val="none"/>
        </w:rPr>
        <w:t>在撤销授权的书面通知以前，本授权书一直有效。被授权人在授权书有效期内签署的所有文件不因授权的撤销而失效。</w:t>
      </w:r>
    </w:p>
    <w:p w14:paraId="393B0CAF">
      <w:pPr>
        <w:snapToGrid w:val="0"/>
        <w:spacing w:before="120" w:beforeLines="50" w:after="50" w:line="440" w:lineRule="exact"/>
        <w:ind w:firstLine="480"/>
        <w:rPr>
          <w:color w:val="auto"/>
          <w:szCs w:val="21"/>
          <w:highlight w:val="none"/>
        </w:rPr>
      </w:pPr>
      <w:r>
        <w:rPr>
          <w:color w:val="auto"/>
          <w:szCs w:val="21"/>
          <w:highlight w:val="none"/>
        </w:rPr>
        <w:t>被授权人无转委托权，特此委托。</w:t>
      </w:r>
    </w:p>
    <w:p w14:paraId="67551911">
      <w:pPr>
        <w:snapToGrid w:val="0"/>
        <w:spacing w:before="120" w:beforeLines="50" w:after="50" w:line="440" w:lineRule="exact"/>
        <w:rPr>
          <w:color w:val="auto"/>
          <w:szCs w:val="21"/>
          <w:highlight w:val="none"/>
          <w:u w:val="single"/>
        </w:rPr>
      </w:pPr>
      <w:r>
        <w:rPr>
          <w:color w:val="auto"/>
          <w:szCs w:val="21"/>
          <w:highlight w:val="none"/>
        </w:rPr>
        <w:t>被授权人签名或</w:t>
      </w:r>
      <w:r>
        <w:rPr>
          <w:rFonts w:hint="eastAsia"/>
          <w:color w:val="auto"/>
          <w:szCs w:val="21"/>
          <w:highlight w:val="none"/>
        </w:rPr>
        <w:t>签</w:t>
      </w:r>
      <w:r>
        <w:rPr>
          <w:color w:val="auto"/>
          <w:szCs w:val="21"/>
          <w:highlight w:val="none"/>
        </w:rPr>
        <w:t>章：</w:t>
      </w:r>
      <w:r>
        <w:rPr>
          <w:color w:val="auto"/>
          <w:szCs w:val="21"/>
          <w:highlight w:val="none"/>
          <w:u w:val="single"/>
        </w:rPr>
        <w:t xml:space="preserve">          </w:t>
      </w:r>
      <w:r>
        <w:rPr>
          <w:color w:val="auto"/>
          <w:szCs w:val="21"/>
          <w:highlight w:val="none"/>
        </w:rPr>
        <w:t xml:space="preserve">                           法定代表人签名或</w:t>
      </w:r>
      <w:r>
        <w:rPr>
          <w:rFonts w:hint="eastAsia"/>
          <w:color w:val="auto"/>
          <w:szCs w:val="21"/>
          <w:highlight w:val="none"/>
        </w:rPr>
        <w:t>签</w:t>
      </w:r>
      <w:r>
        <w:rPr>
          <w:color w:val="auto"/>
          <w:szCs w:val="21"/>
          <w:highlight w:val="none"/>
        </w:rPr>
        <w:t>章：</w:t>
      </w:r>
      <w:r>
        <w:rPr>
          <w:color w:val="auto"/>
          <w:szCs w:val="21"/>
          <w:highlight w:val="none"/>
          <w:u w:val="single"/>
        </w:rPr>
        <w:t xml:space="preserve">          </w:t>
      </w:r>
    </w:p>
    <w:p w14:paraId="14EE9FEF">
      <w:pPr>
        <w:snapToGrid w:val="0"/>
        <w:spacing w:before="120" w:beforeLines="50" w:after="50" w:line="440" w:lineRule="exact"/>
        <w:rPr>
          <w:color w:val="auto"/>
          <w:szCs w:val="21"/>
          <w:highlight w:val="none"/>
        </w:rPr>
      </w:pPr>
      <w:r>
        <w:rPr>
          <w:color w:val="auto"/>
          <w:szCs w:val="21"/>
          <w:highlight w:val="none"/>
        </w:rPr>
        <w:t>职务：</w:t>
      </w:r>
      <w:r>
        <w:rPr>
          <w:color w:val="auto"/>
          <w:szCs w:val="21"/>
          <w:highlight w:val="none"/>
          <w:u w:val="single"/>
        </w:rPr>
        <w:t xml:space="preserve">           </w:t>
      </w:r>
      <w:r>
        <w:rPr>
          <w:color w:val="auto"/>
          <w:szCs w:val="21"/>
          <w:highlight w:val="none"/>
        </w:rPr>
        <w:t xml:space="preserve">                                  职务：</w:t>
      </w:r>
      <w:r>
        <w:rPr>
          <w:color w:val="auto"/>
          <w:szCs w:val="21"/>
          <w:highlight w:val="none"/>
          <w:u w:val="single"/>
        </w:rPr>
        <w:t xml:space="preserve">           </w:t>
      </w:r>
    </w:p>
    <w:p w14:paraId="5A88530D">
      <w:pPr>
        <w:snapToGrid w:val="0"/>
        <w:spacing w:before="120" w:beforeLines="50" w:after="50" w:line="440" w:lineRule="exact"/>
        <w:rPr>
          <w:color w:val="auto"/>
          <w:szCs w:val="21"/>
          <w:highlight w:val="none"/>
        </w:rPr>
      </w:pPr>
      <w:r>
        <w:rPr>
          <w:color w:val="auto"/>
          <w:szCs w:val="21"/>
          <w:highlight w:val="none"/>
        </w:rPr>
        <w:t>被授权人身份证号码：</w:t>
      </w:r>
      <w:r>
        <w:rPr>
          <w:color w:val="auto"/>
          <w:szCs w:val="21"/>
          <w:highlight w:val="none"/>
          <w:u w:val="single"/>
        </w:rPr>
        <w:t xml:space="preserve">                   </w:t>
      </w:r>
      <w:r>
        <w:rPr>
          <w:color w:val="auto"/>
          <w:szCs w:val="21"/>
          <w:highlight w:val="none"/>
        </w:rPr>
        <w:t xml:space="preserve">            授权人身份证号码：</w:t>
      </w:r>
      <w:r>
        <w:rPr>
          <w:color w:val="auto"/>
          <w:szCs w:val="21"/>
          <w:highlight w:val="none"/>
          <w:u w:val="single"/>
        </w:rPr>
        <w:t xml:space="preserve">                 </w:t>
      </w:r>
    </w:p>
    <w:p w14:paraId="76059B21">
      <w:pPr>
        <w:snapToGrid w:val="0"/>
        <w:spacing w:before="120" w:beforeLines="50" w:after="50" w:line="440" w:lineRule="exact"/>
        <w:rPr>
          <w:color w:val="auto"/>
          <w:szCs w:val="21"/>
          <w:highlight w:val="none"/>
        </w:rPr>
      </w:pPr>
      <w:r>
        <w:rPr>
          <w:rFonts w:hint="eastAsia"/>
          <w:color w:val="auto"/>
          <w:szCs w:val="21"/>
          <w:highlight w:val="none"/>
        </w:rPr>
        <w:t>被授权人手机号码及邮箱：</w:t>
      </w:r>
      <w:r>
        <w:rPr>
          <w:rFonts w:hint="eastAsia"/>
          <w:color w:val="auto"/>
          <w:szCs w:val="21"/>
          <w:highlight w:val="none"/>
          <w:u w:val="single"/>
        </w:rPr>
        <w:t xml:space="preserve"> </w:t>
      </w:r>
      <w:r>
        <w:rPr>
          <w:color w:val="auto"/>
          <w:szCs w:val="21"/>
          <w:highlight w:val="none"/>
          <w:u w:val="single"/>
        </w:rPr>
        <w:t xml:space="preserve">                      </w:t>
      </w:r>
    </w:p>
    <w:p w14:paraId="758DB0D7">
      <w:pPr>
        <w:snapToGrid w:val="0"/>
        <w:spacing w:before="120" w:beforeLines="50" w:after="50" w:line="440" w:lineRule="exact"/>
        <w:rPr>
          <w:color w:val="auto"/>
          <w:szCs w:val="21"/>
          <w:highlight w:val="none"/>
        </w:rPr>
      </w:pPr>
      <w:r>
        <w:rPr>
          <w:color w:val="auto"/>
          <w:szCs w:val="21"/>
          <w:highlight w:val="none"/>
        </w:rPr>
        <w:t xml:space="preserve">                   </w:t>
      </w:r>
    </w:p>
    <w:p w14:paraId="29FF3759">
      <w:pPr>
        <w:snapToGrid w:val="0"/>
        <w:spacing w:before="120" w:beforeLines="50" w:after="50" w:line="440" w:lineRule="exact"/>
        <w:ind w:firstLine="5670" w:firstLineChars="2700"/>
        <w:rPr>
          <w:color w:val="auto"/>
          <w:szCs w:val="21"/>
          <w:highlight w:val="none"/>
        </w:rPr>
      </w:pPr>
      <w:bookmarkStart w:id="117" w:name="_Hlk89181256"/>
      <w:r>
        <w:rPr>
          <w:color w:val="auto"/>
          <w:szCs w:val="21"/>
          <w:highlight w:val="none"/>
        </w:rPr>
        <w:t>供应商</w:t>
      </w:r>
      <w:r>
        <w:rPr>
          <w:rFonts w:hint="eastAsia"/>
          <w:color w:val="auto"/>
          <w:szCs w:val="21"/>
          <w:highlight w:val="none"/>
        </w:rPr>
        <w:t>名称（电子签章）</w:t>
      </w:r>
      <w:r>
        <w:rPr>
          <w:color w:val="auto"/>
          <w:szCs w:val="21"/>
          <w:highlight w:val="none"/>
        </w:rPr>
        <w:t>：</w:t>
      </w:r>
      <w:r>
        <w:rPr>
          <w:color w:val="auto"/>
          <w:szCs w:val="21"/>
          <w:highlight w:val="none"/>
          <w:u w:val="single"/>
        </w:rPr>
        <w:t xml:space="preserve">                </w:t>
      </w:r>
    </w:p>
    <w:p w14:paraId="2F50606B">
      <w:pPr>
        <w:snapToGrid w:val="0"/>
        <w:spacing w:before="120" w:beforeLines="50" w:after="50" w:line="440" w:lineRule="exact"/>
        <w:jc w:val="center"/>
        <w:rPr>
          <w:color w:val="auto"/>
          <w:szCs w:val="21"/>
          <w:highlight w:val="none"/>
        </w:rPr>
      </w:pPr>
      <w:r>
        <w:rPr>
          <w:color w:val="auto"/>
          <w:szCs w:val="21"/>
          <w:highlight w:val="none"/>
        </w:rPr>
        <w:t xml:space="preserve">                                        年    月    日</w:t>
      </w:r>
    </w:p>
    <w:bookmarkEnd w:id="117"/>
    <w:p w14:paraId="6815B364">
      <w:pPr>
        <w:spacing w:line="360" w:lineRule="auto"/>
        <w:rPr>
          <w:color w:val="auto"/>
          <w:szCs w:val="21"/>
          <w:highlight w:val="none"/>
        </w:rPr>
      </w:pPr>
    </w:p>
    <w:p w14:paraId="23563770">
      <w:pPr>
        <w:spacing w:line="360" w:lineRule="auto"/>
        <w:rPr>
          <w:color w:val="auto"/>
          <w:szCs w:val="21"/>
          <w:highlight w:val="none"/>
        </w:rPr>
      </w:pPr>
    </w:p>
    <w:p w14:paraId="7B72BE47">
      <w:pPr>
        <w:spacing w:line="360" w:lineRule="auto"/>
        <w:rPr>
          <w:color w:val="auto"/>
          <w:szCs w:val="21"/>
          <w:highlight w:val="none"/>
        </w:rPr>
      </w:pPr>
    </w:p>
    <w:p w14:paraId="42D3A099">
      <w:pPr>
        <w:spacing w:line="360" w:lineRule="auto"/>
        <w:rPr>
          <w:color w:val="auto"/>
          <w:szCs w:val="21"/>
          <w:highlight w:val="none"/>
        </w:rPr>
      </w:pPr>
      <w:r>
        <w:rPr>
          <w:color w:val="auto"/>
          <w:szCs w:val="21"/>
          <w:highlight w:val="none"/>
        </w:rPr>
        <w:t>附件：法定代表人身份证复印件及授权代表身份证复印件</w:t>
      </w:r>
    </w:p>
    <w:p w14:paraId="79B2D08C">
      <w:pPr>
        <w:spacing w:line="360" w:lineRule="auto"/>
        <w:rPr>
          <w:rFonts w:hint="eastAsia"/>
          <w:color w:val="auto"/>
          <w:highlight w:val="none"/>
        </w:rPr>
      </w:pPr>
    </w:p>
    <w:p w14:paraId="1C2A2D5A">
      <w:pPr>
        <w:spacing w:line="360" w:lineRule="auto"/>
        <w:rPr>
          <w:rFonts w:hint="eastAsia"/>
          <w:color w:val="auto"/>
          <w:highlight w:val="none"/>
        </w:rPr>
      </w:pPr>
    </w:p>
    <w:bookmarkEnd w:id="116"/>
    <w:p w14:paraId="261DDA4E">
      <w:pPr>
        <w:snapToGrid w:val="0"/>
        <w:spacing w:before="120" w:beforeLines="50" w:after="50" w:line="440" w:lineRule="exact"/>
        <w:rPr>
          <w:color w:val="auto"/>
          <w:highlight w:val="none"/>
        </w:rPr>
      </w:pPr>
      <w:r>
        <w:rPr>
          <w:color w:val="auto"/>
          <w:szCs w:val="21"/>
          <w:highlight w:val="none"/>
        </w:rPr>
        <w:br w:type="page"/>
      </w:r>
    </w:p>
    <w:p w14:paraId="023EDC88">
      <w:pPr>
        <w:pStyle w:val="26"/>
        <w:tabs>
          <w:tab w:val="left" w:pos="2127"/>
        </w:tabs>
        <w:spacing w:line="340" w:lineRule="exact"/>
        <w:rPr>
          <w:b/>
          <w:color w:val="auto"/>
          <w:highlight w:val="none"/>
        </w:rPr>
      </w:pPr>
      <w:r>
        <w:rPr>
          <w:rFonts w:hint="eastAsia" w:ascii="Times New Roman" w:hAnsi="Times New Roman" w:cs="Times New Roman"/>
          <w:color w:val="auto"/>
          <w:highlight w:val="none"/>
        </w:rPr>
        <w:t>4</w:t>
      </w:r>
      <w:r>
        <w:rPr>
          <w:rFonts w:ascii="Times New Roman" w:hAnsi="Times New Roman" w:cs="Times New Roman"/>
          <w:color w:val="auto"/>
          <w:highlight w:val="none"/>
        </w:rPr>
        <w:t>．具备法律、行政法规规定的其他要求的证明材料（按“评审方法及标准” “资格性检查表”规定提供）。</w:t>
      </w:r>
      <w:r>
        <w:rPr>
          <w:rFonts w:hint="eastAsia"/>
          <w:b/>
          <w:color w:val="auto"/>
          <w:highlight w:val="none"/>
        </w:rPr>
        <w:t>（如采购文件有要求时提供）</w:t>
      </w:r>
    </w:p>
    <w:p w14:paraId="1CFFBA34">
      <w:pPr>
        <w:pStyle w:val="26"/>
        <w:tabs>
          <w:tab w:val="left" w:pos="2127"/>
        </w:tabs>
        <w:spacing w:line="340" w:lineRule="exact"/>
        <w:rPr>
          <w:rFonts w:hint="eastAsia"/>
          <w:b/>
          <w:color w:val="auto"/>
          <w:highlight w:val="none"/>
        </w:rPr>
      </w:pPr>
    </w:p>
    <w:p w14:paraId="33FC1C7D">
      <w:pPr>
        <w:snapToGrid w:val="0"/>
        <w:spacing w:before="50" w:after="120" w:afterLines="50" w:line="440" w:lineRule="exact"/>
        <w:jc w:val="left"/>
        <w:rPr>
          <w:b/>
          <w:color w:val="auto"/>
          <w:szCs w:val="21"/>
          <w:highlight w:val="none"/>
        </w:rPr>
      </w:pPr>
      <w:bookmarkStart w:id="118" w:name="_Hlk132792497"/>
      <w:r>
        <w:rPr>
          <w:rFonts w:hint="eastAsia"/>
          <w:color w:val="auto"/>
          <w:szCs w:val="21"/>
          <w:highlight w:val="none"/>
        </w:rPr>
        <w:t>5</w:t>
      </w:r>
      <w:r>
        <w:rPr>
          <w:color w:val="auto"/>
          <w:szCs w:val="21"/>
          <w:highlight w:val="none"/>
        </w:rPr>
        <w:t>．</w:t>
      </w:r>
      <w:r>
        <w:rPr>
          <w:rFonts w:hint="eastAsia"/>
          <w:color w:val="auto"/>
          <w:highlight w:val="none"/>
        </w:rPr>
        <w:t>落实政府采购政策需满足的资格要求</w:t>
      </w:r>
      <w:r>
        <w:rPr>
          <w:color w:val="auto"/>
          <w:highlight w:val="none"/>
        </w:rPr>
        <w:t>（</w:t>
      </w:r>
      <w:r>
        <w:rPr>
          <w:color w:val="auto"/>
          <w:szCs w:val="21"/>
          <w:highlight w:val="none"/>
        </w:rPr>
        <w:t>按“评审方法及标准” “资格审查表”规定提供</w:t>
      </w:r>
      <w:r>
        <w:rPr>
          <w:color w:val="auto"/>
          <w:highlight w:val="none"/>
        </w:rPr>
        <w:t>）。</w:t>
      </w:r>
      <w:r>
        <w:rPr>
          <w:rFonts w:hint="eastAsia"/>
          <w:b/>
          <w:color w:val="auto"/>
          <w:szCs w:val="21"/>
          <w:highlight w:val="none"/>
        </w:rPr>
        <w:t>（如采购文件有要求时提供）</w:t>
      </w:r>
    </w:p>
    <w:bookmarkEnd w:id="118"/>
    <w:p w14:paraId="0F171F89">
      <w:pPr>
        <w:rPr>
          <w:rFonts w:hint="eastAsia"/>
          <w:color w:val="auto"/>
          <w:szCs w:val="21"/>
          <w:highlight w:val="none"/>
        </w:rPr>
      </w:pPr>
      <w:r>
        <w:rPr>
          <w:b/>
          <w:color w:val="auto"/>
          <w:highlight w:val="none"/>
        </w:rPr>
        <w:br w:type="page"/>
      </w:r>
      <w:r>
        <w:rPr>
          <w:rFonts w:hint="eastAsia"/>
          <w:color w:val="auto"/>
          <w:szCs w:val="21"/>
          <w:highlight w:val="none"/>
        </w:rPr>
        <w:t>5</w:t>
      </w:r>
      <w:r>
        <w:rPr>
          <w:color w:val="auto"/>
          <w:szCs w:val="21"/>
          <w:highlight w:val="none"/>
        </w:rPr>
        <w:t>.1</w:t>
      </w:r>
      <w:r>
        <w:rPr>
          <w:rFonts w:hint="eastAsia"/>
          <w:bCs/>
          <w:color w:val="auto"/>
          <w:szCs w:val="21"/>
          <w:highlight w:val="none"/>
        </w:rPr>
        <w:t>中小企业声明函</w:t>
      </w:r>
      <w:r>
        <w:rPr>
          <w:color w:val="auto"/>
          <w:szCs w:val="21"/>
          <w:highlight w:val="none"/>
        </w:rPr>
        <w:t>。</w:t>
      </w:r>
    </w:p>
    <w:p w14:paraId="4083A31B">
      <w:pPr>
        <w:spacing w:line="360" w:lineRule="auto"/>
        <w:ind w:firstLine="3584" w:firstLineChars="1700"/>
        <w:rPr>
          <w:b/>
          <w:color w:val="auto"/>
          <w:szCs w:val="21"/>
          <w:highlight w:val="none"/>
        </w:rPr>
      </w:pPr>
    </w:p>
    <w:p w14:paraId="0D6396FC">
      <w:pPr>
        <w:spacing w:line="360" w:lineRule="auto"/>
        <w:ind w:firstLine="3584" w:firstLineChars="1700"/>
        <w:rPr>
          <w:b/>
          <w:color w:val="auto"/>
          <w:szCs w:val="21"/>
          <w:highlight w:val="none"/>
        </w:rPr>
      </w:pPr>
      <w:r>
        <w:rPr>
          <w:rFonts w:hint="eastAsia"/>
          <w:b/>
          <w:color w:val="auto"/>
          <w:szCs w:val="21"/>
          <w:highlight w:val="none"/>
        </w:rPr>
        <w:t>中小企业声明函（货物）</w:t>
      </w:r>
    </w:p>
    <w:p w14:paraId="36625F4E">
      <w:pPr>
        <w:spacing w:line="360" w:lineRule="auto"/>
        <w:ind w:firstLine="420"/>
        <w:rPr>
          <w:bCs/>
          <w:color w:val="auto"/>
          <w:szCs w:val="21"/>
          <w:highlight w:val="none"/>
        </w:rPr>
      </w:pPr>
      <w:r>
        <w:rPr>
          <w:rFonts w:hint="eastAsia"/>
          <w:bCs/>
          <w:color w:val="auto"/>
          <w:szCs w:val="21"/>
          <w:highlight w:val="none"/>
        </w:rPr>
        <w:t>本公司（联合体）郑重声明，根据《政府采购促进中小企业发展管理办法》（财库﹝2020﹞46 号）的规定，本公司（联合体）参加</w:t>
      </w:r>
      <w:r>
        <w:rPr>
          <w:rFonts w:hint="eastAsia"/>
          <w:bCs/>
          <w:color w:val="auto"/>
          <w:szCs w:val="21"/>
          <w:highlight w:val="none"/>
          <w:u w:val="single"/>
        </w:rPr>
        <w:t>（单位名称）</w:t>
      </w:r>
      <w:r>
        <w:rPr>
          <w:rFonts w:hint="eastAsia"/>
          <w:bCs/>
          <w:color w:val="auto"/>
          <w:szCs w:val="21"/>
          <w:highlight w:val="none"/>
        </w:rPr>
        <w:t>的</w:t>
      </w:r>
      <w:r>
        <w:rPr>
          <w:rFonts w:hint="eastAsia"/>
          <w:bCs/>
          <w:color w:val="auto"/>
          <w:szCs w:val="21"/>
          <w:highlight w:val="none"/>
          <w:u w:val="single"/>
        </w:rPr>
        <w:t>（项目名称）</w:t>
      </w:r>
      <w:r>
        <w:rPr>
          <w:rFonts w:hint="eastAsia"/>
          <w:bCs/>
          <w:color w:val="auto"/>
          <w:szCs w:val="21"/>
          <w:highlight w:val="none"/>
        </w:rPr>
        <w:t>采购活动，提供的货物全部由符合政策要求的中小企业制造。相关企业（含联合体中的中小企业、签订分包意向协议的中小企业） 的具体情况如下：</w:t>
      </w:r>
    </w:p>
    <w:p w14:paraId="35AC8314">
      <w:pPr>
        <w:spacing w:line="360" w:lineRule="auto"/>
        <w:ind w:firstLine="420"/>
        <w:rPr>
          <w:bCs/>
          <w:color w:val="auto"/>
          <w:szCs w:val="21"/>
          <w:highlight w:val="none"/>
        </w:rPr>
      </w:pPr>
      <w:r>
        <w:rPr>
          <w:bCs/>
          <w:color w:val="auto"/>
          <w:szCs w:val="21"/>
          <w:highlight w:val="none"/>
        </w:rPr>
        <w:t>1.</w:t>
      </w:r>
      <w:r>
        <w:rPr>
          <w:rFonts w:hint="eastAsia"/>
          <w:bCs/>
          <w:color w:val="auto"/>
          <w:szCs w:val="21"/>
          <w:highlight w:val="none"/>
          <w:u w:val="single"/>
        </w:rPr>
        <w:t>（标的名称）</w:t>
      </w:r>
      <w:r>
        <w:rPr>
          <w:rFonts w:hint="eastAsia"/>
          <w:bCs/>
          <w:color w:val="auto"/>
          <w:szCs w:val="21"/>
          <w:highlight w:val="none"/>
        </w:rPr>
        <w:t>，属于</w:t>
      </w:r>
      <w:r>
        <w:rPr>
          <w:rFonts w:hint="eastAsia"/>
          <w:bCs/>
          <w:color w:val="auto"/>
          <w:szCs w:val="21"/>
          <w:highlight w:val="none"/>
          <w:u w:val="single"/>
        </w:rPr>
        <w:t>（采购文件中明确的所属行业）</w:t>
      </w:r>
      <w:r>
        <w:rPr>
          <w:rFonts w:hint="eastAsia"/>
          <w:bCs/>
          <w:color w:val="auto"/>
          <w:szCs w:val="21"/>
          <w:highlight w:val="none"/>
        </w:rPr>
        <w:t>行业；制造商为</w:t>
      </w:r>
      <w:r>
        <w:rPr>
          <w:rFonts w:hint="eastAsia"/>
          <w:bCs/>
          <w:color w:val="auto"/>
          <w:szCs w:val="21"/>
          <w:highlight w:val="none"/>
          <w:u w:val="single"/>
        </w:rPr>
        <w:t>（企业名称）</w:t>
      </w:r>
      <w:r>
        <w:rPr>
          <w:rFonts w:hint="eastAsia"/>
          <w:bCs/>
          <w:color w:val="auto"/>
          <w:szCs w:val="21"/>
          <w:highlight w:val="none"/>
        </w:rPr>
        <w:t>，从业人员</w:t>
      </w:r>
      <w:r>
        <w:rPr>
          <w:bCs/>
          <w:color w:val="auto"/>
          <w:szCs w:val="21"/>
          <w:highlight w:val="none"/>
          <w:u w:val="single"/>
        </w:rPr>
        <w:t xml:space="preserve">    </w:t>
      </w:r>
      <w:r>
        <w:rPr>
          <w:rFonts w:hint="eastAsia"/>
          <w:bCs/>
          <w:color w:val="auto"/>
          <w:szCs w:val="21"/>
          <w:highlight w:val="none"/>
        </w:rPr>
        <w:t>人，营业收入为</w:t>
      </w:r>
      <w:r>
        <w:rPr>
          <w:rFonts w:hint="eastAsia"/>
          <w:bCs/>
          <w:color w:val="auto"/>
          <w:szCs w:val="21"/>
          <w:highlight w:val="none"/>
          <w:u w:val="single"/>
        </w:rPr>
        <w:t xml:space="preserve"> </w:t>
      </w:r>
      <w:r>
        <w:rPr>
          <w:bCs/>
          <w:color w:val="auto"/>
          <w:szCs w:val="21"/>
          <w:highlight w:val="none"/>
          <w:u w:val="single"/>
        </w:rPr>
        <w:t xml:space="preserve">  </w:t>
      </w:r>
      <w:r>
        <w:rPr>
          <w:rFonts w:hint="eastAsia"/>
          <w:bCs/>
          <w:color w:val="auto"/>
          <w:szCs w:val="21"/>
          <w:highlight w:val="none"/>
          <w:u w:val="single"/>
        </w:rPr>
        <w:t xml:space="preserve"> </w:t>
      </w:r>
      <w:r>
        <w:rPr>
          <w:rFonts w:hint="eastAsia"/>
          <w:bCs/>
          <w:color w:val="auto"/>
          <w:szCs w:val="21"/>
          <w:highlight w:val="none"/>
        </w:rPr>
        <w:t>万元，资产总额为</w:t>
      </w:r>
      <w:r>
        <w:rPr>
          <w:rFonts w:hint="eastAsia"/>
          <w:bCs/>
          <w:color w:val="auto"/>
          <w:szCs w:val="21"/>
          <w:highlight w:val="none"/>
          <w:u w:val="single"/>
        </w:rPr>
        <w:t xml:space="preserve">    </w:t>
      </w:r>
      <w:r>
        <w:rPr>
          <w:rFonts w:hint="eastAsia"/>
          <w:bCs/>
          <w:color w:val="auto"/>
          <w:szCs w:val="21"/>
          <w:highlight w:val="none"/>
        </w:rPr>
        <w:t>万元，属于</w:t>
      </w:r>
      <w:r>
        <w:rPr>
          <w:rFonts w:hint="eastAsia"/>
          <w:bCs/>
          <w:color w:val="auto"/>
          <w:szCs w:val="21"/>
          <w:highlight w:val="none"/>
          <w:u w:val="single"/>
        </w:rPr>
        <w:t>（中型企业、小型企业、微型企业）</w:t>
      </w:r>
      <w:r>
        <w:rPr>
          <w:rFonts w:hint="eastAsia"/>
          <w:bCs/>
          <w:color w:val="auto"/>
          <w:szCs w:val="21"/>
          <w:highlight w:val="none"/>
        </w:rPr>
        <w:t>；</w:t>
      </w:r>
    </w:p>
    <w:p w14:paraId="50D34F13">
      <w:pPr>
        <w:spacing w:line="360" w:lineRule="auto"/>
        <w:ind w:firstLine="420"/>
        <w:rPr>
          <w:bCs/>
          <w:color w:val="auto"/>
          <w:szCs w:val="21"/>
          <w:highlight w:val="none"/>
        </w:rPr>
      </w:pPr>
      <w:r>
        <w:rPr>
          <w:bCs/>
          <w:color w:val="auto"/>
          <w:szCs w:val="21"/>
          <w:highlight w:val="none"/>
        </w:rPr>
        <w:t>2.</w:t>
      </w:r>
      <w:r>
        <w:rPr>
          <w:rFonts w:hint="eastAsia"/>
          <w:bCs/>
          <w:color w:val="auto"/>
          <w:szCs w:val="21"/>
          <w:highlight w:val="none"/>
          <w:u w:val="single"/>
        </w:rPr>
        <w:t>（标的名称）</w:t>
      </w:r>
      <w:r>
        <w:rPr>
          <w:rFonts w:hint="eastAsia"/>
          <w:bCs/>
          <w:color w:val="auto"/>
          <w:szCs w:val="21"/>
          <w:highlight w:val="none"/>
        </w:rPr>
        <w:t>，属于</w:t>
      </w:r>
      <w:r>
        <w:rPr>
          <w:rFonts w:hint="eastAsia"/>
          <w:bCs/>
          <w:color w:val="auto"/>
          <w:szCs w:val="21"/>
          <w:highlight w:val="none"/>
          <w:u w:val="single"/>
        </w:rPr>
        <w:t>（采购文件中明确的所属行业）</w:t>
      </w:r>
      <w:r>
        <w:rPr>
          <w:rFonts w:hint="eastAsia"/>
          <w:bCs/>
          <w:color w:val="auto"/>
          <w:szCs w:val="21"/>
          <w:highlight w:val="none"/>
        </w:rPr>
        <w:t>行业；制造商为</w:t>
      </w:r>
      <w:r>
        <w:rPr>
          <w:rFonts w:hint="eastAsia"/>
          <w:bCs/>
          <w:color w:val="auto"/>
          <w:szCs w:val="21"/>
          <w:highlight w:val="none"/>
          <w:u w:val="single"/>
        </w:rPr>
        <w:t>（企业名称）</w:t>
      </w:r>
      <w:r>
        <w:rPr>
          <w:rFonts w:hint="eastAsia"/>
          <w:bCs/>
          <w:color w:val="auto"/>
          <w:szCs w:val="21"/>
          <w:highlight w:val="none"/>
        </w:rPr>
        <w:t>，从业人员</w:t>
      </w:r>
      <w:r>
        <w:rPr>
          <w:rFonts w:hint="eastAsia"/>
          <w:bCs/>
          <w:color w:val="auto"/>
          <w:szCs w:val="21"/>
          <w:highlight w:val="none"/>
          <w:u w:val="single"/>
        </w:rPr>
        <w:t xml:space="preserve">       </w:t>
      </w:r>
      <w:r>
        <w:rPr>
          <w:rFonts w:hint="eastAsia"/>
          <w:bCs/>
          <w:color w:val="auto"/>
          <w:szCs w:val="21"/>
          <w:highlight w:val="none"/>
        </w:rPr>
        <w:t>人，营业收入为</w:t>
      </w:r>
      <w:r>
        <w:rPr>
          <w:rFonts w:hint="eastAsia"/>
          <w:bCs/>
          <w:color w:val="auto"/>
          <w:szCs w:val="21"/>
          <w:highlight w:val="none"/>
          <w:u w:val="single"/>
        </w:rPr>
        <w:t xml:space="preserve">     </w:t>
      </w:r>
      <w:r>
        <w:rPr>
          <w:rFonts w:hint="eastAsia"/>
          <w:bCs/>
          <w:color w:val="auto"/>
          <w:szCs w:val="21"/>
          <w:highlight w:val="none"/>
        </w:rPr>
        <w:t>万元，资产总额为</w:t>
      </w:r>
      <w:r>
        <w:rPr>
          <w:rFonts w:hint="eastAsia"/>
          <w:bCs/>
          <w:color w:val="auto"/>
          <w:szCs w:val="21"/>
          <w:highlight w:val="none"/>
          <w:u w:val="single"/>
        </w:rPr>
        <w:t xml:space="preserve"> </w:t>
      </w:r>
      <w:r>
        <w:rPr>
          <w:bCs/>
          <w:color w:val="auto"/>
          <w:szCs w:val="21"/>
          <w:highlight w:val="none"/>
          <w:u w:val="single"/>
        </w:rPr>
        <w:t xml:space="preserve">     </w:t>
      </w:r>
      <w:r>
        <w:rPr>
          <w:rFonts w:hint="eastAsia"/>
          <w:bCs/>
          <w:color w:val="auto"/>
          <w:szCs w:val="21"/>
          <w:highlight w:val="none"/>
          <w:u w:val="single"/>
        </w:rPr>
        <w:t xml:space="preserve"> </w:t>
      </w:r>
      <w:r>
        <w:rPr>
          <w:rFonts w:hint="eastAsia"/>
          <w:bCs/>
          <w:color w:val="auto"/>
          <w:szCs w:val="21"/>
          <w:highlight w:val="none"/>
        </w:rPr>
        <w:t>万元，属于</w:t>
      </w:r>
      <w:r>
        <w:rPr>
          <w:rFonts w:hint="eastAsia"/>
          <w:bCs/>
          <w:color w:val="auto"/>
          <w:szCs w:val="21"/>
          <w:highlight w:val="none"/>
          <w:u w:val="single"/>
        </w:rPr>
        <w:t>（中型企业、小型企业、微型企业）</w:t>
      </w:r>
      <w:r>
        <w:rPr>
          <w:rFonts w:hint="eastAsia"/>
          <w:bCs/>
          <w:color w:val="auto"/>
          <w:szCs w:val="21"/>
          <w:highlight w:val="none"/>
        </w:rPr>
        <w:t>；</w:t>
      </w:r>
    </w:p>
    <w:p w14:paraId="0E5CDE7F">
      <w:pPr>
        <w:spacing w:line="360" w:lineRule="auto"/>
        <w:ind w:firstLine="420"/>
        <w:rPr>
          <w:bCs/>
          <w:color w:val="auto"/>
          <w:szCs w:val="21"/>
          <w:highlight w:val="none"/>
        </w:rPr>
      </w:pPr>
      <w:r>
        <w:rPr>
          <w:rFonts w:hint="eastAsia"/>
          <w:bCs/>
          <w:color w:val="auto"/>
          <w:szCs w:val="21"/>
          <w:highlight w:val="none"/>
        </w:rPr>
        <w:t>……</w:t>
      </w:r>
    </w:p>
    <w:p w14:paraId="5A62A144">
      <w:pPr>
        <w:spacing w:line="360" w:lineRule="auto"/>
        <w:ind w:firstLine="420"/>
        <w:rPr>
          <w:bCs/>
          <w:color w:val="auto"/>
          <w:szCs w:val="21"/>
          <w:highlight w:val="none"/>
        </w:rPr>
      </w:pPr>
      <w:r>
        <w:rPr>
          <w:rFonts w:hint="eastAsia"/>
          <w:bCs/>
          <w:color w:val="auto"/>
          <w:szCs w:val="21"/>
          <w:highlight w:val="none"/>
        </w:rPr>
        <w:t>以上企业，不属于大企业的分支机构，不存在控股股东为大企业的情形，也不存在与大企业的负责人为同一人的情形。</w:t>
      </w:r>
    </w:p>
    <w:p w14:paraId="7C1EE71F">
      <w:pPr>
        <w:spacing w:line="360" w:lineRule="auto"/>
        <w:ind w:firstLine="420"/>
        <w:rPr>
          <w:bCs/>
          <w:color w:val="auto"/>
          <w:szCs w:val="21"/>
          <w:highlight w:val="none"/>
        </w:rPr>
      </w:pPr>
      <w:r>
        <w:rPr>
          <w:rFonts w:hint="eastAsia"/>
          <w:bCs/>
          <w:color w:val="auto"/>
          <w:szCs w:val="21"/>
          <w:highlight w:val="none"/>
        </w:rPr>
        <w:t>本企业对上述声明内容的真实性负责。如有虚假，将依法承担相应责任。</w:t>
      </w:r>
    </w:p>
    <w:p w14:paraId="59881F22">
      <w:pPr>
        <w:spacing w:line="360" w:lineRule="auto"/>
        <w:ind w:firstLine="3150" w:firstLineChars="1500"/>
        <w:rPr>
          <w:bCs/>
          <w:color w:val="auto"/>
          <w:szCs w:val="21"/>
          <w:highlight w:val="none"/>
        </w:rPr>
      </w:pPr>
      <w:r>
        <w:rPr>
          <w:rFonts w:hint="eastAsia"/>
          <w:bCs/>
          <w:color w:val="auto"/>
          <w:szCs w:val="21"/>
          <w:highlight w:val="none"/>
        </w:rPr>
        <w:t>企业名称</w:t>
      </w:r>
      <w:r>
        <w:rPr>
          <w:rFonts w:hint="eastAsia"/>
          <w:color w:val="auto"/>
          <w:szCs w:val="21"/>
          <w:highlight w:val="none"/>
        </w:rPr>
        <w:t xml:space="preserve"> (电子签章</w:t>
      </w:r>
      <w:r>
        <w:rPr>
          <w:color w:val="auto"/>
          <w:szCs w:val="21"/>
          <w:highlight w:val="none"/>
        </w:rPr>
        <w:t>)</w:t>
      </w:r>
      <w:r>
        <w:rPr>
          <w:rFonts w:hint="eastAsia"/>
          <w:bCs/>
          <w:color w:val="auto"/>
          <w:szCs w:val="21"/>
          <w:highlight w:val="none"/>
        </w:rPr>
        <w:t xml:space="preserve">： </w:t>
      </w:r>
      <w:r>
        <w:rPr>
          <w:bCs/>
          <w:color w:val="auto"/>
          <w:szCs w:val="21"/>
          <w:highlight w:val="none"/>
        </w:rPr>
        <w:t xml:space="preserve">   </w:t>
      </w:r>
      <w:r>
        <w:rPr>
          <w:rFonts w:hint="eastAsia"/>
          <w:bCs/>
          <w:color w:val="auto"/>
          <w:szCs w:val="21"/>
          <w:highlight w:val="none"/>
        </w:rPr>
        <w:t>日期：</w:t>
      </w:r>
    </w:p>
    <w:p w14:paraId="2F6EEC1C">
      <w:pPr>
        <w:spacing w:line="360" w:lineRule="auto"/>
        <w:jc w:val="left"/>
        <w:rPr>
          <w:bCs/>
          <w:color w:val="auto"/>
          <w:szCs w:val="21"/>
          <w:highlight w:val="none"/>
        </w:rPr>
      </w:pPr>
      <w:r>
        <w:rPr>
          <w:rFonts w:hint="eastAsia"/>
          <w:bCs/>
          <w:color w:val="auto"/>
          <w:szCs w:val="21"/>
          <w:highlight w:val="none"/>
        </w:rPr>
        <w:t>注：</w:t>
      </w:r>
    </w:p>
    <w:p w14:paraId="07E54630">
      <w:pPr>
        <w:spacing w:line="360" w:lineRule="auto"/>
        <w:jc w:val="left"/>
        <w:rPr>
          <w:bCs/>
          <w:color w:val="auto"/>
          <w:szCs w:val="21"/>
          <w:highlight w:val="none"/>
        </w:rPr>
      </w:pPr>
      <w:r>
        <w:rPr>
          <w:rFonts w:hint="eastAsia"/>
          <w:bCs/>
          <w:color w:val="auto"/>
          <w:szCs w:val="21"/>
          <w:highlight w:val="none"/>
        </w:rPr>
        <w:t>（1）标的名称按照第二章采购需求一览表中的货物名称填写，</w:t>
      </w:r>
      <w:r>
        <w:rPr>
          <w:color w:val="auto"/>
          <w:szCs w:val="21"/>
          <w:highlight w:val="none"/>
        </w:rPr>
        <w:t>所属行业标明“/”的</w:t>
      </w:r>
      <w:r>
        <w:rPr>
          <w:rFonts w:hint="eastAsia"/>
          <w:bCs/>
          <w:color w:val="auto"/>
          <w:szCs w:val="21"/>
          <w:highlight w:val="none"/>
        </w:rPr>
        <w:t>，无需在上表填写。</w:t>
      </w:r>
    </w:p>
    <w:p w14:paraId="2E904325">
      <w:pPr>
        <w:spacing w:line="360" w:lineRule="auto"/>
        <w:jc w:val="left"/>
        <w:rPr>
          <w:bCs/>
          <w:color w:val="auto"/>
          <w:szCs w:val="21"/>
          <w:highlight w:val="none"/>
        </w:rPr>
      </w:pPr>
      <w:r>
        <w:rPr>
          <w:rFonts w:hint="eastAsia"/>
          <w:bCs/>
          <w:color w:val="auto"/>
          <w:szCs w:val="21"/>
          <w:highlight w:val="none"/>
        </w:rPr>
        <w:t>（</w:t>
      </w:r>
      <w:r>
        <w:rPr>
          <w:bCs/>
          <w:color w:val="auto"/>
          <w:szCs w:val="21"/>
          <w:highlight w:val="none"/>
        </w:rPr>
        <w:t>2</w:t>
      </w:r>
      <w:r>
        <w:rPr>
          <w:rFonts w:hint="eastAsia"/>
          <w:bCs/>
          <w:color w:val="auto"/>
          <w:szCs w:val="21"/>
          <w:highlight w:val="none"/>
        </w:rPr>
        <w:t>）如供应商为联合体或分包的，声明函中“项目名称”应填写联合体中小微企业承担的具体内容或者小微企业具体分包内容。</w:t>
      </w:r>
    </w:p>
    <w:p w14:paraId="7FF7C2BE">
      <w:pPr>
        <w:spacing w:line="360" w:lineRule="auto"/>
        <w:jc w:val="left"/>
        <w:rPr>
          <w:bCs/>
          <w:color w:val="auto"/>
          <w:szCs w:val="21"/>
          <w:highlight w:val="none"/>
        </w:rPr>
      </w:pPr>
      <w:r>
        <w:rPr>
          <w:rFonts w:hint="eastAsia"/>
          <w:bCs/>
          <w:color w:val="auto"/>
          <w:szCs w:val="21"/>
          <w:highlight w:val="none"/>
        </w:rPr>
        <w:t>（</w:t>
      </w:r>
      <w:r>
        <w:rPr>
          <w:bCs/>
          <w:color w:val="auto"/>
          <w:szCs w:val="21"/>
          <w:highlight w:val="none"/>
        </w:rPr>
        <w:t>3</w:t>
      </w:r>
      <w:r>
        <w:rPr>
          <w:rFonts w:hint="eastAsia"/>
          <w:bCs/>
          <w:color w:val="auto"/>
          <w:szCs w:val="21"/>
          <w:highlight w:val="none"/>
        </w:rPr>
        <w:t>）从业人员、营业收入、资产总额填报上一年度数据，无上一年度数据的新成立企业参照国务院批准的中小企业划分标准，根据企业自身情况如实判断。</w:t>
      </w:r>
    </w:p>
    <w:p w14:paraId="0E0884BB">
      <w:pPr>
        <w:spacing w:line="360" w:lineRule="auto"/>
        <w:jc w:val="left"/>
        <w:rPr>
          <w:bCs/>
          <w:color w:val="auto"/>
          <w:szCs w:val="21"/>
          <w:highlight w:val="none"/>
        </w:rPr>
      </w:pPr>
      <w:r>
        <w:rPr>
          <w:rFonts w:hint="eastAsia"/>
          <w:bCs/>
          <w:color w:val="auto"/>
          <w:szCs w:val="21"/>
          <w:highlight w:val="none"/>
        </w:rPr>
        <w:t>（</w:t>
      </w:r>
      <w:r>
        <w:rPr>
          <w:bCs/>
          <w:color w:val="auto"/>
          <w:szCs w:val="21"/>
          <w:highlight w:val="none"/>
        </w:rPr>
        <w:t>4</w:t>
      </w:r>
      <w:r>
        <w:rPr>
          <w:rFonts w:hint="eastAsia"/>
          <w:bCs/>
          <w:color w:val="auto"/>
          <w:szCs w:val="21"/>
          <w:highlight w:val="none"/>
        </w:rPr>
        <w:t>）根据工业和信息化部对“从业人员”定义的答复，《民法典》、《公司法》等法律规定，分公司不具有法人资格，其民事责任由总公司承担。企业划型时，应将分公司的从业人员、营业收入、资产总额等指标数据纳入合并计算。</w:t>
      </w:r>
    </w:p>
    <w:p w14:paraId="43EACA18">
      <w:pPr>
        <w:spacing w:line="360" w:lineRule="auto"/>
        <w:jc w:val="left"/>
        <w:rPr>
          <w:bCs/>
          <w:color w:val="auto"/>
          <w:szCs w:val="21"/>
          <w:highlight w:val="none"/>
        </w:rPr>
      </w:pPr>
      <w:r>
        <w:rPr>
          <w:rFonts w:hint="eastAsia"/>
          <w:bCs/>
          <w:color w:val="auto"/>
          <w:szCs w:val="21"/>
          <w:highlight w:val="none"/>
        </w:rPr>
        <w:t>（5）根据国际统计局《劳动工资统计报表制度》，从业人员数是指本单位工作，并取得工资活其他形式劳动报酬的人员数，是在岗职工、劳务派遣人员及其他从业人员之和。</w:t>
      </w:r>
    </w:p>
    <w:p w14:paraId="6A145EE7">
      <w:pPr>
        <w:spacing w:line="360" w:lineRule="auto"/>
        <w:jc w:val="left"/>
        <w:rPr>
          <w:bCs/>
          <w:color w:val="auto"/>
          <w:szCs w:val="21"/>
          <w:highlight w:val="none"/>
        </w:rPr>
      </w:pPr>
      <w:r>
        <w:rPr>
          <w:rFonts w:hint="eastAsia"/>
          <w:bCs/>
          <w:color w:val="auto"/>
          <w:szCs w:val="21"/>
          <w:highlight w:val="none"/>
        </w:rPr>
        <w:t>（</w:t>
      </w:r>
      <w:r>
        <w:rPr>
          <w:bCs/>
          <w:color w:val="auto"/>
          <w:szCs w:val="21"/>
          <w:highlight w:val="none"/>
        </w:rPr>
        <w:t>6</w:t>
      </w:r>
      <w:r>
        <w:rPr>
          <w:rFonts w:hint="eastAsia"/>
          <w:bCs/>
          <w:color w:val="auto"/>
          <w:szCs w:val="21"/>
          <w:highlight w:val="none"/>
        </w:rPr>
        <w:t>）本声明函由供应商填写，供应商应按中小企业划分标准《关于印发中小企业划型标准规定的通知》（工信部联企业〔2011〕300号</w:t>
      </w:r>
      <w:r>
        <w:rPr>
          <w:rFonts w:hint="eastAsia"/>
          <w:color w:val="auto"/>
          <w:szCs w:val="21"/>
          <w:highlight w:val="none"/>
        </w:rPr>
        <w:t>以及《金融业企业划型标准规定》（银发〔2015〕309号）</w:t>
      </w:r>
      <w:r>
        <w:rPr>
          <w:rFonts w:hint="eastAsia"/>
          <w:bCs/>
          <w:color w:val="auto"/>
          <w:szCs w:val="21"/>
          <w:highlight w:val="none"/>
        </w:rPr>
        <w:t>）判断是否为中小企业。</w:t>
      </w:r>
    </w:p>
    <w:p w14:paraId="7DB8D899">
      <w:pPr>
        <w:spacing w:line="360" w:lineRule="auto"/>
        <w:jc w:val="left"/>
        <w:rPr>
          <w:bCs/>
          <w:color w:val="auto"/>
          <w:szCs w:val="21"/>
          <w:highlight w:val="none"/>
        </w:rPr>
      </w:pPr>
      <w:r>
        <w:rPr>
          <w:rFonts w:hint="eastAsia"/>
          <w:bCs/>
          <w:color w:val="auto"/>
          <w:szCs w:val="21"/>
          <w:highlight w:val="none"/>
        </w:rPr>
        <w:t>（</w:t>
      </w:r>
      <w:r>
        <w:rPr>
          <w:bCs/>
          <w:color w:val="auto"/>
          <w:szCs w:val="21"/>
          <w:highlight w:val="none"/>
        </w:rPr>
        <w:t>7</w:t>
      </w:r>
      <w:r>
        <w:rPr>
          <w:rFonts w:hint="eastAsia"/>
          <w:bCs/>
          <w:color w:val="auto"/>
          <w:szCs w:val="21"/>
          <w:highlight w:val="none"/>
        </w:rPr>
        <w:t>）供应商对《中小企业声明函》的真实性负责，如有虚假则需承担不利后果。依法享受中小企业优惠政策的，采购人或采购代理机构在公告成交结果时，同时公告其《中小企业声明函》，接受社会监督。</w:t>
      </w:r>
    </w:p>
    <w:p w14:paraId="0BF26220">
      <w:pPr>
        <w:spacing w:line="360" w:lineRule="auto"/>
        <w:jc w:val="left"/>
        <w:rPr>
          <w:bCs/>
          <w:color w:val="auto"/>
          <w:szCs w:val="21"/>
          <w:highlight w:val="none"/>
        </w:rPr>
      </w:pPr>
      <w:r>
        <w:rPr>
          <w:rFonts w:hint="eastAsia"/>
          <w:bCs/>
          <w:color w:val="auto"/>
          <w:szCs w:val="21"/>
          <w:highlight w:val="none"/>
        </w:rPr>
        <w:t>（</w:t>
      </w:r>
      <w:r>
        <w:rPr>
          <w:bCs/>
          <w:color w:val="auto"/>
          <w:szCs w:val="21"/>
          <w:highlight w:val="none"/>
        </w:rPr>
        <w:t>8</w:t>
      </w:r>
      <w:r>
        <w:rPr>
          <w:rFonts w:hint="eastAsia"/>
          <w:bCs/>
          <w:color w:val="auto"/>
          <w:szCs w:val="21"/>
          <w:highlight w:val="none"/>
        </w:rPr>
        <w:t>）上述企业属于大企业的分支机构或控股股东为大企业或与大企业的负责人为同一人的，不得享受价格扣除优惠政策。接受分包的小微企业与分包企业之间存在直接控股、管理关系的，不得享受价格扣除优惠政策。</w:t>
      </w:r>
    </w:p>
    <w:p w14:paraId="0525B930">
      <w:pPr>
        <w:snapToGrid w:val="0"/>
        <w:spacing w:before="50" w:after="120" w:afterLines="50"/>
        <w:jc w:val="left"/>
        <w:rPr>
          <w:color w:val="auto"/>
          <w:szCs w:val="21"/>
          <w:highlight w:val="none"/>
        </w:rPr>
      </w:pPr>
      <w:r>
        <w:rPr>
          <w:rFonts w:hint="eastAsia"/>
          <w:color w:val="auto"/>
          <w:szCs w:val="21"/>
          <w:highlight w:val="none"/>
        </w:rPr>
        <w:t>5</w:t>
      </w:r>
      <w:r>
        <w:rPr>
          <w:color w:val="auto"/>
          <w:szCs w:val="21"/>
          <w:highlight w:val="none"/>
        </w:rPr>
        <w:t>.2监狱企业须提供最新一期《XX省监狱企业产品目录》或其他监狱企业证明材料。（非监狱企业无需提供）</w:t>
      </w:r>
    </w:p>
    <w:p w14:paraId="420F76FB">
      <w:pPr>
        <w:snapToGrid w:val="0"/>
        <w:spacing w:before="50" w:after="120" w:afterLines="50"/>
        <w:jc w:val="left"/>
        <w:rPr>
          <w:color w:val="auto"/>
          <w:szCs w:val="21"/>
          <w:highlight w:val="none"/>
        </w:rPr>
      </w:pPr>
    </w:p>
    <w:p w14:paraId="4D16AC60">
      <w:pPr>
        <w:widowControl/>
        <w:jc w:val="left"/>
        <w:rPr>
          <w:color w:val="auto"/>
          <w:szCs w:val="21"/>
          <w:highlight w:val="none"/>
        </w:rPr>
      </w:pPr>
      <w:r>
        <w:rPr>
          <w:rFonts w:hint="eastAsia"/>
          <w:color w:val="auto"/>
          <w:szCs w:val="21"/>
          <w:highlight w:val="none"/>
        </w:rPr>
        <w:t>5</w:t>
      </w:r>
      <w:r>
        <w:rPr>
          <w:color w:val="auto"/>
          <w:szCs w:val="21"/>
          <w:highlight w:val="none"/>
        </w:rPr>
        <w:t>.3</w:t>
      </w:r>
      <w:r>
        <w:rPr>
          <w:color w:val="auto"/>
          <w:highlight w:val="none"/>
        </w:rPr>
        <w:t>残疾人福利性单位须提供《残疾人福利性单位声明函》，格式如下。</w:t>
      </w:r>
      <w:r>
        <w:rPr>
          <w:color w:val="auto"/>
          <w:szCs w:val="21"/>
          <w:highlight w:val="none"/>
        </w:rPr>
        <w:t>（非残疾人福利性单位无需提供）</w:t>
      </w:r>
    </w:p>
    <w:p w14:paraId="332987C5">
      <w:pPr>
        <w:spacing w:line="360" w:lineRule="auto"/>
        <w:jc w:val="center"/>
        <w:rPr>
          <w:b/>
          <w:color w:val="auto"/>
          <w:szCs w:val="21"/>
          <w:highlight w:val="none"/>
        </w:rPr>
      </w:pPr>
      <w:r>
        <w:rPr>
          <w:b/>
          <w:color w:val="auto"/>
          <w:szCs w:val="21"/>
          <w:highlight w:val="none"/>
        </w:rPr>
        <w:t>残疾人福利性单位声明函</w:t>
      </w:r>
    </w:p>
    <w:p w14:paraId="563400AC">
      <w:pPr>
        <w:spacing w:line="360" w:lineRule="auto"/>
        <w:ind w:firstLine="420"/>
        <w:jc w:val="left"/>
        <w:rPr>
          <w:color w:val="auto"/>
          <w:szCs w:val="21"/>
          <w:highlight w:val="none"/>
        </w:rPr>
      </w:pPr>
      <w:r>
        <w:rPr>
          <w:color w:val="auto"/>
          <w:szCs w:val="21"/>
          <w:highlight w:val="none"/>
        </w:rPr>
        <w:t>本单位郑重声明，根据《财政部 民政部 中国残疾人联合会关于促进残疾人就业政府采购政策的通知》（财库〔2017〕141号）的规定，本单位为符合条件的残疾人福利性单位，且本单位参加</w:t>
      </w:r>
      <w:r>
        <w:rPr>
          <w:color w:val="auto"/>
          <w:szCs w:val="21"/>
          <w:highlight w:val="none"/>
          <w:u w:val="single"/>
        </w:rPr>
        <w:t xml:space="preserve">        </w:t>
      </w:r>
      <w:r>
        <w:rPr>
          <w:color w:val="auto"/>
          <w:szCs w:val="21"/>
          <w:highlight w:val="none"/>
        </w:rPr>
        <w:t>单位的</w:t>
      </w:r>
      <w:r>
        <w:rPr>
          <w:color w:val="auto"/>
          <w:szCs w:val="21"/>
          <w:highlight w:val="none"/>
          <w:u w:val="single"/>
        </w:rPr>
        <w:t xml:space="preserve">           </w:t>
      </w:r>
      <w:r>
        <w:rPr>
          <w:color w:val="auto"/>
          <w:szCs w:val="21"/>
          <w:highlight w:val="none"/>
        </w:rPr>
        <w:t>项目采购活动提供本单位制造的货物（由本单位承担工程/提供服务），或者提供其他残疾人福利性单位制造的货物（不包括使用非残疾人福利性单位注册商标的货物）。</w:t>
      </w:r>
    </w:p>
    <w:p w14:paraId="4CE6ABB9">
      <w:pPr>
        <w:spacing w:line="360" w:lineRule="auto"/>
        <w:ind w:firstLine="420"/>
        <w:rPr>
          <w:color w:val="auto"/>
          <w:szCs w:val="21"/>
          <w:highlight w:val="none"/>
        </w:rPr>
      </w:pPr>
      <w:r>
        <w:rPr>
          <w:color w:val="auto"/>
          <w:szCs w:val="21"/>
          <w:highlight w:val="none"/>
        </w:rPr>
        <w:t>本单位对上述声明的真实性负责。如有虚假，将依法承担相应责任。</w:t>
      </w:r>
    </w:p>
    <w:p w14:paraId="7B77C3A9">
      <w:pPr>
        <w:spacing w:line="360" w:lineRule="auto"/>
        <w:ind w:firstLine="420"/>
        <w:jc w:val="right"/>
        <w:rPr>
          <w:color w:val="auto"/>
          <w:spacing w:val="6"/>
          <w:szCs w:val="21"/>
          <w:highlight w:val="none"/>
        </w:rPr>
      </w:pPr>
      <w:r>
        <w:rPr>
          <w:color w:val="auto"/>
          <w:spacing w:val="6"/>
          <w:sz w:val="30"/>
          <w:szCs w:val="30"/>
          <w:highlight w:val="none"/>
        </w:rPr>
        <w:t xml:space="preserve"> </w:t>
      </w:r>
      <w:r>
        <w:rPr>
          <w:color w:val="auto"/>
          <w:spacing w:val="6"/>
          <w:szCs w:val="21"/>
          <w:highlight w:val="none"/>
        </w:rPr>
        <w:t xml:space="preserve"> </w:t>
      </w:r>
      <w:r>
        <w:rPr>
          <w:rFonts w:hint="eastAsia"/>
          <w:color w:val="auto"/>
          <w:spacing w:val="6"/>
          <w:szCs w:val="21"/>
          <w:highlight w:val="none"/>
        </w:rPr>
        <w:t xml:space="preserve">                                           </w:t>
      </w:r>
    </w:p>
    <w:p w14:paraId="75279157">
      <w:pPr>
        <w:spacing w:line="360" w:lineRule="auto"/>
        <w:ind w:firstLine="420"/>
        <w:jc w:val="right"/>
        <w:rPr>
          <w:color w:val="auto"/>
          <w:spacing w:val="6"/>
          <w:szCs w:val="21"/>
          <w:highlight w:val="none"/>
        </w:rPr>
      </w:pPr>
      <w:r>
        <w:rPr>
          <w:rFonts w:hint="eastAsia"/>
          <w:color w:val="auto"/>
          <w:spacing w:val="6"/>
          <w:szCs w:val="21"/>
          <w:highlight w:val="none"/>
        </w:rPr>
        <w:t xml:space="preserve"> </w:t>
      </w:r>
      <w:r>
        <w:rPr>
          <w:color w:val="auto"/>
          <w:spacing w:val="6"/>
          <w:szCs w:val="21"/>
          <w:highlight w:val="none"/>
        </w:rPr>
        <w:t>单位名称</w:t>
      </w:r>
      <w:r>
        <w:rPr>
          <w:rFonts w:hint="eastAsia"/>
          <w:color w:val="auto"/>
          <w:szCs w:val="21"/>
          <w:highlight w:val="none"/>
        </w:rPr>
        <w:t>(电子签章</w:t>
      </w:r>
      <w:r>
        <w:rPr>
          <w:color w:val="auto"/>
          <w:szCs w:val="21"/>
          <w:highlight w:val="none"/>
        </w:rPr>
        <w:t>)</w:t>
      </w:r>
      <w:r>
        <w:rPr>
          <w:color w:val="auto"/>
          <w:spacing w:val="6"/>
          <w:szCs w:val="21"/>
          <w:highlight w:val="none"/>
        </w:rPr>
        <w:t xml:space="preserve">：          </w:t>
      </w:r>
    </w:p>
    <w:p w14:paraId="41E9EC29">
      <w:pPr>
        <w:spacing w:line="360" w:lineRule="auto"/>
        <w:ind w:firstLine="420"/>
        <w:jc w:val="right"/>
        <w:rPr>
          <w:color w:val="auto"/>
          <w:spacing w:val="6"/>
          <w:szCs w:val="21"/>
          <w:highlight w:val="none"/>
        </w:rPr>
      </w:pPr>
      <w:r>
        <w:rPr>
          <w:color w:val="auto"/>
          <w:spacing w:val="6"/>
          <w:szCs w:val="21"/>
          <w:highlight w:val="none"/>
        </w:rPr>
        <w:t xml:space="preserve"> </w:t>
      </w:r>
      <w:r>
        <w:rPr>
          <w:rFonts w:hint="eastAsia"/>
          <w:color w:val="auto"/>
          <w:spacing w:val="6"/>
          <w:szCs w:val="21"/>
          <w:highlight w:val="none"/>
        </w:rPr>
        <w:t xml:space="preserve">                                                      </w:t>
      </w:r>
      <w:r>
        <w:rPr>
          <w:color w:val="auto"/>
          <w:spacing w:val="6"/>
          <w:szCs w:val="21"/>
          <w:highlight w:val="none"/>
        </w:rPr>
        <w:t>日  期：</w:t>
      </w:r>
    </w:p>
    <w:p w14:paraId="7D157DB3">
      <w:pPr>
        <w:spacing w:line="360" w:lineRule="auto"/>
        <w:rPr>
          <w:color w:val="auto"/>
          <w:szCs w:val="21"/>
          <w:highlight w:val="none"/>
        </w:rPr>
      </w:pPr>
    </w:p>
    <w:p w14:paraId="266A28B4">
      <w:pPr>
        <w:widowControl/>
        <w:jc w:val="left"/>
        <w:rPr>
          <w:rFonts w:hint="eastAsia"/>
          <w:b/>
          <w:color w:val="auto"/>
          <w:highlight w:val="none"/>
        </w:rPr>
      </w:pPr>
      <w:r>
        <w:rPr>
          <w:color w:val="auto"/>
          <w:szCs w:val="21"/>
          <w:highlight w:val="none"/>
        </w:rPr>
        <w:br w:type="page"/>
      </w:r>
      <w:r>
        <w:rPr>
          <w:rFonts w:hint="eastAsia"/>
          <w:color w:val="auto"/>
          <w:highlight w:val="none"/>
        </w:rPr>
        <w:t>6</w:t>
      </w:r>
      <w:r>
        <w:rPr>
          <w:color w:val="auto"/>
          <w:highlight w:val="none"/>
        </w:rPr>
        <w:t>．满足供应商特定资格条件的其他证明材料加盖供应商</w:t>
      </w:r>
      <w:r>
        <w:rPr>
          <w:rFonts w:hint="eastAsia"/>
          <w:color w:val="auto"/>
          <w:highlight w:val="none"/>
        </w:rPr>
        <w:t>电子签章</w:t>
      </w:r>
      <w:r>
        <w:rPr>
          <w:color w:val="auto"/>
          <w:highlight w:val="none"/>
        </w:rPr>
        <w:t>（按“评审方法及标准” “资格性检查表”规定提供）。</w:t>
      </w:r>
      <w:r>
        <w:rPr>
          <w:rFonts w:hint="eastAsia"/>
          <w:b/>
          <w:color w:val="auto"/>
          <w:highlight w:val="none"/>
        </w:rPr>
        <w:t>（如采购文件有要求时提供）</w:t>
      </w:r>
    </w:p>
    <w:p w14:paraId="712A551F">
      <w:pPr>
        <w:snapToGrid w:val="0"/>
        <w:spacing w:before="50" w:after="120" w:afterLines="50" w:line="360" w:lineRule="auto"/>
        <w:jc w:val="left"/>
        <w:rPr>
          <w:color w:val="auto"/>
          <w:szCs w:val="21"/>
          <w:highlight w:val="none"/>
        </w:rPr>
      </w:pPr>
      <w:r>
        <w:rPr>
          <w:color w:val="auto"/>
          <w:highlight w:val="none"/>
        </w:rPr>
        <w:br w:type="page"/>
      </w:r>
      <w:r>
        <w:rPr>
          <w:rFonts w:hint="eastAsia"/>
          <w:color w:val="auto"/>
          <w:szCs w:val="21"/>
          <w:highlight w:val="none"/>
        </w:rPr>
        <w:t>6</w:t>
      </w:r>
      <w:r>
        <w:rPr>
          <w:color w:val="auto"/>
          <w:szCs w:val="21"/>
          <w:highlight w:val="none"/>
        </w:rPr>
        <w:t>.1</w:t>
      </w:r>
      <w:r>
        <w:rPr>
          <w:rFonts w:hint="eastAsia"/>
          <w:color w:val="auto"/>
          <w:szCs w:val="21"/>
          <w:highlight w:val="none"/>
        </w:rPr>
        <w:t>供应商直接控股股东信息表</w:t>
      </w:r>
    </w:p>
    <w:tbl>
      <w:tblPr>
        <w:tblStyle w:val="51"/>
        <w:tblW w:w="0" w:type="auto"/>
        <w:tblInd w:w="125" w:type="dxa"/>
        <w:tblLayout w:type="fixed"/>
        <w:tblCellMar>
          <w:top w:w="0" w:type="dxa"/>
          <w:left w:w="0" w:type="dxa"/>
          <w:bottom w:w="0" w:type="dxa"/>
          <w:right w:w="0" w:type="dxa"/>
        </w:tblCellMar>
      </w:tblPr>
      <w:tblGrid>
        <w:gridCol w:w="828"/>
        <w:gridCol w:w="2269"/>
        <w:gridCol w:w="1239"/>
        <w:gridCol w:w="3722"/>
        <w:gridCol w:w="1418"/>
      </w:tblGrid>
      <w:tr w14:paraId="1A0752AA">
        <w:tblPrEx>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04507CD5">
            <w:pPr>
              <w:spacing w:line="360" w:lineRule="auto"/>
              <w:jc w:val="center"/>
              <w:rPr>
                <w:color w:val="auto"/>
                <w:szCs w:val="21"/>
                <w:highlight w:val="none"/>
              </w:rPr>
            </w:pPr>
            <w:r>
              <w:rPr>
                <w:rFonts w:hint="eastAsia"/>
                <w:color w:val="auto"/>
                <w:szCs w:val="21"/>
                <w:highlight w:val="none"/>
              </w:rPr>
              <w:t>序号</w:t>
            </w:r>
          </w:p>
        </w:tc>
        <w:tc>
          <w:tcPr>
            <w:tcW w:w="226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0B451F0D">
            <w:pPr>
              <w:spacing w:line="360" w:lineRule="auto"/>
              <w:jc w:val="center"/>
              <w:rPr>
                <w:color w:val="auto"/>
                <w:szCs w:val="21"/>
                <w:highlight w:val="none"/>
              </w:rPr>
            </w:pPr>
            <w:r>
              <w:rPr>
                <w:rFonts w:hint="eastAsia"/>
                <w:color w:val="auto"/>
                <w:szCs w:val="21"/>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22B07EA8">
            <w:pPr>
              <w:spacing w:line="360" w:lineRule="auto"/>
              <w:jc w:val="center"/>
              <w:rPr>
                <w:color w:val="auto"/>
                <w:szCs w:val="21"/>
                <w:highlight w:val="none"/>
              </w:rPr>
            </w:pPr>
            <w:r>
              <w:rPr>
                <w:rFonts w:hint="eastAsia"/>
                <w:color w:val="auto"/>
                <w:szCs w:val="21"/>
                <w:highlight w:val="none"/>
              </w:rPr>
              <w:t>出资比例</w:t>
            </w:r>
          </w:p>
        </w:tc>
        <w:tc>
          <w:tcPr>
            <w:tcW w:w="3722"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354B609F">
            <w:pPr>
              <w:spacing w:line="360" w:lineRule="auto"/>
              <w:jc w:val="center"/>
              <w:rPr>
                <w:color w:val="auto"/>
                <w:szCs w:val="21"/>
                <w:highlight w:val="none"/>
              </w:rPr>
            </w:pPr>
            <w:r>
              <w:rPr>
                <w:rFonts w:hint="eastAsia"/>
                <w:color w:val="auto"/>
                <w:szCs w:val="21"/>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78612D0A">
            <w:pPr>
              <w:spacing w:line="360" w:lineRule="auto"/>
              <w:jc w:val="center"/>
              <w:rPr>
                <w:color w:val="auto"/>
                <w:szCs w:val="21"/>
                <w:highlight w:val="none"/>
              </w:rPr>
            </w:pPr>
            <w:r>
              <w:rPr>
                <w:rFonts w:hint="eastAsia"/>
                <w:color w:val="auto"/>
                <w:szCs w:val="21"/>
                <w:highlight w:val="none"/>
              </w:rPr>
              <w:t>备注</w:t>
            </w:r>
          </w:p>
        </w:tc>
      </w:tr>
      <w:tr w14:paraId="23F47D1E">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534164B9">
            <w:pPr>
              <w:spacing w:line="360" w:lineRule="auto"/>
              <w:jc w:val="center"/>
              <w:rPr>
                <w:color w:val="auto"/>
                <w:szCs w:val="21"/>
                <w:highlight w:val="none"/>
              </w:rPr>
            </w:pPr>
            <w:r>
              <w:rPr>
                <w:rFonts w:hint="eastAsia"/>
                <w:color w:val="auto"/>
                <w:szCs w:val="21"/>
                <w:highlight w:val="none"/>
              </w:rPr>
              <w:t>1</w:t>
            </w:r>
          </w:p>
        </w:tc>
        <w:tc>
          <w:tcPr>
            <w:tcW w:w="226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79D64C82">
            <w:pPr>
              <w:spacing w:line="360" w:lineRule="auto"/>
              <w:jc w:val="center"/>
              <w:rPr>
                <w:color w:val="auto"/>
                <w:szCs w:val="21"/>
                <w:highlight w:val="none"/>
              </w:rPr>
            </w:pPr>
          </w:p>
        </w:tc>
        <w:tc>
          <w:tcPr>
            <w:tcW w:w="123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4F6BD914">
            <w:pPr>
              <w:spacing w:line="360" w:lineRule="auto"/>
              <w:jc w:val="center"/>
              <w:rPr>
                <w:color w:val="auto"/>
                <w:szCs w:val="21"/>
                <w:highlight w:val="none"/>
              </w:rPr>
            </w:pPr>
          </w:p>
        </w:tc>
        <w:tc>
          <w:tcPr>
            <w:tcW w:w="3722"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3C363F19">
            <w:pPr>
              <w:spacing w:line="360" w:lineRule="auto"/>
              <w:jc w:val="center"/>
              <w:rPr>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42D5EC0F">
            <w:pPr>
              <w:spacing w:line="360" w:lineRule="auto"/>
              <w:jc w:val="center"/>
              <w:rPr>
                <w:color w:val="auto"/>
                <w:szCs w:val="21"/>
                <w:highlight w:val="none"/>
              </w:rPr>
            </w:pPr>
          </w:p>
        </w:tc>
      </w:tr>
      <w:tr w14:paraId="37BD27EA">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6B0262CF">
            <w:pPr>
              <w:spacing w:line="360" w:lineRule="auto"/>
              <w:jc w:val="center"/>
              <w:rPr>
                <w:color w:val="auto"/>
                <w:szCs w:val="21"/>
                <w:highlight w:val="none"/>
              </w:rPr>
            </w:pPr>
            <w:r>
              <w:rPr>
                <w:rFonts w:hint="eastAsia"/>
                <w:color w:val="auto"/>
                <w:szCs w:val="21"/>
                <w:highlight w:val="none"/>
              </w:rPr>
              <w:t>2</w:t>
            </w:r>
          </w:p>
        </w:tc>
        <w:tc>
          <w:tcPr>
            <w:tcW w:w="226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173EA5B2">
            <w:pPr>
              <w:spacing w:line="360" w:lineRule="auto"/>
              <w:jc w:val="center"/>
              <w:rPr>
                <w:color w:val="auto"/>
                <w:szCs w:val="21"/>
                <w:highlight w:val="none"/>
              </w:rPr>
            </w:pPr>
          </w:p>
        </w:tc>
        <w:tc>
          <w:tcPr>
            <w:tcW w:w="123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0211C234">
            <w:pPr>
              <w:spacing w:line="360" w:lineRule="auto"/>
              <w:jc w:val="center"/>
              <w:rPr>
                <w:color w:val="auto"/>
                <w:szCs w:val="21"/>
                <w:highlight w:val="none"/>
              </w:rPr>
            </w:pPr>
          </w:p>
        </w:tc>
        <w:tc>
          <w:tcPr>
            <w:tcW w:w="3722"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27122CEA">
            <w:pPr>
              <w:spacing w:line="360" w:lineRule="auto"/>
              <w:jc w:val="center"/>
              <w:rPr>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08E3E504">
            <w:pPr>
              <w:spacing w:line="360" w:lineRule="auto"/>
              <w:jc w:val="center"/>
              <w:rPr>
                <w:color w:val="auto"/>
                <w:szCs w:val="21"/>
                <w:highlight w:val="none"/>
              </w:rPr>
            </w:pPr>
          </w:p>
        </w:tc>
      </w:tr>
      <w:tr w14:paraId="3B82F353">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6E24D45E">
            <w:pPr>
              <w:spacing w:line="360" w:lineRule="auto"/>
              <w:jc w:val="center"/>
              <w:rPr>
                <w:color w:val="auto"/>
                <w:szCs w:val="21"/>
                <w:highlight w:val="none"/>
              </w:rPr>
            </w:pPr>
            <w:r>
              <w:rPr>
                <w:rFonts w:hint="eastAsia"/>
                <w:color w:val="auto"/>
                <w:szCs w:val="21"/>
                <w:highlight w:val="none"/>
              </w:rPr>
              <w:t>3</w:t>
            </w:r>
          </w:p>
        </w:tc>
        <w:tc>
          <w:tcPr>
            <w:tcW w:w="226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74116DBE">
            <w:pPr>
              <w:spacing w:line="360" w:lineRule="auto"/>
              <w:jc w:val="center"/>
              <w:rPr>
                <w:color w:val="auto"/>
                <w:szCs w:val="21"/>
                <w:highlight w:val="none"/>
              </w:rPr>
            </w:pPr>
          </w:p>
        </w:tc>
        <w:tc>
          <w:tcPr>
            <w:tcW w:w="123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0BB0B3C9">
            <w:pPr>
              <w:spacing w:line="360" w:lineRule="auto"/>
              <w:jc w:val="center"/>
              <w:rPr>
                <w:color w:val="auto"/>
                <w:szCs w:val="21"/>
                <w:highlight w:val="none"/>
              </w:rPr>
            </w:pPr>
          </w:p>
        </w:tc>
        <w:tc>
          <w:tcPr>
            <w:tcW w:w="3722"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47A9CCD8">
            <w:pPr>
              <w:spacing w:line="360" w:lineRule="auto"/>
              <w:jc w:val="center"/>
              <w:rPr>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7208AE9C">
            <w:pPr>
              <w:spacing w:line="360" w:lineRule="auto"/>
              <w:jc w:val="center"/>
              <w:rPr>
                <w:color w:val="auto"/>
                <w:szCs w:val="21"/>
                <w:highlight w:val="none"/>
              </w:rPr>
            </w:pPr>
          </w:p>
        </w:tc>
      </w:tr>
      <w:tr w14:paraId="38D6A9A7">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25D93AFA">
            <w:pPr>
              <w:spacing w:line="360" w:lineRule="auto"/>
              <w:jc w:val="center"/>
              <w:rPr>
                <w:color w:val="auto"/>
                <w:szCs w:val="21"/>
                <w:highlight w:val="none"/>
              </w:rPr>
            </w:pPr>
            <w:r>
              <w:rPr>
                <w:rFonts w:hint="eastAsia"/>
                <w:color w:val="auto"/>
                <w:szCs w:val="21"/>
                <w:highlight w:val="none"/>
              </w:rPr>
              <w:t>……</w:t>
            </w:r>
          </w:p>
        </w:tc>
        <w:tc>
          <w:tcPr>
            <w:tcW w:w="226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56E77447">
            <w:pPr>
              <w:spacing w:line="360" w:lineRule="auto"/>
              <w:jc w:val="center"/>
              <w:rPr>
                <w:color w:val="auto"/>
                <w:szCs w:val="21"/>
                <w:highlight w:val="none"/>
              </w:rPr>
            </w:pPr>
          </w:p>
        </w:tc>
        <w:tc>
          <w:tcPr>
            <w:tcW w:w="123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037E2FAA">
            <w:pPr>
              <w:spacing w:line="360" w:lineRule="auto"/>
              <w:jc w:val="center"/>
              <w:rPr>
                <w:color w:val="auto"/>
                <w:szCs w:val="21"/>
                <w:highlight w:val="none"/>
              </w:rPr>
            </w:pPr>
          </w:p>
        </w:tc>
        <w:tc>
          <w:tcPr>
            <w:tcW w:w="3722"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75D08C04">
            <w:pPr>
              <w:spacing w:line="360" w:lineRule="auto"/>
              <w:jc w:val="center"/>
              <w:rPr>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10A2C614">
            <w:pPr>
              <w:spacing w:line="360" w:lineRule="auto"/>
              <w:jc w:val="center"/>
              <w:rPr>
                <w:color w:val="auto"/>
                <w:szCs w:val="21"/>
                <w:highlight w:val="none"/>
              </w:rPr>
            </w:pPr>
          </w:p>
        </w:tc>
      </w:tr>
    </w:tbl>
    <w:p w14:paraId="34AA9C74">
      <w:pPr>
        <w:snapToGrid w:val="0"/>
        <w:spacing w:line="360" w:lineRule="auto"/>
        <w:jc w:val="left"/>
        <w:rPr>
          <w:color w:val="auto"/>
          <w:szCs w:val="21"/>
          <w:highlight w:val="none"/>
        </w:rPr>
      </w:pPr>
      <w:r>
        <w:rPr>
          <w:rFonts w:hint="eastAsia"/>
          <w:color w:val="auto"/>
          <w:szCs w:val="21"/>
          <w:highlight w:val="none"/>
        </w:rPr>
        <w:t>注：</w:t>
      </w:r>
    </w:p>
    <w:p w14:paraId="49289A2A">
      <w:pPr>
        <w:snapToGrid w:val="0"/>
        <w:spacing w:line="360" w:lineRule="auto"/>
        <w:jc w:val="left"/>
        <w:rPr>
          <w:color w:val="auto"/>
          <w:szCs w:val="21"/>
          <w:highlight w:val="none"/>
        </w:rPr>
      </w:pPr>
      <w:r>
        <w:rPr>
          <w:rFonts w:hint="eastAsia"/>
          <w:color w:val="auto"/>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7D0BFAD1">
      <w:pPr>
        <w:snapToGrid w:val="0"/>
        <w:spacing w:line="360" w:lineRule="auto"/>
        <w:jc w:val="left"/>
        <w:rPr>
          <w:color w:val="auto"/>
          <w:szCs w:val="21"/>
          <w:highlight w:val="none"/>
        </w:rPr>
      </w:pPr>
      <w:r>
        <w:rPr>
          <w:rFonts w:hint="eastAsia"/>
          <w:color w:val="auto"/>
          <w:szCs w:val="21"/>
          <w:highlight w:val="none"/>
        </w:rPr>
        <w:t>2.本表所指的控股关系仅限于直接控股关系，不包括间接的控股关系。公司实际控制人与公司之间的关系不属于本表所指的直接控股关系。</w:t>
      </w:r>
    </w:p>
    <w:p w14:paraId="7D1F2628">
      <w:pPr>
        <w:snapToGrid w:val="0"/>
        <w:spacing w:line="360" w:lineRule="auto"/>
        <w:jc w:val="left"/>
        <w:rPr>
          <w:color w:val="auto"/>
          <w:szCs w:val="21"/>
          <w:highlight w:val="none"/>
        </w:rPr>
      </w:pPr>
      <w:r>
        <w:rPr>
          <w:rFonts w:hint="eastAsia"/>
          <w:color w:val="auto"/>
          <w:szCs w:val="21"/>
          <w:highlight w:val="none"/>
        </w:rPr>
        <w:t>3.供应商不存在直接控股股东的，则填“无”。</w:t>
      </w:r>
    </w:p>
    <w:p w14:paraId="14A385E1">
      <w:pPr>
        <w:snapToGrid w:val="0"/>
        <w:spacing w:line="360" w:lineRule="auto"/>
        <w:jc w:val="left"/>
        <w:rPr>
          <w:color w:val="auto"/>
          <w:szCs w:val="21"/>
          <w:highlight w:val="none"/>
        </w:rPr>
      </w:pPr>
    </w:p>
    <w:p w14:paraId="75F526A0">
      <w:pPr>
        <w:snapToGrid w:val="0"/>
        <w:spacing w:line="360" w:lineRule="auto"/>
        <w:jc w:val="left"/>
        <w:rPr>
          <w:color w:val="auto"/>
          <w:szCs w:val="21"/>
          <w:highlight w:val="none"/>
        </w:rPr>
      </w:pPr>
    </w:p>
    <w:p w14:paraId="7AAAE8F2">
      <w:pPr>
        <w:snapToGrid w:val="0"/>
        <w:spacing w:line="360" w:lineRule="auto"/>
        <w:jc w:val="left"/>
        <w:rPr>
          <w:color w:val="auto"/>
          <w:szCs w:val="21"/>
          <w:highlight w:val="none"/>
        </w:rPr>
      </w:pPr>
    </w:p>
    <w:p w14:paraId="783B8C05">
      <w:pPr>
        <w:snapToGrid w:val="0"/>
        <w:spacing w:line="360" w:lineRule="auto"/>
        <w:jc w:val="left"/>
        <w:rPr>
          <w:color w:val="auto"/>
          <w:szCs w:val="21"/>
          <w:highlight w:val="none"/>
        </w:rPr>
      </w:pPr>
    </w:p>
    <w:p w14:paraId="41B4F036">
      <w:pPr>
        <w:snapToGrid w:val="0"/>
        <w:spacing w:line="360" w:lineRule="auto"/>
        <w:jc w:val="left"/>
        <w:rPr>
          <w:color w:val="auto"/>
          <w:szCs w:val="21"/>
          <w:highlight w:val="none"/>
        </w:rPr>
      </w:pPr>
    </w:p>
    <w:p w14:paraId="77FF62B2">
      <w:pPr>
        <w:snapToGrid w:val="0"/>
        <w:spacing w:line="360" w:lineRule="auto"/>
        <w:ind w:firstLine="4410" w:firstLineChars="2100"/>
        <w:rPr>
          <w:color w:val="auto"/>
          <w:szCs w:val="21"/>
          <w:highlight w:val="none"/>
        </w:rPr>
      </w:pPr>
      <w:r>
        <w:rPr>
          <w:rFonts w:hint="eastAsia"/>
          <w:color w:val="auto"/>
          <w:szCs w:val="21"/>
          <w:highlight w:val="none"/>
        </w:rPr>
        <w:t>供应商名称(电子签章)：</w:t>
      </w:r>
    </w:p>
    <w:p w14:paraId="56336EDC">
      <w:pPr>
        <w:snapToGrid w:val="0"/>
        <w:spacing w:line="360" w:lineRule="auto"/>
        <w:ind w:firstLine="4515" w:firstLineChars="2150"/>
        <w:rPr>
          <w:color w:val="auto"/>
          <w:szCs w:val="21"/>
          <w:highlight w:val="none"/>
        </w:rPr>
      </w:pPr>
      <w:r>
        <w:rPr>
          <w:rFonts w:hint="eastAsia"/>
          <w:color w:val="auto"/>
          <w:szCs w:val="21"/>
          <w:highlight w:val="none"/>
        </w:rPr>
        <w:t>日期：  年  月   日</w:t>
      </w:r>
    </w:p>
    <w:p w14:paraId="6E19CCD5">
      <w:pPr>
        <w:snapToGrid w:val="0"/>
        <w:rPr>
          <w:rFonts w:ascii="宋体" w:hAnsi="宋体"/>
          <w:b/>
          <w:color w:val="auto"/>
          <w:sz w:val="28"/>
          <w:szCs w:val="28"/>
          <w:highlight w:val="none"/>
        </w:rPr>
      </w:pPr>
      <w:r>
        <w:rPr>
          <w:rFonts w:ascii="宋体" w:hAnsi="宋体"/>
          <w:b/>
          <w:color w:val="auto"/>
          <w:sz w:val="28"/>
          <w:szCs w:val="28"/>
          <w:highlight w:val="none"/>
        </w:rPr>
        <w:br w:type="page"/>
      </w:r>
      <w:r>
        <w:rPr>
          <w:rFonts w:hint="eastAsia"/>
          <w:color w:val="auto"/>
          <w:szCs w:val="21"/>
          <w:highlight w:val="none"/>
        </w:rPr>
        <w:t>6</w:t>
      </w:r>
      <w:r>
        <w:rPr>
          <w:color w:val="auto"/>
          <w:szCs w:val="21"/>
          <w:highlight w:val="none"/>
        </w:rPr>
        <w:t>.2</w:t>
      </w:r>
      <w:r>
        <w:rPr>
          <w:rFonts w:hint="eastAsia"/>
          <w:color w:val="auto"/>
          <w:szCs w:val="21"/>
          <w:highlight w:val="none"/>
        </w:rPr>
        <w:t>供应商直接管理关系信息表</w:t>
      </w:r>
    </w:p>
    <w:tbl>
      <w:tblPr>
        <w:tblStyle w:val="51"/>
        <w:tblW w:w="0" w:type="auto"/>
        <w:tblInd w:w="125" w:type="dxa"/>
        <w:shd w:val="clear" w:color="auto" w:fill="FBFBFB"/>
        <w:tblLayout w:type="fixed"/>
        <w:tblCellMar>
          <w:top w:w="0" w:type="dxa"/>
          <w:left w:w="0" w:type="dxa"/>
          <w:bottom w:w="0" w:type="dxa"/>
          <w:right w:w="0" w:type="dxa"/>
        </w:tblCellMar>
      </w:tblPr>
      <w:tblGrid>
        <w:gridCol w:w="1005"/>
        <w:gridCol w:w="2659"/>
        <w:gridCol w:w="3924"/>
        <w:gridCol w:w="2064"/>
      </w:tblGrid>
      <w:tr w14:paraId="393F2AC5">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0C54467">
            <w:pPr>
              <w:spacing w:line="360" w:lineRule="auto"/>
              <w:jc w:val="center"/>
              <w:rPr>
                <w:color w:val="auto"/>
                <w:szCs w:val="21"/>
                <w:highlight w:val="none"/>
              </w:rPr>
            </w:pPr>
            <w:r>
              <w:rPr>
                <w:rFonts w:hint="eastAsia"/>
                <w:color w:val="auto"/>
                <w:szCs w:val="21"/>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571E54B">
            <w:pPr>
              <w:spacing w:line="360" w:lineRule="auto"/>
              <w:jc w:val="center"/>
              <w:rPr>
                <w:color w:val="auto"/>
                <w:szCs w:val="21"/>
                <w:highlight w:val="none"/>
              </w:rPr>
            </w:pPr>
            <w:r>
              <w:rPr>
                <w:rFonts w:hint="eastAsia"/>
                <w:color w:val="auto"/>
                <w:szCs w:val="21"/>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0CC43A8">
            <w:pPr>
              <w:spacing w:line="360" w:lineRule="auto"/>
              <w:jc w:val="center"/>
              <w:rPr>
                <w:color w:val="auto"/>
                <w:szCs w:val="21"/>
                <w:highlight w:val="none"/>
              </w:rPr>
            </w:pPr>
            <w:r>
              <w:rPr>
                <w:rFonts w:hint="eastAsia"/>
                <w:color w:val="auto"/>
                <w:szCs w:val="21"/>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B0E6D28">
            <w:pPr>
              <w:spacing w:line="360" w:lineRule="auto"/>
              <w:jc w:val="center"/>
              <w:rPr>
                <w:color w:val="auto"/>
                <w:szCs w:val="21"/>
                <w:highlight w:val="none"/>
              </w:rPr>
            </w:pPr>
            <w:r>
              <w:rPr>
                <w:rFonts w:hint="eastAsia"/>
                <w:color w:val="auto"/>
                <w:szCs w:val="21"/>
                <w:highlight w:val="none"/>
              </w:rPr>
              <w:t>备注</w:t>
            </w:r>
          </w:p>
        </w:tc>
      </w:tr>
      <w:tr w14:paraId="286CC42E">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87ABD4">
            <w:pPr>
              <w:spacing w:line="360" w:lineRule="auto"/>
              <w:jc w:val="center"/>
              <w:rPr>
                <w:color w:val="auto"/>
                <w:szCs w:val="21"/>
                <w:highlight w:val="none"/>
              </w:rPr>
            </w:pPr>
            <w:r>
              <w:rPr>
                <w:rFonts w:hint="eastAsia"/>
                <w:color w:val="auto"/>
                <w:szCs w:val="21"/>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107B3A2">
            <w:pPr>
              <w:spacing w:line="360" w:lineRule="auto"/>
              <w:jc w:val="center"/>
              <w:rPr>
                <w:color w:val="auto"/>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7A3AECC">
            <w:pPr>
              <w:spacing w:line="360" w:lineRule="auto"/>
              <w:jc w:val="center"/>
              <w:rPr>
                <w:color w:val="auto"/>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E511CE8">
            <w:pPr>
              <w:spacing w:line="360" w:lineRule="auto"/>
              <w:jc w:val="center"/>
              <w:rPr>
                <w:color w:val="auto"/>
                <w:szCs w:val="21"/>
                <w:highlight w:val="none"/>
              </w:rPr>
            </w:pPr>
          </w:p>
        </w:tc>
      </w:tr>
      <w:tr w14:paraId="060C4965">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AF8CE99">
            <w:pPr>
              <w:spacing w:line="360" w:lineRule="auto"/>
              <w:jc w:val="center"/>
              <w:rPr>
                <w:color w:val="auto"/>
                <w:szCs w:val="21"/>
                <w:highlight w:val="none"/>
              </w:rPr>
            </w:pPr>
            <w:r>
              <w:rPr>
                <w:rFonts w:hint="eastAsia"/>
                <w:color w:val="auto"/>
                <w:szCs w:val="21"/>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B1C8C82">
            <w:pPr>
              <w:spacing w:line="360" w:lineRule="auto"/>
              <w:jc w:val="center"/>
              <w:rPr>
                <w:color w:val="auto"/>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D7FD972">
            <w:pPr>
              <w:spacing w:line="360" w:lineRule="auto"/>
              <w:jc w:val="center"/>
              <w:rPr>
                <w:color w:val="auto"/>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A6165CB">
            <w:pPr>
              <w:spacing w:line="360" w:lineRule="auto"/>
              <w:jc w:val="center"/>
              <w:rPr>
                <w:color w:val="auto"/>
                <w:szCs w:val="21"/>
                <w:highlight w:val="none"/>
              </w:rPr>
            </w:pPr>
          </w:p>
        </w:tc>
      </w:tr>
      <w:tr w14:paraId="753E1314">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A4D9506">
            <w:pPr>
              <w:spacing w:line="360" w:lineRule="auto"/>
              <w:jc w:val="center"/>
              <w:rPr>
                <w:color w:val="auto"/>
                <w:szCs w:val="21"/>
                <w:highlight w:val="none"/>
              </w:rPr>
            </w:pPr>
            <w:r>
              <w:rPr>
                <w:rFonts w:hint="eastAsia"/>
                <w:color w:val="auto"/>
                <w:szCs w:val="21"/>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4C47B2B">
            <w:pPr>
              <w:spacing w:line="360" w:lineRule="auto"/>
              <w:jc w:val="center"/>
              <w:rPr>
                <w:color w:val="auto"/>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727E4F4">
            <w:pPr>
              <w:spacing w:line="360" w:lineRule="auto"/>
              <w:jc w:val="center"/>
              <w:rPr>
                <w:color w:val="auto"/>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8393E98">
            <w:pPr>
              <w:spacing w:line="360" w:lineRule="auto"/>
              <w:jc w:val="center"/>
              <w:rPr>
                <w:color w:val="auto"/>
                <w:szCs w:val="21"/>
                <w:highlight w:val="none"/>
              </w:rPr>
            </w:pPr>
          </w:p>
        </w:tc>
      </w:tr>
      <w:tr w14:paraId="419D8B50">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258A4C5">
            <w:pPr>
              <w:spacing w:line="360" w:lineRule="auto"/>
              <w:jc w:val="center"/>
              <w:rPr>
                <w:color w:val="auto"/>
                <w:szCs w:val="21"/>
                <w:highlight w:val="none"/>
              </w:rPr>
            </w:pPr>
            <w:r>
              <w:rPr>
                <w:rFonts w:hint="eastAsia"/>
                <w:color w:val="auto"/>
                <w:szCs w:val="21"/>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69A89BC">
            <w:pPr>
              <w:spacing w:line="360" w:lineRule="auto"/>
              <w:jc w:val="center"/>
              <w:rPr>
                <w:color w:val="auto"/>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B040E1C">
            <w:pPr>
              <w:spacing w:line="360" w:lineRule="auto"/>
              <w:jc w:val="center"/>
              <w:rPr>
                <w:color w:val="auto"/>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3E25727">
            <w:pPr>
              <w:spacing w:line="360" w:lineRule="auto"/>
              <w:jc w:val="center"/>
              <w:rPr>
                <w:color w:val="auto"/>
                <w:szCs w:val="21"/>
                <w:highlight w:val="none"/>
              </w:rPr>
            </w:pPr>
          </w:p>
        </w:tc>
      </w:tr>
    </w:tbl>
    <w:p w14:paraId="387FF83D">
      <w:pPr>
        <w:snapToGrid w:val="0"/>
        <w:spacing w:line="360" w:lineRule="auto"/>
        <w:jc w:val="left"/>
        <w:rPr>
          <w:color w:val="auto"/>
          <w:szCs w:val="21"/>
          <w:highlight w:val="none"/>
        </w:rPr>
      </w:pPr>
      <w:r>
        <w:rPr>
          <w:rFonts w:hint="eastAsia"/>
          <w:color w:val="auto"/>
          <w:szCs w:val="21"/>
          <w:highlight w:val="none"/>
        </w:rPr>
        <w:t>注：</w:t>
      </w:r>
    </w:p>
    <w:p w14:paraId="1AC9BB3B">
      <w:pPr>
        <w:snapToGrid w:val="0"/>
        <w:spacing w:line="360" w:lineRule="auto"/>
        <w:ind w:firstLine="420" w:firstLineChars="200"/>
        <w:jc w:val="left"/>
        <w:rPr>
          <w:color w:val="auto"/>
          <w:szCs w:val="21"/>
          <w:highlight w:val="none"/>
        </w:rPr>
      </w:pPr>
      <w:r>
        <w:rPr>
          <w:rFonts w:hint="eastAsia"/>
          <w:color w:val="auto"/>
          <w:szCs w:val="21"/>
          <w:highlight w:val="none"/>
        </w:rPr>
        <w:t>1.管理关系：是指不具有出资持股关系的其他单位之间存在的管理与被管理关系，如一些上下级关系的事业单位和团体组织。</w:t>
      </w:r>
    </w:p>
    <w:p w14:paraId="58196C86">
      <w:pPr>
        <w:snapToGrid w:val="0"/>
        <w:spacing w:line="360" w:lineRule="auto"/>
        <w:ind w:firstLine="420" w:firstLineChars="200"/>
        <w:jc w:val="left"/>
        <w:rPr>
          <w:color w:val="auto"/>
          <w:szCs w:val="21"/>
          <w:highlight w:val="none"/>
        </w:rPr>
      </w:pPr>
      <w:r>
        <w:rPr>
          <w:rFonts w:hint="eastAsia"/>
          <w:color w:val="auto"/>
          <w:szCs w:val="21"/>
          <w:highlight w:val="none"/>
        </w:rPr>
        <w:t>2.本表所指的管理关系仅限于直接管理关系，不包括间接的管理关系。</w:t>
      </w:r>
    </w:p>
    <w:p w14:paraId="64072323">
      <w:pPr>
        <w:snapToGrid w:val="0"/>
        <w:spacing w:line="360" w:lineRule="auto"/>
        <w:ind w:firstLine="420" w:firstLineChars="200"/>
        <w:jc w:val="left"/>
        <w:rPr>
          <w:color w:val="auto"/>
          <w:szCs w:val="21"/>
          <w:highlight w:val="none"/>
        </w:rPr>
      </w:pPr>
      <w:r>
        <w:rPr>
          <w:rFonts w:hint="eastAsia"/>
          <w:color w:val="auto"/>
          <w:szCs w:val="21"/>
          <w:highlight w:val="none"/>
        </w:rPr>
        <w:t>3.供应商不存在直接管理关系的，则填“无”。</w:t>
      </w:r>
    </w:p>
    <w:p w14:paraId="3B0A999B">
      <w:pPr>
        <w:snapToGrid w:val="0"/>
        <w:spacing w:line="360" w:lineRule="auto"/>
        <w:jc w:val="left"/>
        <w:rPr>
          <w:color w:val="auto"/>
          <w:szCs w:val="21"/>
          <w:highlight w:val="none"/>
        </w:rPr>
      </w:pPr>
    </w:p>
    <w:p w14:paraId="2BCB4696">
      <w:pPr>
        <w:snapToGrid w:val="0"/>
        <w:spacing w:line="360" w:lineRule="auto"/>
        <w:jc w:val="left"/>
        <w:rPr>
          <w:color w:val="auto"/>
          <w:szCs w:val="21"/>
          <w:highlight w:val="none"/>
        </w:rPr>
      </w:pPr>
    </w:p>
    <w:p w14:paraId="0B6ACEF1">
      <w:pPr>
        <w:snapToGrid w:val="0"/>
        <w:spacing w:line="360" w:lineRule="auto"/>
        <w:jc w:val="left"/>
        <w:rPr>
          <w:color w:val="auto"/>
          <w:szCs w:val="21"/>
          <w:highlight w:val="none"/>
        </w:rPr>
      </w:pPr>
    </w:p>
    <w:p w14:paraId="1651C138">
      <w:pPr>
        <w:snapToGrid w:val="0"/>
        <w:spacing w:line="360" w:lineRule="auto"/>
        <w:jc w:val="left"/>
        <w:rPr>
          <w:color w:val="auto"/>
          <w:szCs w:val="21"/>
          <w:highlight w:val="none"/>
        </w:rPr>
      </w:pPr>
    </w:p>
    <w:p w14:paraId="4A9C79EA">
      <w:pPr>
        <w:snapToGrid w:val="0"/>
        <w:spacing w:line="360" w:lineRule="auto"/>
        <w:jc w:val="left"/>
        <w:rPr>
          <w:color w:val="auto"/>
          <w:szCs w:val="21"/>
          <w:highlight w:val="none"/>
        </w:rPr>
      </w:pPr>
    </w:p>
    <w:p w14:paraId="54EF9D86">
      <w:pPr>
        <w:snapToGrid w:val="0"/>
        <w:spacing w:line="360" w:lineRule="auto"/>
        <w:jc w:val="left"/>
        <w:rPr>
          <w:color w:val="auto"/>
          <w:szCs w:val="21"/>
          <w:highlight w:val="none"/>
        </w:rPr>
      </w:pPr>
    </w:p>
    <w:p w14:paraId="396900FB">
      <w:pPr>
        <w:snapToGrid w:val="0"/>
        <w:spacing w:line="360" w:lineRule="auto"/>
        <w:jc w:val="left"/>
        <w:rPr>
          <w:color w:val="auto"/>
          <w:szCs w:val="21"/>
          <w:highlight w:val="none"/>
        </w:rPr>
      </w:pPr>
    </w:p>
    <w:p w14:paraId="3C9F3ECD">
      <w:pPr>
        <w:snapToGrid w:val="0"/>
        <w:spacing w:line="360" w:lineRule="auto"/>
        <w:jc w:val="left"/>
        <w:rPr>
          <w:color w:val="auto"/>
          <w:szCs w:val="21"/>
          <w:highlight w:val="none"/>
        </w:rPr>
      </w:pPr>
    </w:p>
    <w:p w14:paraId="526DD058">
      <w:pPr>
        <w:snapToGrid w:val="0"/>
        <w:spacing w:line="360" w:lineRule="auto"/>
        <w:ind w:firstLine="4410" w:firstLineChars="2100"/>
        <w:rPr>
          <w:color w:val="auto"/>
          <w:szCs w:val="21"/>
          <w:highlight w:val="none"/>
        </w:rPr>
      </w:pPr>
      <w:r>
        <w:rPr>
          <w:rFonts w:hint="eastAsia"/>
          <w:color w:val="auto"/>
          <w:szCs w:val="21"/>
          <w:highlight w:val="none"/>
        </w:rPr>
        <w:t>供应商名称(电子签章)：</w:t>
      </w:r>
    </w:p>
    <w:p w14:paraId="451883AA">
      <w:pPr>
        <w:snapToGrid w:val="0"/>
        <w:spacing w:line="360" w:lineRule="auto"/>
        <w:ind w:firstLine="4515" w:firstLineChars="2150"/>
        <w:rPr>
          <w:color w:val="auto"/>
          <w:szCs w:val="21"/>
          <w:highlight w:val="none"/>
        </w:rPr>
      </w:pPr>
      <w:r>
        <w:rPr>
          <w:rFonts w:hint="eastAsia"/>
          <w:color w:val="auto"/>
          <w:szCs w:val="21"/>
          <w:highlight w:val="none"/>
        </w:rPr>
        <w:t>日期：  年  月   日</w:t>
      </w:r>
    </w:p>
    <w:p w14:paraId="10C4F33B">
      <w:pPr>
        <w:pStyle w:val="26"/>
        <w:tabs>
          <w:tab w:val="left" w:pos="2127"/>
        </w:tabs>
        <w:spacing w:line="340" w:lineRule="exact"/>
        <w:rPr>
          <w:bCs/>
          <w:color w:val="auto"/>
          <w:sz w:val="24"/>
          <w:highlight w:val="none"/>
        </w:rPr>
      </w:pPr>
      <w:r>
        <w:rPr>
          <w:rFonts w:ascii="Times New Roman" w:hAnsi="Times New Roman" w:cs="Times New Roman"/>
          <w:color w:val="auto"/>
          <w:highlight w:val="none"/>
        </w:rPr>
        <w:br w:type="page"/>
      </w:r>
      <w:bookmarkStart w:id="119" w:name="_Hlk21623617"/>
      <w:r>
        <w:rPr>
          <w:color w:val="auto"/>
          <w:highlight w:val="none"/>
        </w:rPr>
        <w:t>7．供应商认为应当要提交的资格证明材料。</w:t>
      </w:r>
      <w:r>
        <w:rPr>
          <w:bCs/>
          <w:color w:val="auto"/>
          <w:sz w:val="24"/>
          <w:highlight w:val="none"/>
        </w:rPr>
        <w:t xml:space="preserve"> </w:t>
      </w:r>
    </w:p>
    <w:bookmarkEnd w:id="119"/>
    <w:p w14:paraId="6E904F16">
      <w:pPr>
        <w:spacing w:line="276" w:lineRule="auto"/>
        <w:rPr>
          <w:color w:val="auto"/>
          <w:szCs w:val="21"/>
          <w:highlight w:val="none"/>
        </w:rPr>
      </w:pPr>
      <w:bookmarkStart w:id="120" w:name="_Hlk60649396"/>
    </w:p>
    <w:p w14:paraId="107BD355">
      <w:pPr>
        <w:pStyle w:val="7"/>
        <w:overflowPunct w:val="0"/>
        <w:ind w:firstLine="0"/>
        <w:rPr>
          <w:rFonts w:hint="eastAsia"/>
          <w:color w:val="auto"/>
          <w:highlight w:val="none"/>
        </w:rPr>
      </w:pPr>
    </w:p>
    <w:p w14:paraId="72F46ECE">
      <w:pPr>
        <w:widowControl/>
        <w:jc w:val="left"/>
        <w:rPr>
          <w:bCs/>
          <w:color w:val="auto"/>
          <w:sz w:val="24"/>
          <w:highlight w:val="none"/>
        </w:rPr>
      </w:pPr>
      <w:r>
        <w:rPr>
          <w:bCs/>
          <w:color w:val="auto"/>
          <w:sz w:val="24"/>
          <w:highlight w:val="none"/>
        </w:rPr>
        <w:br w:type="page"/>
      </w:r>
    </w:p>
    <w:bookmarkEnd w:id="120"/>
    <w:p w14:paraId="26779227">
      <w:pPr>
        <w:snapToGrid w:val="0"/>
        <w:spacing w:before="120" w:beforeLines="50" w:after="50" w:line="440" w:lineRule="exact"/>
        <w:jc w:val="center"/>
        <w:outlineLvl w:val="1"/>
        <w:rPr>
          <w:bCs/>
          <w:color w:val="auto"/>
          <w:sz w:val="24"/>
          <w:highlight w:val="none"/>
        </w:rPr>
      </w:pPr>
      <w:r>
        <w:rPr>
          <w:bCs/>
          <w:color w:val="auto"/>
          <w:sz w:val="24"/>
          <w:highlight w:val="none"/>
        </w:rPr>
        <w:t>第二部分 商务技术文件</w:t>
      </w:r>
    </w:p>
    <w:p w14:paraId="5E7AD724">
      <w:pPr>
        <w:snapToGrid w:val="0"/>
        <w:spacing w:before="50" w:after="120" w:afterLines="50" w:line="440" w:lineRule="exact"/>
        <w:jc w:val="center"/>
        <w:rPr>
          <w:color w:val="auto"/>
          <w:highlight w:val="none"/>
        </w:rPr>
      </w:pPr>
      <w:r>
        <w:rPr>
          <w:color w:val="auto"/>
          <w:highlight w:val="none"/>
        </w:rPr>
        <w:t>（本商务</w:t>
      </w:r>
      <w:r>
        <w:rPr>
          <w:rFonts w:hint="eastAsia"/>
          <w:color w:val="auto"/>
          <w:highlight w:val="none"/>
        </w:rPr>
        <w:t>技术</w:t>
      </w:r>
      <w:r>
        <w:rPr>
          <w:color w:val="auto"/>
          <w:highlight w:val="none"/>
        </w:rPr>
        <w:t>文件供应商可自行编写，也可参照下述提纲编写）</w:t>
      </w:r>
    </w:p>
    <w:p w14:paraId="3FC88093">
      <w:pPr>
        <w:rPr>
          <w:rFonts w:hint="eastAsia"/>
          <w:color w:val="auto"/>
          <w:szCs w:val="21"/>
          <w:highlight w:val="none"/>
        </w:rPr>
      </w:pPr>
      <w:bookmarkStart w:id="121" w:name="_Hlk21623674"/>
      <w:r>
        <w:rPr>
          <w:rFonts w:hint="eastAsia"/>
          <w:color w:val="auto"/>
          <w:szCs w:val="21"/>
          <w:highlight w:val="none"/>
        </w:rPr>
        <w:t>1</w:t>
      </w:r>
      <w:r>
        <w:rPr>
          <w:color w:val="auto"/>
          <w:szCs w:val="21"/>
          <w:highlight w:val="none"/>
        </w:rPr>
        <w:t>．</w:t>
      </w:r>
      <w:r>
        <w:rPr>
          <w:rFonts w:hint="eastAsia"/>
          <w:color w:val="auto"/>
          <w:szCs w:val="21"/>
          <w:highlight w:val="none"/>
        </w:rPr>
        <w:t>对</w:t>
      </w:r>
      <w:r>
        <w:rPr>
          <w:color w:val="auto"/>
          <w:szCs w:val="21"/>
          <w:highlight w:val="none"/>
        </w:rPr>
        <w:t>本项目第</w:t>
      </w:r>
      <w:r>
        <w:rPr>
          <w:rFonts w:hint="eastAsia"/>
          <w:color w:val="auto"/>
          <w:szCs w:val="21"/>
          <w:highlight w:val="none"/>
        </w:rPr>
        <w:t>二</w:t>
      </w:r>
      <w:r>
        <w:rPr>
          <w:color w:val="auto"/>
          <w:szCs w:val="21"/>
          <w:highlight w:val="none"/>
        </w:rPr>
        <w:t>章</w:t>
      </w:r>
      <w:r>
        <w:rPr>
          <w:rFonts w:hint="eastAsia"/>
          <w:color w:val="auto"/>
          <w:szCs w:val="21"/>
          <w:highlight w:val="none"/>
        </w:rPr>
        <w:t>《</w:t>
      </w:r>
      <w:r>
        <w:rPr>
          <w:color w:val="auto"/>
          <w:szCs w:val="21"/>
          <w:highlight w:val="none"/>
        </w:rPr>
        <w:t>采购需求</w:t>
      </w:r>
      <w:r>
        <w:rPr>
          <w:rFonts w:hint="eastAsia"/>
          <w:color w:val="auto"/>
          <w:szCs w:val="21"/>
          <w:highlight w:val="none"/>
        </w:rPr>
        <w:t>》技术</w:t>
      </w:r>
      <w:r>
        <w:rPr>
          <w:color w:val="auto"/>
          <w:szCs w:val="21"/>
          <w:highlight w:val="none"/>
        </w:rPr>
        <w:t>要求的</w:t>
      </w:r>
      <w:r>
        <w:rPr>
          <w:rFonts w:hint="eastAsia"/>
          <w:color w:val="auto"/>
          <w:szCs w:val="21"/>
          <w:highlight w:val="none"/>
        </w:rPr>
        <w:t>响应表</w:t>
      </w:r>
      <w:r>
        <w:rPr>
          <w:color w:val="auto"/>
          <w:szCs w:val="21"/>
          <w:highlight w:val="none"/>
        </w:rPr>
        <w:t>：</w:t>
      </w:r>
    </w:p>
    <w:p w14:paraId="2D560523">
      <w:pPr>
        <w:rPr>
          <w:rFonts w:hint="eastAsia"/>
          <w:color w:val="auto"/>
          <w:szCs w:val="21"/>
          <w:highlight w:val="none"/>
        </w:rPr>
      </w:pPr>
    </w:p>
    <w:tbl>
      <w:tblPr>
        <w:tblStyle w:val="5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6"/>
        <w:gridCol w:w="3595"/>
        <w:gridCol w:w="3405"/>
        <w:gridCol w:w="1082"/>
      </w:tblGrid>
      <w:tr w14:paraId="229995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8" w:hRule="atLeast"/>
          <w:jc w:val="center"/>
        </w:trPr>
        <w:tc>
          <w:tcPr>
            <w:tcW w:w="746" w:type="dxa"/>
            <w:tcBorders>
              <w:top w:val="single" w:color="auto" w:sz="4" w:space="0"/>
              <w:left w:val="single" w:color="auto" w:sz="4" w:space="0"/>
              <w:bottom w:val="single" w:color="auto" w:sz="4" w:space="0"/>
              <w:right w:val="single" w:color="auto" w:sz="4" w:space="0"/>
            </w:tcBorders>
            <w:noWrap w:val="0"/>
            <w:vAlign w:val="center"/>
          </w:tcPr>
          <w:p w14:paraId="71A8E0BB">
            <w:pPr>
              <w:snapToGrid w:val="0"/>
              <w:spacing w:before="120" w:beforeLines="50"/>
              <w:jc w:val="center"/>
              <w:rPr>
                <w:color w:val="auto"/>
                <w:szCs w:val="21"/>
                <w:highlight w:val="none"/>
              </w:rPr>
            </w:pPr>
            <w:r>
              <w:rPr>
                <w:color w:val="auto"/>
                <w:szCs w:val="21"/>
                <w:highlight w:val="none"/>
              </w:rPr>
              <w:t>序号</w:t>
            </w:r>
          </w:p>
        </w:tc>
        <w:tc>
          <w:tcPr>
            <w:tcW w:w="3595" w:type="dxa"/>
            <w:tcBorders>
              <w:top w:val="single" w:color="auto" w:sz="4" w:space="0"/>
              <w:left w:val="single" w:color="auto" w:sz="4" w:space="0"/>
              <w:bottom w:val="single" w:color="auto" w:sz="4" w:space="0"/>
              <w:right w:val="single" w:color="auto" w:sz="4" w:space="0"/>
            </w:tcBorders>
            <w:noWrap w:val="0"/>
            <w:vAlign w:val="center"/>
          </w:tcPr>
          <w:p w14:paraId="3953617E">
            <w:pPr>
              <w:snapToGrid w:val="0"/>
              <w:spacing w:before="120" w:beforeLines="50"/>
              <w:jc w:val="center"/>
              <w:rPr>
                <w:rFonts w:hint="eastAsia"/>
                <w:color w:val="auto"/>
                <w:szCs w:val="21"/>
                <w:highlight w:val="none"/>
              </w:rPr>
            </w:pPr>
            <w:r>
              <w:rPr>
                <w:rFonts w:hint="eastAsia"/>
                <w:color w:val="auto"/>
                <w:szCs w:val="21"/>
                <w:highlight w:val="none"/>
              </w:rPr>
              <w:t>采购文件</w:t>
            </w:r>
            <w:r>
              <w:rPr>
                <w:color w:val="auto"/>
                <w:szCs w:val="21"/>
                <w:highlight w:val="none"/>
              </w:rPr>
              <w:t>要求</w:t>
            </w:r>
          </w:p>
          <w:p w14:paraId="7E7912E1">
            <w:pPr>
              <w:snapToGrid w:val="0"/>
              <w:spacing w:before="120" w:beforeLines="50"/>
              <w:jc w:val="center"/>
              <w:rPr>
                <w:color w:val="auto"/>
                <w:szCs w:val="21"/>
                <w:highlight w:val="none"/>
              </w:rPr>
            </w:pPr>
            <w:r>
              <w:rPr>
                <w:color w:val="auto"/>
                <w:szCs w:val="21"/>
                <w:highlight w:val="none"/>
              </w:rPr>
              <w:t>（注明章节及条款号）</w:t>
            </w:r>
          </w:p>
        </w:tc>
        <w:tc>
          <w:tcPr>
            <w:tcW w:w="3405" w:type="dxa"/>
            <w:tcBorders>
              <w:top w:val="single" w:color="auto" w:sz="4" w:space="0"/>
              <w:left w:val="single" w:color="auto" w:sz="4" w:space="0"/>
              <w:bottom w:val="single" w:color="auto" w:sz="4" w:space="0"/>
              <w:right w:val="single" w:color="auto" w:sz="4" w:space="0"/>
            </w:tcBorders>
            <w:noWrap w:val="0"/>
            <w:vAlign w:val="center"/>
          </w:tcPr>
          <w:p w14:paraId="3EDC7F0D">
            <w:pPr>
              <w:snapToGrid w:val="0"/>
              <w:spacing w:before="120" w:beforeLines="50"/>
              <w:jc w:val="center"/>
              <w:rPr>
                <w:rFonts w:hint="eastAsia"/>
                <w:color w:val="auto"/>
                <w:szCs w:val="21"/>
                <w:highlight w:val="none"/>
              </w:rPr>
            </w:pPr>
            <w:r>
              <w:rPr>
                <w:rFonts w:hint="eastAsia"/>
                <w:color w:val="auto"/>
                <w:szCs w:val="21"/>
                <w:highlight w:val="none"/>
              </w:rPr>
              <w:t>响应</w:t>
            </w:r>
            <w:r>
              <w:rPr>
                <w:color w:val="auto"/>
                <w:szCs w:val="21"/>
                <w:highlight w:val="none"/>
              </w:rPr>
              <w:t>文件响应内容</w:t>
            </w:r>
          </w:p>
        </w:tc>
        <w:tc>
          <w:tcPr>
            <w:tcW w:w="1082" w:type="dxa"/>
            <w:tcBorders>
              <w:top w:val="single" w:color="auto" w:sz="4" w:space="0"/>
              <w:left w:val="single" w:color="auto" w:sz="4" w:space="0"/>
              <w:bottom w:val="single" w:color="auto" w:sz="4" w:space="0"/>
              <w:right w:val="single" w:color="auto" w:sz="4" w:space="0"/>
            </w:tcBorders>
            <w:noWrap w:val="0"/>
            <w:vAlign w:val="center"/>
          </w:tcPr>
          <w:p w14:paraId="4EFB53D9">
            <w:pPr>
              <w:snapToGrid w:val="0"/>
              <w:spacing w:before="120" w:beforeLines="50"/>
              <w:jc w:val="center"/>
              <w:rPr>
                <w:color w:val="auto"/>
                <w:szCs w:val="21"/>
                <w:highlight w:val="none"/>
              </w:rPr>
            </w:pPr>
            <w:r>
              <w:rPr>
                <w:color w:val="auto"/>
                <w:highlight w:val="none"/>
              </w:rPr>
              <w:t>偏离</w:t>
            </w:r>
            <w:r>
              <w:rPr>
                <w:color w:val="auto"/>
                <w:szCs w:val="21"/>
                <w:highlight w:val="none"/>
              </w:rPr>
              <w:t>说明</w:t>
            </w:r>
          </w:p>
        </w:tc>
      </w:tr>
      <w:tr w14:paraId="4AFEBA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noWrap w:val="0"/>
            <w:vAlign w:val="center"/>
          </w:tcPr>
          <w:p w14:paraId="66FD0FC8">
            <w:pPr>
              <w:snapToGrid w:val="0"/>
              <w:spacing w:before="120" w:beforeLines="50"/>
              <w:jc w:val="center"/>
              <w:rPr>
                <w:color w:val="auto"/>
                <w:szCs w:val="21"/>
                <w:highlight w:val="none"/>
              </w:rPr>
            </w:pPr>
          </w:p>
        </w:tc>
        <w:tc>
          <w:tcPr>
            <w:tcW w:w="3595" w:type="dxa"/>
            <w:tcBorders>
              <w:top w:val="single" w:color="auto" w:sz="4" w:space="0"/>
              <w:left w:val="single" w:color="auto" w:sz="4" w:space="0"/>
              <w:bottom w:val="single" w:color="auto" w:sz="4" w:space="0"/>
              <w:right w:val="single" w:color="auto" w:sz="4" w:space="0"/>
            </w:tcBorders>
            <w:noWrap w:val="0"/>
            <w:vAlign w:val="center"/>
          </w:tcPr>
          <w:p w14:paraId="6D147D5D">
            <w:pPr>
              <w:snapToGrid w:val="0"/>
              <w:spacing w:before="120" w:beforeLines="50"/>
              <w:jc w:val="center"/>
              <w:rPr>
                <w:color w:val="auto"/>
                <w:szCs w:val="21"/>
                <w:highlight w:val="none"/>
              </w:rPr>
            </w:pPr>
          </w:p>
        </w:tc>
        <w:tc>
          <w:tcPr>
            <w:tcW w:w="3405" w:type="dxa"/>
            <w:tcBorders>
              <w:top w:val="single" w:color="auto" w:sz="4" w:space="0"/>
              <w:left w:val="single" w:color="auto" w:sz="4" w:space="0"/>
              <w:bottom w:val="single" w:color="auto" w:sz="4" w:space="0"/>
              <w:right w:val="single" w:color="auto" w:sz="4" w:space="0"/>
            </w:tcBorders>
            <w:noWrap w:val="0"/>
            <w:vAlign w:val="center"/>
          </w:tcPr>
          <w:p w14:paraId="61A85D9B">
            <w:pPr>
              <w:snapToGrid w:val="0"/>
              <w:spacing w:before="120" w:beforeLines="50"/>
              <w:jc w:val="center"/>
              <w:rPr>
                <w:color w:val="auto"/>
                <w:szCs w:val="21"/>
                <w:highlight w:val="none"/>
              </w:rPr>
            </w:pPr>
          </w:p>
        </w:tc>
        <w:tc>
          <w:tcPr>
            <w:tcW w:w="1082" w:type="dxa"/>
            <w:tcBorders>
              <w:top w:val="single" w:color="auto" w:sz="4" w:space="0"/>
              <w:left w:val="single" w:color="auto" w:sz="4" w:space="0"/>
              <w:bottom w:val="single" w:color="auto" w:sz="4" w:space="0"/>
              <w:right w:val="single" w:color="auto" w:sz="4" w:space="0"/>
            </w:tcBorders>
            <w:noWrap w:val="0"/>
            <w:vAlign w:val="center"/>
          </w:tcPr>
          <w:p w14:paraId="5F69898B">
            <w:pPr>
              <w:snapToGrid w:val="0"/>
              <w:spacing w:before="120" w:beforeLines="50"/>
              <w:jc w:val="center"/>
              <w:rPr>
                <w:color w:val="auto"/>
                <w:szCs w:val="21"/>
                <w:highlight w:val="none"/>
              </w:rPr>
            </w:pPr>
          </w:p>
        </w:tc>
      </w:tr>
      <w:tr w14:paraId="7F5798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noWrap w:val="0"/>
            <w:vAlign w:val="center"/>
          </w:tcPr>
          <w:p w14:paraId="439CA6A2">
            <w:pPr>
              <w:snapToGrid w:val="0"/>
              <w:spacing w:before="120" w:beforeLines="50"/>
              <w:jc w:val="center"/>
              <w:rPr>
                <w:color w:val="auto"/>
                <w:szCs w:val="21"/>
                <w:highlight w:val="none"/>
              </w:rPr>
            </w:pPr>
          </w:p>
        </w:tc>
        <w:tc>
          <w:tcPr>
            <w:tcW w:w="3595" w:type="dxa"/>
            <w:tcBorders>
              <w:top w:val="single" w:color="auto" w:sz="4" w:space="0"/>
              <w:left w:val="single" w:color="auto" w:sz="4" w:space="0"/>
              <w:bottom w:val="single" w:color="auto" w:sz="4" w:space="0"/>
              <w:right w:val="single" w:color="auto" w:sz="4" w:space="0"/>
            </w:tcBorders>
            <w:noWrap w:val="0"/>
            <w:vAlign w:val="center"/>
          </w:tcPr>
          <w:p w14:paraId="05ADED52">
            <w:pPr>
              <w:snapToGrid w:val="0"/>
              <w:spacing w:before="120" w:beforeLines="50"/>
              <w:jc w:val="center"/>
              <w:rPr>
                <w:color w:val="auto"/>
                <w:szCs w:val="21"/>
                <w:highlight w:val="none"/>
              </w:rPr>
            </w:pPr>
          </w:p>
        </w:tc>
        <w:tc>
          <w:tcPr>
            <w:tcW w:w="3405" w:type="dxa"/>
            <w:tcBorders>
              <w:top w:val="single" w:color="auto" w:sz="4" w:space="0"/>
              <w:left w:val="single" w:color="auto" w:sz="4" w:space="0"/>
              <w:bottom w:val="single" w:color="auto" w:sz="4" w:space="0"/>
              <w:right w:val="single" w:color="auto" w:sz="4" w:space="0"/>
            </w:tcBorders>
            <w:noWrap w:val="0"/>
            <w:vAlign w:val="center"/>
          </w:tcPr>
          <w:p w14:paraId="41774E5F">
            <w:pPr>
              <w:snapToGrid w:val="0"/>
              <w:spacing w:before="120" w:beforeLines="50"/>
              <w:jc w:val="center"/>
              <w:rPr>
                <w:color w:val="auto"/>
                <w:szCs w:val="21"/>
                <w:highlight w:val="none"/>
              </w:rPr>
            </w:pPr>
          </w:p>
        </w:tc>
        <w:tc>
          <w:tcPr>
            <w:tcW w:w="1082" w:type="dxa"/>
            <w:tcBorders>
              <w:top w:val="single" w:color="auto" w:sz="4" w:space="0"/>
              <w:left w:val="single" w:color="auto" w:sz="4" w:space="0"/>
              <w:bottom w:val="single" w:color="auto" w:sz="4" w:space="0"/>
              <w:right w:val="single" w:color="auto" w:sz="4" w:space="0"/>
            </w:tcBorders>
            <w:noWrap w:val="0"/>
            <w:vAlign w:val="center"/>
          </w:tcPr>
          <w:p w14:paraId="71BDC5F0">
            <w:pPr>
              <w:snapToGrid w:val="0"/>
              <w:spacing w:before="120" w:beforeLines="50"/>
              <w:jc w:val="center"/>
              <w:rPr>
                <w:color w:val="auto"/>
                <w:szCs w:val="21"/>
                <w:highlight w:val="none"/>
              </w:rPr>
            </w:pPr>
          </w:p>
        </w:tc>
      </w:tr>
      <w:tr w14:paraId="5DAF01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noWrap w:val="0"/>
            <w:vAlign w:val="center"/>
          </w:tcPr>
          <w:p w14:paraId="01C16E73">
            <w:pPr>
              <w:snapToGrid w:val="0"/>
              <w:spacing w:before="120" w:beforeLines="50"/>
              <w:jc w:val="center"/>
              <w:rPr>
                <w:color w:val="auto"/>
                <w:szCs w:val="21"/>
                <w:highlight w:val="none"/>
              </w:rPr>
            </w:pPr>
          </w:p>
        </w:tc>
        <w:tc>
          <w:tcPr>
            <w:tcW w:w="3595" w:type="dxa"/>
            <w:tcBorders>
              <w:top w:val="single" w:color="auto" w:sz="4" w:space="0"/>
              <w:left w:val="single" w:color="auto" w:sz="4" w:space="0"/>
              <w:bottom w:val="single" w:color="auto" w:sz="4" w:space="0"/>
              <w:right w:val="single" w:color="auto" w:sz="4" w:space="0"/>
            </w:tcBorders>
            <w:noWrap w:val="0"/>
            <w:vAlign w:val="center"/>
          </w:tcPr>
          <w:p w14:paraId="14778220">
            <w:pPr>
              <w:snapToGrid w:val="0"/>
              <w:spacing w:before="120" w:beforeLines="50"/>
              <w:jc w:val="center"/>
              <w:rPr>
                <w:color w:val="auto"/>
                <w:szCs w:val="21"/>
                <w:highlight w:val="none"/>
              </w:rPr>
            </w:pPr>
          </w:p>
        </w:tc>
        <w:tc>
          <w:tcPr>
            <w:tcW w:w="3405" w:type="dxa"/>
            <w:tcBorders>
              <w:top w:val="single" w:color="auto" w:sz="4" w:space="0"/>
              <w:left w:val="single" w:color="auto" w:sz="4" w:space="0"/>
              <w:bottom w:val="single" w:color="auto" w:sz="4" w:space="0"/>
              <w:right w:val="single" w:color="auto" w:sz="4" w:space="0"/>
            </w:tcBorders>
            <w:noWrap w:val="0"/>
            <w:vAlign w:val="center"/>
          </w:tcPr>
          <w:p w14:paraId="4E970722">
            <w:pPr>
              <w:snapToGrid w:val="0"/>
              <w:spacing w:before="120" w:beforeLines="50"/>
              <w:jc w:val="center"/>
              <w:rPr>
                <w:color w:val="auto"/>
                <w:szCs w:val="21"/>
                <w:highlight w:val="none"/>
              </w:rPr>
            </w:pPr>
          </w:p>
        </w:tc>
        <w:tc>
          <w:tcPr>
            <w:tcW w:w="1082" w:type="dxa"/>
            <w:tcBorders>
              <w:top w:val="single" w:color="auto" w:sz="4" w:space="0"/>
              <w:left w:val="single" w:color="auto" w:sz="4" w:space="0"/>
              <w:bottom w:val="single" w:color="auto" w:sz="4" w:space="0"/>
              <w:right w:val="single" w:color="auto" w:sz="4" w:space="0"/>
            </w:tcBorders>
            <w:noWrap w:val="0"/>
            <w:vAlign w:val="center"/>
          </w:tcPr>
          <w:p w14:paraId="614F5D25">
            <w:pPr>
              <w:snapToGrid w:val="0"/>
              <w:spacing w:before="120" w:beforeLines="50"/>
              <w:jc w:val="center"/>
              <w:rPr>
                <w:color w:val="auto"/>
                <w:szCs w:val="21"/>
                <w:highlight w:val="none"/>
              </w:rPr>
            </w:pPr>
          </w:p>
        </w:tc>
      </w:tr>
      <w:tr w14:paraId="4CA392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noWrap w:val="0"/>
            <w:vAlign w:val="center"/>
          </w:tcPr>
          <w:p w14:paraId="1611EED9">
            <w:pPr>
              <w:snapToGrid w:val="0"/>
              <w:spacing w:before="120" w:beforeLines="50"/>
              <w:jc w:val="center"/>
              <w:rPr>
                <w:color w:val="auto"/>
                <w:szCs w:val="21"/>
                <w:highlight w:val="none"/>
              </w:rPr>
            </w:pPr>
            <w:r>
              <w:rPr>
                <w:color w:val="auto"/>
                <w:szCs w:val="21"/>
                <w:highlight w:val="none"/>
              </w:rPr>
              <w:t>……</w:t>
            </w:r>
          </w:p>
        </w:tc>
        <w:tc>
          <w:tcPr>
            <w:tcW w:w="3595" w:type="dxa"/>
            <w:tcBorders>
              <w:top w:val="single" w:color="auto" w:sz="4" w:space="0"/>
              <w:left w:val="single" w:color="auto" w:sz="4" w:space="0"/>
              <w:bottom w:val="single" w:color="auto" w:sz="4" w:space="0"/>
              <w:right w:val="single" w:color="auto" w:sz="4" w:space="0"/>
            </w:tcBorders>
            <w:noWrap w:val="0"/>
            <w:vAlign w:val="center"/>
          </w:tcPr>
          <w:p w14:paraId="0B9C3B90">
            <w:pPr>
              <w:snapToGrid w:val="0"/>
              <w:spacing w:before="120" w:beforeLines="50"/>
              <w:jc w:val="center"/>
              <w:rPr>
                <w:color w:val="auto"/>
                <w:szCs w:val="21"/>
                <w:highlight w:val="none"/>
              </w:rPr>
            </w:pPr>
            <w:r>
              <w:rPr>
                <w:color w:val="auto"/>
                <w:szCs w:val="21"/>
                <w:highlight w:val="none"/>
              </w:rPr>
              <w:t>……</w:t>
            </w:r>
          </w:p>
        </w:tc>
        <w:tc>
          <w:tcPr>
            <w:tcW w:w="3405" w:type="dxa"/>
            <w:tcBorders>
              <w:top w:val="single" w:color="auto" w:sz="4" w:space="0"/>
              <w:left w:val="single" w:color="auto" w:sz="4" w:space="0"/>
              <w:bottom w:val="single" w:color="auto" w:sz="4" w:space="0"/>
              <w:right w:val="single" w:color="auto" w:sz="4" w:space="0"/>
            </w:tcBorders>
            <w:noWrap w:val="0"/>
            <w:vAlign w:val="center"/>
          </w:tcPr>
          <w:p w14:paraId="37501953">
            <w:pPr>
              <w:snapToGrid w:val="0"/>
              <w:spacing w:before="120" w:beforeLines="50"/>
              <w:jc w:val="center"/>
              <w:rPr>
                <w:color w:val="auto"/>
                <w:szCs w:val="21"/>
                <w:highlight w:val="none"/>
              </w:rPr>
            </w:pPr>
            <w:r>
              <w:rPr>
                <w:color w:val="auto"/>
                <w:szCs w:val="21"/>
                <w:highlight w:val="none"/>
              </w:rPr>
              <w:t>……</w:t>
            </w:r>
          </w:p>
        </w:tc>
        <w:tc>
          <w:tcPr>
            <w:tcW w:w="1082" w:type="dxa"/>
            <w:tcBorders>
              <w:top w:val="single" w:color="auto" w:sz="4" w:space="0"/>
              <w:left w:val="single" w:color="auto" w:sz="4" w:space="0"/>
              <w:bottom w:val="single" w:color="auto" w:sz="4" w:space="0"/>
              <w:right w:val="single" w:color="auto" w:sz="4" w:space="0"/>
            </w:tcBorders>
            <w:noWrap w:val="0"/>
            <w:vAlign w:val="center"/>
          </w:tcPr>
          <w:p w14:paraId="73464EDA">
            <w:pPr>
              <w:snapToGrid w:val="0"/>
              <w:spacing w:before="120" w:beforeLines="50"/>
              <w:jc w:val="center"/>
              <w:rPr>
                <w:color w:val="auto"/>
                <w:szCs w:val="21"/>
                <w:highlight w:val="none"/>
              </w:rPr>
            </w:pPr>
            <w:r>
              <w:rPr>
                <w:color w:val="auto"/>
                <w:szCs w:val="21"/>
                <w:highlight w:val="none"/>
              </w:rPr>
              <w:t>……</w:t>
            </w:r>
          </w:p>
        </w:tc>
      </w:tr>
    </w:tbl>
    <w:p w14:paraId="0DEA5CE6">
      <w:pPr>
        <w:rPr>
          <w:color w:val="auto"/>
          <w:szCs w:val="21"/>
          <w:highlight w:val="none"/>
        </w:rPr>
      </w:pPr>
    </w:p>
    <w:bookmarkEnd w:id="121"/>
    <w:p w14:paraId="4EC894BC">
      <w:pPr>
        <w:pStyle w:val="26"/>
        <w:tabs>
          <w:tab w:val="left" w:pos="2127"/>
        </w:tabs>
        <w:spacing w:line="340" w:lineRule="exact"/>
        <w:jc w:val="left"/>
        <w:rPr>
          <w:rFonts w:ascii="Times New Roman" w:hAnsi="Times New Roman" w:cs="Times New Roman"/>
          <w:color w:val="auto"/>
          <w:highlight w:val="none"/>
        </w:rPr>
      </w:pPr>
      <w:bookmarkStart w:id="122" w:name="_Hlk89181501"/>
      <w:r>
        <w:rPr>
          <w:color w:val="auto"/>
          <w:highlight w:val="none"/>
        </w:rPr>
        <w:t>注：（1）</w:t>
      </w:r>
      <w:r>
        <w:rPr>
          <w:rFonts w:ascii="Times New Roman" w:hAnsi="Times New Roman" w:cs="Times New Roman"/>
          <w:color w:val="auto"/>
          <w:highlight w:val="none"/>
        </w:rPr>
        <w:t>本表应对采购文件</w:t>
      </w:r>
      <w:r>
        <w:rPr>
          <w:color w:val="auto"/>
          <w:highlight w:val="none"/>
        </w:rPr>
        <w:t>第</w:t>
      </w:r>
      <w:r>
        <w:rPr>
          <w:rFonts w:hint="eastAsia"/>
          <w:color w:val="auto"/>
          <w:highlight w:val="none"/>
        </w:rPr>
        <w:t>二</w:t>
      </w:r>
      <w:r>
        <w:rPr>
          <w:color w:val="auto"/>
          <w:highlight w:val="none"/>
        </w:rPr>
        <w:t>章</w:t>
      </w:r>
      <w:r>
        <w:rPr>
          <w:rFonts w:hint="eastAsia"/>
          <w:color w:val="auto"/>
          <w:highlight w:val="none"/>
        </w:rPr>
        <w:t>《采购需求》</w:t>
      </w:r>
      <w:r>
        <w:rPr>
          <w:rFonts w:ascii="Times New Roman" w:hAnsi="Times New Roman" w:cs="Times New Roman"/>
          <w:color w:val="auto"/>
          <w:highlight w:val="none"/>
        </w:rPr>
        <w:t>中所列</w:t>
      </w:r>
      <w:r>
        <w:rPr>
          <w:rFonts w:hint="eastAsia" w:ascii="Times New Roman" w:hAnsi="Times New Roman" w:cs="Times New Roman"/>
          <w:color w:val="auto"/>
          <w:highlight w:val="none"/>
        </w:rPr>
        <w:t>技术</w:t>
      </w:r>
      <w:r>
        <w:rPr>
          <w:rFonts w:ascii="Times New Roman" w:hAnsi="Times New Roman" w:cs="Times New Roman"/>
          <w:color w:val="auto"/>
          <w:highlight w:val="none"/>
        </w:rPr>
        <w:t>要求进行响应，并根据响应情况在“偏离说明”栏填写正偏离或负偏离及原因，完全符合的填写</w:t>
      </w:r>
      <w:r>
        <w:rPr>
          <w:rFonts w:hint="eastAsia" w:ascii="Times New Roman" w:hAnsi="Times New Roman" w:cs="Times New Roman"/>
          <w:color w:val="auto"/>
          <w:highlight w:val="none"/>
        </w:rPr>
        <w:t>“</w:t>
      </w:r>
      <w:r>
        <w:rPr>
          <w:rFonts w:ascii="Times New Roman" w:hAnsi="Times New Roman" w:cs="Times New Roman"/>
          <w:color w:val="auto"/>
          <w:highlight w:val="none"/>
        </w:rPr>
        <w:t>无偏离</w:t>
      </w:r>
      <w:r>
        <w:rPr>
          <w:rFonts w:hint="eastAsia" w:ascii="Times New Roman" w:hAnsi="Times New Roman" w:cs="Times New Roman"/>
          <w:color w:val="auto"/>
          <w:highlight w:val="none"/>
        </w:rPr>
        <w:t>”</w:t>
      </w:r>
      <w:r>
        <w:rPr>
          <w:rFonts w:ascii="Times New Roman" w:hAnsi="Times New Roman" w:cs="Times New Roman"/>
          <w:color w:val="auto"/>
          <w:highlight w:val="none"/>
        </w:rPr>
        <w:t>。</w:t>
      </w:r>
    </w:p>
    <w:p w14:paraId="6D7F7A92">
      <w:pPr>
        <w:rPr>
          <w:color w:val="auto"/>
          <w:highlight w:val="none"/>
        </w:rPr>
      </w:pPr>
      <w:r>
        <w:rPr>
          <w:rFonts w:hint="eastAsia"/>
          <w:color w:val="auto"/>
          <w:highlight w:val="none"/>
        </w:rPr>
        <w:t>（2）</w:t>
      </w:r>
      <w:r>
        <w:rPr>
          <w:color w:val="auto"/>
          <w:highlight w:val="none"/>
        </w:rPr>
        <w:t>第</w:t>
      </w:r>
      <w:r>
        <w:rPr>
          <w:rFonts w:hint="eastAsia"/>
          <w:color w:val="auto"/>
          <w:highlight w:val="none"/>
        </w:rPr>
        <w:t>二</w:t>
      </w:r>
      <w:r>
        <w:rPr>
          <w:color w:val="auto"/>
          <w:highlight w:val="none"/>
        </w:rPr>
        <w:t>章</w:t>
      </w:r>
      <w:r>
        <w:rPr>
          <w:rFonts w:hint="eastAsia"/>
          <w:color w:val="auto"/>
          <w:highlight w:val="none"/>
        </w:rPr>
        <w:t>《采购需求》中的总体要求无需响应。</w:t>
      </w:r>
    </w:p>
    <w:p w14:paraId="5AD657BE">
      <w:pPr>
        <w:rPr>
          <w:color w:val="auto"/>
          <w:highlight w:val="none"/>
        </w:rPr>
      </w:pPr>
      <w:r>
        <w:rPr>
          <w:rFonts w:hint="eastAsia"/>
          <w:color w:val="auto"/>
          <w:highlight w:val="none"/>
        </w:rPr>
        <w:t>（</w:t>
      </w:r>
      <w:r>
        <w:rPr>
          <w:color w:val="auto"/>
          <w:highlight w:val="none"/>
        </w:rPr>
        <w:t>3</w:t>
      </w:r>
      <w:r>
        <w:rPr>
          <w:rFonts w:hint="eastAsia"/>
          <w:color w:val="auto"/>
          <w:highlight w:val="none"/>
        </w:rPr>
        <w:t>）偏离认定说明详见评审方法及标准。</w:t>
      </w:r>
    </w:p>
    <w:p w14:paraId="795ACC17">
      <w:pPr>
        <w:rPr>
          <w:color w:val="auto"/>
          <w:highlight w:val="none"/>
        </w:rPr>
      </w:pPr>
      <w:r>
        <w:rPr>
          <w:color w:val="auto"/>
          <w:highlight w:val="none"/>
        </w:rPr>
        <w:t>（4）本表可扩展。</w:t>
      </w:r>
    </w:p>
    <w:p w14:paraId="6FEC4737">
      <w:pPr>
        <w:rPr>
          <w:color w:val="auto"/>
          <w:szCs w:val="21"/>
          <w:highlight w:val="none"/>
        </w:rPr>
      </w:pPr>
    </w:p>
    <w:p w14:paraId="3B89A1F4">
      <w:pPr>
        <w:rPr>
          <w:color w:val="auto"/>
          <w:spacing w:val="20"/>
          <w:szCs w:val="21"/>
          <w:highlight w:val="none"/>
          <w:u w:val="single"/>
        </w:rPr>
      </w:pPr>
    </w:p>
    <w:p w14:paraId="6FFDDE67">
      <w:pPr>
        <w:rPr>
          <w:color w:val="auto"/>
          <w:szCs w:val="21"/>
          <w:highlight w:val="none"/>
        </w:rPr>
      </w:pPr>
      <w:r>
        <w:rPr>
          <w:color w:val="auto"/>
          <w:szCs w:val="21"/>
          <w:highlight w:val="none"/>
        </w:rPr>
        <w:t>供应商</w:t>
      </w:r>
      <w:r>
        <w:rPr>
          <w:rFonts w:hint="eastAsia"/>
          <w:color w:val="auto"/>
          <w:szCs w:val="21"/>
          <w:highlight w:val="none"/>
        </w:rPr>
        <w:t>名称(电子签章</w:t>
      </w:r>
      <w:r>
        <w:rPr>
          <w:color w:val="auto"/>
          <w:szCs w:val="21"/>
          <w:highlight w:val="none"/>
        </w:rPr>
        <w:t>)</w:t>
      </w:r>
      <w:r>
        <w:rPr>
          <w:color w:val="auto"/>
          <w:spacing w:val="20"/>
          <w:szCs w:val="21"/>
          <w:highlight w:val="none"/>
        </w:rPr>
        <w:t>：</w:t>
      </w:r>
      <w:r>
        <w:rPr>
          <w:color w:val="auto"/>
          <w:spacing w:val="20"/>
          <w:szCs w:val="21"/>
          <w:highlight w:val="none"/>
          <w:u w:val="single"/>
        </w:rPr>
        <w:t xml:space="preserve">            </w:t>
      </w:r>
      <w:r>
        <w:rPr>
          <w:color w:val="auto"/>
          <w:spacing w:val="20"/>
          <w:szCs w:val="21"/>
          <w:highlight w:val="none"/>
        </w:rPr>
        <w:t xml:space="preserve">              日 期：</w:t>
      </w:r>
      <w:r>
        <w:rPr>
          <w:color w:val="auto"/>
          <w:spacing w:val="20"/>
          <w:szCs w:val="21"/>
          <w:highlight w:val="none"/>
          <w:u w:val="single"/>
        </w:rPr>
        <w:t xml:space="preserve">            </w:t>
      </w:r>
    </w:p>
    <w:bookmarkEnd w:id="122"/>
    <w:p w14:paraId="7F235B42">
      <w:pPr>
        <w:rPr>
          <w:rFonts w:hint="eastAsia"/>
          <w:color w:val="auto"/>
          <w:szCs w:val="21"/>
          <w:highlight w:val="none"/>
        </w:rPr>
      </w:pPr>
    </w:p>
    <w:p w14:paraId="705BB882">
      <w:pPr>
        <w:snapToGrid w:val="0"/>
        <w:spacing w:before="50" w:after="120" w:afterLines="50"/>
        <w:jc w:val="left"/>
        <w:rPr>
          <w:color w:val="auto"/>
          <w:szCs w:val="21"/>
          <w:highlight w:val="none"/>
        </w:rPr>
      </w:pPr>
      <w:bookmarkStart w:id="123" w:name="_Hlk21623696"/>
      <w:r>
        <w:rPr>
          <w:color w:val="auto"/>
          <w:szCs w:val="21"/>
          <w:highlight w:val="none"/>
        </w:rPr>
        <w:t>2．</w:t>
      </w:r>
      <w:r>
        <w:rPr>
          <w:rFonts w:hint="eastAsia"/>
          <w:color w:val="auto"/>
          <w:szCs w:val="21"/>
          <w:highlight w:val="none"/>
        </w:rPr>
        <w:t>货物或产品</w:t>
      </w:r>
      <w:r>
        <w:rPr>
          <w:color w:val="auto"/>
          <w:szCs w:val="21"/>
          <w:highlight w:val="none"/>
        </w:rPr>
        <w:t>配置清单格式：</w:t>
      </w:r>
    </w:p>
    <w:tbl>
      <w:tblPr>
        <w:tblStyle w:val="5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4"/>
        <w:gridCol w:w="1681"/>
        <w:gridCol w:w="1174"/>
        <w:gridCol w:w="1163"/>
        <w:gridCol w:w="1596"/>
        <w:gridCol w:w="1695"/>
        <w:gridCol w:w="1080"/>
      </w:tblGrid>
      <w:tr w14:paraId="69E0B8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0"/>
            <w:vAlign w:val="center"/>
          </w:tcPr>
          <w:p w14:paraId="2629AEE5">
            <w:pPr>
              <w:snapToGrid w:val="0"/>
              <w:spacing w:before="50" w:after="50" w:line="440" w:lineRule="exact"/>
              <w:jc w:val="center"/>
              <w:rPr>
                <w:color w:val="auto"/>
                <w:szCs w:val="21"/>
                <w:highlight w:val="none"/>
              </w:rPr>
            </w:pPr>
            <w:r>
              <w:rPr>
                <w:color w:val="auto"/>
                <w:szCs w:val="21"/>
                <w:highlight w:val="none"/>
              </w:rPr>
              <w:t>序号</w:t>
            </w:r>
          </w:p>
        </w:tc>
        <w:tc>
          <w:tcPr>
            <w:tcW w:w="1681" w:type="dxa"/>
            <w:tcBorders>
              <w:top w:val="single" w:color="auto" w:sz="4" w:space="0"/>
              <w:left w:val="single" w:color="auto" w:sz="4" w:space="0"/>
              <w:bottom w:val="single" w:color="auto" w:sz="4" w:space="0"/>
              <w:right w:val="single" w:color="auto" w:sz="4" w:space="0"/>
            </w:tcBorders>
            <w:noWrap w:val="0"/>
            <w:vAlign w:val="center"/>
          </w:tcPr>
          <w:p w14:paraId="68EF772A">
            <w:pPr>
              <w:snapToGrid w:val="0"/>
              <w:spacing w:before="50" w:after="50" w:line="440" w:lineRule="exact"/>
              <w:jc w:val="center"/>
              <w:rPr>
                <w:rFonts w:hint="eastAsia"/>
                <w:color w:val="auto"/>
                <w:szCs w:val="21"/>
                <w:highlight w:val="none"/>
              </w:rPr>
            </w:pPr>
            <w:r>
              <w:rPr>
                <w:rFonts w:hint="eastAsia"/>
                <w:color w:val="auto"/>
                <w:szCs w:val="21"/>
                <w:highlight w:val="none"/>
              </w:rPr>
              <w:t>货物或产品</w:t>
            </w:r>
          </w:p>
          <w:p w14:paraId="5BD1E429">
            <w:pPr>
              <w:snapToGrid w:val="0"/>
              <w:spacing w:before="50" w:after="50" w:line="440" w:lineRule="exact"/>
              <w:jc w:val="center"/>
              <w:rPr>
                <w:color w:val="auto"/>
                <w:szCs w:val="21"/>
                <w:highlight w:val="none"/>
              </w:rPr>
            </w:pPr>
            <w:r>
              <w:rPr>
                <w:color w:val="auto"/>
                <w:szCs w:val="21"/>
                <w:highlight w:val="none"/>
              </w:rPr>
              <w:t>名称</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2A8C56D8">
            <w:pPr>
              <w:snapToGrid w:val="0"/>
              <w:spacing w:before="50" w:after="50" w:line="440" w:lineRule="exact"/>
              <w:jc w:val="center"/>
              <w:rPr>
                <w:color w:val="auto"/>
                <w:szCs w:val="21"/>
                <w:highlight w:val="none"/>
              </w:rPr>
            </w:pPr>
            <w:r>
              <w:rPr>
                <w:color w:val="auto"/>
                <w:szCs w:val="21"/>
                <w:highlight w:val="none"/>
              </w:rPr>
              <w:t>品牌或制造商</w:t>
            </w:r>
          </w:p>
        </w:tc>
        <w:tc>
          <w:tcPr>
            <w:tcW w:w="1163" w:type="dxa"/>
            <w:tcBorders>
              <w:top w:val="single" w:color="auto" w:sz="4" w:space="0"/>
              <w:left w:val="single" w:color="auto" w:sz="4" w:space="0"/>
              <w:bottom w:val="single" w:color="auto" w:sz="4" w:space="0"/>
              <w:right w:val="single" w:color="auto" w:sz="4" w:space="0"/>
            </w:tcBorders>
            <w:noWrap w:val="0"/>
            <w:vAlign w:val="center"/>
          </w:tcPr>
          <w:p w14:paraId="59EC64B4">
            <w:pPr>
              <w:snapToGrid w:val="0"/>
              <w:spacing w:before="50" w:after="50" w:line="440" w:lineRule="exact"/>
              <w:jc w:val="center"/>
              <w:rPr>
                <w:color w:val="auto"/>
                <w:szCs w:val="21"/>
                <w:highlight w:val="none"/>
              </w:rPr>
            </w:pPr>
            <w:r>
              <w:rPr>
                <w:color w:val="auto"/>
                <w:szCs w:val="21"/>
                <w:highlight w:val="none"/>
              </w:rPr>
              <w:t>规格型号</w:t>
            </w:r>
          </w:p>
        </w:tc>
        <w:tc>
          <w:tcPr>
            <w:tcW w:w="1596" w:type="dxa"/>
            <w:tcBorders>
              <w:top w:val="single" w:color="auto" w:sz="4" w:space="0"/>
              <w:left w:val="single" w:color="auto" w:sz="4" w:space="0"/>
              <w:bottom w:val="single" w:color="auto" w:sz="4" w:space="0"/>
              <w:right w:val="single" w:color="auto" w:sz="4" w:space="0"/>
            </w:tcBorders>
            <w:noWrap w:val="0"/>
            <w:vAlign w:val="center"/>
          </w:tcPr>
          <w:p w14:paraId="40ED7FAA">
            <w:pPr>
              <w:snapToGrid w:val="0"/>
              <w:spacing w:before="50" w:after="50" w:line="440" w:lineRule="exact"/>
              <w:jc w:val="center"/>
              <w:rPr>
                <w:color w:val="auto"/>
                <w:szCs w:val="21"/>
                <w:highlight w:val="none"/>
              </w:rPr>
            </w:pPr>
            <w:r>
              <w:rPr>
                <w:color w:val="auto"/>
                <w:szCs w:val="21"/>
                <w:highlight w:val="none"/>
              </w:rPr>
              <w:t>单位及数量</w:t>
            </w:r>
          </w:p>
        </w:tc>
        <w:tc>
          <w:tcPr>
            <w:tcW w:w="1695" w:type="dxa"/>
            <w:tcBorders>
              <w:top w:val="single" w:color="auto" w:sz="4" w:space="0"/>
              <w:left w:val="single" w:color="auto" w:sz="4" w:space="0"/>
              <w:bottom w:val="single" w:color="auto" w:sz="4" w:space="0"/>
              <w:right w:val="single" w:color="auto" w:sz="4" w:space="0"/>
            </w:tcBorders>
            <w:noWrap w:val="0"/>
            <w:vAlign w:val="center"/>
          </w:tcPr>
          <w:p w14:paraId="2314BF19">
            <w:pPr>
              <w:snapToGrid w:val="0"/>
              <w:spacing w:before="50" w:after="50" w:line="440" w:lineRule="exact"/>
              <w:jc w:val="center"/>
              <w:rPr>
                <w:color w:val="auto"/>
                <w:szCs w:val="21"/>
                <w:highlight w:val="none"/>
              </w:rPr>
            </w:pPr>
            <w:r>
              <w:rPr>
                <w:color w:val="auto"/>
                <w:szCs w:val="21"/>
                <w:highlight w:val="none"/>
              </w:rPr>
              <w:t>性能及指标</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4FADA1B">
            <w:pPr>
              <w:snapToGrid w:val="0"/>
              <w:spacing w:before="50" w:after="50" w:line="440" w:lineRule="exact"/>
              <w:jc w:val="center"/>
              <w:rPr>
                <w:color w:val="auto"/>
                <w:szCs w:val="21"/>
                <w:highlight w:val="none"/>
              </w:rPr>
            </w:pPr>
            <w:r>
              <w:rPr>
                <w:color w:val="auto"/>
                <w:szCs w:val="21"/>
                <w:highlight w:val="none"/>
              </w:rPr>
              <w:t>产地</w:t>
            </w:r>
          </w:p>
        </w:tc>
      </w:tr>
      <w:tr w14:paraId="6F0FDD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3" w:hRule="atLeast"/>
          <w:jc w:val="center"/>
        </w:trPr>
        <w:tc>
          <w:tcPr>
            <w:tcW w:w="554" w:type="dxa"/>
            <w:tcBorders>
              <w:top w:val="single" w:color="auto" w:sz="4" w:space="0"/>
              <w:left w:val="single" w:color="auto" w:sz="4" w:space="0"/>
              <w:bottom w:val="single" w:color="auto" w:sz="4" w:space="0"/>
              <w:right w:val="single" w:color="auto" w:sz="4" w:space="0"/>
            </w:tcBorders>
            <w:noWrap w:val="0"/>
            <w:vAlign w:val="center"/>
          </w:tcPr>
          <w:p w14:paraId="2E3F5A69">
            <w:pPr>
              <w:snapToGrid w:val="0"/>
              <w:spacing w:before="50" w:after="50" w:line="440" w:lineRule="exact"/>
              <w:jc w:val="center"/>
              <w:rPr>
                <w:color w:val="auto"/>
                <w:szCs w:val="21"/>
                <w:highlight w:val="none"/>
              </w:rPr>
            </w:pPr>
          </w:p>
        </w:tc>
        <w:tc>
          <w:tcPr>
            <w:tcW w:w="1681" w:type="dxa"/>
            <w:tcBorders>
              <w:top w:val="single" w:color="auto" w:sz="4" w:space="0"/>
              <w:left w:val="single" w:color="auto" w:sz="4" w:space="0"/>
              <w:bottom w:val="single" w:color="auto" w:sz="4" w:space="0"/>
              <w:right w:val="single" w:color="auto" w:sz="4" w:space="0"/>
            </w:tcBorders>
            <w:noWrap w:val="0"/>
            <w:vAlign w:val="center"/>
          </w:tcPr>
          <w:p w14:paraId="16B79E74">
            <w:pPr>
              <w:snapToGrid w:val="0"/>
              <w:spacing w:before="50" w:after="50" w:line="440" w:lineRule="exact"/>
              <w:rPr>
                <w:color w:val="auto"/>
                <w:szCs w:val="21"/>
                <w:highlight w:val="none"/>
              </w:rPr>
            </w:pPr>
          </w:p>
        </w:tc>
        <w:tc>
          <w:tcPr>
            <w:tcW w:w="1174" w:type="dxa"/>
            <w:tcBorders>
              <w:top w:val="single" w:color="auto" w:sz="4" w:space="0"/>
              <w:left w:val="single" w:color="auto" w:sz="4" w:space="0"/>
              <w:bottom w:val="single" w:color="auto" w:sz="4" w:space="0"/>
              <w:right w:val="single" w:color="auto" w:sz="4" w:space="0"/>
            </w:tcBorders>
            <w:noWrap w:val="0"/>
            <w:vAlign w:val="center"/>
          </w:tcPr>
          <w:p w14:paraId="07139FBC">
            <w:pPr>
              <w:snapToGrid w:val="0"/>
              <w:spacing w:before="50" w:after="50" w:line="440" w:lineRule="exact"/>
              <w:jc w:val="center"/>
              <w:rPr>
                <w:color w:val="auto"/>
                <w:szCs w:val="21"/>
                <w:highlight w:val="none"/>
              </w:rPr>
            </w:pPr>
          </w:p>
        </w:tc>
        <w:tc>
          <w:tcPr>
            <w:tcW w:w="1163" w:type="dxa"/>
            <w:tcBorders>
              <w:top w:val="single" w:color="auto" w:sz="4" w:space="0"/>
              <w:left w:val="single" w:color="auto" w:sz="4" w:space="0"/>
              <w:bottom w:val="single" w:color="auto" w:sz="4" w:space="0"/>
              <w:right w:val="single" w:color="auto" w:sz="4" w:space="0"/>
            </w:tcBorders>
            <w:noWrap w:val="0"/>
            <w:vAlign w:val="center"/>
          </w:tcPr>
          <w:p w14:paraId="11B74DC4">
            <w:pPr>
              <w:snapToGrid w:val="0"/>
              <w:spacing w:before="50" w:after="50" w:line="440" w:lineRule="exact"/>
              <w:jc w:val="center"/>
              <w:rPr>
                <w:color w:val="auto"/>
                <w:szCs w:val="21"/>
                <w:highlight w:val="none"/>
              </w:rPr>
            </w:pPr>
          </w:p>
        </w:tc>
        <w:tc>
          <w:tcPr>
            <w:tcW w:w="1596" w:type="dxa"/>
            <w:tcBorders>
              <w:top w:val="single" w:color="auto" w:sz="4" w:space="0"/>
              <w:left w:val="single" w:color="auto" w:sz="4" w:space="0"/>
              <w:bottom w:val="single" w:color="auto" w:sz="4" w:space="0"/>
              <w:right w:val="single" w:color="auto" w:sz="4" w:space="0"/>
            </w:tcBorders>
            <w:noWrap w:val="0"/>
            <w:vAlign w:val="center"/>
          </w:tcPr>
          <w:p w14:paraId="0E600EA4">
            <w:pPr>
              <w:snapToGrid w:val="0"/>
              <w:spacing w:before="50" w:after="50" w:line="440" w:lineRule="exact"/>
              <w:jc w:val="center"/>
              <w:rPr>
                <w:color w:val="auto"/>
                <w:szCs w:val="21"/>
                <w:highlight w:val="none"/>
              </w:rPr>
            </w:pPr>
          </w:p>
        </w:tc>
        <w:tc>
          <w:tcPr>
            <w:tcW w:w="1695" w:type="dxa"/>
            <w:tcBorders>
              <w:top w:val="single" w:color="auto" w:sz="4" w:space="0"/>
              <w:left w:val="single" w:color="auto" w:sz="4" w:space="0"/>
              <w:bottom w:val="single" w:color="auto" w:sz="4" w:space="0"/>
              <w:right w:val="single" w:color="auto" w:sz="4" w:space="0"/>
            </w:tcBorders>
            <w:noWrap w:val="0"/>
            <w:vAlign w:val="center"/>
          </w:tcPr>
          <w:p w14:paraId="093ACA45">
            <w:pPr>
              <w:snapToGrid w:val="0"/>
              <w:spacing w:before="50" w:after="50" w:line="440" w:lineRule="exact"/>
              <w:jc w:val="center"/>
              <w:rPr>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BB26B05">
            <w:pPr>
              <w:snapToGrid w:val="0"/>
              <w:spacing w:before="50" w:after="50" w:line="440" w:lineRule="exact"/>
              <w:jc w:val="center"/>
              <w:rPr>
                <w:color w:val="auto"/>
                <w:szCs w:val="21"/>
                <w:highlight w:val="none"/>
              </w:rPr>
            </w:pPr>
          </w:p>
        </w:tc>
      </w:tr>
      <w:tr w14:paraId="4621B4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54" w:type="dxa"/>
            <w:tcBorders>
              <w:top w:val="single" w:color="auto" w:sz="4" w:space="0"/>
              <w:left w:val="single" w:color="auto" w:sz="4" w:space="0"/>
              <w:bottom w:val="single" w:color="auto" w:sz="4" w:space="0"/>
              <w:right w:val="single" w:color="auto" w:sz="4" w:space="0"/>
            </w:tcBorders>
            <w:noWrap w:val="0"/>
            <w:vAlign w:val="center"/>
          </w:tcPr>
          <w:p w14:paraId="04D348BC">
            <w:pPr>
              <w:snapToGrid w:val="0"/>
              <w:spacing w:before="50" w:after="50" w:line="440" w:lineRule="exact"/>
              <w:jc w:val="center"/>
              <w:rPr>
                <w:color w:val="auto"/>
                <w:szCs w:val="21"/>
                <w:highlight w:val="none"/>
              </w:rPr>
            </w:pPr>
          </w:p>
        </w:tc>
        <w:tc>
          <w:tcPr>
            <w:tcW w:w="1681" w:type="dxa"/>
            <w:tcBorders>
              <w:top w:val="single" w:color="auto" w:sz="4" w:space="0"/>
              <w:left w:val="single" w:color="auto" w:sz="4" w:space="0"/>
              <w:bottom w:val="single" w:color="auto" w:sz="4" w:space="0"/>
              <w:right w:val="single" w:color="auto" w:sz="4" w:space="0"/>
            </w:tcBorders>
            <w:noWrap w:val="0"/>
            <w:vAlign w:val="center"/>
          </w:tcPr>
          <w:p w14:paraId="664F5351">
            <w:pPr>
              <w:snapToGrid w:val="0"/>
              <w:spacing w:before="50" w:after="50" w:line="440" w:lineRule="exact"/>
              <w:jc w:val="center"/>
              <w:rPr>
                <w:color w:val="auto"/>
                <w:szCs w:val="21"/>
                <w:highlight w:val="none"/>
              </w:rPr>
            </w:pPr>
          </w:p>
        </w:tc>
        <w:tc>
          <w:tcPr>
            <w:tcW w:w="1174" w:type="dxa"/>
            <w:tcBorders>
              <w:top w:val="single" w:color="auto" w:sz="4" w:space="0"/>
              <w:left w:val="single" w:color="auto" w:sz="4" w:space="0"/>
              <w:bottom w:val="single" w:color="auto" w:sz="4" w:space="0"/>
              <w:right w:val="single" w:color="auto" w:sz="4" w:space="0"/>
            </w:tcBorders>
            <w:noWrap w:val="0"/>
            <w:vAlign w:val="center"/>
          </w:tcPr>
          <w:p w14:paraId="4E66BFB8">
            <w:pPr>
              <w:snapToGrid w:val="0"/>
              <w:spacing w:before="50" w:after="50" w:line="440" w:lineRule="exact"/>
              <w:jc w:val="center"/>
              <w:rPr>
                <w:color w:val="auto"/>
                <w:szCs w:val="21"/>
                <w:highlight w:val="none"/>
              </w:rPr>
            </w:pPr>
          </w:p>
        </w:tc>
        <w:tc>
          <w:tcPr>
            <w:tcW w:w="1163" w:type="dxa"/>
            <w:tcBorders>
              <w:top w:val="single" w:color="auto" w:sz="4" w:space="0"/>
              <w:left w:val="single" w:color="auto" w:sz="4" w:space="0"/>
              <w:bottom w:val="single" w:color="auto" w:sz="4" w:space="0"/>
              <w:right w:val="single" w:color="auto" w:sz="4" w:space="0"/>
            </w:tcBorders>
            <w:noWrap w:val="0"/>
            <w:vAlign w:val="center"/>
          </w:tcPr>
          <w:p w14:paraId="0DFD5849">
            <w:pPr>
              <w:snapToGrid w:val="0"/>
              <w:spacing w:before="50" w:after="50" w:line="440" w:lineRule="exact"/>
              <w:jc w:val="center"/>
              <w:rPr>
                <w:color w:val="auto"/>
                <w:szCs w:val="21"/>
                <w:highlight w:val="none"/>
              </w:rPr>
            </w:pPr>
          </w:p>
        </w:tc>
        <w:tc>
          <w:tcPr>
            <w:tcW w:w="1596" w:type="dxa"/>
            <w:tcBorders>
              <w:top w:val="single" w:color="auto" w:sz="4" w:space="0"/>
              <w:left w:val="single" w:color="auto" w:sz="4" w:space="0"/>
              <w:bottom w:val="single" w:color="auto" w:sz="4" w:space="0"/>
              <w:right w:val="single" w:color="auto" w:sz="4" w:space="0"/>
            </w:tcBorders>
            <w:noWrap w:val="0"/>
            <w:vAlign w:val="center"/>
          </w:tcPr>
          <w:p w14:paraId="67D0B208">
            <w:pPr>
              <w:snapToGrid w:val="0"/>
              <w:spacing w:before="50" w:after="50" w:line="440" w:lineRule="exact"/>
              <w:jc w:val="center"/>
              <w:rPr>
                <w:color w:val="auto"/>
                <w:szCs w:val="21"/>
                <w:highlight w:val="none"/>
              </w:rPr>
            </w:pPr>
          </w:p>
        </w:tc>
        <w:tc>
          <w:tcPr>
            <w:tcW w:w="1695" w:type="dxa"/>
            <w:tcBorders>
              <w:top w:val="single" w:color="auto" w:sz="4" w:space="0"/>
              <w:left w:val="single" w:color="auto" w:sz="4" w:space="0"/>
              <w:bottom w:val="single" w:color="auto" w:sz="4" w:space="0"/>
              <w:right w:val="single" w:color="auto" w:sz="4" w:space="0"/>
            </w:tcBorders>
            <w:noWrap w:val="0"/>
            <w:vAlign w:val="center"/>
          </w:tcPr>
          <w:p w14:paraId="77D62C05">
            <w:pPr>
              <w:snapToGrid w:val="0"/>
              <w:spacing w:before="50" w:after="50" w:line="440" w:lineRule="exact"/>
              <w:jc w:val="center"/>
              <w:rPr>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3A83106">
            <w:pPr>
              <w:snapToGrid w:val="0"/>
              <w:spacing w:before="50" w:after="50" w:line="440" w:lineRule="exact"/>
              <w:jc w:val="center"/>
              <w:rPr>
                <w:color w:val="auto"/>
                <w:szCs w:val="21"/>
                <w:highlight w:val="none"/>
              </w:rPr>
            </w:pPr>
          </w:p>
        </w:tc>
      </w:tr>
      <w:tr w14:paraId="4E120C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9" w:hRule="atLeast"/>
          <w:jc w:val="center"/>
        </w:trPr>
        <w:tc>
          <w:tcPr>
            <w:tcW w:w="554" w:type="dxa"/>
            <w:tcBorders>
              <w:top w:val="single" w:color="auto" w:sz="4" w:space="0"/>
              <w:left w:val="single" w:color="auto" w:sz="4" w:space="0"/>
              <w:bottom w:val="single" w:color="auto" w:sz="4" w:space="0"/>
              <w:right w:val="single" w:color="auto" w:sz="4" w:space="0"/>
            </w:tcBorders>
            <w:noWrap w:val="0"/>
            <w:vAlign w:val="center"/>
          </w:tcPr>
          <w:p w14:paraId="5472572E">
            <w:pPr>
              <w:snapToGrid w:val="0"/>
              <w:spacing w:before="50" w:after="50" w:line="440" w:lineRule="exact"/>
              <w:jc w:val="center"/>
              <w:rPr>
                <w:color w:val="auto"/>
                <w:szCs w:val="21"/>
                <w:highlight w:val="none"/>
              </w:rPr>
            </w:pPr>
          </w:p>
        </w:tc>
        <w:tc>
          <w:tcPr>
            <w:tcW w:w="1681" w:type="dxa"/>
            <w:tcBorders>
              <w:top w:val="single" w:color="auto" w:sz="4" w:space="0"/>
              <w:left w:val="single" w:color="auto" w:sz="4" w:space="0"/>
              <w:bottom w:val="single" w:color="auto" w:sz="4" w:space="0"/>
              <w:right w:val="single" w:color="auto" w:sz="4" w:space="0"/>
            </w:tcBorders>
            <w:noWrap w:val="0"/>
            <w:vAlign w:val="center"/>
          </w:tcPr>
          <w:p w14:paraId="32234577">
            <w:pPr>
              <w:snapToGrid w:val="0"/>
              <w:spacing w:before="50" w:after="50" w:line="440" w:lineRule="exact"/>
              <w:jc w:val="center"/>
              <w:rPr>
                <w:color w:val="auto"/>
                <w:szCs w:val="21"/>
                <w:highlight w:val="none"/>
              </w:rPr>
            </w:pPr>
          </w:p>
        </w:tc>
        <w:tc>
          <w:tcPr>
            <w:tcW w:w="1174" w:type="dxa"/>
            <w:tcBorders>
              <w:top w:val="single" w:color="auto" w:sz="4" w:space="0"/>
              <w:left w:val="single" w:color="auto" w:sz="4" w:space="0"/>
              <w:bottom w:val="single" w:color="auto" w:sz="4" w:space="0"/>
              <w:right w:val="single" w:color="auto" w:sz="4" w:space="0"/>
            </w:tcBorders>
            <w:noWrap w:val="0"/>
            <w:vAlign w:val="center"/>
          </w:tcPr>
          <w:p w14:paraId="4B4E9113">
            <w:pPr>
              <w:snapToGrid w:val="0"/>
              <w:spacing w:before="50" w:after="50" w:line="440" w:lineRule="exact"/>
              <w:jc w:val="center"/>
              <w:rPr>
                <w:color w:val="auto"/>
                <w:szCs w:val="21"/>
                <w:highlight w:val="none"/>
              </w:rPr>
            </w:pPr>
          </w:p>
        </w:tc>
        <w:tc>
          <w:tcPr>
            <w:tcW w:w="1163" w:type="dxa"/>
            <w:tcBorders>
              <w:top w:val="single" w:color="auto" w:sz="4" w:space="0"/>
              <w:left w:val="single" w:color="auto" w:sz="4" w:space="0"/>
              <w:bottom w:val="single" w:color="auto" w:sz="4" w:space="0"/>
              <w:right w:val="single" w:color="auto" w:sz="4" w:space="0"/>
            </w:tcBorders>
            <w:noWrap w:val="0"/>
            <w:vAlign w:val="center"/>
          </w:tcPr>
          <w:p w14:paraId="378BD1E6">
            <w:pPr>
              <w:snapToGrid w:val="0"/>
              <w:spacing w:before="50" w:after="50" w:line="440" w:lineRule="exact"/>
              <w:jc w:val="center"/>
              <w:rPr>
                <w:color w:val="auto"/>
                <w:szCs w:val="21"/>
                <w:highlight w:val="none"/>
              </w:rPr>
            </w:pPr>
          </w:p>
        </w:tc>
        <w:tc>
          <w:tcPr>
            <w:tcW w:w="1596" w:type="dxa"/>
            <w:tcBorders>
              <w:top w:val="single" w:color="auto" w:sz="4" w:space="0"/>
              <w:left w:val="single" w:color="auto" w:sz="4" w:space="0"/>
              <w:bottom w:val="single" w:color="auto" w:sz="4" w:space="0"/>
              <w:right w:val="single" w:color="auto" w:sz="4" w:space="0"/>
            </w:tcBorders>
            <w:noWrap w:val="0"/>
            <w:vAlign w:val="center"/>
          </w:tcPr>
          <w:p w14:paraId="78799167">
            <w:pPr>
              <w:snapToGrid w:val="0"/>
              <w:spacing w:before="50" w:after="50" w:line="440" w:lineRule="exact"/>
              <w:jc w:val="center"/>
              <w:rPr>
                <w:color w:val="auto"/>
                <w:szCs w:val="21"/>
                <w:highlight w:val="none"/>
              </w:rPr>
            </w:pPr>
          </w:p>
        </w:tc>
        <w:tc>
          <w:tcPr>
            <w:tcW w:w="1695" w:type="dxa"/>
            <w:tcBorders>
              <w:top w:val="single" w:color="auto" w:sz="4" w:space="0"/>
              <w:left w:val="single" w:color="auto" w:sz="4" w:space="0"/>
              <w:bottom w:val="single" w:color="auto" w:sz="4" w:space="0"/>
              <w:right w:val="single" w:color="auto" w:sz="4" w:space="0"/>
            </w:tcBorders>
            <w:noWrap w:val="0"/>
            <w:vAlign w:val="center"/>
          </w:tcPr>
          <w:p w14:paraId="5C6C698E">
            <w:pPr>
              <w:snapToGrid w:val="0"/>
              <w:spacing w:before="50" w:after="50" w:line="440" w:lineRule="exact"/>
              <w:jc w:val="center"/>
              <w:rPr>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A2CBF3A">
            <w:pPr>
              <w:snapToGrid w:val="0"/>
              <w:spacing w:before="50" w:after="50" w:line="440" w:lineRule="exact"/>
              <w:jc w:val="center"/>
              <w:rPr>
                <w:color w:val="auto"/>
                <w:szCs w:val="21"/>
                <w:highlight w:val="none"/>
              </w:rPr>
            </w:pPr>
          </w:p>
        </w:tc>
      </w:tr>
    </w:tbl>
    <w:p w14:paraId="67BB46FA">
      <w:pPr>
        <w:snapToGrid w:val="0"/>
        <w:spacing w:before="50" w:after="50" w:line="440" w:lineRule="exact"/>
        <w:rPr>
          <w:color w:val="auto"/>
          <w:spacing w:val="20"/>
          <w:szCs w:val="21"/>
          <w:highlight w:val="none"/>
          <w:u w:val="single"/>
        </w:rPr>
      </w:pPr>
    </w:p>
    <w:p w14:paraId="0C7343E9">
      <w:pPr>
        <w:snapToGrid w:val="0"/>
        <w:spacing w:before="50" w:after="50" w:line="440" w:lineRule="exact"/>
        <w:rPr>
          <w:color w:val="auto"/>
          <w:szCs w:val="21"/>
          <w:highlight w:val="none"/>
        </w:rPr>
      </w:pPr>
      <w:bookmarkStart w:id="124" w:name="_Hlk89181513"/>
      <w:r>
        <w:rPr>
          <w:color w:val="auto"/>
          <w:szCs w:val="21"/>
          <w:highlight w:val="none"/>
        </w:rPr>
        <w:t>供应商</w:t>
      </w:r>
      <w:r>
        <w:rPr>
          <w:rFonts w:hint="eastAsia"/>
          <w:color w:val="auto"/>
          <w:szCs w:val="21"/>
          <w:highlight w:val="none"/>
        </w:rPr>
        <w:t>名称(电子签章</w:t>
      </w:r>
      <w:r>
        <w:rPr>
          <w:color w:val="auto"/>
          <w:szCs w:val="21"/>
          <w:highlight w:val="none"/>
        </w:rPr>
        <w:t>)</w:t>
      </w:r>
      <w:r>
        <w:rPr>
          <w:color w:val="auto"/>
          <w:spacing w:val="20"/>
          <w:szCs w:val="21"/>
          <w:highlight w:val="none"/>
        </w:rPr>
        <w:t>：</w:t>
      </w:r>
      <w:r>
        <w:rPr>
          <w:color w:val="auto"/>
          <w:spacing w:val="20"/>
          <w:szCs w:val="21"/>
          <w:highlight w:val="none"/>
          <w:u w:val="single"/>
        </w:rPr>
        <w:t xml:space="preserve">            </w:t>
      </w:r>
      <w:r>
        <w:rPr>
          <w:color w:val="auto"/>
          <w:spacing w:val="20"/>
          <w:szCs w:val="21"/>
          <w:highlight w:val="none"/>
        </w:rPr>
        <w:t xml:space="preserve">              日  期：</w:t>
      </w:r>
      <w:r>
        <w:rPr>
          <w:color w:val="auto"/>
          <w:spacing w:val="20"/>
          <w:szCs w:val="21"/>
          <w:highlight w:val="none"/>
          <w:u w:val="single"/>
        </w:rPr>
        <w:t xml:space="preserve">          </w:t>
      </w:r>
      <w:bookmarkEnd w:id="124"/>
    </w:p>
    <w:p w14:paraId="31A8C82D">
      <w:pPr>
        <w:rPr>
          <w:rFonts w:hint="eastAsia"/>
          <w:color w:val="auto"/>
          <w:szCs w:val="21"/>
          <w:highlight w:val="none"/>
        </w:rPr>
      </w:pPr>
    </w:p>
    <w:p w14:paraId="369C0619">
      <w:pPr>
        <w:rPr>
          <w:rFonts w:hint="eastAsia"/>
          <w:color w:val="auto"/>
          <w:szCs w:val="21"/>
          <w:highlight w:val="none"/>
        </w:rPr>
      </w:pPr>
      <w:bookmarkStart w:id="125" w:name="_Hlk19115689"/>
      <w:r>
        <w:rPr>
          <w:color w:val="auto"/>
          <w:szCs w:val="21"/>
          <w:highlight w:val="none"/>
        </w:rPr>
        <w:t>3．</w:t>
      </w:r>
      <w:r>
        <w:rPr>
          <w:rFonts w:hint="eastAsia"/>
          <w:color w:val="auto"/>
          <w:szCs w:val="21"/>
          <w:highlight w:val="none"/>
        </w:rPr>
        <w:t>响应货物或产品的质量保证说明</w:t>
      </w:r>
    </w:p>
    <w:p w14:paraId="3B0300BD">
      <w:pPr>
        <w:rPr>
          <w:rFonts w:hint="eastAsia"/>
          <w:color w:val="auto"/>
          <w:szCs w:val="21"/>
          <w:highlight w:val="none"/>
        </w:rPr>
      </w:pPr>
    </w:p>
    <w:p w14:paraId="27BAB2C8">
      <w:pPr>
        <w:rPr>
          <w:rFonts w:hint="eastAsia"/>
          <w:color w:val="auto"/>
          <w:szCs w:val="21"/>
          <w:highlight w:val="none"/>
        </w:rPr>
      </w:pPr>
    </w:p>
    <w:p w14:paraId="7D52D0E4">
      <w:pPr>
        <w:jc w:val="left"/>
        <w:rPr>
          <w:color w:val="auto"/>
          <w:szCs w:val="21"/>
          <w:highlight w:val="none"/>
        </w:rPr>
      </w:pPr>
      <w:r>
        <w:rPr>
          <w:rFonts w:hint="eastAsia"/>
          <w:color w:val="auto"/>
          <w:szCs w:val="21"/>
          <w:highlight w:val="none"/>
        </w:rPr>
        <w:t>4</w:t>
      </w:r>
      <w:r>
        <w:rPr>
          <w:color w:val="auto"/>
          <w:szCs w:val="21"/>
          <w:highlight w:val="none"/>
        </w:rPr>
        <w:t>．质量保证期过后的优惠条件：供应商承诺给予采购人的各种优惠条件，包括</w:t>
      </w:r>
      <w:r>
        <w:rPr>
          <w:rFonts w:hint="eastAsia"/>
          <w:color w:val="auto"/>
          <w:szCs w:val="21"/>
          <w:highlight w:val="none"/>
        </w:rPr>
        <w:t>货物或产品的</w:t>
      </w:r>
      <w:r>
        <w:rPr>
          <w:color w:val="auto"/>
          <w:szCs w:val="21"/>
          <w:highlight w:val="none"/>
        </w:rPr>
        <w:t>售后服务、备品备件、专用耗材等方面的优惠条件。</w:t>
      </w:r>
    </w:p>
    <w:p w14:paraId="0E950FA1">
      <w:pPr>
        <w:jc w:val="center"/>
        <w:rPr>
          <w:color w:val="auto"/>
          <w:szCs w:val="21"/>
          <w:highlight w:val="none"/>
        </w:rPr>
      </w:pPr>
      <w:r>
        <w:rPr>
          <w:color w:val="auto"/>
          <w:szCs w:val="21"/>
          <w:highlight w:val="none"/>
        </w:rPr>
        <w:t>常用的、容易损坏的备品备件及易损件的优惠价格清单</w:t>
      </w:r>
    </w:p>
    <w:tbl>
      <w:tblPr>
        <w:tblStyle w:val="51"/>
        <w:tblW w:w="897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850"/>
        <w:gridCol w:w="3124"/>
        <w:gridCol w:w="2276"/>
        <w:gridCol w:w="1639"/>
        <w:gridCol w:w="1083"/>
      </w:tblGrid>
      <w:tr w14:paraId="3C1C22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12" w:hRule="atLeast"/>
        </w:trPr>
        <w:tc>
          <w:tcPr>
            <w:tcW w:w="850"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09B425AF">
            <w:pPr>
              <w:rPr>
                <w:color w:val="auto"/>
                <w:szCs w:val="21"/>
                <w:highlight w:val="none"/>
              </w:rPr>
            </w:pPr>
            <w:r>
              <w:rPr>
                <w:color w:val="auto"/>
                <w:szCs w:val="21"/>
                <w:highlight w:val="none"/>
              </w:rPr>
              <w:t>序号</w:t>
            </w:r>
          </w:p>
        </w:tc>
        <w:tc>
          <w:tcPr>
            <w:tcW w:w="3124" w:type="dxa"/>
            <w:tcBorders>
              <w:top w:val="single" w:color="auto" w:sz="4" w:space="0"/>
              <w:left w:val="single" w:color="auto" w:sz="4" w:space="0"/>
              <w:bottom w:val="single" w:color="auto" w:sz="2" w:space="0"/>
              <w:right w:val="single" w:color="auto" w:sz="4" w:space="0"/>
            </w:tcBorders>
            <w:noWrap w:val="0"/>
            <w:vAlign w:val="center"/>
          </w:tcPr>
          <w:p w14:paraId="05BF7C87">
            <w:pPr>
              <w:snapToGrid w:val="0"/>
              <w:spacing w:before="50" w:after="50" w:line="440" w:lineRule="exact"/>
              <w:jc w:val="center"/>
              <w:rPr>
                <w:color w:val="auto"/>
                <w:szCs w:val="21"/>
                <w:highlight w:val="none"/>
              </w:rPr>
            </w:pPr>
            <w:r>
              <w:rPr>
                <w:color w:val="auto"/>
                <w:szCs w:val="21"/>
                <w:highlight w:val="none"/>
              </w:rPr>
              <w:t>备品备件、专用耗材名称</w:t>
            </w:r>
          </w:p>
        </w:tc>
        <w:tc>
          <w:tcPr>
            <w:tcW w:w="2276" w:type="dxa"/>
            <w:tcBorders>
              <w:top w:val="single" w:color="auto" w:sz="4" w:space="0"/>
              <w:left w:val="single" w:color="auto" w:sz="4" w:space="0"/>
              <w:bottom w:val="single" w:color="auto" w:sz="2" w:space="0"/>
              <w:right w:val="single" w:color="auto" w:sz="4" w:space="0"/>
            </w:tcBorders>
            <w:noWrap w:val="0"/>
            <w:vAlign w:val="center"/>
          </w:tcPr>
          <w:p w14:paraId="1FB184E7">
            <w:pPr>
              <w:jc w:val="center"/>
              <w:rPr>
                <w:color w:val="auto"/>
                <w:szCs w:val="21"/>
                <w:highlight w:val="none"/>
              </w:rPr>
            </w:pPr>
            <w:r>
              <w:rPr>
                <w:color w:val="auto"/>
                <w:szCs w:val="21"/>
                <w:highlight w:val="none"/>
              </w:rPr>
              <w:t>适用于</w:t>
            </w:r>
            <w:r>
              <w:rPr>
                <w:rFonts w:hint="eastAsia"/>
                <w:color w:val="auto"/>
                <w:szCs w:val="21"/>
                <w:highlight w:val="none"/>
              </w:rPr>
              <w:t>何种响应货物（产品）名称及规格型号</w:t>
            </w:r>
          </w:p>
        </w:tc>
        <w:tc>
          <w:tcPr>
            <w:tcW w:w="1639" w:type="dxa"/>
            <w:tcBorders>
              <w:top w:val="single" w:color="auto" w:sz="4" w:space="0"/>
              <w:left w:val="single" w:color="auto" w:sz="4" w:space="0"/>
              <w:bottom w:val="single" w:color="auto" w:sz="2" w:space="0"/>
              <w:right w:val="single" w:color="auto" w:sz="4" w:space="0"/>
            </w:tcBorders>
            <w:noWrap w:val="0"/>
            <w:vAlign w:val="center"/>
          </w:tcPr>
          <w:p w14:paraId="7BDD16B7">
            <w:pPr>
              <w:jc w:val="center"/>
              <w:rPr>
                <w:color w:val="auto"/>
                <w:szCs w:val="21"/>
                <w:highlight w:val="none"/>
              </w:rPr>
            </w:pPr>
            <w:r>
              <w:rPr>
                <w:color w:val="auto"/>
                <w:szCs w:val="21"/>
                <w:highlight w:val="none"/>
              </w:rPr>
              <w:t>优惠内容</w:t>
            </w:r>
          </w:p>
        </w:tc>
        <w:tc>
          <w:tcPr>
            <w:tcW w:w="1083" w:type="dxa"/>
            <w:tcBorders>
              <w:top w:val="single" w:color="auto" w:sz="4" w:space="0"/>
              <w:left w:val="single" w:color="auto" w:sz="4" w:space="0"/>
              <w:bottom w:val="single" w:color="auto" w:sz="2" w:space="0"/>
              <w:right w:val="single" w:color="auto" w:sz="4" w:space="0"/>
            </w:tcBorders>
            <w:noWrap w:val="0"/>
            <w:tcMar>
              <w:top w:w="15" w:type="dxa"/>
              <w:left w:w="15" w:type="dxa"/>
              <w:bottom w:w="0" w:type="dxa"/>
              <w:right w:w="15" w:type="dxa"/>
            </w:tcMar>
            <w:vAlign w:val="center"/>
          </w:tcPr>
          <w:p w14:paraId="41C8AC14">
            <w:pPr>
              <w:jc w:val="center"/>
              <w:rPr>
                <w:color w:val="auto"/>
                <w:szCs w:val="21"/>
                <w:highlight w:val="none"/>
              </w:rPr>
            </w:pPr>
            <w:r>
              <w:rPr>
                <w:color w:val="auto"/>
                <w:szCs w:val="21"/>
                <w:highlight w:val="none"/>
              </w:rPr>
              <w:t>优惠单价</w:t>
            </w:r>
          </w:p>
        </w:tc>
      </w:tr>
      <w:tr w14:paraId="143ED8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90" w:hRule="atLeast"/>
        </w:trPr>
        <w:tc>
          <w:tcPr>
            <w:tcW w:w="850"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14:paraId="06EBB321">
            <w:pPr>
              <w:jc w:val="center"/>
              <w:rPr>
                <w:color w:val="auto"/>
                <w:szCs w:val="21"/>
                <w:highlight w:val="none"/>
              </w:rPr>
            </w:pPr>
            <w:r>
              <w:rPr>
                <w:color w:val="auto"/>
                <w:szCs w:val="21"/>
                <w:highlight w:val="none"/>
              </w:rPr>
              <w:t>1</w:t>
            </w:r>
          </w:p>
        </w:tc>
        <w:tc>
          <w:tcPr>
            <w:tcW w:w="3124" w:type="dxa"/>
            <w:tcBorders>
              <w:top w:val="single" w:color="auto" w:sz="2" w:space="0"/>
              <w:left w:val="single" w:color="auto" w:sz="2" w:space="0"/>
              <w:bottom w:val="single" w:color="auto" w:sz="6" w:space="0"/>
              <w:right w:val="single" w:color="auto" w:sz="4" w:space="0"/>
            </w:tcBorders>
            <w:noWrap w:val="0"/>
            <w:vAlign w:val="center"/>
          </w:tcPr>
          <w:p w14:paraId="4E8FB296">
            <w:pPr>
              <w:rPr>
                <w:color w:val="auto"/>
                <w:szCs w:val="21"/>
                <w:highlight w:val="none"/>
              </w:rPr>
            </w:pPr>
          </w:p>
        </w:tc>
        <w:tc>
          <w:tcPr>
            <w:tcW w:w="2276" w:type="dxa"/>
            <w:tcBorders>
              <w:top w:val="single" w:color="auto" w:sz="2" w:space="0"/>
              <w:left w:val="single" w:color="auto" w:sz="4" w:space="0"/>
              <w:bottom w:val="single" w:color="auto" w:sz="6" w:space="0"/>
              <w:right w:val="single" w:color="auto" w:sz="6" w:space="0"/>
            </w:tcBorders>
            <w:noWrap w:val="0"/>
            <w:vAlign w:val="center"/>
          </w:tcPr>
          <w:p w14:paraId="3F67517D">
            <w:pPr>
              <w:rPr>
                <w:color w:val="auto"/>
                <w:szCs w:val="21"/>
                <w:highlight w:val="none"/>
              </w:rPr>
            </w:pPr>
          </w:p>
        </w:tc>
        <w:tc>
          <w:tcPr>
            <w:tcW w:w="1639" w:type="dxa"/>
            <w:tcBorders>
              <w:top w:val="single" w:color="auto" w:sz="2" w:space="0"/>
              <w:left w:val="single" w:color="auto" w:sz="6" w:space="0"/>
              <w:bottom w:val="single" w:color="auto" w:sz="6" w:space="0"/>
              <w:right w:val="single" w:color="auto" w:sz="6" w:space="0"/>
            </w:tcBorders>
            <w:noWrap w:val="0"/>
            <w:vAlign w:val="top"/>
          </w:tcPr>
          <w:p w14:paraId="74CD70D0">
            <w:pPr>
              <w:rPr>
                <w:color w:val="auto"/>
                <w:szCs w:val="21"/>
                <w:highlight w:val="none"/>
              </w:rPr>
            </w:pPr>
          </w:p>
        </w:tc>
        <w:tc>
          <w:tcPr>
            <w:tcW w:w="1083" w:type="dxa"/>
            <w:tcBorders>
              <w:top w:val="single" w:color="auto" w:sz="2"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14:paraId="2B1155FC">
            <w:pPr>
              <w:rPr>
                <w:color w:val="auto"/>
                <w:szCs w:val="21"/>
                <w:highlight w:val="none"/>
              </w:rPr>
            </w:pPr>
          </w:p>
        </w:tc>
      </w:tr>
      <w:tr w14:paraId="1EFD59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90" w:hRule="atLeast"/>
        </w:trPr>
        <w:tc>
          <w:tcPr>
            <w:tcW w:w="850"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14:paraId="5DB011CA">
            <w:pPr>
              <w:jc w:val="center"/>
              <w:rPr>
                <w:color w:val="auto"/>
                <w:szCs w:val="21"/>
                <w:highlight w:val="none"/>
              </w:rPr>
            </w:pPr>
            <w:r>
              <w:rPr>
                <w:color w:val="auto"/>
                <w:szCs w:val="21"/>
                <w:highlight w:val="none"/>
              </w:rPr>
              <w:t>2</w:t>
            </w:r>
          </w:p>
        </w:tc>
        <w:tc>
          <w:tcPr>
            <w:tcW w:w="3124" w:type="dxa"/>
            <w:tcBorders>
              <w:top w:val="single" w:color="auto" w:sz="6" w:space="0"/>
              <w:left w:val="single" w:color="auto" w:sz="2" w:space="0"/>
              <w:bottom w:val="single" w:color="auto" w:sz="6" w:space="0"/>
              <w:right w:val="single" w:color="auto" w:sz="4" w:space="0"/>
            </w:tcBorders>
            <w:noWrap w:val="0"/>
            <w:vAlign w:val="center"/>
          </w:tcPr>
          <w:p w14:paraId="21DE736D">
            <w:pPr>
              <w:rPr>
                <w:color w:val="auto"/>
                <w:szCs w:val="21"/>
                <w:highlight w:val="none"/>
              </w:rPr>
            </w:pPr>
          </w:p>
        </w:tc>
        <w:tc>
          <w:tcPr>
            <w:tcW w:w="2276" w:type="dxa"/>
            <w:tcBorders>
              <w:top w:val="single" w:color="auto" w:sz="6" w:space="0"/>
              <w:left w:val="single" w:color="auto" w:sz="4" w:space="0"/>
              <w:bottom w:val="single" w:color="auto" w:sz="6" w:space="0"/>
              <w:right w:val="single" w:color="auto" w:sz="6" w:space="0"/>
            </w:tcBorders>
            <w:noWrap w:val="0"/>
            <w:vAlign w:val="center"/>
          </w:tcPr>
          <w:p w14:paraId="1816A70A">
            <w:pPr>
              <w:rPr>
                <w:color w:val="auto"/>
                <w:szCs w:val="21"/>
                <w:highlight w:val="none"/>
              </w:rPr>
            </w:pPr>
          </w:p>
        </w:tc>
        <w:tc>
          <w:tcPr>
            <w:tcW w:w="1639" w:type="dxa"/>
            <w:tcBorders>
              <w:top w:val="single" w:color="auto" w:sz="6" w:space="0"/>
              <w:left w:val="single" w:color="auto" w:sz="6" w:space="0"/>
              <w:bottom w:val="single" w:color="auto" w:sz="6" w:space="0"/>
              <w:right w:val="single" w:color="auto" w:sz="6" w:space="0"/>
            </w:tcBorders>
            <w:noWrap w:val="0"/>
            <w:vAlign w:val="top"/>
          </w:tcPr>
          <w:p w14:paraId="2AFDFD96">
            <w:pPr>
              <w:rPr>
                <w:color w:val="auto"/>
                <w:szCs w:val="21"/>
                <w:highlight w:val="none"/>
              </w:rPr>
            </w:pPr>
          </w:p>
        </w:tc>
        <w:tc>
          <w:tcPr>
            <w:tcW w:w="1083" w:type="dxa"/>
            <w:tcBorders>
              <w:top w:val="single" w:color="auto" w:sz="6"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14:paraId="599059E9">
            <w:pPr>
              <w:rPr>
                <w:color w:val="auto"/>
                <w:szCs w:val="21"/>
                <w:highlight w:val="none"/>
              </w:rPr>
            </w:pPr>
          </w:p>
        </w:tc>
      </w:tr>
      <w:tr w14:paraId="697F18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90" w:hRule="atLeast"/>
        </w:trPr>
        <w:tc>
          <w:tcPr>
            <w:tcW w:w="850"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14:paraId="7938DF6F">
            <w:pPr>
              <w:jc w:val="center"/>
              <w:rPr>
                <w:color w:val="auto"/>
                <w:szCs w:val="21"/>
                <w:highlight w:val="none"/>
              </w:rPr>
            </w:pPr>
            <w:r>
              <w:rPr>
                <w:color w:val="auto"/>
                <w:szCs w:val="21"/>
                <w:highlight w:val="none"/>
              </w:rPr>
              <w:t>3</w:t>
            </w:r>
          </w:p>
        </w:tc>
        <w:tc>
          <w:tcPr>
            <w:tcW w:w="3124" w:type="dxa"/>
            <w:tcBorders>
              <w:top w:val="single" w:color="auto" w:sz="6" w:space="0"/>
              <w:left w:val="single" w:color="auto" w:sz="2" w:space="0"/>
              <w:bottom w:val="single" w:color="auto" w:sz="6" w:space="0"/>
              <w:right w:val="single" w:color="auto" w:sz="4" w:space="0"/>
            </w:tcBorders>
            <w:noWrap w:val="0"/>
            <w:vAlign w:val="center"/>
          </w:tcPr>
          <w:p w14:paraId="459537D2">
            <w:pPr>
              <w:rPr>
                <w:color w:val="auto"/>
                <w:szCs w:val="21"/>
                <w:highlight w:val="none"/>
              </w:rPr>
            </w:pPr>
          </w:p>
        </w:tc>
        <w:tc>
          <w:tcPr>
            <w:tcW w:w="2276" w:type="dxa"/>
            <w:tcBorders>
              <w:top w:val="single" w:color="auto" w:sz="6" w:space="0"/>
              <w:left w:val="single" w:color="auto" w:sz="4" w:space="0"/>
              <w:bottom w:val="single" w:color="auto" w:sz="6" w:space="0"/>
              <w:right w:val="single" w:color="auto" w:sz="6" w:space="0"/>
            </w:tcBorders>
            <w:noWrap w:val="0"/>
            <w:vAlign w:val="center"/>
          </w:tcPr>
          <w:p w14:paraId="69CE6828">
            <w:pPr>
              <w:rPr>
                <w:color w:val="auto"/>
                <w:szCs w:val="21"/>
                <w:highlight w:val="none"/>
              </w:rPr>
            </w:pPr>
          </w:p>
        </w:tc>
        <w:tc>
          <w:tcPr>
            <w:tcW w:w="1639" w:type="dxa"/>
            <w:tcBorders>
              <w:top w:val="single" w:color="auto" w:sz="6" w:space="0"/>
              <w:left w:val="single" w:color="auto" w:sz="6" w:space="0"/>
              <w:bottom w:val="single" w:color="auto" w:sz="6" w:space="0"/>
              <w:right w:val="single" w:color="auto" w:sz="6" w:space="0"/>
            </w:tcBorders>
            <w:noWrap w:val="0"/>
            <w:vAlign w:val="top"/>
          </w:tcPr>
          <w:p w14:paraId="2027DAC7">
            <w:pPr>
              <w:rPr>
                <w:color w:val="auto"/>
                <w:szCs w:val="21"/>
                <w:highlight w:val="none"/>
              </w:rPr>
            </w:pPr>
          </w:p>
        </w:tc>
        <w:tc>
          <w:tcPr>
            <w:tcW w:w="1083" w:type="dxa"/>
            <w:tcBorders>
              <w:top w:val="single" w:color="auto" w:sz="6"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14:paraId="47774962">
            <w:pPr>
              <w:rPr>
                <w:color w:val="auto"/>
                <w:szCs w:val="21"/>
                <w:highlight w:val="none"/>
              </w:rPr>
            </w:pPr>
          </w:p>
        </w:tc>
      </w:tr>
    </w:tbl>
    <w:p w14:paraId="2EDAC4EC">
      <w:pPr>
        <w:rPr>
          <w:color w:val="auto"/>
          <w:szCs w:val="21"/>
          <w:highlight w:val="none"/>
        </w:rPr>
      </w:pPr>
    </w:p>
    <w:p w14:paraId="446E6019">
      <w:pPr>
        <w:rPr>
          <w:rFonts w:hint="eastAsia"/>
          <w:color w:val="auto"/>
          <w:spacing w:val="20"/>
          <w:szCs w:val="21"/>
          <w:highlight w:val="none"/>
          <w:u w:val="single"/>
        </w:rPr>
      </w:pPr>
    </w:p>
    <w:p w14:paraId="16A7B5F7">
      <w:pPr>
        <w:rPr>
          <w:color w:val="auto"/>
          <w:szCs w:val="21"/>
          <w:highlight w:val="none"/>
        </w:rPr>
      </w:pPr>
      <w:bookmarkStart w:id="126" w:name="_Hlk89181539"/>
      <w:r>
        <w:rPr>
          <w:color w:val="auto"/>
          <w:szCs w:val="21"/>
          <w:highlight w:val="none"/>
        </w:rPr>
        <w:t>供应商</w:t>
      </w:r>
      <w:r>
        <w:rPr>
          <w:rFonts w:hint="eastAsia"/>
          <w:color w:val="auto"/>
          <w:szCs w:val="21"/>
          <w:highlight w:val="none"/>
        </w:rPr>
        <w:t>名称(电子签章</w:t>
      </w:r>
      <w:r>
        <w:rPr>
          <w:color w:val="auto"/>
          <w:szCs w:val="21"/>
          <w:highlight w:val="none"/>
        </w:rPr>
        <w:t>)</w:t>
      </w:r>
      <w:r>
        <w:rPr>
          <w:color w:val="auto"/>
          <w:spacing w:val="20"/>
          <w:szCs w:val="21"/>
          <w:highlight w:val="none"/>
        </w:rPr>
        <w:t>：</w:t>
      </w:r>
      <w:r>
        <w:rPr>
          <w:color w:val="auto"/>
          <w:spacing w:val="20"/>
          <w:szCs w:val="21"/>
          <w:highlight w:val="none"/>
          <w:u w:val="single"/>
        </w:rPr>
        <w:t xml:space="preserve">            </w:t>
      </w:r>
      <w:r>
        <w:rPr>
          <w:color w:val="auto"/>
          <w:spacing w:val="20"/>
          <w:szCs w:val="21"/>
          <w:highlight w:val="none"/>
        </w:rPr>
        <w:t xml:space="preserve">            日 期：</w:t>
      </w:r>
      <w:r>
        <w:rPr>
          <w:color w:val="auto"/>
          <w:spacing w:val="20"/>
          <w:szCs w:val="21"/>
          <w:highlight w:val="none"/>
          <w:u w:val="single"/>
        </w:rPr>
        <w:t xml:space="preserve">            </w:t>
      </w:r>
    </w:p>
    <w:bookmarkEnd w:id="125"/>
    <w:bookmarkEnd w:id="126"/>
    <w:p w14:paraId="59C63AC1">
      <w:pPr>
        <w:snapToGrid w:val="0"/>
        <w:spacing w:before="50" w:after="120" w:afterLines="50" w:line="440" w:lineRule="exact"/>
        <w:jc w:val="left"/>
        <w:rPr>
          <w:rFonts w:hint="eastAsia"/>
          <w:color w:val="auto"/>
          <w:highlight w:val="none"/>
        </w:rPr>
      </w:pPr>
    </w:p>
    <w:p w14:paraId="6F2012ED">
      <w:pPr>
        <w:snapToGrid w:val="0"/>
        <w:spacing w:before="50" w:after="120" w:afterLines="50" w:line="440" w:lineRule="exact"/>
        <w:jc w:val="left"/>
        <w:rPr>
          <w:color w:val="auto"/>
          <w:szCs w:val="21"/>
          <w:highlight w:val="none"/>
        </w:rPr>
      </w:pPr>
      <w:r>
        <w:rPr>
          <w:color w:val="auto"/>
          <w:szCs w:val="21"/>
          <w:highlight w:val="none"/>
        </w:rPr>
        <w:t>5．</w:t>
      </w:r>
      <w:r>
        <w:rPr>
          <w:rFonts w:hint="eastAsia"/>
          <w:color w:val="auto"/>
          <w:szCs w:val="21"/>
          <w:highlight w:val="none"/>
        </w:rPr>
        <w:t>对</w:t>
      </w:r>
      <w:r>
        <w:rPr>
          <w:color w:val="auto"/>
          <w:szCs w:val="21"/>
          <w:highlight w:val="none"/>
        </w:rPr>
        <w:t>本项目第</w:t>
      </w:r>
      <w:r>
        <w:rPr>
          <w:rFonts w:hint="eastAsia"/>
          <w:color w:val="auto"/>
          <w:szCs w:val="21"/>
          <w:highlight w:val="none"/>
        </w:rPr>
        <w:t>二</w:t>
      </w:r>
      <w:r>
        <w:rPr>
          <w:color w:val="auto"/>
          <w:szCs w:val="21"/>
          <w:highlight w:val="none"/>
        </w:rPr>
        <w:t>章</w:t>
      </w:r>
      <w:r>
        <w:rPr>
          <w:rFonts w:hint="eastAsia"/>
          <w:color w:val="auto"/>
          <w:szCs w:val="21"/>
          <w:highlight w:val="none"/>
        </w:rPr>
        <w:t>《</w:t>
      </w:r>
      <w:r>
        <w:rPr>
          <w:color w:val="auto"/>
          <w:szCs w:val="21"/>
          <w:highlight w:val="none"/>
        </w:rPr>
        <w:t>采购需求</w:t>
      </w:r>
      <w:r>
        <w:rPr>
          <w:rFonts w:hint="eastAsia"/>
          <w:color w:val="auto"/>
          <w:szCs w:val="21"/>
          <w:highlight w:val="none"/>
        </w:rPr>
        <w:t>》</w:t>
      </w:r>
      <w:r>
        <w:rPr>
          <w:color w:val="auto"/>
          <w:szCs w:val="21"/>
          <w:highlight w:val="none"/>
        </w:rPr>
        <w:t>商务要求的</w:t>
      </w:r>
      <w:r>
        <w:rPr>
          <w:rFonts w:hint="eastAsia"/>
          <w:color w:val="auto"/>
          <w:szCs w:val="21"/>
          <w:highlight w:val="none"/>
        </w:rPr>
        <w:t>响应表</w:t>
      </w:r>
      <w:r>
        <w:rPr>
          <w:color w:val="auto"/>
          <w:szCs w:val="21"/>
          <w:highlight w:val="none"/>
        </w:rPr>
        <w:t>：</w:t>
      </w:r>
    </w:p>
    <w:tbl>
      <w:tblPr>
        <w:tblStyle w:val="5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6"/>
        <w:gridCol w:w="3595"/>
        <w:gridCol w:w="3405"/>
        <w:gridCol w:w="1082"/>
      </w:tblGrid>
      <w:tr w14:paraId="43D589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8" w:hRule="atLeast"/>
          <w:jc w:val="center"/>
        </w:trPr>
        <w:tc>
          <w:tcPr>
            <w:tcW w:w="746" w:type="dxa"/>
            <w:tcBorders>
              <w:top w:val="single" w:color="auto" w:sz="4" w:space="0"/>
              <w:left w:val="single" w:color="auto" w:sz="4" w:space="0"/>
              <w:bottom w:val="single" w:color="auto" w:sz="4" w:space="0"/>
              <w:right w:val="single" w:color="auto" w:sz="4" w:space="0"/>
            </w:tcBorders>
            <w:noWrap w:val="0"/>
            <w:vAlign w:val="center"/>
          </w:tcPr>
          <w:p w14:paraId="0D6CE51C">
            <w:pPr>
              <w:snapToGrid w:val="0"/>
              <w:spacing w:before="120" w:beforeLines="50"/>
              <w:jc w:val="center"/>
              <w:rPr>
                <w:color w:val="auto"/>
                <w:szCs w:val="21"/>
                <w:highlight w:val="none"/>
              </w:rPr>
            </w:pPr>
            <w:r>
              <w:rPr>
                <w:color w:val="auto"/>
                <w:szCs w:val="21"/>
                <w:highlight w:val="none"/>
              </w:rPr>
              <w:t>序号</w:t>
            </w:r>
          </w:p>
        </w:tc>
        <w:tc>
          <w:tcPr>
            <w:tcW w:w="3595" w:type="dxa"/>
            <w:tcBorders>
              <w:top w:val="single" w:color="auto" w:sz="4" w:space="0"/>
              <w:left w:val="single" w:color="auto" w:sz="4" w:space="0"/>
              <w:bottom w:val="single" w:color="auto" w:sz="4" w:space="0"/>
              <w:right w:val="single" w:color="auto" w:sz="4" w:space="0"/>
            </w:tcBorders>
            <w:noWrap w:val="0"/>
            <w:vAlign w:val="center"/>
          </w:tcPr>
          <w:p w14:paraId="589B9982">
            <w:pPr>
              <w:snapToGrid w:val="0"/>
              <w:spacing w:before="120" w:beforeLines="50"/>
              <w:jc w:val="center"/>
              <w:rPr>
                <w:color w:val="auto"/>
                <w:szCs w:val="21"/>
                <w:highlight w:val="none"/>
              </w:rPr>
            </w:pPr>
            <w:r>
              <w:rPr>
                <w:rFonts w:hint="eastAsia"/>
                <w:color w:val="auto"/>
                <w:szCs w:val="21"/>
                <w:highlight w:val="none"/>
              </w:rPr>
              <w:t>采购文件</w:t>
            </w:r>
            <w:r>
              <w:rPr>
                <w:color w:val="auto"/>
                <w:szCs w:val="21"/>
                <w:highlight w:val="none"/>
              </w:rPr>
              <w:t>要求（注明章节及条款号）</w:t>
            </w:r>
          </w:p>
        </w:tc>
        <w:tc>
          <w:tcPr>
            <w:tcW w:w="3405" w:type="dxa"/>
            <w:tcBorders>
              <w:top w:val="single" w:color="auto" w:sz="4" w:space="0"/>
              <w:left w:val="single" w:color="auto" w:sz="4" w:space="0"/>
              <w:bottom w:val="single" w:color="auto" w:sz="4" w:space="0"/>
              <w:right w:val="single" w:color="auto" w:sz="4" w:space="0"/>
            </w:tcBorders>
            <w:noWrap w:val="0"/>
            <w:vAlign w:val="center"/>
          </w:tcPr>
          <w:p w14:paraId="6C3D98FB">
            <w:pPr>
              <w:snapToGrid w:val="0"/>
              <w:spacing w:before="120" w:beforeLines="50"/>
              <w:jc w:val="center"/>
              <w:rPr>
                <w:color w:val="auto"/>
                <w:szCs w:val="21"/>
                <w:highlight w:val="none"/>
              </w:rPr>
            </w:pPr>
            <w:r>
              <w:rPr>
                <w:color w:val="auto"/>
                <w:szCs w:val="21"/>
                <w:highlight w:val="none"/>
              </w:rPr>
              <w:t>响应文件响应内容</w:t>
            </w:r>
          </w:p>
        </w:tc>
        <w:tc>
          <w:tcPr>
            <w:tcW w:w="1082" w:type="dxa"/>
            <w:tcBorders>
              <w:top w:val="single" w:color="auto" w:sz="4" w:space="0"/>
              <w:left w:val="single" w:color="auto" w:sz="4" w:space="0"/>
              <w:bottom w:val="single" w:color="auto" w:sz="4" w:space="0"/>
              <w:right w:val="single" w:color="auto" w:sz="4" w:space="0"/>
            </w:tcBorders>
            <w:noWrap w:val="0"/>
            <w:vAlign w:val="center"/>
          </w:tcPr>
          <w:p w14:paraId="3CBCCE0B">
            <w:pPr>
              <w:snapToGrid w:val="0"/>
              <w:spacing w:before="120" w:beforeLines="50"/>
              <w:jc w:val="center"/>
              <w:rPr>
                <w:color w:val="auto"/>
                <w:szCs w:val="21"/>
                <w:highlight w:val="none"/>
              </w:rPr>
            </w:pPr>
            <w:r>
              <w:rPr>
                <w:color w:val="auto"/>
                <w:highlight w:val="none"/>
              </w:rPr>
              <w:t>偏离</w:t>
            </w:r>
            <w:r>
              <w:rPr>
                <w:color w:val="auto"/>
                <w:szCs w:val="21"/>
                <w:highlight w:val="none"/>
              </w:rPr>
              <w:t>说明</w:t>
            </w:r>
          </w:p>
        </w:tc>
      </w:tr>
      <w:tr w14:paraId="448D98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noWrap w:val="0"/>
            <w:vAlign w:val="center"/>
          </w:tcPr>
          <w:p w14:paraId="76EDDB11">
            <w:pPr>
              <w:snapToGrid w:val="0"/>
              <w:spacing w:before="120" w:beforeLines="50"/>
              <w:jc w:val="center"/>
              <w:rPr>
                <w:color w:val="auto"/>
                <w:szCs w:val="21"/>
                <w:highlight w:val="none"/>
              </w:rPr>
            </w:pPr>
          </w:p>
        </w:tc>
        <w:tc>
          <w:tcPr>
            <w:tcW w:w="3595" w:type="dxa"/>
            <w:tcBorders>
              <w:top w:val="single" w:color="auto" w:sz="4" w:space="0"/>
              <w:left w:val="single" w:color="auto" w:sz="4" w:space="0"/>
              <w:bottom w:val="single" w:color="auto" w:sz="4" w:space="0"/>
              <w:right w:val="single" w:color="auto" w:sz="4" w:space="0"/>
            </w:tcBorders>
            <w:noWrap w:val="0"/>
            <w:vAlign w:val="center"/>
          </w:tcPr>
          <w:p w14:paraId="10855005">
            <w:pPr>
              <w:snapToGrid w:val="0"/>
              <w:spacing w:before="120" w:beforeLines="50"/>
              <w:jc w:val="center"/>
              <w:rPr>
                <w:color w:val="auto"/>
                <w:szCs w:val="21"/>
                <w:highlight w:val="none"/>
              </w:rPr>
            </w:pPr>
          </w:p>
        </w:tc>
        <w:tc>
          <w:tcPr>
            <w:tcW w:w="3405" w:type="dxa"/>
            <w:tcBorders>
              <w:top w:val="single" w:color="auto" w:sz="4" w:space="0"/>
              <w:left w:val="single" w:color="auto" w:sz="4" w:space="0"/>
              <w:bottom w:val="single" w:color="auto" w:sz="4" w:space="0"/>
              <w:right w:val="single" w:color="auto" w:sz="4" w:space="0"/>
            </w:tcBorders>
            <w:noWrap w:val="0"/>
            <w:vAlign w:val="center"/>
          </w:tcPr>
          <w:p w14:paraId="48C48E8F">
            <w:pPr>
              <w:snapToGrid w:val="0"/>
              <w:spacing w:before="120" w:beforeLines="50"/>
              <w:jc w:val="center"/>
              <w:rPr>
                <w:color w:val="auto"/>
                <w:szCs w:val="21"/>
                <w:highlight w:val="none"/>
              </w:rPr>
            </w:pPr>
          </w:p>
        </w:tc>
        <w:tc>
          <w:tcPr>
            <w:tcW w:w="1082" w:type="dxa"/>
            <w:tcBorders>
              <w:top w:val="single" w:color="auto" w:sz="4" w:space="0"/>
              <w:left w:val="single" w:color="auto" w:sz="4" w:space="0"/>
              <w:bottom w:val="single" w:color="auto" w:sz="4" w:space="0"/>
              <w:right w:val="single" w:color="auto" w:sz="4" w:space="0"/>
            </w:tcBorders>
            <w:noWrap w:val="0"/>
            <w:vAlign w:val="center"/>
          </w:tcPr>
          <w:p w14:paraId="3D645066">
            <w:pPr>
              <w:snapToGrid w:val="0"/>
              <w:spacing w:before="120" w:beforeLines="50"/>
              <w:jc w:val="center"/>
              <w:rPr>
                <w:color w:val="auto"/>
                <w:szCs w:val="21"/>
                <w:highlight w:val="none"/>
              </w:rPr>
            </w:pPr>
          </w:p>
        </w:tc>
      </w:tr>
      <w:tr w14:paraId="42190B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noWrap w:val="0"/>
            <w:vAlign w:val="center"/>
          </w:tcPr>
          <w:p w14:paraId="1CE1979C">
            <w:pPr>
              <w:snapToGrid w:val="0"/>
              <w:spacing w:before="120" w:beforeLines="50"/>
              <w:jc w:val="center"/>
              <w:rPr>
                <w:color w:val="auto"/>
                <w:szCs w:val="21"/>
                <w:highlight w:val="none"/>
              </w:rPr>
            </w:pPr>
            <w:r>
              <w:rPr>
                <w:color w:val="auto"/>
                <w:szCs w:val="21"/>
                <w:highlight w:val="none"/>
              </w:rPr>
              <w:t>……</w:t>
            </w:r>
          </w:p>
        </w:tc>
        <w:tc>
          <w:tcPr>
            <w:tcW w:w="3595" w:type="dxa"/>
            <w:tcBorders>
              <w:top w:val="single" w:color="auto" w:sz="4" w:space="0"/>
              <w:left w:val="single" w:color="auto" w:sz="4" w:space="0"/>
              <w:bottom w:val="single" w:color="auto" w:sz="4" w:space="0"/>
              <w:right w:val="single" w:color="auto" w:sz="4" w:space="0"/>
            </w:tcBorders>
            <w:noWrap w:val="0"/>
            <w:vAlign w:val="center"/>
          </w:tcPr>
          <w:p w14:paraId="49151B7C">
            <w:pPr>
              <w:snapToGrid w:val="0"/>
              <w:spacing w:before="120" w:beforeLines="50"/>
              <w:jc w:val="center"/>
              <w:rPr>
                <w:color w:val="auto"/>
                <w:szCs w:val="21"/>
                <w:highlight w:val="none"/>
              </w:rPr>
            </w:pPr>
          </w:p>
        </w:tc>
        <w:tc>
          <w:tcPr>
            <w:tcW w:w="3405" w:type="dxa"/>
            <w:tcBorders>
              <w:top w:val="single" w:color="auto" w:sz="4" w:space="0"/>
              <w:left w:val="single" w:color="auto" w:sz="4" w:space="0"/>
              <w:bottom w:val="single" w:color="auto" w:sz="4" w:space="0"/>
              <w:right w:val="single" w:color="auto" w:sz="4" w:space="0"/>
            </w:tcBorders>
            <w:noWrap w:val="0"/>
            <w:vAlign w:val="center"/>
          </w:tcPr>
          <w:p w14:paraId="7B20AFAA">
            <w:pPr>
              <w:snapToGrid w:val="0"/>
              <w:spacing w:before="120" w:beforeLines="50"/>
              <w:jc w:val="center"/>
              <w:rPr>
                <w:color w:val="auto"/>
                <w:szCs w:val="21"/>
                <w:highlight w:val="none"/>
              </w:rPr>
            </w:pPr>
          </w:p>
        </w:tc>
        <w:tc>
          <w:tcPr>
            <w:tcW w:w="1082" w:type="dxa"/>
            <w:tcBorders>
              <w:top w:val="single" w:color="auto" w:sz="4" w:space="0"/>
              <w:left w:val="single" w:color="auto" w:sz="4" w:space="0"/>
              <w:bottom w:val="single" w:color="auto" w:sz="4" w:space="0"/>
              <w:right w:val="single" w:color="auto" w:sz="4" w:space="0"/>
            </w:tcBorders>
            <w:noWrap w:val="0"/>
            <w:vAlign w:val="center"/>
          </w:tcPr>
          <w:p w14:paraId="14829A46">
            <w:pPr>
              <w:snapToGrid w:val="0"/>
              <w:spacing w:before="120" w:beforeLines="50"/>
              <w:jc w:val="center"/>
              <w:rPr>
                <w:color w:val="auto"/>
                <w:szCs w:val="21"/>
                <w:highlight w:val="none"/>
              </w:rPr>
            </w:pPr>
          </w:p>
        </w:tc>
      </w:tr>
      <w:bookmarkEnd w:id="123"/>
    </w:tbl>
    <w:p w14:paraId="6AF528DE">
      <w:pPr>
        <w:pStyle w:val="26"/>
        <w:tabs>
          <w:tab w:val="left" w:pos="2127"/>
        </w:tabs>
        <w:spacing w:line="340" w:lineRule="exact"/>
        <w:ind w:firstLine="420" w:firstLineChars="200"/>
        <w:jc w:val="left"/>
        <w:rPr>
          <w:rFonts w:ascii="Times New Roman" w:hAnsi="Times New Roman" w:cs="Times New Roman"/>
          <w:color w:val="auto"/>
          <w:highlight w:val="none"/>
        </w:rPr>
      </w:pPr>
      <w:bookmarkStart w:id="127" w:name="_Hlk48144603"/>
      <w:bookmarkStart w:id="128" w:name="_Hlk89181571"/>
      <w:r>
        <w:rPr>
          <w:rFonts w:ascii="Times New Roman" w:hAnsi="Times New Roman" w:cs="Times New Roman"/>
          <w:color w:val="auto"/>
          <w:highlight w:val="none"/>
        </w:rPr>
        <w:t>注：</w:t>
      </w:r>
      <w:bookmarkStart w:id="129" w:name="_Hlk19049081"/>
      <w:r>
        <w:rPr>
          <w:rFonts w:ascii="Times New Roman" w:hAnsi="Times New Roman" w:cs="Times New Roman"/>
          <w:color w:val="auto"/>
          <w:highlight w:val="none"/>
        </w:rPr>
        <w:t>（1）本表应对采购文件</w:t>
      </w:r>
      <w:r>
        <w:rPr>
          <w:color w:val="auto"/>
          <w:highlight w:val="none"/>
        </w:rPr>
        <w:t>第</w:t>
      </w:r>
      <w:r>
        <w:rPr>
          <w:rFonts w:hint="eastAsia"/>
          <w:color w:val="auto"/>
          <w:highlight w:val="none"/>
        </w:rPr>
        <w:t>二</w:t>
      </w:r>
      <w:r>
        <w:rPr>
          <w:color w:val="auto"/>
          <w:highlight w:val="none"/>
        </w:rPr>
        <w:t>章</w:t>
      </w:r>
      <w:r>
        <w:rPr>
          <w:rFonts w:hint="eastAsia"/>
          <w:color w:val="auto"/>
          <w:highlight w:val="none"/>
        </w:rPr>
        <w:t>《采购需求》</w:t>
      </w:r>
      <w:r>
        <w:rPr>
          <w:rFonts w:ascii="Times New Roman" w:hAnsi="Times New Roman" w:cs="Times New Roman"/>
          <w:color w:val="auto"/>
          <w:highlight w:val="none"/>
        </w:rPr>
        <w:t>中所列商务要求进行响应，并根据响应情况在“偏离说明”栏填写正偏离或负偏离及原因，完全符合的填写</w:t>
      </w:r>
      <w:r>
        <w:rPr>
          <w:rFonts w:hint="eastAsia" w:ascii="Times New Roman" w:hAnsi="Times New Roman" w:cs="Times New Roman"/>
          <w:color w:val="auto"/>
          <w:highlight w:val="none"/>
        </w:rPr>
        <w:t>“</w:t>
      </w:r>
      <w:r>
        <w:rPr>
          <w:rFonts w:ascii="Times New Roman" w:hAnsi="Times New Roman" w:cs="Times New Roman"/>
          <w:color w:val="auto"/>
          <w:highlight w:val="none"/>
        </w:rPr>
        <w:t>无偏离</w:t>
      </w:r>
      <w:r>
        <w:rPr>
          <w:rFonts w:hint="eastAsia" w:ascii="Times New Roman" w:hAnsi="Times New Roman" w:cs="Times New Roman"/>
          <w:color w:val="auto"/>
          <w:highlight w:val="none"/>
        </w:rPr>
        <w:t>”</w:t>
      </w:r>
      <w:r>
        <w:rPr>
          <w:rFonts w:ascii="Times New Roman" w:hAnsi="Times New Roman" w:cs="Times New Roman"/>
          <w:color w:val="auto"/>
          <w:highlight w:val="none"/>
        </w:rPr>
        <w:t>。</w:t>
      </w:r>
    </w:p>
    <w:p w14:paraId="69B06370">
      <w:pPr>
        <w:pStyle w:val="26"/>
        <w:tabs>
          <w:tab w:val="left" w:pos="2127"/>
        </w:tabs>
        <w:spacing w:line="340" w:lineRule="exact"/>
        <w:ind w:firstLine="420" w:firstLineChars="200"/>
        <w:jc w:val="left"/>
        <w:rPr>
          <w:rFonts w:ascii="Times New Roman" w:hAnsi="Times New Roman" w:cs="Times New Roman"/>
          <w:color w:val="auto"/>
          <w:highlight w:val="none"/>
        </w:rPr>
      </w:pPr>
      <w:r>
        <w:rPr>
          <w:rFonts w:hint="eastAsia" w:ascii="Times New Roman" w:hAnsi="Times New Roman" w:cs="Times New Roman"/>
          <w:color w:val="auto"/>
          <w:highlight w:val="none"/>
        </w:rPr>
        <w:t>（2）</w:t>
      </w:r>
      <w:r>
        <w:rPr>
          <w:color w:val="auto"/>
          <w:highlight w:val="none"/>
        </w:rPr>
        <w:t>第</w:t>
      </w:r>
      <w:r>
        <w:rPr>
          <w:rFonts w:hint="eastAsia"/>
          <w:color w:val="auto"/>
          <w:highlight w:val="none"/>
        </w:rPr>
        <w:t>二</w:t>
      </w:r>
      <w:r>
        <w:rPr>
          <w:color w:val="auto"/>
          <w:highlight w:val="none"/>
        </w:rPr>
        <w:t>章</w:t>
      </w:r>
      <w:r>
        <w:rPr>
          <w:rFonts w:hint="eastAsia"/>
          <w:color w:val="auto"/>
          <w:highlight w:val="none"/>
        </w:rPr>
        <w:t>《采购需求》</w:t>
      </w:r>
      <w:r>
        <w:rPr>
          <w:rFonts w:hint="eastAsia" w:ascii="Times New Roman" w:hAnsi="Times New Roman" w:cs="Times New Roman"/>
          <w:color w:val="auto"/>
          <w:highlight w:val="none"/>
        </w:rPr>
        <w:t>中的总体要求无需响应。</w:t>
      </w:r>
    </w:p>
    <w:p w14:paraId="71C5B890">
      <w:pPr>
        <w:ind w:firstLine="420" w:firstLineChars="200"/>
        <w:rPr>
          <w:color w:val="auto"/>
          <w:highlight w:val="none"/>
        </w:rPr>
      </w:pPr>
      <w:r>
        <w:rPr>
          <w:rFonts w:hint="eastAsia"/>
          <w:color w:val="auto"/>
          <w:highlight w:val="none"/>
        </w:rPr>
        <w:t>（</w:t>
      </w:r>
      <w:r>
        <w:rPr>
          <w:color w:val="auto"/>
          <w:highlight w:val="none"/>
        </w:rPr>
        <w:t>3</w:t>
      </w:r>
      <w:r>
        <w:rPr>
          <w:rFonts w:hint="eastAsia"/>
          <w:color w:val="auto"/>
          <w:highlight w:val="none"/>
        </w:rPr>
        <w:t>）偏离认定说明详见评审方法及标准。</w:t>
      </w:r>
    </w:p>
    <w:bookmarkEnd w:id="129"/>
    <w:p w14:paraId="578DC511">
      <w:pPr>
        <w:pStyle w:val="26"/>
        <w:tabs>
          <w:tab w:val="left" w:pos="2127"/>
        </w:tabs>
        <w:spacing w:line="340" w:lineRule="exact"/>
        <w:ind w:firstLine="420" w:firstLineChars="200"/>
        <w:jc w:val="left"/>
        <w:rPr>
          <w:rFonts w:ascii="Times New Roman" w:hAnsi="Times New Roman" w:cs="Times New Roman"/>
          <w:color w:val="auto"/>
          <w:highlight w:val="none"/>
        </w:rPr>
      </w:pPr>
      <w:r>
        <w:rPr>
          <w:rFonts w:ascii="Times New Roman" w:hAnsi="Times New Roman" w:cs="Times New Roman"/>
          <w:color w:val="auto"/>
          <w:highlight w:val="none"/>
        </w:rPr>
        <w:t>（4）本表可扩展。</w:t>
      </w:r>
    </w:p>
    <w:bookmarkEnd w:id="127"/>
    <w:p w14:paraId="3CD7D860">
      <w:pPr>
        <w:snapToGrid w:val="0"/>
        <w:spacing w:before="50" w:after="120" w:afterLines="50" w:line="440" w:lineRule="exact"/>
        <w:jc w:val="left"/>
        <w:rPr>
          <w:color w:val="auto"/>
          <w:spacing w:val="20"/>
          <w:szCs w:val="21"/>
          <w:highlight w:val="none"/>
          <w:u w:val="single"/>
        </w:rPr>
      </w:pPr>
      <w:r>
        <w:rPr>
          <w:color w:val="auto"/>
          <w:szCs w:val="21"/>
          <w:highlight w:val="none"/>
        </w:rPr>
        <w:t>供应商</w:t>
      </w:r>
      <w:r>
        <w:rPr>
          <w:rFonts w:hint="eastAsia"/>
          <w:color w:val="auto"/>
          <w:szCs w:val="21"/>
          <w:highlight w:val="none"/>
        </w:rPr>
        <w:t>名称(电子签章</w:t>
      </w:r>
      <w:r>
        <w:rPr>
          <w:color w:val="auto"/>
          <w:szCs w:val="21"/>
          <w:highlight w:val="none"/>
        </w:rPr>
        <w:t>)</w:t>
      </w:r>
      <w:r>
        <w:rPr>
          <w:color w:val="auto"/>
          <w:spacing w:val="20"/>
          <w:szCs w:val="21"/>
          <w:highlight w:val="none"/>
        </w:rPr>
        <w:t>：</w:t>
      </w:r>
      <w:r>
        <w:rPr>
          <w:color w:val="auto"/>
          <w:spacing w:val="20"/>
          <w:szCs w:val="21"/>
          <w:highlight w:val="none"/>
          <w:u w:val="single"/>
        </w:rPr>
        <w:t xml:space="preserve">            </w:t>
      </w:r>
      <w:r>
        <w:rPr>
          <w:color w:val="auto"/>
          <w:spacing w:val="20"/>
          <w:szCs w:val="21"/>
          <w:highlight w:val="none"/>
        </w:rPr>
        <w:t xml:space="preserve">             日  期：</w:t>
      </w:r>
      <w:r>
        <w:rPr>
          <w:color w:val="auto"/>
          <w:spacing w:val="20"/>
          <w:szCs w:val="21"/>
          <w:highlight w:val="none"/>
          <w:u w:val="single"/>
        </w:rPr>
        <w:t xml:space="preserve">        </w:t>
      </w:r>
    </w:p>
    <w:bookmarkEnd w:id="128"/>
    <w:p w14:paraId="72BFCD79">
      <w:pPr>
        <w:snapToGrid w:val="0"/>
        <w:spacing w:before="50" w:after="120" w:afterLines="50" w:line="440" w:lineRule="exact"/>
        <w:jc w:val="left"/>
        <w:rPr>
          <w:color w:val="auto"/>
          <w:spacing w:val="20"/>
          <w:szCs w:val="21"/>
          <w:highlight w:val="none"/>
          <w:u w:val="single"/>
        </w:rPr>
      </w:pPr>
    </w:p>
    <w:p w14:paraId="36FA2435">
      <w:pPr>
        <w:snapToGrid w:val="0"/>
        <w:spacing w:before="50" w:after="120" w:afterLines="50" w:line="440" w:lineRule="exact"/>
        <w:jc w:val="left"/>
        <w:rPr>
          <w:color w:val="auto"/>
          <w:spacing w:val="20"/>
          <w:szCs w:val="21"/>
          <w:highlight w:val="none"/>
          <w:u w:val="single"/>
        </w:rPr>
      </w:pPr>
    </w:p>
    <w:p w14:paraId="0E57DF9B">
      <w:pPr>
        <w:snapToGrid w:val="0"/>
        <w:spacing w:before="50" w:after="120" w:afterLines="50"/>
        <w:jc w:val="left"/>
        <w:rPr>
          <w:rFonts w:hint="eastAsia"/>
          <w:color w:val="auto"/>
          <w:szCs w:val="21"/>
          <w:highlight w:val="none"/>
        </w:rPr>
      </w:pPr>
      <w:r>
        <w:rPr>
          <w:color w:val="auto"/>
          <w:szCs w:val="21"/>
          <w:highlight w:val="none"/>
        </w:rPr>
        <w:t>6．</w:t>
      </w:r>
      <w:r>
        <w:rPr>
          <w:rFonts w:hint="eastAsia"/>
          <w:color w:val="auto"/>
          <w:szCs w:val="21"/>
          <w:highlight w:val="none"/>
        </w:rPr>
        <w:t>实施</w:t>
      </w:r>
      <w:r>
        <w:rPr>
          <w:color w:val="auto"/>
          <w:szCs w:val="21"/>
          <w:highlight w:val="none"/>
        </w:rPr>
        <w:t>方案。（</w:t>
      </w:r>
      <w:r>
        <w:rPr>
          <w:rFonts w:hint="eastAsia"/>
          <w:color w:val="auto"/>
          <w:szCs w:val="21"/>
          <w:highlight w:val="none"/>
        </w:rPr>
        <w:t>如有，</w:t>
      </w:r>
      <w:r>
        <w:rPr>
          <w:color w:val="auto"/>
          <w:szCs w:val="21"/>
          <w:highlight w:val="none"/>
        </w:rPr>
        <w:t>自行编写）</w:t>
      </w:r>
    </w:p>
    <w:p w14:paraId="3FB5C6CE">
      <w:pPr>
        <w:snapToGrid w:val="0"/>
        <w:spacing w:before="50" w:after="120" w:afterLines="50"/>
        <w:jc w:val="left"/>
        <w:rPr>
          <w:rFonts w:hint="eastAsia"/>
          <w:color w:val="auto"/>
          <w:szCs w:val="21"/>
          <w:highlight w:val="none"/>
        </w:rPr>
      </w:pPr>
    </w:p>
    <w:p w14:paraId="60A8DC17">
      <w:pPr>
        <w:snapToGrid w:val="0"/>
        <w:spacing w:before="50" w:after="120" w:afterLines="50"/>
        <w:jc w:val="left"/>
        <w:rPr>
          <w:rFonts w:hint="eastAsia"/>
          <w:color w:val="auto"/>
          <w:szCs w:val="21"/>
          <w:highlight w:val="none"/>
        </w:rPr>
      </w:pPr>
    </w:p>
    <w:p w14:paraId="68596746">
      <w:pPr>
        <w:snapToGrid w:val="0"/>
        <w:spacing w:before="50" w:after="120" w:afterLines="50"/>
        <w:jc w:val="left"/>
        <w:rPr>
          <w:color w:val="auto"/>
          <w:szCs w:val="21"/>
          <w:highlight w:val="none"/>
        </w:rPr>
      </w:pPr>
    </w:p>
    <w:p w14:paraId="59E9C76C">
      <w:pPr>
        <w:snapToGrid w:val="0"/>
        <w:spacing w:before="50" w:after="120" w:afterLines="50"/>
        <w:jc w:val="left"/>
        <w:rPr>
          <w:color w:val="auto"/>
          <w:szCs w:val="21"/>
          <w:highlight w:val="none"/>
        </w:rPr>
      </w:pPr>
      <w:r>
        <w:rPr>
          <w:color w:val="auto"/>
          <w:szCs w:val="21"/>
          <w:highlight w:val="none"/>
        </w:rPr>
        <w:t>7．供应商认为需提供的其他材料（根据采购文件要求编写）</w:t>
      </w:r>
    </w:p>
    <w:p w14:paraId="3EF690F2">
      <w:pPr>
        <w:snapToGrid w:val="0"/>
        <w:spacing w:before="50" w:after="120" w:afterLines="50" w:line="440" w:lineRule="exact"/>
        <w:jc w:val="left"/>
        <w:rPr>
          <w:rFonts w:hint="eastAsia"/>
          <w:color w:val="auto"/>
          <w:spacing w:val="20"/>
          <w:szCs w:val="21"/>
          <w:highlight w:val="none"/>
          <w:u w:val="single"/>
        </w:rPr>
      </w:pPr>
    </w:p>
    <w:p w14:paraId="68A563F8">
      <w:pPr>
        <w:snapToGrid w:val="0"/>
        <w:spacing w:before="50" w:after="120" w:afterLines="50"/>
        <w:jc w:val="left"/>
        <w:rPr>
          <w:rFonts w:hint="eastAsia"/>
          <w:color w:val="auto"/>
          <w:spacing w:val="20"/>
          <w:szCs w:val="21"/>
          <w:highlight w:val="none"/>
          <w:u w:val="single"/>
        </w:rPr>
      </w:pPr>
    </w:p>
    <w:p w14:paraId="6830AD96">
      <w:pPr>
        <w:rPr>
          <w:color w:val="auto"/>
          <w:spacing w:val="20"/>
          <w:szCs w:val="21"/>
          <w:highlight w:val="none"/>
          <w:u w:val="single"/>
        </w:rPr>
      </w:pPr>
    </w:p>
    <w:p w14:paraId="7726671B">
      <w:pPr>
        <w:rPr>
          <w:color w:val="auto"/>
          <w:szCs w:val="21"/>
          <w:highlight w:val="none"/>
        </w:rPr>
        <w:sectPr>
          <w:headerReference r:id="rId13" w:type="default"/>
          <w:footerReference r:id="rId14" w:type="default"/>
          <w:pgSz w:w="11906" w:h="16838"/>
          <w:pgMar w:top="1418" w:right="1274" w:bottom="1418" w:left="1418" w:header="851" w:footer="992" w:gutter="0"/>
          <w:cols w:space="720" w:num="1"/>
          <w:docGrid w:linePitch="312" w:charSpace="0"/>
        </w:sectPr>
      </w:pPr>
    </w:p>
    <w:p w14:paraId="08923576">
      <w:pPr>
        <w:snapToGrid w:val="0"/>
        <w:spacing w:before="50" w:after="120" w:afterLines="50"/>
        <w:jc w:val="left"/>
        <w:rPr>
          <w:rFonts w:hint="eastAsia"/>
          <w:b/>
          <w:color w:val="auto"/>
          <w:szCs w:val="21"/>
          <w:highlight w:val="none"/>
        </w:rPr>
      </w:pPr>
      <w:bookmarkStart w:id="130" w:name="_Hlk21623752"/>
      <w:r>
        <w:rPr>
          <w:color w:val="auto"/>
          <w:szCs w:val="21"/>
          <w:highlight w:val="none"/>
        </w:rPr>
        <w:t>8．近年供应商类似成功案例的业绩证明</w:t>
      </w:r>
    </w:p>
    <w:p w14:paraId="74B2D23D">
      <w:pPr>
        <w:snapToGrid w:val="0"/>
        <w:spacing w:before="50" w:after="120" w:afterLines="50"/>
        <w:jc w:val="center"/>
        <w:rPr>
          <w:color w:val="auto"/>
          <w:szCs w:val="21"/>
          <w:highlight w:val="none"/>
        </w:rPr>
      </w:pPr>
      <w:r>
        <w:rPr>
          <w:b/>
          <w:color w:val="auto"/>
          <w:szCs w:val="21"/>
          <w:highlight w:val="none"/>
        </w:rPr>
        <w:t>类似成功案例业绩一览表</w:t>
      </w:r>
    </w:p>
    <w:tbl>
      <w:tblPr>
        <w:tblStyle w:val="51"/>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62"/>
        <w:gridCol w:w="3737"/>
        <w:gridCol w:w="3123"/>
        <w:gridCol w:w="985"/>
        <w:gridCol w:w="985"/>
        <w:gridCol w:w="1314"/>
        <w:gridCol w:w="1971"/>
      </w:tblGrid>
      <w:tr w14:paraId="1C9CE8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467" w:hRule="atLeast"/>
        </w:trPr>
        <w:tc>
          <w:tcPr>
            <w:tcW w:w="1062" w:type="dxa"/>
            <w:tcBorders>
              <w:top w:val="single" w:color="auto" w:sz="4" w:space="0"/>
              <w:left w:val="single" w:color="auto" w:sz="4" w:space="0"/>
              <w:right w:val="single" w:color="auto" w:sz="4" w:space="0"/>
            </w:tcBorders>
            <w:noWrap w:val="0"/>
            <w:vAlign w:val="top"/>
          </w:tcPr>
          <w:p w14:paraId="41DB7EE5">
            <w:pPr>
              <w:snapToGrid w:val="0"/>
              <w:spacing w:line="240" w:lineRule="exact"/>
              <w:jc w:val="center"/>
              <w:rPr>
                <w:color w:val="auto"/>
                <w:szCs w:val="21"/>
                <w:highlight w:val="none"/>
              </w:rPr>
            </w:pPr>
          </w:p>
          <w:p w14:paraId="339B5FE4">
            <w:pPr>
              <w:snapToGrid w:val="0"/>
              <w:spacing w:line="240" w:lineRule="exact"/>
              <w:jc w:val="center"/>
              <w:rPr>
                <w:color w:val="auto"/>
                <w:szCs w:val="21"/>
                <w:highlight w:val="none"/>
              </w:rPr>
            </w:pPr>
          </w:p>
          <w:p w14:paraId="1B474F12">
            <w:pPr>
              <w:snapToGrid w:val="0"/>
              <w:spacing w:line="240" w:lineRule="exact"/>
              <w:jc w:val="center"/>
              <w:rPr>
                <w:color w:val="auto"/>
                <w:szCs w:val="21"/>
                <w:highlight w:val="none"/>
              </w:rPr>
            </w:pPr>
            <w:r>
              <w:rPr>
                <w:rFonts w:hint="eastAsia"/>
                <w:color w:val="auto"/>
                <w:szCs w:val="21"/>
                <w:highlight w:val="none"/>
              </w:rPr>
              <w:t>序号</w:t>
            </w:r>
          </w:p>
        </w:tc>
        <w:tc>
          <w:tcPr>
            <w:tcW w:w="3737" w:type="dxa"/>
            <w:tcBorders>
              <w:top w:val="single" w:color="auto" w:sz="4" w:space="0"/>
              <w:left w:val="single" w:color="auto" w:sz="4" w:space="0"/>
              <w:bottom w:val="single" w:color="auto" w:sz="4" w:space="0"/>
              <w:right w:val="single" w:color="auto" w:sz="4" w:space="0"/>
            </w:tcBorders>
            <w:noWrap w:val="0"/>
            <w:vAlign w:val="center"/>
          </w:tcPr>
          <w:p w14:paraId="15989A99">
            <w:pPr>
              <w:snapToGrid w:val="0"/>
              <w:spacing w:line="240" w:lineRule="exact"/>
              <w:jc w:val="center"/>
              <w:rPr>
                <w:color w:val="auto"/>
                <w:szCs w:val="21"/>
                <w:highlight w:val="none"/>
              </w:rPr>
            </w:pPr>
            <w:r>
              <w:rPr>
                <w:color w:val="auto"/>
                <w:szCs w:val="21"/>
                <w:highlight w:val="none"/>
              </w:rPr>
              <w:t>采购单位名称</w:t>
            </w:r>
          </w:p>
        </w:tc>
        <w:tc>
          <w:tcPr>
            <w:tcW w:w="3123" w:type="dxa"/>
            <w:tcBorders>
              <w:top w:val="single" w:color="auto" w:sz="4" w:space="0"/>
              <w:left w:val="single" w:color="auto" w:sz="4" w:space="0"/>
              <w:bottom w:val="single" w:color="auto" w:sz="4" w:space="0"/>
              <w:right w:val="single" w:color="auto" w:sz="4" w:space="0"/>
            </w:tcBorders>
            <w:noWrap w:val="0"/>
            <w:vAlign w:val="center"/>
          </w:tcPr>
          <w:p w14:paraId="3CF23423">
            <w:pPr>
              <w:snapToGrid w:val="0"/>
              <w:spacing w:line="240" w:lineRule="exact"/>
              <w:jc w:val="center"/>
              <w:rPr>
                <w:color w:val="auto"/>
                <w:szCs w:val="21"/>
                <w:highlight w:val="none"/>
              </w:rPr>
            </w:pPr>
            <w:r>
              <w:rPr>
                <w:color w:val="auto"/>
                <w:szCs w:val="21"/>
                <w:highlight w:val="none"/>
              </w:rPr>
              <w:t>项目名称或服务内容</w:t>
            </w:r>
          </w:p>
        </w:tc>
        <w:tc>
          <w:tcPr>
            <w:tcW w:w="985" w:type="dxa"/>
            <w:tcBorders>
              <w:top w:val="single" w:color="auto" w:sz="4" w:space="0"/>
              <w:left w:val="single" w:color="auto" w:sz="4" w:space="0"/>
              <w:bottom w:val="single" w:color="auto" w:sz="4" w:space="0"/>
              <w:right w:val="single" w:color="auto" w:sz="4" w:space="0"/>
            </w:tcBorders>
            <w:noWrap w:val="0"/>
            <w:vAlign w:val="center"/>
          </w:tcPr>
          <w:p w14:paraId="71D23AE7">
            <w:pPr>
              <w:snapToGrid w:val="0"/>
              <w:spacing w:line="240" w:lineRule="exact"/>
              <w:jc w:val="center"/>
              <w:rPr>
                <w:color w:val="auto"/>
                <w:szCs w:val="21"/>
                <w:highlight w:val="none"/>
              </w:rPr>
            </w:pPr>
            <w:r>
              <w:rPr>
                <w:color w:val="auto"/>
                <w:szCs w:val="21"/>
                <w:highlight w:val="none"/>
              </w:rPr>
              <w:t>服务</w:t>
            </w:r>
          </w:p>
          <w:p w14:paraId="57EF5857">
            <w:pPr>
              <w:snapToGrid w:val="0"/>
              <w:spacing w:line="240" w:lineRule="exact"/>
              <w:jc w:val="center"/>
              <w:rPr>
                <w:color w:val="auto"/>
                <w:szCs w:val="21"/>
                <w:highlight w:val="none"/>
              </w:rPr>
            </w:pPr>
            <w:r>
              <w:rPr>
                <w:color w:val="auto"/>
                <w:szCs w:val="21"/>
                <w:highlight w:val="none"/>
              </w:rPr>
              <w:t>数量或年限</w:t>
            </w:r>
          </w:p>
        </w:tc>
        <w:tc>
          <w:tcPr>
            <w:tcW w:w="985" w:type="dxa"/>
            <w:tcBorders>
              <w:top w:val="single" w:color="auto" w:sz="4" w:space="0"/>
              <w:left w:val="single" w:color="auto" w:sz="4" w:space="0"/>
              <w:bottom w:val="single" w:color="auto" w:sz="4" w:space="0"/>
              <w:right w:val="single" w:color="auto" w:sz="4" w:space="0"/>
            </w:tcBorders>
            <w:noWrap w:val="0"/>
            <w:vAlign w:val="center"/>
          </w:tcPr>
          <w:p w14:paraId="738311FD">
            <w:pPr>
              <w:snapToGrid w:val="0"/>
              <w:spacing w:line="240" w:lineRule="exact"/>
              <w:jc w:val="center"/>
              <w:rPr>
                <w:color w:val="auto"/>
                <w:szCs w:val="21"/>
                <w:highlight w:val="none"/>
              </w:rPr>
            </w:pPr>
            <w:r>
              <w:rPr>
                <w:color w:val="auto"/>
                <w:szCs w:val="21"/>
                <w:highlight w:val="none"/>
              </w:rPr>
              <w:t>单价</w:t>
            </w:r>
            <w:r>
              <w:rPr>
                <w:rFonts w:hint="eastAsia"/>
                <w:color w:val="auto"/>
                <w:szCs w:val="21"/>
                <w:highlight w:val="none"/>
              </w:rPr>
              <w:t>（元）</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5A6BA664">
            <w:pPr>
              <w:snapToGrid w:val="0"/>
              <w:spacing w:line="240" w:lineRule="exact"/>
              <w:jc w:val="center"/>
              <w:rPr>
                <w:color w:val="auto"/>
                <w:szCs w:val="21"/>
                <w:highlight w:val="none"/>
              </w:rPr>
            </w:pPr>
            <w:r>
              <w:rPr>
                <w:color w:val="auto"/>
                <w:szCs w:val="21"/>
                <w:highlight w:val="none"/>
              </w:rPr>
              <w:t>合同</w:t>
            </w:r>
            <w:r>
              <w:rPr>
                <w:rFonts w:hint="eastAsia"/>
                <w:color w:val="auto"/>
                <w:szCs w:val="21"/>
                <w:highlight w:val="none"/>
              </w:rPr>
              <w:t>总价</w:t>
            </w:r>
          </w:p>
          <w:p w14:paraId="7B7AF961">
            <w:pPr>
              <w:snapToGrid w:val="0"/>
              <w:spacing w:line="240" w:lineRule="exact"/>
              <w:jc w:val="center"/>
              <w:rPr>
                <w:color w:val="auto"/>
                <w:szCs w:val="21"/>
                <w:highlight w:val="none"/>
              </w:rPr>
            </w:pPr>
            <w:r>
              <w:rPr>
                <w:color w:val="auto"/>
                <w:szCs w:val="21"/>
                <w:highlight w:val="none"/>
              </w:rPr>
              <w:t>（元）</w:t>
            </w:r>
          </w:p>
        </w:tc>
        <w:tc>
          <w:tcPr>
            <w:tcW w:w="1971" w:type="dxa"/>
            <w:tcBorders>
              <w:top w:val="single" w:color="auto" w:sz="4" w:space="0"/>
              <w:left w:val="single" w:color="auto" w:sz="4" w:space="0"/>
              <w:bottom w:val="single" w:color="auto" w:sz="4" w:space="0"/>
              <w:right w:val="single" w:color="auto" w:sz="4" w:space="0"/>
            </w:tcBorders>
            <w:noWrap w:val="0"/>
            <w:vAlign w:val="center"/>
          </w:tcPr>
          <w:p w14:paraId="4CCCCCB3">
            <w:pPr>
              <w:jc w:val="center"/>
              <w:rPr>
                <w:color w:val="auto"/>
                <w:szCs w:val="21"/>
                <w:highlight w:val="none"/>
              </w:rPr>
            </w:pPr>
            <w:r>
              <w:rPr>
                <w:color w:val="auto"/>
                <w:szCs w:val="21"/>
                <w:highlight w:val="none"/>
              </w:rPr>
              <w:t>采购单位联系人及联系电话</w:t>
            </w:r>
          </w:p>
        </w:tc>
      </w:tr>
      <w:tr w14:paraId="751616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3" w:hRule="atLeast"/>
        </w:trPr>
        <w:tc>
          <w:tcPr>
            <w:tcW w:w="1062" w:type="dxa"/>
            <w:tcBorders>
              <w:top w:val="single" w:color="auto" w:sz="4" w:space="0"/>
              <w:left w:val="single" w:color="auto" w:sz="4" w:space="0"/>
              <w:bottom w:val="single" w:color="auto" w:sz="4" w:space="0"/>
              <w:right w:val="single" w:color="auto" w:sz="4" w:space="0"/>
            </w:tcBorders>
            <w:noWrap w:val="0"/>
            <w:vAlign w:val="top"/>
          </w:tcPr>
          <w:p w14:paraId="26242BB4">
            <w:pPr>
              <w:snapToGrid w:val="0"/>
              <w:spacing w:line="240" w:lineRule="exact"/>
              <w:jc w:val="left"/>
              <w:rPr>
                <w:color w:val="auto"/>
                <w:szCs w:val="21"/>
                <w:highlight w:val="none"/>
              </w:rPr>
            </w:pPr>
          </w:p>
        </w:tc>
        <w:tc>
          <w:tcPr>
            <w:tcW w:w="3737" w:type="dxa"/>
            <w:tcBorders>
              <w:top w:val="single" w:color="auto" w:sz="4" w:space="0"/>
              <w:left w:val="single" w:color="auto" w:sz="4" w:space="0"/>
              <w:bottom w:val="single" w:color="auto" w:sz="4" w:space="0"/>
              <w:right w:val="single" w:color="auto" w:sz="4" w:space="0"/>
            </w:tcBorders>
            <w:noWrap w:val="0"/>
            <w:vAlign w:val="top"/>
          </w:tcPr>
          <w:p w14:paraId="0B573712">
            <w:pPr>
              <w:snapToGrid w:val="0"/>
              <w:spacing w:line="240" w:lineRule="exact"/>
              <w:jc w:val="left"/>
              <w:rPr>
                <w:color w:val="auto"/>
                <w:szCs w:val="21"/>
                <w:highlight w:val="none"/>
              </w:rPr>
            </w:pPr>
          </w:p>
        </w:tc>
        <w:tc>
          <w:tcPr>
            <w:tcW w:w="3123" w:type="dxa"/>
            <w:tcBorders>
              <w:top w:val="single" w:color="auto" w:sz="4" w:space="0"/>
              <w:left w:val="single" w:color="auto" w:sz="4" w:space="0"/>
              <w:bottom w:val="single" w:color="auto" w:sz="4" w:space="0"/>
              <w:right w:val="single" w:color="auto" w:sz="4" w:space="0"/>
            </w:tcBorders>
            <w:noWrap w:val="0"/>
            <w:vAlign w:val="top"/>
          </w:tcPr>
          <w:p w14:paraId="55688647">
            <w:pPr>
              <w:snapToGrid w:val="0"/>
              <w:spacing w:line="240" w:lineRule="exact"/>
              <w:jc w:val="left"/>
              <w:rPr>
                <w:color w:val="auto"/>
                <w:szCs w:val="21"/>
                <w:highlight w:val="none"/>
              </w:rPr>
            </w:pPr>
          </w:p>
        </w:tc>
        <w:tc>
          <w:tcPr>
            <w:tcW w:w="985" w:type="dxa"/>
            <w:tcBorders>
              <w:top w:val="single" w:color="auto" w:sz="4" w:space="0"/>
              <w:left w:val="single" w:color="auto" w:sz="4" w:space="0"/>
              <w:bottom w:val="single" w:color="auto" w:sz="4" w:space="0"/>
              <w:right w:val="single" w:color="auto" w:sz="4" w:space="0"/>
            </w:tcBorders>
            <w:noWrap w:val="0"/>
            <w:vAlign w:val="top"/>
          </w:tcPr>
          <w:p w14:paraId="3CD11F91">
            <w:pPr>
              <w:snapToGrid w:val="0"/>
              <w:spacing w:line="240" w:lineRule="exact"/>
              <w:jc w:val="left"/>
              <w:rPr>
                <w:color w:val="auto"/>
                <w:szCs w:val="21"/>
                <w:highlight w:val="none"/>
              </w:rPr>
            </w:pPr>
          </w:p>
        </w:tc>
        <w:tc>
          <w:tcPr>
            <w:tcW w:w="985" w:type="dxa"/>
            <w:tcBorders>
              <w:top w:val="single" w:color="auto" w:sz="4" w:space="0"/>
              <w:left w:val="single" w:color="auto" w:sz="4" w:space="0"/>
              <w:bottom w:val="single" w:color="auto" w:sz="4" w:space="0"/>
              <w:right w:val="single" w:color="auto" w:sz="4" w:space="0"/>
            </w:tcBorders>
            <w:noWrap w:val="0"/>
            <w:vAlign w:val="top"/>
          </w:tcPr>
          <w:p w14:paraId="780B556C">
            <w:pPr>
              <w:snapToGrid w:val="0"/>
              <w:spacing w:line="240" w:lineRule="exact"/>
              <w:jc w:val="left"/>
              <w:rPr>
                <w:color w:val="auto"/>
                <w:szCs w:val="21"/>
                <w:highlight w:val="none"/>
              </w:rPr>
            </w:pPr>
          </w:p>
        </w:tc>
        <w:tc>
          <w:tcPr>
            <w:tcW w:w="1314" w:type="dxa"/>
            <w:tcBorders>
              <w:top w:val="single" w:color="auto" w:sz="4" w:space="0"/>
              <w:left w:val="single" w:color="auto" w:sz="4" w:space="0"/>
              <w:bottom w:val="single" w:color="auto" w:sz="4" w:space="0"/>
              <w:right w:val="single" w:color="auto" w:sz="4" w:space="0"/>
            </w:tcBorders>
            <w:noWrap w:val="0"/>
            <w:vAlign w:val="top"/>
          </w:tcPr>
          <w:p w14:paraId="73290924">
            <w:pPr>
              <w:snapToGrid w:val="0"/>
              <w:spacing w:line="240" w:lineRule="exact"/>
              <w:jc w:val="left"/>
              <w:rPr>
                <w:color w:val="auto"/>
                <w:szCs w:val="21"/>
                <w:highlight w:val="none"/>
              </w:rPr>
            </w:pPr>
          </w:p>
        </w:tc>
        <w:tc>
          <w:tcPr>
            <w:tcW w:w="1971" w:type="dxa"/>
            <w:tcBorders>
              <w:top w:val="single" w:color="auto" w:sz="4" w:space="0"/>
              <w:left w:val="single" w:color="auto" w:sz="4" w:space="0"/>
              <w:bottom w:val="single" w:color="auto" w:sz="4" w:space="0"/>
              <w:right w:val="single" w:color="auto" w:sz="4" w:space="0"/>
            </w:tcBorders>
            <w:noWrap w:val="0"/>
            <w:vAlign w:val="top"/>
          </w:tcPr>
          <w:p w14:paraId="25AEF844">
            <w:pPr>
              <w:snapToGrid w:val="0"/>
              <w:spacing w:line="240" w:lineRule="exact"/>
              <w:jc w:val="left"/>
              <w:rPr>
                <w:color w:val="auto"/>
                <w:szCs w:val="21"/>
                <w:highlight w:val="none"/>
              </w:rPr>
            </w:pPr>
          </w:p>
        </w:tc>
      </w:tr>
      <w:tr w14:paraId="01B82F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1062" w:type="dxa"/>
            <w:tcBorders>
              <w:top w:val="single" w:color="auto" w:sz="4" w:space="0"/>
              <w:left w:val="single" w:color="auto" w:sz="4" w:space="0"/>
              <w:bottom w:val="single" w:color="auto" w:sz="4" w:space="0"/>
              <w:right w:val="single" w:color="auto" w:sz="4" w:space="0"/>
            </w:tcBorders>
            <w:noWrap w:val="0"/>
            <w:vAlign w:val="top"/>
          </w:tcPr>
          <w:p w14:paraId="665042A5">
            <w:pPr>
              <w:snapToGrid w:val="0"/>
              <w:spacing w:before="50" w:after="120" w:afterLines="50" w:line="400" w:lineRule="exact"/>
              <w:jc w:val="left"/>
              <w:rPr>
                <w:color w:val="auto"/>
                <w:szCs w:val="21"/>
                <w:highlight w:val="none"/>
              </w:rPr>
            </w:pPr>
          </w:p>
        </w:tc>
        <w:tc>
          <w:tcPr>
            <w:tcW w:w="3737" w:type="dxa"/>
            <w:tcBorders>
              <w:top w:val="single" w:color="auto" w:sz="4" w:space="0"/>
              <w:left w:val="single" w:color="auto" w:sz="4" w:space="0"/>
              <w:bottom w:val="single" w:color="auto" w:sz="4" w:space="0"/>
              <w:right w:val="single" w:color="auto" w:sz="4" w:space="0"/>
            </w:tcBorders>
            <w:noWrap w:val="0"/>
            <w:vAlign w:val="top"/>
          </w:tcPr>
          <w:p w14:paraId="680ABF3A">
            <w:pPr>
              <w:snapToGrid w:val="0"/>
              <w:spacing w:before="50" w:after="120" w:afterLines="50" w:line="400" w:lineRule="exact"/>
              <w:jc w:val="left"/>
              <w:rPr>
                <w:color w:val="auto"/>
                <w:szCs w:val="21"/>
                <w:highlight w:val="none"/>
              </w:rPr>
            </w:pPr>
          </w:p>
        </w:tc>
        <w:tc>
          <w:tcPr>
            <w:tcW w:w="3123" w:type="dxa"/>
            <w:tcBorders>
              <w:top w:val="single" w:color="auto" w:sz="4" w:space="0"/>
              <w:left w:val="single" w:color="auto" w:sz="4" w:space="0"/>
              <w:bottom w:val="single" w:color="auto" w:sz="4" w:space="0"/>
              <w:right w:val="single" w:color="auto" w:sz="4" w:space="0"/>
            </w:tcBorders>
            <w:noWrap w:val="0"/>
            <w:vAlign w:val="top"/>
          </w:tcPr>
          <w:p w14:paraId="5451552A">
            <w:pPr>
              <w:snapToGrid w:val="0"/>
              <w:spacing w:before="50" w:after="120" w:afterLines="50" w:line="400" w:lineRule="exact"/>
              <w:jc w:val="left"/>
              <w:rPr>
                <w:color w:val="auto"/>
                <w:szCs w:val="21"/>
                <w:highlight w:val="none"/>
              </w:rPr>
            </w:pPr>
          </w:p>
        </w:tc>
        <w:tc>
          <w:tcPr>
            <w:tcW w:w="985" w:type="dxa"/>
            <w:tcBorders>
              <w:top w:val="single" w:color="auto" w:sz="4" w:space="0"/>
              <w:left w:val="single" w:color="auto" w:sz="4" w:space="0"/>
              <w:bottom w:val="single" w:color="auto" w:sz="4" w:space="0"/>
              <w:right w:val="single" w:color="auto" w:sz="4" w:space="0"/>
            </w:tcBorders>
            <w:noWrap w:val="0"/>
            <w:vAlign w:val="top"/>
          </w:tcPr>
          <w:p w14:paraId="127705CD">
            <w:pPr>
              <w:snapToGrid w:val="0"/>
              <w:spacing w:before="50" w:after="120" w:afterLines="50" w:line="400" w:lineRule="exact"/>
              <w:jc w:val="left"/>
              <w:rPr>
                <w:color w:val="auto"/>
                <w:szCs w:val="21"/>
                <w:highlight w:val="none"/>
              </w:rPr>
            </w:pPr>
          </w:p>
        </w:tc>
        <w:tc>
          <w:tcPr>
            <w:tcW w:w="985" w:type="dxa"/>
            <w:tcBorders>
              <w:top w:val="single" w:color="auto" w:sz="4" w:space="0"/>
              <w:left w:val="single" w:color="auto" w:sz="4" w:space="0"/>
              <w:bottom w:val="single" w:color="auto" w:sz="4" w:space="0"/>
              <w:right w:val="single" w:color="auto" w:sz="4" w:space="0"/>
            </w:tcBorders>
            <w:noWrap w:val="0"/>
            <w:vAlign w:val="top"/>
          </w:tcPr>
          <w:p w14:paraId="410D0DD3">
            <w:pPr>
              <w:snapToGrid w:val="0"/>
              <w:spacing w:before="50" w:after="120" w:afterLines="50" w:line="400" w:lineRule="exact"/>
              <w:jc w:val="left"/>
              <w:rPr>
                <w:color w:val="auto"/>
                <w:szCs w:val="21"/>
                <w:highlight w:val="none"/>
              </w:rPr>
            </w:pPr>
          </w:p>
        </w:tc>
        <w:tc>
          <w:tcPr>
            <w:tcW w:w="1314" w:type="dxa"/>
            <w:tcBorders>
              <w:top w:val="single" w:color="auto" w:sz="4" w:space="0"/>
              <w:left w:val="single" w:color="auto" w:sz="4" w:space="0"/>
              <w:bottom w:val="single" w:color="auto" w:sz="4" w:space="0"/>
              <w:right w:val="single" w:color="auto" w:sz="4" w:space="0"/>
            </w:tcBorders>
            <w:noWrap w:val="0"/>
            <w:vAlign w:val="top"/>
          </w:tcPr>
          <w:p w14:paraId="219BC3F5">
            <w:pPr>
              <w:snapToGrid w:val="0"/>
              <w:spacing w:before="50" w:after="120" w:afterLines="50" w:line="400" w:lineRule="exact"/>
              <w:jc w:val="left"/>
              <w:rPr>
                <w:color w:val="auto"/>
                <w:szCs w:val="21"/>
                <w:highlight w:val="none"/>
              </w:rPr>
            </w:pPr>
          </w:p>
        </w:tc>
        <w:tc>
          <w:tcPr>
            <w:tcW w:w="1971" w:type="dxa"/>
            <w:tcBorders>
              <w:top w:val="single" w:color="auto" w:sz="4" w:space="0"/>
              <w:left w:val="single" w:color="auto" w:sz="4" w:space="0"/>
              <w:bottom w:val="single" w:color="auto" w:sz="4" w:space="0"/>
              <w:right w:val="single" w:color="auto" w:sz="4" w:space="0"/>
            </w:tcBorders>
            <w:noWrap w:val="0"/>
            <w:vAlign w:val="top"/>
          </w:tcPr>
          <w:p w14:paraId="72E9BDB6">
            <w:pPr>
              <w:snapToGrid w:val="0"/>
              <w:spacing w:before="50" w:after="120" w:afterLines="50" w:line="400" w:lineRule="exact"/>
              <w:jc w:val="left"/>
              <w:rPr>
                <w:color w:val="auto"/>
                <w:szCs w:val="21"/>
                <w:highlight w:val="none"/>
              </w:rPr>
            </w:pPr>
          </w:p>
        </w:tc>
      </w:tr>
      <w:tr w14:paraId="0A2731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1" w:hRule="atLeast"/>
        </w:trPr>
        <w:tc>
          <w:tcPr>
            <w:tcW w:w="1062" w:type="dxa"/>
            <w:tcBorders>
              <w:top w:val="single" w:color="auto" w:sz="4" w:space="0"/>
              <w:left w:val="single" w:color="auto" w:sz="4" w:space="0"/>
              <w:bottom w:val="single" w:color="auto" w:sz="4" w:space="0"/>
              <w:right w:val="single" w:color="auto" w:sz="4" w:space="0"/>
            </w:tcBorders>
            <w:noWrap w:val="0"/>
            <w:vAlign w:val="top"/>
          </w:tcPr>
          <w:p w14:paraId="1D5ED974">
            <w:pPr>
              <w:snapToGrid w:val="0"/>
              <w:spacing w:before="50" w:after="120" w:afterLines="50" w:line="400" w:lineRule="exact"/>
              <w:jc w:val="left"/>
              <w:rPr>
                <w:color w:val="auto"/>
                <w:szCs w:val="21"/>
                <w:highlight w:val="none"/>
              </w:rPr>
            </w:pPr>
          </w:p>
        </w:tc>
        <w:tc>
          <w:tcPr>
            <w:tcW w:w="3737" w:type="dxa"/>
            <w:tcBorders>
              <w:top w:val="single" w:color="auto" w:sz="4" w:space="0"/>
              <w:left w:val="single" w:color="auto" w:sz="4" w:space="0"/>
              <w:bottom w:val="single" w:color="auto" w:sz="4" w:space="0"/>
              <w:right w:val="single" w:color="auto" w:sz="4" w:space="0"/>
            </w:tcBorders>
            <w:noWrap w:val="0"/>
            <w:vAlign w:val="top"/>
          </w:tcPr>
          <w:p w14:paraId="3AA66E8F">
            <w:pPr>
              <w:snapToGrid w:val="0"/>
              <w:spacing w:before="50" w:after="120" w:afterLines="50" w:line="400" w:lineRule="exact"/>
              <w:jc w:val="left"/>
              <w:rPr>
                <w:color w:val="auto"/>
                <w:szCs w:val="21"/>
                <w:highlight w:val="none"/>
              </w:rPr>
            </w:pPr>
          </w:p>
        </w:tc>
        <w:tc>
          <w:tcPr>
            <w:tcW w:w="3123" w:type="dxa"/>
            <w:tcBorders>
              <w:top w:val="single" w:color="auto" w:sz="4" w:space="0"/>
              <w:left w:val="single" w:color="auto" w:sz="4" w:space="0"/>
              <w:bottom w:val="single" w:color="auto" w:sz="4" w:space="0"/>
              <w:right w:val="single" w:color="auto" w:sz="4" w:space="0"/>
            </w:tcBorders>
            <w:noWrap w:val="0"/>
            <w:vAlign w:val="top"/>
          </w:tcPr>
          <w:p w14:paraId="45795E65">
            <w:pPr>
              <w:snapToGrid w:val="0"/>
              <w:spacing w:before="50" w:after="120" w:afterLines="50" w:line="400" w:lineRule="exact"/>
              <w:jc w:val="left"/>
              <w:rPr>
                <w:color w:val="auto"/>
                <w:szCs w:val="21"/>
                <w:highlight w:val="none"/>
              </w:rPr>
            </w:pPr>
          </w:p>
        </w:tc>
        <w:tc>
          <w:tcPr>
            <w:tcW w:w="985" w:type="dxa"/>
            <w:tcBorders>
              <w:top w:val="single" w:color="auto" w:sz="4" w:space="0"/>
              <w:left w:val="single" w:color="auto" w:sz="4" w:space="0"/>
              <w:bottom w:val="single" w:color="auto" w:sz="4" w:space="0"/>
              <w:right w:val="single" w:color="auto" w:sz="4" w:space="0"/>
            </w:tcBorders>
            <w:noWrap w:val="0"/>
            <w:vAlign w:val="top"/>
          </w:tcPr>
          <w:p w14:paraId="5835316C">
            <w:pPr>
              <w:snapToGrid w:val="0"/>
              <w:spacing w:before="50" w:after="120" w:afterLines="50" w:line="400" w:lineRule="exact"/>
              <w:jc w:val="left"/>
              <w:rPr>
                <w:color w:val="auto"/>
                <w:szCs w:val="21"/>
                <w:highlight w:val="none"/>
              </w:rPr>
            </w:pPr>
          </w:p>
        </w:tc>
        <w:tc>
          <w:tcPr>
            <w:tcW w:w="985" w:type="dxa"/>
            <w:tcBorders>
              <w:top w:val="single" w:color="auto" w:sz="4" w:space="0"/>
              <w:left w:val="single" w:color="auto" w:sz="4" w:space="0"/>
              <w:bottom w:val="single" w:color="auto" w:sz="4" w:space="0"/>
              <w:right w:val="single" w:color="auto" w:sz="4" w:space="0"/>
            </w:tcBorders>
            <w:noWrap w:val="0"/>
            <w:vAlign w:val="top"/>
          </w:tcPr>
          <w:p w14:paraId="2ACBF7EE">
            <w:pPr>
              <w:snapToGrid w:val="0"/>
              <w:spacing w:before="50" w:after="120" w:afterLines="50" w:line="400" w:lineRule="exact"/>
              <w:jc w:val="left"/>
              <w:rPr>
                <w:color w:val="auto"/>
                <w:szCs w:val="21"/>
                <w:highlight w:val="none"/>
              </w:rPr>
            </w:pPr>
          </w:p>
        </w:tc>
        <w:tc>
          <w:tcPr>
            <w:tcW w:w="1314" w:type="dxa"/>
            <w:tcBorders>
              <w:top w:val="single" w:color="auto" w:sz="4" w:space="0"/>
              <w:left w:val="single" w:color="auto" w:sz="4" w:space="0"/>
              <w:bottom w:val="single" w:color="auto" w:sz="4" w:space="0"/>
              <w:right w:val="single" w:color="auto" w:sz="4" w:space="0"/>
            </w:tcBorders>
            <w:noWrap w:val="0"/>
            <w:vAlign w:val="top"/>
          </w:tcPr>
          <w:p w14:paraId="5CD282C6">
            <w:pPr>
              <w:snapToGrid w:val="0"/>
              <w:spacing w:before="50" w:after="120" w:afterLines="50" w:line="400" w:lineRule="exact"/>
              <w:jc w:val="left"/>
              <w:rPr>
                <w:color w:val="auto"/>
                <w:szCs w:val="21"/>
                <w:highlight w:val="none"/>
              </w:rPr>
            </w:pPr>
          </w:p>
        </w:tc>
        <w:tc>
          <w:tcPr>
            <w:tcW w:w="1971" w:type="dxa"/>
            <w:tcBorders>
              <w:top w:val="single" w:color="auto" w:sz="4" w:space="0"/>
              <w:left w:val="single" w:color="auto" w:sz="4" w:space="0"/>
              <w:bottom w:val="single" w:color="auto" w:sz="4" w:space="0"/>
              <w:right w:val="single" w:color="auto" w:sz="4" w:space="0"/>
            </w:tcBorders>
            <w:noWrap w:val="0"/>
            <w:vAlign w:val="top"/>
          </w:tcPr>
          <w:p w14:paraId="6D884389">
            <w:pPr>
              <w:snapToGrid w:val="0"/>
              <w:spacing w:before="50" w:after="120" w:afterLines="50" w:line="400" w:lineRule="exact"/>
              <w:jc w:val="left"/>
              <w:rPr>
                <w:color w:val="auto"/>
                <w:szCs w:val="21"/>
                <w:highlight w:val="none"/>
              </w:rPr>
            </w:pPr>
          </w:p>
        </w:tc>
      </w:tr>
      <w:tr w14:paraId="3F2A40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1062" w:type="dxa"/>
            <w:tcBorders>
              <w:top w:val="single" w:color="auto" w:sz="4" w:space="0"/>
              <w:left w:val="single" w:color="auto" w:sz="4" w:space="0"/>
              <w:bottom w:val="single" w:color="auto" w:sz="4" w:space="0"/>
              <w:right w:val="single" w:color="auto" w:sz="4" w:space="0"/>
            </w:tcBorders>
            <w:noWrap w:val="0"/>
            <w:vAlign w:val="top"/>
          </w:tcPr>
          <w:p w14:paraId="3E2DD2A9">
            <w:pPr>
              <w:snapToGrid w:val="0"/>
              <w:spacing w:before="50" w:after="120" w:afterLines="50" w:line="400" w:lineRule="exact"/>
              <w:jc w:val="left"/>
              <w:rPr>
                <w:color w:val="auto"/>
                <w:szCs w:val="21"/>
                <w:highlight w:val="none"/>
              </w:rPr>
            </w:pPr>
          </w:p>
        </w:tc>
        <w:tc>
          <w:tcPr>
            <w:tcW w:w="3737" w:type="dxa"/>
            <w:tcBorders>
              <w:top w:val="single" w:color="auto" w:sz="4" w:space="0"/>
              <w:left w:val="single" w:color="auto" w:sz="4" w:space="0"/>
              <w:bottom w:val="single" w:color="auto" w:sz="4" w:space="0"/>
              <w:right w:val="single" w:color="auto" w:sz="4" w:space="0"/>
            </w:tcBorders>
            <w:noWrap w:val="0"/>
            <w:vAlign w:val="top"/>
          </w:tcPr>
          <w:p w14:paraId="7A682AD1">
            <w:pPr>
              <w:snapToGrid w:val="0"/>
              <w:spacing w:before="50" w:after="120" w:afterLines="50" w:line="400" w:lineRule="exact"/>
              <w:jc w:val="left"/>
              <w:rPr>
                <w:color w:val="auto"/>
                <w:szCs w:val="21"/>
                <w:highlight w:val="none"/>
              </w:rPr>
            </w:pPr>
          </w:p>
        </w:tc>
        <w:tc>
          <w:tcPr>
            <w:tcW w:w="3123" w:type="dxa"/>
            <w:tcBorders>
              <w:top w:val="single" w:color="auto" w:sz="4" w:space="0"/>
              <w:left w:val="single" w:color="auto" w:sz="4" w:space="0"/>
              <w:bottom w:val="single" w:color="auto" w:sz="4" w:space="0"/>
              <w:right w:val="single" w:color="auto" w:sz="4" w:space="0"/>
            </w:tcBorders>
            <w:noWrap w:val="0"/>
            <w:vAlign w:val="top"/>
          </w:tcPr>
          <w:p w14:paraId="2E5AE930">
            <w:pPr>
              <w:snapToGrid w:val="0"/>
              <w:spacing w:before="50" w:after="120" w:afterLines="50" w:line="400" w:lineRule="exact"/>
              <w:jc w:val="left"/>
              <w:rPr>
                <w:color w:val="auto"/>
                <w:szCs w:val="21"/>
                <w:highlight w:val="none"/>
              </w:rPr>
            </w:pPr>
          </w:p>
        </w:tc>
        <w:tc>
          <w:tcPr>
            <w:tcW w:w="985" w:type="dxa"/>
            <w:tcBorders>
              <w:top w:val="single" w:color="auto" w:sz="4" w:space="0"/>
              <w:left w:val="single" w:color="auto" w:sz="4" w:space="0"/>
              <w:bottom w:val="single" w:color="auto" w:sz="4" w:space="0"/>
              <w:right w:val="single" w:color="auto" w:sz="4" w:space="0"/>
            </w:tcBorders>
            <w:noWrap w:val="0"/>
            <w:vAlign w:val="top"/>
          </w:tcPr>
          <w:p w14:paraId="236066DF">
            <w:pPr>
              <w:snapToGrid w:val="0"/>
              <w:spacing w:before="50" w:after="120" w:afterLines="50" w:line="400" w:lineRule="exact"/>
              <w:jc w:val="left"/>
              <w:rPr>
                <w:color w:val="auto"/>
                <w:szCs w:val="21"/>
                <w:highlight w:val="none"/>
              </w:rPr>
            </w:pPr>
          </w:p>
        </w:tc>
        <w:tc>
          <w:tcPr>
            <w:tcW w:w="985" w:type="dxa"/>
            <w:tcBorders>
              <w:top w:val="single" w:color="auto" w:sz="4" w:space="0"/>
              <w:left w:val="single" w:color="auto" w:sz="4" w:space="0"/>
              <w:bottom w:val="single" w:color="auto" w:sz="4" w:space="0"/>
              <w:right w:val="single" w:color="auto" w:sz="4" w:space="0"/>
            </w:tcBorders>
            <w:noWrap w:val="0"/>
            <w:vAlign w:val="top"/>
          </w:tcPr>
          <w:p w14:paraId="3361AC35">
            <w:pPr>
              <w:snapToGrid w:val="0"/>
              <w:spacing w:before="50" w:after="120" w:afterLines="50" w:line="400" w:lineRule="exact"/>
              <w:jc w:val="left"/>
              <w:rPr>
                <w:color w:val="auto"/>
                <w:szCs w:val="21"/>
                <w:highlight w:val="none"/>
              </w:rPr>
            </w:pPr>
          </w:p>
        </w:tc>
        <w:tc>
          <w:tcPr>
            <w:tcW w:w="1314" w:type="dxa"/>
            <w:tcBorders>
              <w:top w:val="single" w:color="auto" w:sz="4" w:space="0"/>
              <w:left w:val="single" w:color="auto" w:sz="4" w:space="0"/>
              <w:bottom w:val="single" w:color="auto" w:sz="4" w:space="0"/>
              <w:right w:val="single" w:color="auto" w:sz="4" w:space="0"/>
            </w:tcBorders>
            <w:noWrap w:val="0"/>
            <w:vAlign w:val="top"/>
          </w:tcPr>
          <w:p w14:paraId="70EDD192">
            <w:pPr>
              <w:snapToGrid w:val="0"/>
              <w:spacing w:before="50" w:after="120" w:afterLines="50" w:line="400" w:lineRule="exact"/>
              <w:jc w:val="left"/>
              <w:rPr>
                <w:color w:val="auto"/>
                <w:szCs w:val="21"/>
                <w:highlight w:val="none"/>
              </w:rPr>
            </w:pPr>
          </w:p>
        </w:tc>
        <w:tc>
          <w:tcPr>
            <w:tcW w:w="1971" w:type="dxa"/>
            <w:tcBorders>
              <w:top w:val="single" w:color="auto" w:sz="4" w:space="0"/>
              <w:left w:val="single" w:color="auto" w:sz="4" w:space="0"/>
              <w:bottom w:val="single" w:color="auto" w:sz="4" w:space="0"/>
              <w:right w:val="single" w:color="auto" w:sz="4" w:space="0"/>
            </w:tcBorders>
            <w:noWrap w:val="0"/>
            <w:vAlign w:val="top"/>
          </w:tcPr>
          <w:p w14:paraId="3C00FCDC">
            <w:pPr>
              <w:snapToGrid w:val="0"/>
              <w:spacing w:before="50" w:after="120" w:afterLines="50" w:line="400" w:lineRule="exact"/>
              <w:jc w:val="left"/>
              <w:rPr>
                <w:color w:val="auto"/>
                <w:szCs w:val="21"/>
                <w:highlight w:val="none"/>
              </w:rPr>
            </w:pPr>
          </w:p>
        </w:tc>
      </w:tr>
      <w:tr w14:paraId="4911D2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1062" w:type="dxa"/>
            <w:tcBorders>
              <w:top w:val="single" w:color="auto" w:sz="4" w:space="0"/>
              <w:left w:val="single" w:color="auto" w:sz="4" w:space="0"/>
              <w:bottom w:val="single" w:color="auto" w:sz="4" w:space="0"/>
              <w:right w:val="single" w:color="auto" w:sz="4" w:space="0"/>
            </w:tcBorders>
            <w:noWrap w:val="0"/>
            <w:vAlign w:val="top"/>
          </w:tcPr>
          <w:p w14:paraId="2BC1287D">
            <w:pPr>
              <w:snapToGrid w:val="0"/>
              <w:spacing w:before="50" w:after="120" w:afterLines="50" w:line="400" w:lineRule="exact"/>
              <w:jc w:val="left"/>
              <w:rPr>
                <w:color w:val="auto"/>
                <w:szCs w:val="21"/>
                <w:highlight w:val="none"/>
              </w:rPr>
            </w:pPr>
          </w:p>
        </w:tc>
        <w:tc>
          <w:tcPr>
            <w:tcW w:w="3737" w:type="dxa"/>
            <w:tcBorders>
              <w:top w:val="single" w:color="auto" w:sz="4" w:space="0"/>
              <w:left w:val="single" w:color="auto" w:sz="4" w:space="0"/>
              <w:bottom w:val="single" w:color="auto" w:sz="4" w:space="0"/>
              <w:right w:val="single" w:color="auto" w:sz="4" w:space="0"/>
            </w:tcBorders>
            <w:noWrap w:val="0"/>
            <w:vAlign w:val="top"/>
          </w:tcPr>
          <w:p w14:paraId="211F2C02">
            <w:pPr>
              <w:snapToGrid w:val="0"/>
              <w:spacing w:before="50" w:after="120" w:afterLines="50" w:line="400" w:lineRule="exact"/>
              <w:jc w:val="left"/>
              <w:rPr>
                <w:color w:val="auto"/>
                <w:szCs w:val="21"/>
                <w:highlight w:val="none"/>
              </w:rPr>
            </w:pPr>
          </w:p>
        </w:tc>
        <w:tc>
          <w:tcPr>
            <w:tcW w:w="3123" w:type="dxa"/>
            <w:tcBorders>
              <w:top w:val="single" w:color="auto" w:sz="4" w:space="0"/>
              <w:left w:val="single" w:color="auto" w:sz="4" w:space="0"/>
              <w:bottom w:val="single" w:color="auto" w:sz="4" w:space="0"/>
              <w:right w:val="single" w:color="auto" w:sz="4" w:space="0"/>
            </w:tcBorders>
            <w:noWrap w:val="0"/>
            <w:vAlign w:val="top"/>
          </w:tcPr>
          <w:p w14:paraId="2BCE37DD">
            <w:pPr>
              <w:snapToGrid w:val="0"/>
              <w:spacing w:before="50" w:after="120" w:afterLines="50" w:line="400" w:lineRule="exact"/>
              <w:jc w:val="left"/>
              <w:rPr>
                <w:color w:val="auto"/>
                <w:szCs w:val="21"/>
                <w:highlight w:val="none"/>
              </w:rPr>
            </w:pPr>
          </w:p>
        </w:tc>
        <w:tc>
          <w:tcPr>
            <w:tcW w:w="985" w:type="dxa"/>
            <w:tcBorders>
              <w:top w:val="single" w:color="auto" w:sz="4" w:space="0"/>
              <w:left w:val="single" w:color="auto" w:sz="4" w:space="0"/>
              <w:bottom w:val="single" w:color="auto" w:sz="4" w:space="0"/>
              <w:right w:val="single" w:color="auto" w:sz="4" w:space="0"/>
            </w:tcBorders>
            <w:noWrap w:val="0"/>
            <w:vAlign w:val="top"/>
          </w:tcPr>
          <w:p w14:paraId="1BA1B809">
            <w:pPr>
              <w:snapToGrid w:val="0"/>
              <w:spacing w:before="50" w:after="120" w:afterLines="50" w:line="400" w:lineRule="exact"/>
              <w:jc w:val="left"/>
              <w:rPr>
                <w:color w:val="auto"/>
                <w:szCs w:val="21"/>
                <w:highlight w:val="none"/>
              </w:rPr>
            </w:pPr>
          </w:p>
        </w:tc>
        <w:tc>
          <w:tcPr>
            <w:tcW w:w="985" w:type="dxa"/>
            <w:tcBorders>
              <w:top w:val="single" w:color="auto" w:sz="4" w:space="0"/>
              <w:left w:val="single" w:color="auto" w:sz="4" w:space="0"/>
              <w:bottom w:val="single" w:color="auto" w:sz="4" w:space="0"/>
              <w:right w:val="single" w:color="auto" w:sz="4" w:space="0"/>
            </w:tcBorders>
            <w:noWrap w:val="0"/>
            <w:vAlign w:val="top"/>
          </w:tcPr>
          <w:p w14:paraId="5A97C222">
            <w:pPr>
              <w:snapToGrid w:val="0"/>
              <w:spacing w:before="50" w:after="120" w:afterLines="50" w:line="400" w:lineRule="exact"/>
              <w:jc w:val="left"/>
              <w:rPr>
                <w:color w:val="auto"/>
                <w:szCs w:val="21"/>
                <w:highlight w:val="none"/>
              </w:rPr>
            </w:pPr>
          </w:p>
        </w:tc>
        <w:tc>
          <w:tcPr>
            <w:tcW w:w="1314" w:type="dxa"/>
            <w:tcBorders>
              <w:top w:val="single" w:color="auto" w:sz="4" w:space="0"/>
              <w:left w:val="single" w:color="auto" w:sz="4" w:space="0"/>
              <w:bottom w:val="single" w:color="auto" w:sz="4" w:space="0"/>
              <w:right w:val="single" w:color="auto" w:sz="4" w:space="0"/>
            </w:tcBorders>
            <w:noWrap w:val="0"/>
            <w:vAlign w:val="top"/>
          </w:tcPr>
          <w:p w14:paraId="5894895B">
            <w:pPr>
              <w:snapToGrid w:val="0"/>
              <w:spacing w:before="50" w:after="120" w:afterLines="50" w:line="400" w:lineRule="exact"/>
              <w:jc w:val="left"/>
              <w:rPr>
                <w:color w:val="auto"/>
                <w:szCs w:val="21"/>
                <w:highlight w:val="none"/>
              </w:rPr>
            </w:pPr>
          </w:p>
        </w:tc>
        <w:tc>
          <w:tcPr>
            <w:tcW w:w="1971" w:type="dxa"/>
            <w:tcBorders>
              <w:top w:val="single" w:color="auto" w:sz="4" w:space="0"/>
              <w:left w:val="single" w:color="auto" w:sz="4" w:space="0"/>
              <w:bottom w:val="single" w:color="auto" w:sz="4" w:space="0"/>
              <w:right w:val="single" w:color="auto" w:sz="4" w:space="0"/>
            </w:tcBorders>
            <w:noWrap w:val="0"/>
            <w:vAlign w:val="top"/>
          </w:tcPr>
          <w:p w14:paraId="77EA9BC4">
            <w:pPr>
              <w:snapToGrid w:val="0"/>
              <w:spacing w:before="50" w:after="120" w:afterLines="50" w:line="400" w:lineRule="exact"/>
              <w:jc w:val="left"/>
              <w:rPr>
                <w:color w:val="auto"/>
                <w:szCs w:val="21"/>
                <w:highlight w:val="none"/>
              </w:rPr>
            </w:pPr>
          </w:p>
        </w:tc>
      </w:tr>
    </w:tbl>
    <w:p w14:paraId="316B4C5B">
      <w:pPr>
        <w:pStyle w:val="15"/>
        <w:snapToGrid w:val="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注：</w:t>
      </w:r>
    </w:p>
    <w:p w14:paraId="41392E49">
      <w:pPr>
        <w:pStyle w:val="15"/>
        <w:snapToGrid w:val="0"/>
        <w:rPr>
          <w:rFonts w:hint="eastAsia" w:ascii="Times New Roman" w:hAnsi="Times New Roman" w:eastAsia="宋体" w:cs="Times New Roman"/>
          <w:color w:val="auto"/>
          <w:sz w:val="21"/>
          <w:szCs w:val="21"/>
          <w:highlight w:val="none"/>
        </w:rPr>
      </w:pPr>
      <w:r>
        <w:rPr>
          <w:rFonts w:ascii="Times New Roman" w:hAnsi="Times New Roman" w:eastAsia="宋体" w:cs="Times New Roman"/>
          <w:color w:val="auto"/>
          <w:szCs w:val="21"/>
          <w:highlight w:val="none"/>
        </w:rPr>
        <w:t>（1）</w:t>
      </w:r>
      <w:r>
        <w:rPr>
          <w:rFonts w:ascii="Times New Roman" w:hAnsi="Times New Roman" w:eastAsia="宋体" w:cs="Times New Roman"/>
          <w:color w:val="auto"/>
          <w:sz w:val="21"/>
          <w:szCs w:val="21"/>
          <w:highlight w:val="none"/>
        </w:rPr>
        <w:t>未附</w:t>
      </w:r>
      <w:r>
        <w:rPr>
          <w:rFonts w:hint="eastAsia" w:ascii="Times New Roman" w:hAnsi="Times New Roman" w:eastAsia="宋体" w:cs="Times New Roman"/>
          <w:color w:val="auto"/>
          <w:sz w:val="21"/>
          <w:szCs w:val="21"/>
          <w:highlight w:val="none"/>
        </w:rPr>
        <w:t>证明材料</w:t>
      </w:r>
      <w:r>
        <w:rPr>
          <w:rFonts w:ascii="Times New Roman" w:hAnsi="Times New Roman" w:eastAsia="宋体" w:cs="Times New Roman"/>
          <w:color w:val="auto"/>
          <w:sz w:val="21"/>
          <w:szCs w:val="21"/>
          <w:highlight w:val="none"/>
        </w:rPr>
        <w:t>的业绩无效</w:t>
      </w:r>
      <w:r>
        <w:rPr>
          <w:rFonts w:hint="eastAsia" w:ascii="Times New Roman" w:hAnsi="Times New Roman" w:eastAsia="宋体" w:cs="Times New Roman"/>
          <w:color w:val="auto"/>
          <w:sz w:val="21"/>
          <w:szCs w:val="21"/>
          <w:highlight w:val="none"/>
        </w:rPr>
        <w:t>，证明材料</w:t>
      </w:r>
      <w:r>
        <w:rPr>
          <w:rFonts w:ascii="Times New Roman" w:hAnsi="Times New Roman" w:eastAsia="宋体" w:cs="Times New Roman"/>
          <w:color w:val="auto"/>
          <w:sz w:val="21"/>
          <w:szCs w:val="21"/>
          <w:highlight w:val="none"/>
        </w:rPr>
        <w:t>以</w:t>
      </w:r>
      <w:r>
        <w:rPr>
          <w:rFonts w:hint="eastAsia" w:ascii="Times New Roman" w:hAnsi="Times New Roman" w:eastAsia="宋体" w:cs="Times New Roman"/>
          <w:color w:val="auto"/>
          <w:sz w:val="21"/>
          <w:szCs w:val="21"/>
          <w:highlight w:val="none"/>
        </w:rPr>
        <w:t>成交</w:t>
      </w:r>
      <w:r>
        <w:rPr>
          <w:rFonts w:ascii="Times New Roman" w:hAnsi="Times New Roman" w:eastAsia="宋体" w:cs="Times New Roman"/>
          <w:color w:val="auto"/>
          <w:sz w:val="21"/>
          <w:szCs w:val="21"/>
          <w:highlight w:val="none"/>
        </w:rPr>
        <w:t>通知书或合同复印件为准</w:t>
      </w:r>
      <w:r>
        <w:rPr>
          <w:rFonts w:hint="eastAsia" w:ascii="Times New Roman" w:hAnsi="Times New Roman" w:eastAsia="宋体" w:cs="Times New Roman"/>
          <w:color w:val="auto"/>
          <w:sz w:val="21"/>
          <w:szCs w:val="21"/>
          <w:highlight w:val="none"/>
        </w:rPr>
        <w:t>。</w:t>
      </w:r>
    </w:p>
    <w:p w14:paraId="0AA79D74">
      <w:pPr>
        <w:rPr>
          <w:rFonts w:hint="eastAsia"/>
          <w:color w:val="auto"/>
          <w:highlight w:val="none"/>
        </w:rPr>
      </w:pPr>
      <w:r>
        <w:rPr>
          <w:color w:val="auto"/>
          <w:szCs w:val="21"/>
          <w:highlight w:val="none"/>
        </w:rPr>
        <w:t>（</w:t>
      </w:r>
      <w:r>
        <w:rPr>
          <w:rFonts w:hint="eastAsia"/>
          <w:color w:val="auto"/>
          <w:szCs w:val="21"/>
          <w:highlight w:val="none"/>
        </w:rPr>
        <w:t>2</w:t>
      </w:r>
      <w:r>
        <w:rPr>
          <w:color w:val="auto"/>
          <w:szCs w:val="21"/>
          <w:highlight w:val="none"/>
        </w:rPr>
        <w:t>）</w:t>
      </w:r>
      <w:r>
        <w:rPr>
          <w:color w:val="auto"/>
          <w:highlight w:val="none"/>
        </w:rPr>
        <w:t>本表可拓展</w:t>
      </w:r>
      <w:r>
        <w:rPr>
          <w:rFonts w:hint="eastAsia"/>
          <w:color w:val="auto"/>
          <w:highlight w:val="none"/>
        </w:rPr>
        <w:t>。</w:t>
      </w:r>
    </w:p>
    <w:p w14:paraId="0B81D728">
      <w:pPr>
        <w:snapToGrid w:val="0"/>
        <w:spacing w:before="50"/>
        <w:jc w:val="left"/>
        <w:rPr>
          <w:color w:val="auto"/>
          <w:szCs w:val="21"/>
          <w:highlight w:val="none"/>
        </w:rPr>
      </w:pPr>
    </w:p>
    <w:p w14:paraId="45EF3D98">
      <w:pPr>
        <w:snapToGrid w:val="0"/>
        <w:spacing w:before="50"/>
        <w:jc w:val="left"/>
        <w:rPr>
          <w:color w:val="auto"/>
          <w:szCs w:val="21"/>
          <w:highlight w:val="none"/>
        </w:rPr>
        <w:sectPr>
          <w:pgSz w:w="16838" w:h="11906" w:orient="landscape"/>
          <w:pgMar w:top="1274" w:right="1418" w:bottom="1418" w:left="1418" w:header="851" w:footer="992" w:gutter="0"/>
          <w:cols w:space="720" w:num="1"/>
          <w:docGrid w:linePitch="312" w:charSpace="0"/>
        </w:sectPr>
      </w:pPr>
      <w:bookmarkStart w:id="131" w:name="_Hlk89181592"/>
      <w:r>
        <w:rPr>
          <w:color w:val="auto"/>
          <w:szCs w:val="21"/>
          <w:highlight w:val="none"/>
        </w:rPr>
        <w:t>供应商</w:t>
      </w:r>
      <w:r>
        <w:rPr>
          <w:rFonts w:hint="eastAsia"/>
          <w:color w:val="auto"/>
          <w:szCs w:val="21"/>
          <w:highlight w:val="none"/>
        </w:rPr>
        <w:t>名称(电子签章</w:t>
      </w:r>
      <w:r>
        <w:rPr>
          <w:color w:val="auto"/>
          <w:szCs w:val="21"/>
          <w:highlight w:val="none"/>
        </w:rPr>
        <w:t>)：</w:t>
      </w:r>
      <w:r>
        <w:rPr>
          <w:color w:val="auto"/>
          <w:szCs w:val="21"/>
          <w:highlight w:val="none"/>
          <w:u w:val="single"/>
        </w:rPr>
        <w:t xml:space="preserve">                 </w:t>
      </w:r>
      <w:r>
        <w:rPr>
          <w:color w:val="auto"/>
          <w:szCs w:val="21"/>
          <w:highlight w:val="none"/>
        </w:rPr>
        <w:t xml:space="preserve">        </w:t>
      </w:r>
      <w:bookmarkEnd w:id="131"/>
      <w:r>
        <w:rPr>
          <w:color w:val="auto"/>
          <w:szCs w:val="21"/>
          <w:highlight w:val="none"/>
        </w:rPr>
        <w:t xml:space="preserve">                                   年    月   日</w:t>
      </w:r>
    </w:p>
    <w:bookmarkEnd w:id="130"/>
    <w:p w14:paraId="7FFB148B">
      <w:pPr>
        <w:snapToGrid w:val="0"/>
        <w:spacing w:before="50" w:after="120" w:afterLines="50"/>
        <w:jc w:val="left"/>
        <w:rPr>
          <w:color w:val="auto"/>
          <w:szCs w:val="21"/>
          <w:highlight w:val="none"/>
        </w:rPr>
      </w:pPr>
      <w:bookmarkStart w:id="132" w:name="_Hlk21623918"/>
      <w:r>
        <w:rPr>
          <w:color w:val="auto"/>
          <w:szCs w:val="21"/>
          <w:highlight w:val="none"/>
        </w:rPr>
        <w:t>9．</w:t>
      </w:r>
      <w:r>
        <w:rPr>
          <w:rFonts w:hint="eastAsia"/>
          <w:color w:val="auto"/>
          <w:szCs w:val="21"/>
          <w:highlight w:val="none"/>
        </w:rPr>
        <w:t>提供响应产品由中共中央网络安全和信息化委员会办公室网站最新发布的《网络关键设备和网络安全专用产品安全认证和安全检测结果》截图证明材料或提供有效期内的《计算机信息系统安全专用产品销售许可证》（采购标的包含时提供）</w:t>
      </w:r>
    </w:p>
    <w:p w14:paraId="04EC86E1">
      <w:pPr>
        <w:snapToGrid w:val="0"/>
        <w:spacing w:before="50" w:after="120" w:afterLines="50"/>
        <w:jc w:val="left"/>
        <w:rPr>
          <w:color w:val="auto"/>
          <w:szCs w:val="21"/>
          <w:highlight w:val="none"/>
        </w:rPr>
      </w:pPr>
    </w:p>
    <w:p w14:paraId="541E90F0">
      <w:pPr>
        <w:snapToGrid w:val="0"/>
        <w:spacing w:before="50" w:after="120" w:afterLines="50"/>
        <w:jc w:val="left"/>
        <w:rPr>
          <w:rFonts w:hint="eastAsia"/>
          <w:color w:val="auto"/>
          <w:szCs w:val="21"/>
          <w:highlight w:val="none"/>
        </w:rPr>
      </w:pPr>
      <w:r>
        <w:rPr>
          <w:color w:val="auto"/>
          <w:szCs w:val="21"/>
          <w:highlight w:val="none"/>
        </w:rPr>
        <w:t>10．符合政府采购政策</w:t>
      </w:r>
      <w:r>
        <w:rPr>
          <w:rFonts w:hint="eastAsia"/>
          <w:color w:val="auto"/>
          <w:szCs w:val="21"/>
          <w:highlight w:val="none"/>
        </w:rPr>
        <w:t>的</w:t>
      </w:r>
      <w:r>
        <w:rPr>
          <w:color w:val="auto"/>
          <w:szCs w:val="21"/>
          <w:highlight w:val="none"/>
        </w:rPr>
        <w:t>证明材料。</w:t>
      </w:r>
    </w:p>
    <w:p w14:paraId="1B727E16">
      <w:pPr>
        <w:snapToGrid w:val="0"/>
        <w:spacing w:before="50" w:after="120" w:afterLines="50"/>
        <w:jc w:val="left"/>
        <w:rPr>
          <w:color w:val="auto"/>
          <w:szCs w:val="21"/>
          <w:highlight w:val="none"/>
        </w:rPr>
      </w:pPr>
      <w:r>
        <w:rPr>
          <w:color w:val="auto"/>
          <w:szCs w:val="21"/>
          <w:highlight w:val="none"/>
        </w:rPr>
        <w:t>10</w:t>
      </w:r>
      <w:r>
        <w:rPr>
          <w:rFonts w:hint="eastAsia"/>
          <w:color w:val="auto"/>
          <w:szCs w:val="21"/>
          <w:highlight w:val="none"/>
        </w:rPr>
        <w:t>.1列入节能产品政府采购品目清单及环境标志产品政府采购品目清单的货物清单。</w:t>
      </w:r>
      <w:r>
        <w:rPr>
          <w:rFonts w:hint="eastAsia"/>
          <w:b/>
          <w:color w:val="auto"/>
          <w:szCs w:val="21"/>
          <w:highlight w:val="none"/>
        </w:rPr>
        <w:t>（如有，须提供）</w:t>
      </w:r>
    </w:p>
    <w:p w14:paraId="77B31FA8">
      <w:pPr>
        <w:snapToGrid w:val="0"/>
        <w:spacing w:before="50" w:after="120" w:afterLines="50"/>
        <w:jc w:val="left"/>
        <w:rPr>
          <w:color w:val="auto"/>
          <w:szCs w:val="21"/>
          <w:highlight w:val="none"/>
        </w:rPr>
      </w:pPr>
      <w:r>
        <w:rPr>
          <w:rFonts w:hint="eastAsia"/>
          <w:color w:val="auto"/>
          <w:szCs w:val="21"/>
          <w:highlight w:val="none"/>
        </w:rPr>
        <w:t>响应产品中如有列入节能产品政府采购品目清单及环境标志产品政府采购品目清单的货物，应按下表提供清单。</w:t>
      </w:r>
    </w:p>
    <w:p w14:paraId="357DC05F">
      <w:pPr>
        <w:spacing w:line="360" w:lineRule="auto"/>
        <w:jc w:val="center"/>
        <w:rPr>
          <w:color w:val="auto"/>
          <w:szCs w:val="21"/>
          <w:highlight w:val="none"/>
        </w:rPr>
      </w:pPr>
      <w:r>
        <w:rPr>
          <w:rFonts w:hint="eastAsia"/>
          <w:b/>
          <w:color w:val="auto"/>
          <w:szCs w:val="21"/>
          <w:highlight w:val="none"/>
        </w:rPr>
        <w:t>节能产品及环境标志产品清单</w:t>
      </w:r>
    </w:p>
    <w:tbl>
      <w:tblPr>
        <w:tblStyle w:val="51"/>
        <w:tblW w:w="9328"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767"/>
        <w:gridCol w:w="1134"/>
        <w:gridCol w:w="897"/>
        <w:gridCol w:w="1088"/>
        <w:gridCol w:w="1409"/>
        <w:gridCol w:w="1851"/>
        <w:gridCol w:w="1412"/>
        <w:gridCol w:w="770"/>
      </w:tblGrid>
      <w:tr w14:paraId="1FF12AE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54" w:hRule="atLeast"/>
          <w:jc w:val="center"/>
        </w:trPr>
        <w:tc>
          <w:tcPr>
            <w:tcW w:w="767" w:type="dxa"/>
            <w:tcBorders>
              <w:top w:val="single" w:color="auto" w:sz="12" w:space="0"/>
              <w:left w:val="single" w:color="auto" w:sz="12" w:space="0"/>
              <w:bottom w:val="single" w:color="auto" w:sz="8" w:space="0"/>
              <w:right w:val="single" w:color="auto" w:sz="8" w:space="0"/>
            </w:tcBorders>
            <w:noWrap w:val="0"/>
            <w:tcMar>
              <w:top w:w="0" w:type="dxa"/>
              <w:left w:w="57" w:type="dxa"/>
              <w:bottom w:w="0" w:type="dxa"/>
              <w:right w:w="57" w:type="dxa"/>
            </w:tcMar>
            <w:vAlign w:val="center"/>
          </w:tcPr>
          <w:p w14:paraId="46D83B08">
            <w:pPr>
              <w:widowControl/>
              <w:spacing w:before="100" w:beforeAutospacing="1" w:after="100" w:afterAutospacing="1" w:line="376" w:lineRule="atLeast"/>
              <w:jc w:val="center"/>
              <w:rPr>
                <w:color w:val="auto"/>
                <w:kern w:val="0"/>
                <w:szCs w:val="21"/>
                <w:highlight w:val="none"/>
              </w:rPr>
            </w:pPr>
            <w:r>
              <w:rPr>
                <w:color w:val="auto"/>
                <w:kern w:val="0"/>
                <w:szCs w:val="21"/>
                <w:highlight w:val="none"/>
              </w:rPr>
              <w:t>序号</w:t>
            </w:r>
          </w:p>
        </w:tc>
        <w:tc>
          <w:tcPr>
            <w:tcW w:w="1134" w:type="dxa"/>
            <w:tcBorders>
              <w:top w:val="single" w:color="auto" w:sz="12" w:space="0"/>
              <w:left w:val="nil"/>
              <w:bottom w:val="single" w:color="auto" w:sz="8" w:space="0"/>
              <w:right w:val="single" w:color="auto" w:sz="4" w:space="0"/>
            </w:tcBorders>
            <w:noWrap w:val="0"/>
            <w:tcMar>
              <w:top w:w="0" w:type="dxa"/>
              <w:left w:w="57" w:type="dxa"/>
              <w:bottom w:w="0" w:type="dxa"/>
              <w:right w:w="57" w:type="dxa"/>
            </w:tcMar>
            <w:vAlign w:val="center"/>
          </w:tcPr>
          <w:p w14:paraId="14957B6F">
            <w:pPr>
              <w:widowControl/>
              <w:spacing w:before="100" w:beforeAutospacing="1" w:after="100" w:afterAutospacing="1" w:line="376" w:lineRule="atLeast"/>
              <w:jc w:val="center"/>
              <w:rPr>
                <w:color w:val="auto"/>
                <w:kern w:val="0"/>
                <w:szCs w:val="21"/>
                <w:highlight w:val="none"/>
              </w:rPr>
            </w:pPr>
            <w:r>
              <w:rPr>
                <w:rFonts w:hint="eastAsia"/>
                <w:color w:val="auto"/>
                <w:kern w:val="0"/>
                <w:szCs w:val="21"/>
                <w:highlight w:val="none"/>
              </w:rPr>
              <w:t>类别</w:t>
            </w:r>
          </w:p>
        </w:tc>
        <w:tc>
          <w:tcPr>
            <w:tcW w:w="897" w:type="dxa"/>
            <w:tcBorders>
              <w:top w:val="single" w:color="auto" w:sz="12" w:space="0"/>
              <w:left w:val="single" w:color="auto" w:sz="4" w:space="0"/>
              <w:bottom w:val="single" w:color="auto" w:sz="8" w:space="0"/>
              <w:right w:val="single" w:color="auto" w:sz="8" w:space="0"/>
            </w:tcBorders>
            <w:noWrap w:val="0"/>
            <w:vAlign w:val="center"/>
          </w:tcPr>
          <w:p w14:paraId="426E558F">
            <w:pPr>
              <w:widowControl/>
              <w:spacing w:before="100" w:beforeAutospacing="1" w:after="100" w:afterAutospacing="1" w:line="376" w:lineRule="atLeast"/>
              <w:jc w:val="center"/>
              <w:rPr>
                <w:color w:val="auto"/>
                <w:kern w:val="0"/>
                <w:szCs w:val="21"/>
                <w:highlight w:val="none"/>
              </w:rPr>
            </w:pPr>
            <w:r>
              <w:rPr>
                <w:rFonts w:hint="eastAsia"/>
                <w:color w:val="auto"/>
                <w:kern w:val="0"/>
                <w:szCs w:val="21"/>
                <w:highlight w:val="none"/>
              </w:rPr>
              <w:t>品目</w:t>
            </w:r>
          </w:p>
        </w:tc>
        <w:tc>
          <w:tcPr>
            <w:tcW w:w="1088" w:type="dxa"/>
            <w:tcBorders>
              <w:top w:val="single" w:color="auto" w:sz="12" w:space="0"/>
              <w:left w:val="nil"/>
              <w:bottom w:val="single" w:color="auto" w:sz="8" w:space="0"/>
              <w:right w:val="single" w:color="auto" w:sz="4" w:space="0"/>
            </w:tcBorders>
            <w:noWrap w:val="0"/>
            <w:tcMar>
              <w:top w:w="0" w:type="dxa"/>
              <w:left w:w="57" w:type="dxa"/>
              <w:bottom w:w="0" w:type="dxa"/>
              <w:right w:w="57" w:type="dxa"/>
            </w:tcMar>
            <w:vAlign w:val="center"/>
          </w:tcPr>
          <w:p w14:paraId="321EBA9F">
            <w:pPr>
              <w:widowControl/>
              <w:spacing w:before="100" w:beforeAutospacing="1" w:after="100" w:afterAutospacing="1" w:line="376" w:lineRule="atLeast"/>
              <w:jc w:val="center"/>
              <w:rPr>
                <w:color w:val="auto"/>
                <w:kern w:val="0"/>
                <w:szCs w:val="21"/>
                <w:highlight w:val="none"/>
              </w:rPr>
            </w:pPr>
            <w:r>
              <w:rPr>
                <w:rFonts w:hint="eastAsia"/>
                <w:color w:val="auto"/>
                <w:kern w:val="0"/>
                <w:szCs w:val="21"/>
                <w:highlight w:val="none"/>
              </w:rPr>
              <w:t>品牌</w:t>
            </w:r>
          </w:p>
        </w:tc>
        <w:tc>
          <w:tcPr>
            <w:tcW w:w="1409" w:type="dxa"/>
            <w:tcBorders>
              <w:top w:val="single" w:color="auto" w:sz="12" w:space="0"/>
              <w:left w:val="single" w:color="auto" w:sz="4" w:space="0"/>
              <w:bottom w:val="single" w:color="auto" w:sz="8" w:space="0"/>
              <w:right w:val="single" w:color="auto" w:sz="8" w:space="0"/>
            </w:tcBorders>
            <w:noWrap w:val="0"/>
            <w:vAlign w:val="center"/>
          </w:tcPr>
          <w:p w14:paraId="60387D43">
            <w:pPr>
              <w:widowControl/>
              <w:spacing w:before="100" w:beforeAutospacing="1" w:after="100" w:afterAutospacing="1" w:line="376" w:lineRule="atLeast"/>
              <w:jc w:val="center"/>
              <w:rPr>
                <w:color w:val="auto"/>
                <w:kern w:val="0"/>
                <w:szCs w:val="21"/>
                <w:highlight w:val="none"/>
              </w:rPr>
            </w:pPr>
            <w:r>
              <w:rPr>
                <w:color w:val="auto"/>
                <w:kern w:val="0"/>
                <w:szCs w:val="21"/>
                <w:highlight w:val="none"/>
              </w:rPr>
              <w:t>规格型号</w:t>
            </w:r>
          </w:p>
        </w:tc>
        <w:tc>
          <w:tcPr>
            <w:tcW w:w="1851" w:type="dxa"/>
            <w:tcBorders>
              <w:top w:val="single" w:color="auto" w:sz="12" w:space="0"/>
              <w:left w:val="nil"/>
              <w:bottom w:val="single" w:color="auto" w:sz="8" w:space="0"/>
              <w:right w:val="single" w:color="auto" w:sz="8" w:space="0"/>
            </w:tcBorders>
            <w:noWrap w:val="0"/>
            <w:tcMar>
              <w:top w:w="0" w:type="dxa"/>
              <w:left w:w="57" w:type="dxa"/>
              <w:bottom w:w="0" w:type="dxa"/>
              <w:right w:w="57" w:type="dxa"/>
            </w:tcMar>
            <w:vAlign w:val="center"/>
          </w:tcPr>
          <w:p w14:paraId="2176B62E">
            <w:pPr>
              <w:widowControl/>
              <w:spacing w:before="100" w:beforeAutospacing="1" w:after="100" w:afterAutospacing="1" w:line="376" w:lineRule="atLeast"/>
              <w:jc w:val="center"/>
              <w:rPr>
                <w:color w:val="auto"/>
                <w:kern w:val="0"/>
                <w:szCs w:val="21"/>
                <w:highlight w:val="none"/>
              </w:rPr>
            </w:pPr>
            <w:r>
              <w:rPr>
                <w:rFonts w:ascii="Helvetica" w:hAnsi="Helvetica" w:cs="Helvetica"/>
                <w:color w:val="auto"/>
                <w:szCs w:val="21"/>
                <w:highlight w:val="none"/>
                <w:shd w:val="clear" w:color="auto" w:fill="FFFFFF"/>
              </w:rPr>
              <w:t>生产者（制造商）</w:t>
            </w:r>
          </w:p>
        </w:tc>
        <w:tc>
          <w:tcPr>
            <w:tcW w:w="1412" w:type="dxa"/>
            <w:tcBorders>
              <w:top w:val="single" w:color="auto" w:sz="12" w:space="0"/>
              <w:left w:val="nil"/>
              <w:bottom w:val="single" w:color="auto" w:sz="8" w:space="0"/>
              <w:right w:val="single" w:color="auto" w:sz="8" w:space="0"/>
            </w:tcBorders>
            <w:noWrap w:val="0"/>
            <w:tcMar>
              <w:top w:w="0" w:type="dxa"/>
              <w:left w:w="57" w:type="dxa"/>
              <w:bottom w:w="0" w:type="dxa"/>
              <w:right w:w="57" w:type="dxa"/>
            </w:tcMar>
            <w:vAlign w:val="center"/>
          </w:tcPr>
          <w:p w14:paraId="6B26B2D1">
            <w:pPr>
              <w:widowControl/>
              <w:spacing w:before="100" w:beforeAutospacing="1" w:after="100" w:afterAutospacing="1" w:line="376" w:lineRule="atLeast"/>
              <w:jc w:val="center"/>
              <w:rPr>
                <w:rFonts w:hint="eastAsia"/>
                <w:color w:val="auto"/>
                <w:kern w:val="0"/>
                <w:szCs w:val="21"/>
                <w:highlight w:val="none"/>
              </w:rPr>
            </w:pPr>
            <w:r>
              <w:rPr>
                <w:rFonts w:hint="eastAsia"/>
                <w:color w:val="auto"/>
                <w:kern w:val="0"/>
                <w:szCs w:val="21"/>
                <w:highlight w:val="none"/>
              </w:rPr>
              <w:t>证书编号及证书到期日期</w:t>
            </w:r>
          </w:p>
        </w:tc>
        <w:tc>
          <w:tcPr>
            <w:tcW w:w="770" w:type="dxa"/>
            <w:tcBorders>
              <w:top w:val="single" w:color="auto" w:sz="12" w:space="0"/>
              <w:left w:val="nil"/>
              <w:bottom w:val="single" w:color="auto" w:sz="8" w:space="0"/>
              <w:right w:val="single" w:color="auto" w:sz="12" w:space="0"/>
            </w:tcBorders>
            <w:noWrap w:val="0"/>
            <w:tcMar>
              <w:top w:w="0" w:type="dxa"/>
              <w:left w:w="57" w:type="dxa"/>
              <w:bottom w:w="0" w:type="dxa"/>
              <w:right w:w="57" w:type="dxa"/>
            </w:tcMar>
            <w:vAlign w:val="center"/>
          </w:tcPr>
          <w:p w14:paraId="72F8B48B">
            <w:pPr>
              <w:widowControl/>
              <w:spacing w:before="100" w:beforeAutospacing="1" w:after="100" w:afterAutospacing="1" w:line="376" w:lineRule="atLeast"/>
              <w:jc w:val="center"/>
              <w:rPr>
                <w:color w:val="auto"/>
                <w:kern w:val="0"/>
                <w:szCs w:val="21"/>
                <w:highlight w:val="none"/>
              </w:rPr>
            </w:pPr>
            <w:r>
              <w:rPr>
                <w:color w:val="auto"/>
                <w:kern w:val="0"/>
                <w:szCs w:val="21"/>
                <w:highlight w:val="none"/>
              </w:rPr>
              <w:t>备注</w:t>
            </w:r>
          </w:p>
        </w:tc>
      </w:tr>
      <w:tr w14:paraId="5418F79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33" w:hRule="atLeast"/>
          <w:jc w:val="center"/>
        </w:trPr>
        <w:tc>
          <w:tcPr>
            <w:tcW w:w="767" w:type="dxa"/>
            <w:tcBorders>
              <w:top w:val="nil"/>
              <w:left w:val="single" w:color="auto" w:sz="12" w:space="0"/>
              <w:bottom w:val="single" w:color="auto" w:sz="8" w:space="0"/>
              <w:right w:val="single" w:color="auto" w:sz="8" w:space="0"/>
            </w:tcBorders>
            <w:noWrap w:val="0"/>
            <w:tcMar>
              <w:top w:w="0" w:type="dxa"/>
              <w:left w:w="57" w:type="dxa"/>
              <w:bottom w:w="0" w:type="dxa"/>
              <w:right w:w="57" w:type="dxa"/>
            </w:tcMar>
            <w:vAlign w:val="center"/>
          </w:tcPr>
          <w:p w14:paraId="5C72828A">
            <w:pPr>
              <w:widowControl/>
              <w:spacing w:before="100" w:beforeAutospacing="1" w:after="100" w:afterAutospacing="1" w:line="376" w:lineRule="atLeast"/>
              <w:jc w:val="center"/>
              <w:rPr>
                <w:color w:val="auto"/>
                <w:kern w:val="0"/>
                <w:szCs w:val="21"/>
                <w:highlight w:val="none"/>
              </w:rPr>
            </w:pPr>
            <w:r>
              <w:rPr>
                <w:color w:val="auto"/>
                <w:kern w:val="0"/>
                <w:szCs w:val="21"/>
                <w:highlight w:val="none"/>
              </w:rPr>
              <w:t>1</w:t>
            </w:r>
          </w:p>
        </w:tc>
        <w:tc>
          <w:tcPr>
            <w:tcW w:w="1134" w:type="dxa"/>
            <w:tcBorders>
              <w:top w:val="nil"/>
              <w:left w:val="nil"/>
              <w:bottom w:val="single" w:color="auto" w:sz="8" w:space="0"/>
              <w:right w:val="single" w:color="auto" w:sz="4" w:space="0"/>
            </w:tcBorders>
            <w:noWrap w:val="0"/>
            <w:tcMar>
              <w:top w:w="0" w:type="dxa"/>
              <w:left w:w="57" w:type="dxa"/>
              <w:bottom w:w="0" w:type="dxa"/>
              <w:right w:w="57" w:type="dxa"/>
            </w:tcMar>
            <w:vAlign w:val="center"/>
          </w:tcPr>
          <w:p w14:paraId="074DC1F9">
            <w:pPr>
              <w:widowControl/>
              <w:spacing w:before="100" w:beforeAutospacing="1" w:after="100" w:afterAutospacing="1" w:line="376" w:lineRule="atLeast"/>
              <w:jc w:val="center"/>
              <w:rPr>
                <w:rFonts w:hint="eastAsia"/>
                <w:color w:val="auto"/>
                <w:kern w:val="0"/>
                <w:szCs w:val="21"/>
                <w:highlight w:val="none"/>
              </w:rPr>
            </w:pPr>
          </w:p>
        </w:tc>
        <w:tc>
          <w:tcPr>
            <w:tcW w:w="897" w:type="dxa"/>
            <w:tcBorders>
              <w:top w:val="nil"/>
              <w:left w:val="single" w:color="auto" w:sz="4" w:space="0"/>
              <w:bottom w:val="single" w:color="auto" w:sz="8" w:space="0"/>
              <w:right w:val="single" w:color="auto" w:sz="8" w:space="0"/>
            </w:tcBorders>
            <w:noWrap w:val="0"/>
            <w:vAlign w:val="center"/>
          </w:tcPr>
          <w:p w14:paraId="71A8E913">
            <w:pPr>
              <w:widowControl/>
              <w:spacing w:before="100" w:beforeAutospacing="1" w:after="100" w:afterAutospacing="1" w:line="376" w:lineRule="atLeast"/>
              <w:jc w:val="center"/>
              <w:rPr>
                <w:color w:val="auto"/>
                <w:kern w:val="0"/>
                <w:szCs w:val="21"/>
                <w:highlight w:val="none"/>
              </w:rPr>
            </w:pPr>
          </w:p>
        </w:tc>
        <w:tc>
          <w:tcPr>
            <w:tcW w:w="1088" w:type="dxa"/>
            <w:tcBorders>
              <w:top w:val="nil"/>
              <w:left w:val="nil"/>
              <w:bottom w:val="single" w:color="auto" w:sz="8" w:space="0"/>
              <w:right w:val="single" w:color="auto" w:sz="4" w:space="0"/>
            </w:tcBorders>
            <w:noWrap w:val="0"/>
            <w:tcMar>
              <w:top w:w="0" w:type="dxa"/>
              <w:left w:w="57" w:type="dxa"/>
              <w:bottom w:w="0" w:type="dxa"/>
              <w:right w:w="57" w:type="dxa"/>
            </w:tcMar>
            <w:vAlign w:val="center"/>
          </w:tcPr>
          <w:p w14:paraId="74F862AF">
            <w:pPr>
              <w:widowControl/>
              <w:spacing w:before="100" w:beforeAutospacing="1" w:after="100" w:afterAutospacing="1" w:line="376" w:lineRule="atLeast"/>
              <w:jc w:val="center"/>
              <w:rPr>
                <w:color w:val="auto"/>
                <w:kern w:val="0"/>
                <w:szCs w:val="21"/>
                <w:highlight w:val="none"/>
              </w:rPr>
            </w:pPr>
          </w:p>
        </w:tc>
        <w:tc>
          <w:tcPr>
            <w:tcW w:w="1409" w:type="dxa"/>
            <w:tcBorders>
              <w:top w:val="nil"/>
              <w:left w:val="single" w:color="auto" w:sz="4" w:space="0"/>
              <w:bottom w:val="single" w:color="auto" w:sz="8" w:space="0"/>
              <w:right w:val="single" w:color="auto" w:sz="8" w:space="0"/>
            </w:tcBorders>
            <w:noWrap w:val="0"/>
            <w:vAlign w:val="center"/>
          </w:tcPr>
          <w:p w14:paraId="0D08DF31">
            <w:pPr>
              <w:widowControl/>
              <w:spacing w:before="100" w:beforeAutospacing="1" w:after="100" w:afterAutospacing="1" w:line="376" w:lineRule="atLeast"/>
              <w:jc w:val="center"/>
              <w:rPr>
                <w:color w:val="auto"/>
                <w:kern w:val="0"/>
                <w:szCs w:val="21"/>
                <w:highlight w:val="none"/>
              </w:rPr>
            </w:pPr>
          </w:p>
        </w:tc>
        <w:tc>
          <w:tcPr>
            <w:tcW w:w="1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4639B313">
            <w:pPr>
              <w:widowControl/>
              <w:spacing w:before="100" w:beforeAutospacing="1" w:after="100" w:afterAutospacing="1" w:line="376" w:lineRule="atLeast"/>
              <w:jc w:val="center"/>
              <w:rPr>
                <w:color w:val="auto"/>
                <w:kern w:val="0"/>
                <w:szCs w:val="21"/>
                <w:highlight w:val="none"/>
              </w:rPr>
            </w:pPr>
          </w:p>
        </w:tc>
        <w:tc>
          <w:tcPr>
            <w:tcW w:w="1412"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0F4E5FE2">
            <w:pPr>
              <w:widowControl/>
              <w:spacing w:before="100" w:beforeAutospacing="1" w:after="100" w:afterAutospacing="1" w:line="376" w:lineRule="atLeast"/>
              <w:jc w:val="center"/>
              <w:rPr>
                <w:color w:val="auto"/>
                <w:kern w:val="0"/>
                <w:szCs w:val="21"/>
                <w:highlight w:val="none"/>
              </w:rPr>
            </w:pPr>
          </w:p>
        </w:tc>
        <w:tc>
          <w:tcPr>
            <w:tcW w:w="770" w:type="dxa"/>
            <w:tcBorders>
              <w:top w:val="nil"/>
              <w:left w:val="nil"/>
              <w:bottom w:val="single" w:color="auto" w:sz="8" w:space="0"/>
              <w:right w:val="single" w:color="auto" w:sz="12" w:space="0"/>
            </w:tcBorders>
            <w:noWrap w:val="0"/>
            <w:tcMar>
              <w:top w:w="0" w:type="dxa"/>
              <w:left w:w="57" w:type="dxa"/>
              <w:bottom w:w="0" w:type="dxa"/>
              <w:right w:w="57" w:type="dxa"/>
            </w:tcMar>
            <w:vAlign w:val="center"/>
          </w:tcPr>
          <w:p w14:paraId="7FA603E1">
            <w:pPr>
              <w:widowControl/>
              <w:spacing w:before="100" w:beforeAutospacing="1" w:after="100" w:afterAutospacing="1" w:line="376" w:lineRule="atLeast"/>
              <w:jc w:val="center"/>
              <w:rPr>
                <w:color w:val="auto"/>
                <w:kern w:val="0"/>
                <w:szCs w:val="21"/>
                <w:highlight w:val="none"/>
              </w:rPr>
            </w:pPr>
          </w:p>
        </w:tc>
      </w:tr>
      <w:tr w14:paraId="5C71514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81" w:hRule="atLeast"/>
          <w:jc w:val="center"/>
        </w:trPr>
        <w:tc>
          <w:tcPr>
            <w:tcW w:w="767" w:type="dxa"/>
            <w:tcBorders>
              <w:top w:val="nil"/>
              <w:left w:val="single" w:color="auto" w:sz="12" w:space="0"/>
              <w:bottom w:val="single" w:color="auto" w:sz="8" w:space="0"/>
              <w:right w:val="single" w:color="auto" w:sz="8" w:space="0"/>
            </w:tcBorders>
            <w:noWrap w:val="0"/>
            <w:tcMar>
              <w:top w:w="0" w:type="dxa"/>
              <w:left w:w="57" w:type="dxa"/>
              <w:bottom w:w="0" w:type="dxa"/>
              <w:right w:w="57" w:type="dxa"/>
            </w:tcMar>
            <w:vAlign w:val="center"/>
          </w:tcPr>
          <w:p w14:paraId="5D464C7F">
            <w:pPr>
              <w:widowControl/>
              <w:spacing w:before="100" w:beforeAutospacing="1" w:after="100" w:afterAutospacing="1" w:line="376" w:lineRule="atLeast"/>
              <w:jc w:val="center"/>
              <w:rPr>
                <w:color w:val="auto"/>
                <w:kern w:val="0"/>
                <w:szCs w:val="21"/>
                <w:highlight w:val="none"/>
              </w:rPr>
            </w:pPr>
            <w:r>
              <w:rPr>
                <w:color w:val="auto"/>
                <w:kern w:val="0"/>
                <w:szCs w:val="21"/>
                <w:highlight w:val="none"/>
              </w:rPr>
              <w:t>2</w:t>
            </w:r>
          </w:p>
        </w:tc>
        <w:tc>
          <w:tcPr>
            <w:tcW w:w="1134" w:type="dxa"/>
            <w:tcBorders>
              <w:top w:val="nil"/>
              <w:left w:val="nil"/>
              <w:bottom w:val="single" w:color="auto" w:sz="8" w:space="0"/>
              <w:right w:val="single" w:color="auto" w:sz="4" w:space="0"/>
            </w:tcBorders>
            <w:noWrap w:val="0"/>
            <w:tcMar>
              <w:top w:w="0" w:type="dxa"/>
              <w:left w:w="57" w:type="dxa"/>
              <w:bottom w:w="0" w:type="dxa"/>
              <w:right w:w="57" w:type="dxa"/>
            </w:tcMar>
            <w:vAlign w:val="center"/>
          </w:tcPr>
          <w:p w14:paraId="250ECBDF">
            <w:pPr>
              <w:widowControl/>
              <w:spacing w:before="100" w:beforeAutospacing="1" w:after="100" w:afterAutospacing="1" w:line="376" w:lineRule="atLeast"/>
              <w:jc w:val="center"/>
              <w:rPr>
                <w:color w:val="auto"/>
                <w:kern w:val="0"/>
                <w:szCs w:val="21"/>
                <w:highlight w:val="none"/>
              </w:rPr>
            </w:pPr>
          </w:p>
        </w:tc>
        <w:tc>
          <w:tcPr>
            <w:tcW w:w="897" w:type="dxa"/>
            <w:tcBorders>
              <w:top w:val="nil"/>
              <w:left w:val="single" w:color="auto" w:sz="4" w:space="0"/>
              <w:bottom w:val="single" w:color="auto" w:sz="8" w:space="0"/>
              <w:right w:val="single" w:color="auto" w:sz="8" w:space="0"/>
            </w:tcBorders>
            <w:noWrap w:val="0"/>
            <w:vAlign w:val="center"/>
          </w:tcPr>
          <w:p w14:paraId="72998AD7">
            <w:pPr>
              <w:widowControl/>
              <w:spacing w:before="100" w:beforeAutospacing="1" w:after="100" w:afterAutospacing="1" w:line="376" w:lineRule="atLeast"/>
              <w:jc w:val="center"/>
              <w:rPr>
                <w:color w:val="auto"/>
                <w:kern w:val="0"/>
                <w:szCs w:val="21"/>
                <w:highlight w:val="none"/>
              </w:rPr>
            </w:pPr>
          </w:p>
        </w:tc>
        <w:tc>
          <w:tcPr>
            <w:tcW w:w="1088" w:type="dxa"/>
            <w:tcBorders>
              <w:top w:val="nil"/>
              <w:left w:val="nil"/>
              <w:bottom w:val="single" w:color="auto" w:sz="8" w:space="0"/>
              <w:right w:val="single" w:color="auto" w:sz="4" w:space="0"/>
            </w:tcBorders>
            <w:noWrap w:val="0"/>
            <w:tcMar>
              <w:top w:w="0" w:type="dxa"/>
              <w:left w:w="57" w:type="dxa"/>
              <w:bottom w:w="0" w:type="dxa"/>
              <w:right w:w="57" w:type="dxa"/>
            </w:tcMar>
            <w:vAlign w:val="center"/>
          </w:tcPr>
          <w:p w14:paraId="557377FB">
            <w:pPr>
              <w:widowControl/>
              <w:spacing w:before="100" w:beforeAutospacing="1" w:after="100" w:afterAutospacing="1" w:line="376" w:lineRule="atLeast"/>
              <w:jc w:val="center"/>
              <w:rPr>
                <w:color w:val="auto"/>
                <w:kern w:val="0"/>
                <w:szCs w:val="21"/>
                <w:highlight w:val="none"/>
              </w:rPr>
            </w:pPr>
          </w:p>
        </w:tc>
        <w:tc>
          <w:tcPr>
            <w:tcW w:w="1409" w:type="dxa"/>
            <w:tcBorders>
              <w:top w:val="nil"/>
              <w:left w:val="single" w:color="auto" w:sz="4" w:space="0"/>
              <w:bottom w:val="single" w:color="auto" w:sz="8" w:space="0"/>
              <w:right w:val="single" w:color="auto" w:sz="8" w:space="0"/>
            </w:tcBorders>
            <w:noWrap w:val="0"/>
            <w:vAlign w:val="center"/>
          </w:tcPr>
          <w:p w14:paraId="3774ACD0">
            <w:pPr>
              <w:widowControl/>
              <w:spacing w:before="100" w:beforeAutospacing="1" w:after="100" w:afterAutospacing="1" w:line="376" w:lineRule="atLeast"/>
              <w:jc w:val="center"/>
              <w:rPr>
                <w:color w:val="auto"/>
                <w:kern w:val="0"/>
                <w:szCs w:val="21"/>
                <w:highlight w:val="none"/>
              </w:rPr>
            </w:pPr>
          </w:p>
        </w:tc>
        <w:tc>
          <w:tcPr>
            <w:tcW w:w="1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4F7579A0">
            <w:pPr>
              <w:widowControl/>
              <w:spacing w:before="100" w:beforeAutospacing="1" w:after="100" w:afterAutospacing="1" w:line="376" w:lineRule="atLeast"/>
              <w:jc w:val="center"/>
              <w:rPr>
                <w:color w:val="auto"/>
                <w:kern w:val="0"/>
                <w:szCs w:val="21"/>
                <w:highlight w:val="none"/>
              </w:rPr>
            </w:pPr>
          </w:p>
        </w:tc>
        <w:tc>
          <w:tcPr>
            <w:tcW w:w="1412"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52BFBCA7">
            <w:pPr>
              <w:widowControl/>
              <w:spacing w:before="100" w:beforeAutospacing="1" w:after="100" w:afterAutospacing="1" w:line="376" w:lineRule="atLeast"/>
              <w:jc w:val="center"/>
              <w:rPr>
                <w:color w:val="auto"/>
                <w:kern w:val="0"/>
                <w:szCs w:val="21"/>
                <w:highlight w:val="none"/>
              </w:rPr>
            </w:pPr>
          </w:p>
        </w:tc>
        <w:tc>
          <w:tcPr>
            <w:tcW w:w="770" w:type="dxa"/>
            <w:tcBorders>
              <w:top w:val="nil"/>
              <w:left w:val="nil"/>
              <w:bottom w:val="single" w:color="auto" w:sz="8" w:space="0"/>
              <w:right w:val="single" w:color="auto" w:sz="12" w:space="0"/>
            </w:tcBorders>
            <w:noWrap w:val="0"/>
            <w:tcMar>
              <w:top w:w="0" w:type="dxa"/>
              <w:left w:w="57" w:type="dxa"/>
              <w:bottom w:w="0" w:type="dxa"/>
              <w:right w:w="57" w:type="dxa"/>
            </w:tcMar>
            <w:vAlign w:val="center"/>
          </w:tcPr>
          <w:p w14:paraId="490DFC60">
            <w:pPr>
              <w:widowControl/>
              <w:spacing w:before="100" w:beforeAutospacing="1" w:after="100" w:afterAutospacing="1" w:line="376" w:lineRule="atLeast"/>
              <w:jc w:val="center"/>
              <w:rPr>
                <w:color w:val="auto"/>
                <w:kern w:val="0"/>
                <w:szCs w:val="21"/>
                <w:highlight w:val="none"/>
              </w:rPr>
            </w:pPr>
          </w:p>
        </w:tc>
      </w:tr>
      <w:tr w14:paraId="73B2DD7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767" w:type="dxa"/>
            <w:tcBorders>
              <w:top w:val="nil"/>
              <w:left w:val="single" w:color="auto" w:sz="12" w:space="0"/>
              <w:bottom w:val="single" w:color="auto" w:sz="8" w:space="0"/>
              <w:right w:val="single" w:color="auto" w:sz="8" w:space="0"/>
            </w:tcBorders>
            <w:noWrap w:val="0"/>
            <w:tcMar>
              <w:top w:w="0" w:type="dxa"/>
              <w:left w:w="57" w:type="dxa"/>
              <w:bottom w:w="0" w:type="dxa"/>
              <w:right w:w="57" w:type="dxa"/>
            </w:tcMar>
            <w:vAlign w:val="center"/>
          </w:tcPr>
          <w:p w14:paraId="6D0FB2D8">
            <w:pPr>
              <w:widowControl/>
              <w:spacing w:before="100" w:beforeAutospacing="1" w:after="100" w:afterAutospacing="1" w:line="376" w:lineRule="atLeast"/>
              <w:jc w:val="center"/>
              <w:rPr>
                <w:color w:val="auto"/>
                <w:kern w:val="0"/>
                <w:szCs w:val="21"/>
                <w:highlight w:val="none"/>
              </w:rPr>
            </w:pPr>
            <w:r>
              <w:rPr>
                <w:color w:val="auto"/>
                <w:kern w:val="0"/>
                <w:szCs w:val="21"/>
                <w:highlight w:val="none"/>
              </w:rPr>
              <w:t>……</w:t>
            </w:r>
          </w:p>
        </w:tc>
        <w:tc>
          <w:tcPr>
            <w:tcW w:w="1134" w:type="dxa"/>
            <w:tcBorders>
              <w:top w:val="nil"/>
              <w:left w:val="nil"/>
              <w:bottom w:val="single" w:color="auto" w:sz="8" w:space="0"/>
              <w:right w:val="single" w:color="auto" w:sz="4" w:space="0"/>
            </w:tcBorders>
            <w:noWrap w:val="0"/>
            <w:tcMar>
              <w:top w:w="0" w:type="dxa"/>
              <w:left w:w="57" w:type="dxa"/>
              <w:bottom w:w="0" w:type="dxa"/>
              <w:right w:w="57" w:type="dxa"/>
            </w:tcMar>
            <w:vAlign w:val="center"/>
          </w:tcPr>
          <w:p w14:paraId="128D2174">
            <w:pPr>
              <w:widowControl/>
              <w:spacing w:before="100" w:beforeAutospacing="1" w:after="100" w:afterAutospacing="1" w:line="376" w:lineRule="atLeast"/>
              <w:jc w:val="center"/>
              <w:rPr>
                <w:color w:val="auto"/>
                <w:kern w:val="0"/>
                <w:szCs w:val="21"/>
                <w:highlight w:val="none"/>
              </w:rPr>
            </w:pPr>
          </w:p>
        </w:tc>
        <w:tc>
          <w:tcPr>
            <w:tcW w:w="897" w:type="dxa"/>
            <w:tcBorders>
              <w:top w:val="nil"/>
              <w:left w:val="single" w:color="auto" w:sz="4" w:space="0"/>
              <w:bottom w:val="single" w:color="auto" w:sz="8" w:space="0"/>
              <w:right w:val="single" w:color="auto" w:sz="8" w:space="0"/>
            </w:tcBorders>
            <w:noWrap w:val="0"/>
            <w:vAlign w:val="center"/>
          </w:tcPr>
          <w:p w14:paraId="1A34E369">
            <w:pPr>
              <w:widowControl/>
              <w:spacing w:before="100" w:beforeAutospacing="1" w:after="100" w:afterAutospacing="1" w:line="376" w:lineRule="atLeast"/>
              <w:jc w:val="center"/>
              <w:rPr>
                <w:color w:val="auto"/>
                <w:kern w:val="0"/>
                <w:szCs w:val="21"/>
                <w:highlight w:val="none"/>
              </w:rPr>
            </w:pPr>
          </w:p>
        </w:tc>
        <w:tc>
          <w:tcPr>
            <w:tcW w:w="1088" w:type="dxa"/>
            <w:tcBorders>
              <w:top w:val="nil"/>
              <w:left w:val="nil"/>
              <w:bottom w:val="single" w:color="auto" w:sz="8" w:space="0"/>
              <w:right w:val="single" w:color="auto" w:sz="4" w:space="0"/>
            </w:tcBorders>
            <w:noWrap w:val="0"/>
            <w:tcMar>
              <w:top w:w="0" w:type="dxa"/>
              <w:left w:w="57" w:type="dxa"/>
              <w:bottom w:w="0" w:type="dxa"/>
              <w:right w:w="57" w:type="dxa"/>
            </w:tcMar>
            <w:vAlign w:val="center"/>
          </w:tcPr>
          <w:p w14:paraId="7BB82A03">
            <w:pPr>
              <w:widowControl/>
              <w:spacing w:before="100" w:beforeAutospacing="1" w:after="100" w:afterAutospacing="1" w:line="376" w:lineRule="atLeast"/>
              <w:jc w:val="center"/>
              <w:rPr>
                <w:color w:val="auto"/>
                <w:kern w:val="0"/>
                <w:szCs w:val="21"/>
                <w:highlight w:val="none"/>
              </w:rPr>
            </w:pPr>
          </w:p>
        </w:tc>
        <w:tc>
          <w:tcPr>
            <w:tcW w:w="1409" w:type="dxa"/>
            <w:tcBorders>
              <w:top w:val="nil"/>
              <w:left w:val="single" w:color="auto" w:sz="4" w:space="0"/>
              <w:bottom w:val="single" w:color="auto" w:sz="8" w:space="0"/>
              <w:right w:val="single" w:color="auto" w:sz="8" w:space="0"/>
            </w:tcBorders>
            <w:noWrap w:val="0"/>
            <w:vAlign w:val="center"/>
          </w:tcPr>
          <w:p w14:paraId="39D68FF1">
            <w:pPr>
              <w:widowControl/>
              <w:spacing w:before="100" w:beforeAutospacing="1" w:after="100" w:afterAutospacing="1" w:line="376" w:lineRule="atLeast"/>
              <w:jc w:val="center"/>
              <w:rPr>
                <w:color w:val="auto"/>
                <w:kern w:val="0"/>
                <w:szCs w:val="21"/>
                <w:highlight w:val="none"/>
              </w:rPr>
            </w:pPr>
          </w:p>
        </w:tc>
        <w:tc>
          <w:tcPr>
            <w:tcW w:w="1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128BAAC9">
            <w:pPr>
              <w:widowControl/>
              <w:spacing w:before="100" w:beforeAutospacing="1" w:after="100" w:afterAutospacing="1" w:line="376" w:lineRule="atLeast"/>
              <w:jc w:val="center"/>
              <w:rPr>
                <w:color w:val="auto"/>
                <w:kern w:val="0"/>
                <w:szCs w:val="21"/>
                <w:highlight w:val="none"/>
              </w:rPr>
            </w:pPr>
          </w:p>
        </w:tc>
        <w:tc>
          <w:tcPr>
            <w:tcW w:w="1412"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068E02A6">
            <w:pPr>
              <w:widowControl/>
              <w:spacing w:before="100" w:beforeAutospacing="1" w:after="100" w:afterAutospacing="1" w:line="376" w:lineRule="atLeast"/>
              <w:jc w:val="center"/>
              <w:rPr>
                <w:color w:val="auto"/>
                <w:kern w:val="0"/>
                <w:szCs w:val="21"/>
                <w:highlight w:val="none"/>
              </w:rPr>
            </w:pPr>
          </w:p>
        </w:tc>
        <w:tc>
          <w:tcPr>
            <w:tcW w:w="770" w:type="dxa"/>
            <w:tcBorders>
              <w:top w:val="nil"/>
              <w:left w:val="nil"/>
              <w:bottom w:val="single" w:color="auto" w:sz="8" w:space="0"/>
              <w:right w:val="single" w:color="auto" w:sz="12" w:space="0"/>
            </w:tcBorders>
            <w:noWrap w:val="0"/>
            <w:tcMar>
              <w:top w:w="0" w:type="dxa"/>
              <w:left w:w="57" w:type="dxa"/>
              <w:bottom w:w="0" w:type="dxa"/>
              <w:right w:w="57" w:type="dxa"/>
            </w:tcMar>
            <w:vAlign w:val="center"/>
          </w:tcPr>
          <w:p w14:paraId="27AC9B8A">
            <w:pPr>
              <w:widowControl/>
              <w:spacing w:before="100" w:beforeAutospacing="1" w:after="100" w:afterAutospacing="1" w:line="376" w:lineRule="atLeast"/>
              <w:jc w:val="center"/>
              <w:rPr>
                <w:color w:val="auto"/>
                <w:kern w:val="0"/>
                <w:szCs w:val="21"/>
                <w:highlight w:val="none"/>
              </w:rPr>
            </w:pPr>
          </w:p>
        </w:tc>
      </w:tr>
    </w:tbl>
    <w:p w14:paraId="2CA16354">
      <w:pPr>
        <w:snapToGrid w:val="0"/>
        <w:spacing w:before="50" w:after="120" w:afterLines="50"/>
        <w:jc w:val="left"/>
        <w:rPr>
          <w:rFonts w:hint="eastAsia"/>
          <w:color w:val="auto"/>
          <w:szCs w:val="21"/>
          <w:highlight w:val="none"/>
        </w:rPr>
      </w:pPr>
      <w:r>
        <w:rPr>
          <w:rFonts w:hint="eastAsia"/>
          <w:color w:val="auto"/>
          <w:szCs w:val="21"/>
          <w:highlight w:val="none"/>
        </w:rPr>
        <w:t>注：类别填写节能或环境标志，品目填写编号及产品名称如A</w:t>
      </w:r>
      <w:r>
        <w:rPr>
          <w:color w:val="auto"/>
          <w:szCs w:val="21"/>
          <w:highlight w:val="none"/>
        </w:rPr>
        <w:t>02010104</w:t>
      </w:r>
      <w:r>
        <w:rPr>
          <w:rFonts w:hint="eastAsia"/>
          <w:color w:val="auto"/>
          <w:szCs w:val="21"/>
          <w:highlight w:val="none"/>
        </w:rPr>
        <w:t>台式计算机。</w:t>
      </w:r>
    </w:p>
    <w:p w14:paraId="56FF4206">
      <w:pPr>
        <w:snapToGrid w:val="0"/>
        <w:spacing w:before="50" w:after="120" w:afterLines="50"/>
        <w:jc w:val="left"/>
        <w:rPr>
          <w:rFonts w:hint="eastAsia"/>
          <w:color w:val="auto"/>
          <w:szCs w:val="21"/>
          <w:highlight w:val="none"/>
        </w:rPr>
      </w:pPr>
    </w:p>
    <w:bookmarkEnd w:id="132"/>
    <w:p w14:paraId="131EB888">
      <w:pPr>
        <w:snapToGrid w:val="0"/>
        <w:spacing w:before="50" w:after="120" w:afterLines="50"/>
        <w:jc w:val="left"/>
        <w:rPr>
          <w:color w:val="auto"/>
          <w:szCs w:val="21"/>
          <w:highlight w:val="none"/>
        </w:rPr>
      </w:pPr>
    </w:p>
    <w:p w14:paraId="77AA3D16">
      <w:pPr>
        <w:snapToGrid w:val="0"/>
        <w:spacing w:before="120" w:beforeLines="50" w:after="50" w:line="440" w:lineRule="exact"/>
        <w:jc w:val="left"/>
        <w:rPr>
          <w:color w:val="auto"/>
          <w:szCs w:val="21"/>
          <w:highlight w:val="none"/>
        </w:rPr>
      </w:pPr>
      <w:r>
        <w:rPr>
          <w:color w:val="auto"/>
          <w:szCs w:val="21"/>
          <w:highlight w:val="none"/>
        </w:rPr>
        <w:br w:type="page"/>
      </w:r>
      <w:bookmarkStart w:id="133" w:name="_Hlk93046716"/>
    </w:p>
    <w:p w14:paraId="141B1CE9">
      <w:pPr>
        <w:snapToGrid w:val="0"/>
        <w:spacing w:before="50" w:after="120" w:afterLines="50"/>
        <w:jc w:val="left"/>
        <w:rPr>
          <w:color w:val="auto"/>
          <w:szCs w:val="21"/>
          <w:highlight w:val="none"/>
        </w:rPr>
      </w:pPr>
      <w:r>
        <w:rPr>
          <w:color w:val="auto"/>
          <w:szCs w:val="21"/>
          <w:highlight w:val="none"/>
        </w:rPr>
        <w:t>11.</w:t>
      </w:r>
      <w:r>
        <w:rPr>
          <w:rFonts w:hint="eastAsia"/>
          <w:color w:val="auto"/>
          <w:highlight w:val="none"/>
        </w:rPr>
        <w:t xml:space="preserve"> </w:t>
      </w:r>
      <w:r>
        <w:rPr>
          <w:rFonts w:hint="eastAsia"/>
          <w:color w:val="auto"/>
          <w:szCs w:val="21"/>
          <w:highlight w:val="none"/>
        </w:rPr>
        <w:t>无串标行为承诺函</w:t>
      </w:r>
    </w:p>
    <w:p w14:paraId="0E9279E6">
      <w:pPr>
        <w:snapToGrid w:val="0"/>
        <w:spacing w:before="50" w:after="120" w:afterLines="50"/>
        <w:jc w:val="center"/>
        <w:rPr>
          <w:color w:val="auto"/>
          <w:szCs w:val="21"/>
          <w:highlight w:val="none"/>
        </w:rPr>
      </w:pPr>
    </w:p>
    <w:p w14:paraId="7CEE881C">
      <w:pPr>
        <w:snapToGrid w:val="0"/>
        <w:spacing w:before="50" w:after="120" w:afterLines="50"/>
        <w:jc w:val="center"/>
        <w:rPr>
          <w:color w:val="auto"/>
          <w:szCs w:val="21"/>
          <w:highlight w:val="none"/>
        </w:rPr>
      </w:pPr>
      <w:r>
        <w:rPr>
          <w:rFonts w:hint="eastAsia"/>
          <w:color w:val="auto"/>
          <w:szCs w:val="21"/>
          <w:highlight w:val="none"/>
        </w:rPr>
        <w:t>供应商参加本项目无围标串标行为的承诺函</w:t>
      </w:r>
    </w:p>
    <w:p w14:paraId="3B5646BC">
      <w:pPr>
        <w:snapToGrid w:val="0"/>
        <w:spacing w:before="50" w:after="120" w:afterLines="50"/>
        <w:jc w:val="left"/>
        <w:rPr>
          <w:color w:val="auto"/>
          <w:szCs w:val="21"/>
          <w:highlight w:val="none"/>
        </w:rPr>
      </w:pPr>
    </w:p>
    <w:p w14:paraId="4C53DF3C">
      <w:pPr>
        <w:snapToGrid w:val="0"/>
        <w:spacing w:before="50" w:after="120" w:afterLines="50"/>
        <w:jc w:val="left"/>
        <w:rPr>
          <w:color w:val="auto"/>
          <w:szCs w:val="21"/>
          <w:highlight w:val="none"/>
        </w:rPr>
      </w:pPr>
      <w:r>
        <w:rPr>
          <w:rFonts w:hint="eastAsia"/>
          <w:color w:val="auto"/>
          <w:szCs w:val="21"/>
          <w:highlight w:val="none"/>
        </w:rPr>
        <w:t>一、我方承诺无下列相互串通投标的情形：</w:t>
      </w:r>
    </w:p>
    <w:p w14:paraId="59B30DA9">
      <w:pPr>
        <w:snapToGrid w:val="0"/>
        <w:spacing w:before="50" w:after="120" w:afterLines="50"/>
        <w:jc w:val="left"/>
        <w:rPr>
          <w:color w:val="auto"/>
          <w:szCs w:val="21"/>
          <w:highlight w:val="none"/>
        </w:rPr>
      </w:pPr>
      <w:r>
        <w:rPr>
          <w:rFonts w:hint="eastAsia"/>
          <w:color w:val="auto"/>
          <w:szCs w:val="21"/>
          <w:highlight w:val="none"/>
        </w:rPr>
        <w:t>1.不同供应商的响应文件由同一单位或者个人编制；或者不同供应商报名的IP地址一致的；</w:t>
      </w:r>
    </w:p>
    <w:p w14:paraId="278641C4">
      <w:pPr>
        <w:snapToGrid w:val="0"/>
        <w:spacing w:before="50" w:after="120" w:afterLines="50"/>
        <w:jc w:val="left"/>
        <w:rPr>
          <w:color w:val="auto"/>
          <w:szCs w:val="21"/>
          <w:highlight w:val="none"/>
        </w:rPr>
      </w:pPr>
      <w:r>
        <w:rPr>
          <w:rFonts w:hint="eastAsia"/>
          <w:color w:val="auto"/>
          <w:szCs w:val="21"/>
          <w:highlight w:val="none"/>
        </w:rPr>
        <w:t>2.不同供应商委托同一单位或者个人办理投标事宜；</w:t>
      </w:r>
    </w:p>
    <w:p w14:paraId="6B835519">
      <w:pPr>
        <w:snapToGrid w:val="0"/>
        <w:spacing w:before="50" w:after="120" w:afterLines="50"/>
        <w:jc w:val="left"/>
        <w:rPr>
          <w:color w:val="auto"/>
          <w:szCs w:val="21"/>
          <w:highlight w:val="none"/>
        </w:rPr>
      </w:pPr>
      <w:r>
        <w:rPr>
          <w:rFonts w:hint="eastAsia"/>
          <w:color w:val="auto"/>
          <w:szCs w:val="21"/>
          <w:highlight w:val="none"/>
        </w:rPr>
        <w:t>3.不同的供应商的响应文件载明的项目管理员为同一个人；</w:t>
      </w:r>
    </w:p>
    <w:p w14:paraId="5CCF136F">
      <w:pPr>
        <w:snapToGrid w:val="0"/>
        <w:spacing w:before="50" w:after="120" w:afterLines="50"/>
        <w:jc w:val="left"/>
        <w:rPr>
          <w:color w:val="auto"/>
          <w:szCs w:val="21"/>
          <w:highlight w:val="none"/>
        </w:rPr>
      </w:pPr>
      <w:r>
        <w:rPr>
          <w:rFonts w:hint="eastAsia"/>
          <w:color w:val="auto"/>
          <w:szCs w:val="21"/>
          <w:highlight w:val="none"/>
        </w:rPr>
        <w:t>4.不同供应商的响应文件异常一致或者投标报价呈规律性差异；</w:t>
      </w:r>
    </w:p>
    <w:p w14:paraId="510C99BB">
      <w:pPr>
        <w:snapToGrid w:val="0"/>
        <w:spacing w:before="50" w:after="120" w:afterLines="50"/>
        <w:jc w:val="left"/>
        <w:rPr>
          <w:color w:val="auto"/>
          <w:szCs w:val="21"/>
          <w:highlight w:val="none"/>
        </w:rPr>
      </w:pPr>
      <w:r>
        <w:rPr>
          <w:rFonts w:hint="eastAsia"/>
          <w:color w:val="auto"/>
          <w:szCs w:val="21"/>
          <w:highlight w:val="none"/>
        </w:rPr>
        <w:t>5.不同供应商的响应文件相互混装；</w:t>
      </w:r>
    </w:p>
    <w:p w14:paraId="123A264F">
      <w:pPr>
        <w:snapToGrid w:val="0"/>
        <w:spacing w:before="50" w:after="120" w:afterLines="50"/>
        <w:jc w:val="left"/>
        <w:rPr>
          <w:color w:val="auto"/>
          <w:szCs w:val="21"/>
          <w:highlight w:val="none"/>
        </w:rPr>
      </w:pPr>
      <w:r>
        <w:rPr>
          <w:rFonts w:hint="eastAsia"/>
          <w:color w:val="auto"/>
          <w:szCs w:val="21"/>
          <w:highlight w:val="none"/>
        </w:rPr>
        <w:t>6.不同供应商的谈判保证金从同一单位或者个人账户转出。</w:t>
      </w:r>
    </w:p>
    <w:p w14:paraId="2DF5DC1E">
      <w:pPr>
        <w:snapToGrid w:val="0"/>
        <w:spacing w:before="50" w:after="120" w:afterLines="50"/>
        <w:jc w:val="left"/>
        <w:rPr>
          <w:color w:val="auto"/>
          <w:szCs w:val="21"/>
          <w:highlight w:val="none"/>
        </w:rPr>
      </w:pPr>
      <w:r>
        <w:rPr>
          <w:rFonts w:hint="eastAsia"/>
          <w:color w:val="auto"/>
          <w:szCs w:val="21"/>
          <w:highlight w:val="none"/>
        </w:rPr>
        <w:t>二、我方承诺无下列恶意串通的情形：</w:t>
      </w:r>
    </w:p>
    <w:p w14:paraId="4BFE841D">
      <w:pPr>
        <w:snapToGrid w:val="0"/>
        <w:spacing w:before="50" w:after="120" w:afterLines="50"/>
        <w:jc w:val="left"/>
        <w:rPr>
          <w:color w:val="auto"/>
          <w:szCs w:val="21"/>
          <w:highlight w:val="none"/>
        </w:rPr>
      </w:pPr>
      <w:r>
        <w:rPr>
          <w:rFonts w:hint="eastAsia"/>
          <w:color w:val="auto"/>
          <w:szCs w:val="21"/>
          <w:highlight w:val="none"/>
        </w:rPr>
        <w:t>1.供应商直接或者间接从采购人或者采购代理机构处获得其他供应商的相关信息并修改其响应文件或者响应文件；</w:t>
      </w:r>
    </w:p>
    <w:p w14:paraId="22784511">
      <w:pPr>
        <w:snapToGrid w:val="0"/>
        <w:spacing w:before="50" w:after="120" w:afterLines="50"/>
        <w:jc w:val="left"/>
        <w:rPr>
          <w:color w:val="auto"/>
          <w:szCs w:val="21"/>
          <w:highlight w:val="none"/>
        </w:rPr>
      </w:pPr>
      <w:r>
        <w:rPr>
          <w:rFonts w:hint="eastAsia"/>
          <w:color w:val="auto"/>
          <w:szCs w:val="21"/>
          <w:highlight w:val="none"/>
        </w:rPr>
        <w:t>2.供应商按照采购人或者采购代理机构的授意撤换、修改响应文件或者响应文件；</w:t>
      </w:r>
    </w:p>
    <w:p w14:paraId="28C421FF">
      <w:pPr>
        <w:snapToGrid w:val="0"/>
        <w:spacing w:before="50" w:after="120" w:afterLines="50"/>
        <w:jc w:val="left"/>
        <w:rPr>
          <w:color w:val="auto"/>
          <w:szCs w:val="21"/>
          <w:highlight w:val="none"/>
        </w:rPr>
      </w:pPr>
      <w:r>
        <w:rPr>
          <w:rFonts w:hint="eastAsia"/>
          <w:color w:val="auto"/>
          <w:szCs w:val="21"/>
          <w:highlight w:val="none"/>
        </w:rPr>
        <w:t>3.供应商之间协商报价、技术方案等响应文件或者响应文件的实质性内容；</w:t>
      </w:r>
    </w:p>
    <w:p w14:paraId="3F7B416F">
      <w:pPr>
        <w:snapToGrid w:val="0"/>
        <w:spacing w:before="50" w:after="120" w:afterLines="50"/>
        <w:jc w:val="left"/>
        <w:rPr>
          <w:color w:val="auto"/>
          <w:szCs w:val="21"/>
          <w:highlight w:val="none"/>
        </w:rPr>
      </w:pPr>
      <w:r>
        <w:rPr>
          <w:rFonts w:hint="eastAsia"/>
          <w:color w:val="auto"/>
          <w:szCs w:val="21"/>
          <w:highlight w:val="none"/>
        </w:rPr>
        <w:t>4.属于同一集团、协会、商会等组织成员的供应商按照该组织要求协同参加政府采购活动；</w:t>
      </w:r>
    </w:p>
    <w:p w14:paraId="346198AE">
      <w:pPr>
        <w:snapToGrid w:val="0"/>
        <w:spacing w:before="50" w:after="120" w:afterLines="50"/>
        <w:jc w:val="left"/>
        <w:rPr>
          <w:color w:val="auto"/>
          <w:szCs w:val="21"/>
          <w:highlight w:val="none"/>
        </w:rPr>
      </w:pPr>
      <w:r>
        <w:rPr>
          <w:rFonts w:hint="eastAsia"/>
          <w:color w:val="auto"/>
          <w:szCs w:val="21"/>
          <w:highlight w:val="none"/>
        </w:rPr>
        <w:t>5.供应商之间事先约定一致抬高或者压低投标报价，或者在招标项目中事先约定轮流以高价位或者低价位中标，或者事先约定由某一特定供应商中标，然后再参加投标；</w:t>
      </w:r>
    </w:p>
    <w:p w14:paraId="41B85640">
      <w:pPr>
        <w:snapToGrid w:val="0"/>
        <w:spacing w:before="50" w:after="120" w:afterLines="50"/>
        <w:jc w:val="left"/>
        <w:rPr>
          <w:color w:val="auto"/>
          <w:szCs w:val="21"/>
          <w:highlight w:val="none"/>
        </w:rPr>
      </w:pPr>
      <w:r>
        <w:rPr>
          <w:rFonts w:hint="eastAsia"/>
          <w:color w:val="auto"/>
          <w:szCs w:val="21"/>
          <w:highlight w:val="none"/>
        </w:rPr>
        <w:t>6.供应商之间商定部分供应商放弃参加政府采购活动或者放弃中标；</w:t>
      </w:r>
    </w:p>
    <w:p w14:paraId="0D05449F">
      <w:pPr>
        <w:snapToGrid w:val="0"/>
        <w:spacing w:before="50" w:after="120" w:afterLines="50"/>
        <w:jc w:val="left"/>
        <w:rPr>
          <w:color w:val="auto"/>
          <w:szCs w:val="21"/>
          <w:highlight w:val="none"/>
        </w:rPr>
      </w:pPr>
      <w:r>
        <w:rPr>
          <w:rFonts w:hint="eastAsia"/>
          <w:color w:val="auto"/>
          <w:szCs w:val="21"/>
          <w:highlight w:val="none"/>
        </w:rPr>
        <w:t>7.供应商与采购人或者采购代理机构之间、供应商相互之间，为谋求特定供应商中标或者排斥其他供应商的其他串通行为。</w:t>
      </w:r>
    </w:p>
    <w:p w14:paraId="7045165F">
      <w:pPr>
        <w:snapToGrid w:val="0"/>
        <w:spacing w:before="50" w:after="120" w:afterLines="50"/>
        <w:jc w:val="left"/>
        <w:rPr>
          <w:color w:val="auto"/>
          <w:szCs w:val="21"/>
          <w:highlight w:val="none"/>
        </w:rPr>
      </w:pPr>
      <w:r>
        <w:rPr>
          <w:rFonts w:hint="eastAsia"/>
          <w:color w:val="auto"/>
          <w:szCs w:val="21"/>
          <w:highlight w:val="none"/>
        </w:rPr>
        <w:t>以上情形一经核查属实，我方愿意承担一切后果，并不再寻求任何旨在减轻或者免除法律责任的辩解。</w:t>
      </w:r>
    </w:p>
    <w:p w14:paraId="32B9B351">
      <w:pPr>
        <w:snapToGrid w:val="0"/>
        <w:spacing w:before="50" w:after="120" w:afterLines="50"/>
        <w:jc w:val="center"/>
        <w:rPr>
          <w:color w:val="auto"/>
          <w:szCs w:val="21"/>
          <w:highlight w:val="none"/>
        </w:rPr>
      </w:pPr>
      <w:r>
        <w:rPr>
          <w:rFonts w:hint="eastAsia"/>
          <w:color w:val="auto"/>
          <w:szCs w:val="21"/>
          <w:highlight w:val="none"/>
        </w:rPr>
        <w:t xml:space="preserve"> </w:t>
      </w:r>
      <w:r>
        <w:rPr>
          <w:color w:val="auto"/>
          <w:szCs w:val="21"/>
          <w:highlight w:val="none"/>
        </w:rPr>
        <w:t xml:space="preserve"> </w:t>
      </w:r>
    </w:p>
    <w:p w14:paraId="2E30E382">
      <w:pPr>
        <w:snapToGrid w:val="0"/>
        <w:spacing w:before="50" w:after="120" w:afterLines="50"/>
        <w:jc w:val="center"/>
        <w:rPr>
          <w:color w:val="auto"/>
          <w:szCs w:val="21"/>
          <w:highlight w:val="none"/>
        </w:rPr>
      </w:pPr>
    </w:p>
    <w:p w14:paraId="02861C5C">
      <w:pPr>
        <w:snapToGrid w:val="0"/>
        <w:spacing w:before="50" w:after="120" w:afterLines="50"/>
        <w:jc w:val="center"/>
        <w:rPr>
          <w:color w:val="auto"/>
          <w:szCs w:val="21"/>
          <w:highlight w:val="none"/>
        </w:rPr>
      </w:pPr>
    </w:p>
    <w:p w14:paraId="319A8DD8">
      <w:pPr>
        <w:snapToGrid w:val="0"/>
        <w:spacing w:before="50" w:after="120" w:afterLines="50"/>
        <w:jc w:val="center"/>
        <w:rPr>
          <w:color w:val="auto"/>
          <w:szCs w:val="21"/>
          <w:highlight w:val="none"/>
        </w:rPr>
      </w:pPr>
      <w:r>
        <w:rPr>
          <w:color w:val="auto"/>
          <w:szCs w:val="21"/>
          <w:highlight w:val="none"/>
        </w:rPr>
        <w:t>供应商</w:t>
      </w:r>
      <w:r>
        <w:rPr>
          <w:rFonts w:hint="eastAsia"/>
          <w:color w:val="auto"/>
          <w:szCs w:val="21"/>
          <w:highlight w:val="none"/>
        </w:rPr>
        <w:t>名称(电子签章</w:t>
      </w:r>
      <w:r>
        <w:rPr>
          <w:color w:val="auto"/>
          <w:szCs w:val="21"/>
          <w:highlight w:val="none"/>
        </w:rPr>
        <w:t>)</w:t>
      </w:r>
      <w:r>
        <w:rPr>
          <w:rFonts w:hint="eastAsia"/>
          <w:color w:val="auto"/>
          <w:szCs w:val="21"/>
          <w:highlight w:val="none"/>
        </w:rPr>
        <w:t>：</w:t>
      </w:r>
    </w:p>
    <w:p w14:paraId="56B969FA">
      <w:pPr>
        <w:snapToGrid w:val="0"/>
        <w:spacing w:before="50" w:after="120" w:afterLines="50"/>
        <w:jc w:val="center"/>
        <w:rPr>
          <w:color w:val="auto"/>
          <w:szCs w:val="21"/>
          <w:highlight w:val="none"/>
        </w:rPr>
      </w:pPr>
      <w:r>
        <w:rPr>
          <w:rFonts w:hint="eastAsia"/>
          <w:color w:val="auto"/>
          <w:szCs w:val="21"/>
          <w:highlight w:val="none"/>
        </w:rPr>
        <w:t>日期：  年  月   日</w:t>
      </w:r>
    </w:p>
    <w:bookmarkEnd w:id="133"/>
    <w:p w14:paraId="2FC068E0">
      <w:pPr>
        <w:snapToGrid w:val="0"/>
        <w:spacing w:before="50" w:after="120" w:afterLines="50"/>
        <w:jc w:val="left"/>
        <w:rPr>
          <w:rFonts w:hint="eastAsia"/>
          <w:color w:val="auto"/>
          <w:szCs w:val="21"/>
          <w:highlight w:val="none"/>
        </w:rPr>
      </w:pPr>
    </w:p>
    <w:p w14:paraId="507CF705">
      <w:pPr>
        <w:spacing w:line="360" w:lineRule="exact"/>
        <w:rPr>
          <w:color w:val="auto"/>
          <w:szCs w:val="21"/>
          <w:highlight w:val="none"/>
        </w:rPr>
      </w:pPr>
      <w:r>
        <w:rPr>
          <w:color w:val="auto"/>
          <w:szCs w:val="21"/>
          <w:highlight w:val="none"/>
        </w:rPr>
        <w:br w:type="page"/>
      </w:r>
      <w:r>
        <w:rPr>
          <w:color w:val="auto"/>
          <w:szCs w:val="21"/>
          <w:highlight w:val="none"/>
        </w:rPr>
        <w:t>12．代理服务费承诺书</w:t>
      </w:r>
    </w:p>
    <w:p w14:paraId="43F97FC8">
      <w:pPr>
        <w:spacing w:line="360" w:lineRule="exact"/>
        <w:rPr>
          <w:color w:val="auto"/>
          <w:szCs w:val="21"/>
          <w:highlight w:val="none"/>
        </w:rPr>
      </w:pPr>
      <w:r>
        <w:rPr>
          <w:color w:val="auto"/>
          <w:szCs w:val="21"/>
          <w:highlight w:val="none"/>
        </w:rPr>
        <w:t>致：广西机电设备招标有限公司</w:t>
      </w:r>
    </w:p>
    <w:p w14:paraId="5A104FAE">
      <w:pPr>
        <w:spacing w:line="360" w:lineRule="exact"/>
        <w:ind w:firstLine="420" w:firstLineChars="200"/>
        <w:rPr>
          <w:color w:val="auto"/>
          <w:szCs w:val="21"/>
          <w:highlight w:val="none"/>
        </w:rPr>
      </w:pPr>
      <w:r>
        <w:rPr>
          <w:color w:val="auto"/>
          <w:szCs w:val="21"/>
          <w:highlight w:val="none"/>
        </w:rPr>
        <w:t>我单位参加了贵方组织的</w:t>
      </w:r>
      <w:r>
        <w:rPr>
          <w:rFonts w:hint="eastAsia"/>
          <w:color w:val="auto"/>
          <w:szCs w:val="21"/>
          <w:highlight w:val="none"/>
        </w:rPr>
        <w:t>谈判</w:t>
      </w:r>
      <w:r>
        <w:rPr>
          <w:color w:val="auto"/>
          <w:szCs w:val="21"/>
          <w:highlight w:val="none"/>
        </w:rPr>
        <w:t>项目编号为</w:t>
      </w:r>
      <w:r>
        <w:rPr>
          <w:b/>
          <w:color w:val="auto"/>
          <w:szCs w:val="21"/>
          <w:highlight w:val="none"/>
        </w:rPr>
        <w:t>（</w:t>
      </w:r>
      <w:r>
        <w:rPr>
          <w:color w:val="auto"/>
          <w:szCs w:val="21"/>
          <w:highlight w:val="none"/>
          <w:u w:val="single"/>
        </w:rPr>
        <w:t xml:space="preserve">                    )</w:t>
      </w:r>
      <w:r>
        <w:rPr>
          <w:color w:val="auto"/>
          <w:szCs w:val="21"/>
          <w:highlight w:val="none"/>
        </w:rPr>
        <w:t>的响应，并递交了</w:t>
      </w:r>
      <w:r>
        <w:rPr>
          <w:rFonts w:hint="eastAsia"/>
          <w:color w:val="auto"/>
          <w:szCs w:val="21"/>
          <w:highlight w:val="none"/>
        </w:rPr>
        <w:t>谈判</w:t>
      </w:r>
      <w:r>
        <w:rPr>
          <w:color w:val="auto"/>
          <w:szCs w:val="21"/>
          <w:highlight w:val="none"/>
        </w:rPr>
        <w:t>保证金</w:t>
      </w:r>
      <w:r>
        <w:rPr>
          <w:color w:val="auto"/>
          <w:szCs w:val="21"/>
          <w:highlight w:val="none"/>
          <w:u w:val="single"/>
        </w:rPr>
        <w:t xml:space="preserve">                  </w:t>
      </w:r>
      <w:r>
        <w:rPr>
          <w:color w:val="auto"/>
          <w:szCs w:val="21"/>
          <w:highlight w:val="none"/>
        </w:rPr>
        <w:t>（</w:t>
      </w:r>
      <w:r>
        <w:rPr>
          <w:color w:val="auto"/>
          <w:kern w:val="0"/>
          <w:szCs w:val="21"/>
          <w:highlight w:val="none"/>
        </w:rPr>
        <w:t>¥</w:t>
      </w:r>
      <w:r>
        <w:rPr>
          <w:color w:val="auto"/>
          <w:szCs w:val="21"/>
          <w:highlight w:val="none"/>
          <w:u w:val="single"/>
        </w:rPr>
        <w:t xml:space="preserve">       </w:t>
      </w:r>
      <w:r>
        <w:rPr>
          <w:color w:val="auto"/>
          <w:szCs w:val="21"/>
          <w:highlight w:val="none"/>
        </w:rPr>
        <w:t>），在此我方说明如下：</w:t>
      </w:r>
    </w:p>
    <w:p w14:paraId="76B0859F">
      <w:pPr>
        <w:spacing w:line="360" w:lineRule="exact"/>
        <w:ind w:firstLine="420" w:firstLineChars="200"/>
        <w:rPr>
          <w:color w:val="auto"/>
          <w:szCs w:val="21"/>
          <w:highlight w:val="none"/>
        </w:rPr>
      </w:pPr>
      <w:r>
        <w:rPr>
          <w:color w:val="auto"/>
          <w:szCs w:val="21"/>
          <w:highlight w:val="none"/>
        </w:rPr>
        <w:t>1．我方承诺，若我单位</w:t>
      </w:r>
      <w:r>
        <w:rPr>
          <w:rFonts w:hint="eastAsia"/>
          <w:color w:val="auto"/>
          <w:szCs w:val="21"/>
          <w:highlight w:val="none"/>
        </w:rPr>
        <w:t>成交</w:t>
      </w:r>
      <w:r>
        <w:rPr>
          <w:color w:val="auto"/>
          <w:szCs w:val="21"/>
          <w:highlight w:val="none"/>
        </w:rPr>
        <w:t>，保证在领取</w:t>
      </w:r>
      <w:r>
        <w:rPr>
          <w:rFonts w:hint="eastAsia"/>
          <w:color w:val="auto"/>
          <w:szCs w:val="21"/>
          <w:highlight w:val="none"/>
        </w:rPr>
        <w:t>成交</w:t>
      </w:r>
      <w:r>
        <w:rPr>
          <w:color w:val="auto"/>
          <w:szCs w:val="21"/>
          <w:highlight w:val="none"/>
        </w:rPr>
        <w:t>通知书之前，按本项目</w:t>
      </w:r>
      <w:r>
        <w:rPr>
          <w:rFonts w:hint="eastAsia"/>
          <w:color w:val="auto"/>
          <w:szCs w:val="21"/>
          <w:highlight w:val="none"/>
        </w:rPr>
        <w:t>采购文件</w:t>
      </w:r>
      <w:r>
        <w:rPr>
          <w:color w:val="auto"/>
          <w:szCs w:val="21"/>
          <w:highlight w:val="none"/>
        </w:rPr>
        <w:t>的规定标准向贵单位支付代理服务费。如我单位未按规定缴纳代理服务费，贵方可</w:t>
      </w:r>
      <w:r>
        <w:rPr>
          <w:rFonts w:hint="eastAsia"/>
          <w:color w:val="auto"/>
          <w:szCs w:val="21"/>
          <w:highlight w:val="none"/>
        </w:rPr>
        <w:t>不退还</w:t>
      </w:r>
      <w:r>
        <w:rPr>
          <w:color w:val="auto"/>
          <w:szCs w:val="21"/>
          <w:highlight w:val="none"/>
        </w:rPr>
        <w:t>我单位提交的</w:t>
      </w:r>
      <w:r>
        <w:rPr>
          <w:rFonts w:hint="eastAsia"/>
          <w:color w:val="auto"/>
          <w:szCs w:val="21"/>
          <w:highlight w:val="none"/>
        </w:rPr>
        <w:t>谈判</w:t>
      </w:r>
      <w:r>
        <w:rPr>
          <w:color w:val="auto"/>
          <w:szCs w:val="21"/>
          <w:highlight w:val="none"/>
        </w:rPr>
        <w:t>保证金</w:t>
      </w:r>
      <w:r>
        <w:rPr>
          <w:rFonts w:hint="eastAsia"/>
          <w:color w:val="auto"/>
          <w:szCs w:val="21"/>
          <w:highlight w:val="none"/>
        </w:rPr>
        <w:t>，并从中</w:t>
      </w:r>
      <w:r>
        <w:rPr>
          <w:color w:val="auto"/>
          <w:szCs w:val="21"/>
          <w:highlight w:val="none"/>
        </w:rPr>
        <w:t>扣除</w:t>
      </w:r>
      <w:r>
        <w:rPr>
          <w:rFonts w:hint="eastAsia"/>
          <w:color w:val="auto"/>
          <w:szCs w:val="21"/>
          <w:highlight w:val="none"/>
        </w:rPr>
        <w:t>代理服务费</w:t>
      </w:r>
      <w:r>
        <w:rPr>
          <w:color w:val="auto"/>
          <w:szCs w:val="21"/>
          <w:highlight w:val="none"/>
        </w:rPr>
        <w:t>，余款按下列账户退回。</w:t>
      </w:r>
    </w:p>
    <w:p w14:paraId="5057E53A">
      <w:pPr>
        <w:snapToGrid w:val="0"/>
        <w:spacing w:before="50" w:after="120" w:afterLines="50"/>
        <w:ind w:firstLine="420" w:firstLineChars="200"/>
        <w:jc w:val="left"/>
        <w:rPr>
          <w:color w:val="auto"/>
          <w:szCs w:val="21"/>
          <w:highlight w:val="none"/>
        </w:rPr>
      </w:pPr>
      <w:r>
        <w:rPr>
          <w:color w:val="auto"/>
          <w:szCs w:val="21"/>
          <w:highlight w:val="none"/>
        </w:rPr>
        <w:t>我公司选择第</w:t>
      </w:r>
      <w:r>
        <w:rPr>
          <w:color w:val="auto"/>
          <w:szCs w:val="21"/>
          <w:highlight w:val="none"/>
          <w:u w:val="single"/>
        </w:rPr>
        <w:t xml:space="preserve">     </w:t>
      </w:r>
      <w:r>
        <w:rPr>
          <w:color w:val="auto"/>
          <w:szCs w:val="21"/>
          <w:highlight w:val="none"/>
        </w:rPr>
        <w:t>种方式缴纳代理服务费。</w:t>
      </w:r>
    </w:p>
    <w:p w14:paraId="3B904AE3">
      <w:pPr>
        <w:spacing w:line="360" w:lineRule="exact"/>
        <w:ind w:firstLine="420" w:firstLineChars="200"/>
        <w:rPr>
          <w:color w:val="auto"/>
          <w:szCs w:val="21"/>
          <w:highlight w:val="none"/>
        </w:rPr>
      </w:pPr>
      <w:r>
        <w:rPr>
          <w:color w:val="auto"/>
          <w:szCs w:val="21"/>
          <w:highlight w:val="none"/>
        </w:rPr>
        <w:t>第一种方式：一次性足额缴纳代理服务费。</w:t>
      </w:r>
    </w:p>
    <w:p w14:paraId="22506605">
      <w:pPr>
        <w:spacing w:line="360" w:lineRule="exact"/>
        <w:ind w:firstLine="420" w:firstLineChars="200"/>
        <w:rPr>
          <w:color w:val="auto"/>
          <w:szCs w:val="21"/>
          <w:highlight w:val="none"/>
        </w:rPr>
      </w:pPr>
      <w:r>
        <w:rPr>
          <w:color w:val="auto"/>
          <w:szCs w:val="21"/>
          <w:highlight w:val="none"/>
        </w:rPr>
        <w:t>2．如我单位谈判保证金无法原路返回，请按下表账户信息无息退还。</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3"/>
        <w:gridCol w:w="5431"/>
      </w:tblGrid>
      <w:tr w14:paraId="3B5A3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3533" w:type="dxa"/>
            <w:noWrap w:val="0"/>
            <w:vAlign w:val="center"/>
          </w:tcPr>
          <w:p w14:paraId="3DFF336A">
            <w:pPr>
              <w:spacing w:line="360" w:lineRule="exact"/>
              <w:jc w:val="center"/>
              <w:rPr>
                <w:color w:val="auto"/>
                <w:szCs w:val="21"/>
                <w:highlight w:val="none"/>
              </w:rPr>
            </w:pPr>
            <w:r>
              <w:rPr>
                <w:color w:val="auto"/>
                <w:szCs w:val="21"/>
                <w:highlight w:val="none"/>
              </w:rPr>
              <w:t>收款户名</w:t>
            </w:r>
          </w:p>
        </w:tc>
        <w:tc>
          <w:tcPr>
            <w:tcW w:w="5431" w:type="dxa"/>
            <w:noWrap w:val="0"/>
            <w:vAlign w:val="center"/>
          </w:tcPr>
          <w:p w14:paraId="349F6A8F">
            <w:pPr>
              <w:spacing w:line="360" w:lineRule="exact"/>
              <w:jc w:val="center"/>
              <w:rPr>
                <w:color w:val="auto"/>
                <w:szCs w:val="21"/>
                <w:highlight w:val="none"/>
              </w:rPr>
            </w:pPr>
          </w:p>
        </w:tc>
      </w:tr>
      <w:tr w14:paraId="194BA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3533" w:type="dxa"/>
            <w:noWrap w:val="0"/>
            <w:vAlign w:val="center"/>
          </w:tcPr>
          <w:p w14:paraId="0EF9F8F3">
            <w:pPr>
              <w:spacing w:line="360" w:lineRule="exact"/>
              <w:jc w:val="center"/>
              <w:rPr>
                <w:color w:val="auto"/>
                <w:szCs w:val="21"/>
                <w:highlight w:val="none"/>
              </w:rPr>
            </w:pPr>
            <w:r>
              <w:rPr>
                <w:color w:val="auto"/>
                <w:szCs w:val="21"/>
                <w:highlight w:val="none"/>
              </w:rPr>
              <w:t>账    号</w:t>
            </w:r>
          </w:p>
        </w:tc>
        <w:tc>
          <w:tcPr>
            <w:tcW w:w="5431" w:type="dxa"/>
            <w:noWrap w:val="0"/>
            <w:vAlign w:val="center"/>
          </w:tcPr>
          <w:p w14:paraId="18DF4F42">
            <w:pPr>
              <w:spacing w:line="360" w:lineRule="exact"/>
              <w:jc w:val="center"/>
              <w:rPr>
                <w:color w:val="auto"/>
                <w:szCs w:val="21"/>
                <w:highlight w:val="none"/>
              </w:rPr>
            </w:pPr>
          </w:p>
        </w:tc>
      </w:tr>
      <w:tr w14:paraId="0A504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3533" w:type="dxa"/>
            <w:noWrap w:val="0"/>
            <w:vAlign w:val="center"/>
          </w:tcPr>
          <w:p w14:paraId="54AEE8CB">
            <w:pPr>
              <w:spacing w:line="360" w:lineRule="exact"/>
              <w:jc w:val="center"/>
              <w:rPr>
                <w:color w:val="auto"/>
                <w:szCs w:val="21"/>
                <w:highlight w:val="none"/>
              </w:rPr>
            </w:pPr>
            <w:r>
              <w:rPr>
                <w:color w:val="auto"/>
                <w:szCs w:val="21"/>
                <w:highlight w:val="none"/>
              </w:rPr>
              <w:t>开户银行</w:t>
            </w:r>
          </w:p>
        </w:tc>
        <w:tc>
          <w:tcPr>
            <w:tcW w:w="5431" w:type="dxa"/>
            <w:noWrap w:val="0"/>
            <w:vAlign w:val="center"/>
          </w:tcPr>
          <w:p w14:paraId="02E0E659">
            <w:pPr>
              <w:spacing w:line="360" w:lineRule="exact"/>
              <w:jc w:val="center"/>
              <w:rPr>
                <w:color w:val="auto"/>
                <w:szCs w:val="21"/>
                <w:highlight w:val="none"/>
              </w:rPr>
            </w:pPr>
          </w:p>
        </w:tc>
      </w:tr>
      <w:tr w14:paraId="793D9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3533" w:type="dxa"/>
            <w:noWrap w:val="0"/>
            <w:vAlign w:val="center"/>
          </w:tcPr>
          <w:p w14:paraId="60D1B3BF">
            <w:pPr>
              <w:spacing w:line="360" w:lineRule="exact"/>
              <w:jc w:val="center"/>
              <w:rPr>
                <w:color w:val="auto"/>
                <w:szCs w:val="21"/>
                <w:highlight w:val="none"/>
              </w:rPr>
            </w:pPr>
            <w:r>
              <w:rPr>
                <w:color w:val="auto"/>
                <w:szCs w:val="21"/>
                <w:highlight w:val="none"/>
              </w:rPr>
              <w:t>银行行号</w:t>
            </w:r>
          </w:p>
        </w:tc>
        <w:tc>
          <w:tcPr>
            <w:tcW w:w="5431" w:type="dxa"/>
            <w:noWrap w:val="0"/>
            <w:vAlign w:val="center"/>
          </w:tcPr>
          <w:p w14:paraId="53498013">
            <w:pPr>
              <w:spacing w:line="360" w:lineRule="exact"/>
              <w:jc w:val="center"/>
              <w:rPr>
                <w:color w:val="auto"/>
                <w:szCs w:val="21"/>
                <w:highlight w:val="none"/>
              </w:rPr>
            </w:pPr>
          </w:p>
        </w:tc>
      </w:tr>
    </w:tbl>
    <w:p w14:paraId="3F7693B8">
      <w:pPr>
        <w:spacing w:line="360" w:lineRule="exact"/>
        <w:ind w:firstLine="420" w:firstLineChars="200"/>
        <w:rPr>
          <w:color w:val="auto"/>
          <w:szCs w:val="21"/>
          <w:highlight w:val="none"/>
        </w:rPr>
      </w:pPr>
      <w:r>
        <w:rPr>
          <w:color w:val="auto"/>
          <w:szCs w:val="21"/>
          <w:highlight w:val="none"/>
        </w:rPr>
        <w:t>3．如果我单位未遵守有关采购文件关于谈判保证金的规定，贵方可以没收我单位谈判保证金。</w:t>
      </w:r>
    </w:p>
    <w:p w14:paraId="5AB70563">
      <w:pPr>
        <w:spacing w:line="360" w:lineRule="exact"/>
        <w:ind w:firstLine="420" w:firstLineChars="200"/>
        <w:rPr>
          <w:color w:val="auto"/>
          <w:szCs w:val="21"/>
          <w:highlight w:val="none"/>
        </w:rPr>
      </w:pPr>
      <w:r>
        <w:rPr>
          <w:color w:val="auto"/>
          <w:szCs w:val="21"/>
          <w:highlight w:val="none"/>
        </w:rPr>
        <w:t>4. 我单位选择第</w:t>
      </w:r>
      <w:r>
        <w:rPr>
          <w:color w:val="auto"/>
          <w:szCs w:val="21"/>
          <w:highlight w:val="none"/>
          <w:u w:val="single"/>
        </w:rPr>
        <w:t xml:space="preserve">     </w:t>
      </w:r>
      <w:r>
        <w:rPr>
          <w:color w:val="auto"/>
          <w:szCs w:val="21"/>
          <w:highlight w:val="none"/>
        </w:rPr>
        <w:t>种方式作为代理服务费开票类型：</w:t>
      </w:r>
    </w:p>
    <w:p w14:paraId="44EC0206">
      <w:pPr>
        <w:spacing w:line="360" w:lineRule="exact"/>
        <w:ind w:firstLine="420" w:firstLineChars="200"/>
        <w:rPr>
          <w:color w:val="auto"/>
          <w:szCs w:val="21"/>
          <w:highlight w:val="none"/>
        </w:rPr>
      </w:pPr>
      <w:r>
        <w:rPr>
          <w:color w:val="auto"/>
          <w:szCs w:val="21"/>
          <w:highlight w:val="none"/>
        </w:rPr>
        <w:t>第一种方式：开具收据。</w:t>
      </w:r>
    </w:p>
    <w:p w14:paraId="050452DF">
      <w:pPr>
        <w:spacing w:line="360" w:lineRule="exact"/>
        <w:ind w:firstLine="420" w:firstLineChars="200"/>
        <w:rPr>
          <w:color w:val="auto"/>
          <w:szCs w:val="21"/>
          <w:highlight w:val="none"/>
        </w:rPr>
      </w:pPr>
      <w:r>
        <w:rPr>
          <w:color w:val="auto"/>
          <w:szCs w:val="21"/>
          <w:highlight w:val="none"/>
        </w:rPr>
        <w:t>第二种方式：开具增值税普通发票。 1.公司名称</w:t>
      </w:r>
      <w:r>
        <w:rPr>
          <w:color w:val="auto"/>
          <w:szCs w:val="21"/>
          <w:highlight w:val="none"/>
          <w:u w:val="single"/>
        </w:rPr>
        <w:t xml:space="preserve">                      </w:t>
      </w:r>
      <w:r>
        <w:rPr>
          <w:color w:val="auto"/>
          <w:szCs w:val="21"/>
          <w:highlight w:val="none"/>
        </w:rPr>
        <w:t>；2.纳税人识别号</w:t>
      </w:r>
      <w:r>
        <w:rPr>
          <w:color w:val="auto"/>
          <w:szCs w:val="21"/>
          <w:highlight w:val="none"/>
          <w:u w:val="single"/>
        </w:rPr>
        <w:t xml:space="preserve">                     </w:t>
      </w:r>
      <w:r>
        <w:rPr>
          <w:color w:val="auto"/>
          <w:szCs w:val="21"/>
          <w:highlight w:val="none"/>
        </w:rPr>
        <w:t>；</w:t>
      </w:r>
    </w:p>
    <w:p w14:paraId="3E9651DB">
      <w:pPr>
        <w:spacing w:line="360" w:lineRule="exact"/>
        <w:ind w:firstLine="420" w:firstLineChars="200"/>
        <w:rPr>
          <w:color w:val="auto"/>
          <w:szCs w:val="21"/>
          <w:highlight w:val="none"/>
        </w:rPr>
      </w:pPr>
      <w:r>
        <w:rPr>
          <w:color w:val="auto"/>
          <w:szCs w:val="21"/>
          <w:highlight w:val="none"/>
        </w:rPr>
        <w:t>第三种方式：开具增值税专用发票，开票信息如下：1.公司名称</w:t>
      </w:r>
      <w:r>
        <w:rPr>
          <w:color w:val="auto"/>
          <w:szCs w:val="21"/>
          <w:highlight w:val="none"/>
          <w:u w:val="single"/>
        </w:rPr>
        <w:t xml:space="preserve">                      </w:t>
      </w:r>
      <w:r>
        <w:rPr>
          <w:color w:val="auto"/>
          <w:szCs w:val="21"/>
          <w:highlight w:val="none"/>
        </w:rPr>
        <w:t>；2.纳税人识别号</w:t>
      </w:r>
      <w:r>
        <w:rPr>
          <w:color w:val="auto"/>
          <w:szCs w:val="21"/>
          <w:highlight w:val="none"/>
          <w:u w:val="single"/>
        </w:rPr>
        <w:t xml:space="preserve">                     </w:t>
      </w:r>
      <w:r>
        <w:rPr>
          <w:color w:val="auto"/>
          <w:szCs w:val="21"/>
          <w:highlight w:val="none"/>
        </w:rPr>
        <w:t>；3.税局登记地址</w:t>
      </w:r>
      <w:r>
        <w:rPr>
          <w:color w:val="auto"/>
          <w:szCs w:val="21"/>
          <w:highlight w:val="none"/>
          <w:u w:val="single"/>
        </w:rPr>
        <w:t xml:space="preserve">                     </w:t>
      </w:r>
      <w:r>
        <w:rPr>
          <w:color w:val="auto"/>
          <w:szCs w:val="21"/>
          <w:highlight w:val="none"/>
        </w:rPr>
        <w:t>；4.税局登记电话</w:t>
      </w:r>
      <w:r>
        <w:rPr>
          <w:color w:val="auto"/>
          <w:szCs w:val="21"/>
          <w:highlight w:val="none"/>
          <w:u w:val="single"/>
        </w:rPr>
        <w:t xml:space="preserve">             </w:t>
      </w:r>
      <w:r>
        <w:rPr>
          <w:color w:val="auto"/>
          <w:szCs w:val="21"/>
          <w:highlight w:val="none"/>
        </w:rPr>
        <w:t>；5.开户银行</w:t>
      </w:r>
      <w:r>
        <w:rPr>
          <w:color w:val="auto"/>
          <w:szCs w:val="21"/>
          <w:highlight w:val="none"/>
          <w:u w:val="single"/>
        </w:rPr>
        <w:t xml:space="preserve">                 </w:t>
      </w:r>
      <w:r>
        <w:rPr>
          <w:color w:val="auto"/>
          <w:szCs w:val="21"/>
          <w:highlight w:val="none"/>
        </w:rPr>
        <w:t>；6.银行账户</w:t>
      </w:r>
      <w:r>
        <w:rPr>
          <w:color w:val="auto"/>
          <w:szCs w:val="21"/>
          <w:highlight w:val="none"/>
          <w:u w:val="single"/>
        </w:rPr>
        <w:t xml:space="preserve">                         </w:t>
      </w:r>
      <w:r>
        <w:rPr>
          <w:color w:val="auto"/>
          <w:szCs w:val="21"/>
          <w:highlight w:val="none"/>
        </w:rPr>
        <w:t>。</w:t>
      </w:r>
    </w:p>
    <w:p w14:paraId="394B1C7C">
      <w:pPr>
        <w:spacing w:before="120" w:beforeLines="50" w:line="360" w:lineRule="auto"/>
        <w:jc w:val="left"/>
        <w:rPr>
          <w:color w:val="auto"/>
          <w:szCs w:val="21"/>
          <w:highlight w:val="none"/>
        </w:rPr>
      </w:pPr>
    </w:p>
    <w:p w14:paraId="54649618">
      <w:pPr>
        <w:spacing w:before="120" w:beforeLines="50" w:line="360" w:lineRule="auto"/>
        <w:jc w:val="left"/>
        <w:rPr>
          <w:color w:val="auto"/>
          <w:szCs w:val="21"/>
          <w:highlight w:val="none"/>
          <w:u w:val="single"/>
        </w:rPr>
      </w:pPr>
      <w:bookmarkStart w:id="134" w:name="_Hlk89181633"/>
      <w:r>
        <w:rPr>
          <w:color w:val="auto"/>
          <w:szCs w:val="21"/>
          <w:highlight w:val="none"/>
        </w:rPr>
        <w:t>供应商</w:t>
      </w:r>
      <w:r>
        <w:rPr>
          <w:rFonts w:hint="eastAsia"/>
          <w:color w:val="auto"/>
          <w:szCs w:val="21"/>
          <w:highlight w:val="none"/>
        </w:rPr>
        <w:t>名称(电子签章</w:t>
      </w:r>
      <w:r>
        <w:rPr>
          <w:color w:val="auto"/>
          <w:szCs w:val="21"/>
          <w:highlight w:val="none"/>
        </w:rPr>
        <w:t>)</w:t>
      </w:r>
      <w:bookmarkEnd w:id="134"/>
      <w:r>
        <w:rPr>
          <w:color w:val="auto"/>
          <w:szCs w:val="21"/>
          <w:highlight w:val="none"/>
        </w:rPr>
        <w:t>：</w:t>
      </w:r>
      <w:r>
        <w:rPr>
          <w:color w:val="auto"/>
          <w:szCs w:val="21"/>
          <w:highlight w:val="none"/>
          <w:u w:val="single"/>
        </w:rPr>
        <w:t xml:space="preserve">                              </w:t>
      </w:r>
    </w:p>
    <w:p w14:paraId="1B66AD11">
      <w:pPr>
        <w:spacing w:before="120" w:beforeLines="50" w:line="360" w:lineRule="auto"/>
        <w:jc w:val="left"/>
        <w:rPr>
          <w:color w:val="auto"/>
          <w:szCs w:val="21"/>
          <w:highlight w:val="none"/>
        </w:rPr>
      </w:pPr>
      <w:r>
        <w:rPr>
          <w:color w:val="auto"/>
          <w:szCs w:val="21"/>
          <w:highlight w:val="none"/>
        </w:rPr>
        <w:t>供应商地址：</w:t>
      </w:r>
      <w:r>
        <w:rPr>
          <w:color w:val="auto"/>
          <w:szCs w:val="21"/>
          <w:highlight w:val="none"/>
          <w:u w:val="single"/>
        </w:rPr>
        <w:t xml:space="preserve">                                     </w:t>
      </w:r>
    </w:p>
    <w:p w14:paraId="2C2555F0">
      <w:pPr>
        <w:wordWrap w:val="0"/>
        <w:spacing w:before="120" w:beforeLines="50" w:line="360" w:lineRule="auto"/>
        <w:jc w:val="right"/>
        <w:rPr>
          <w:color w:val="auto"/>
          <w:szCs w:val="21"/>
          <w:highlight w:val="none"/>
        </w:rPr>
      </w:pPr>
      <w:r>
        <w:rPr>
          <w:color w:val="auto"/>
          <w:szCs w:val="21"/>
          <w:highlight w:val="none"/>
        </w:rPr>
        <w:t>日期：</w:t>
      </w:r>
      <w:r>
        <w:rPr>
          <w:color w:val="auto"/>
          <w:szCs w:val="21"/>
          <w:highlight w:val="none"/>
          <w:u w:val="single"/>
        </w:rPr>
        <w:t xml:space="preserve">      </w:t>
      </w:r>
      <w:r>
        <w:rPr>
          <w:color w:val="auto"/>
          <w:szCs w:val="21"/>
          <w:highlight w:val="none"/>
        </w:rPr>
        <w:t>年</w:t>
      </w:r>
      <w:r>
        <w:rPr>
          <w:color w:val="auto"/>
          <w:szCs w:val="21"/>
          <w:highlight w:val="none"/>
          <w:u w:val="single"/>
        </w:rPr>
        <w:t xml:space="preserve">    </w:t>
      </w:r>
      <w:r>
        <w:rPr>
          <w:color w:val="auto"/>
          <w:szCs w:val="21"/>
          <w:highlight w:val="none"/>
        </w:rPr>
        <w:t>月</w:t>
      </w:r>
      <w:r>
        <w:rPr>
          <w:color w:val="auto"/>
          <w:szCs w:val="21"/>
          <w:highlight w:val="none"/>
          <w:u w:val="single"/>
        </w:rPr>
        <w:t xml:space="preserve">    </w:t>
      </w:r>
      <w:r>
        <w:rPr>
          <w:color w:val="auto"/>
          <w:szCs w:val="21"/>
          <w:highlight w:val="none"/>
        </w:rPr>
        <w:t>日</w:t>
      </w:r>
    </w:p>
    <w:p w14:paraId="58EB9F3B">
      <w:pPr>
        <w:spacing w:before="120" w:beforeLines="50"/>
        <w:rPr>
          <w:color w:val="auto"/>
          <w:szCs w:val="21"/>
          <w:highlight w:val="none"/>
        </w:rPr>
      </w:pPr>
      <w:r>
        <w:rPr>
          <w:color w:val="auto"/>
          <w:szCs w:val="21"/>
          <w:highlight w:val="none"/>
        </w:rPr>
        <w:t>说明：</w:t>
      </w:r>
    </w:p>
    <w:p w14:paraId="2C127ED8">
      <w:pPr>
        <w:spacing w:line="340" w:lineRule="exact"/>
        <w:ind w:firstLine="420" w:firstLineChars="200"/>
        <w:rPr>
          <w:color w:val="auto"/>
          <w:szCs w:val="21"/>
          <w:highlight w:val="none"/>
        </w:rPr>
      </w:pPr>
      <w:r>
        <w:rPr>
          <w:color w:val="auto"/>
          <w:szCs w:val="21"/>
          <w:highlight w:val="none"/>
        </w:rPr>
        <w:t>（1）为保障资金安全，上述账户不能为私人账户。</w:t>
      </w:r>
    </w:p>
    <w:p w14:paraId="1CBF0A2F">
      <w:pPr>
        <w:spacing w:line="340" w:lineRule="exact"/>
        <w:ind w:firstLine="420" w:firstLineChars="200"/>
        <w:rPr>
          <w:color w:val="auto"/>
          <w:szCs w:val="21"/>
          <w:highlight w:val="none"/>
        </w:rPr>
      </w:pPr>
      <w:r>
        <w:rPr>
          <w:color w:val="auto"/>
          <w:szCs w:val="21"/>
          <w:highlight w:val="none"/>
        </w:rPr>
        <w:t>（2）如因未按要求缴纳谈判保证金，导致谈判保证金无法退还或丢失等可能产生的一切后果由供应商自行负责。如需要，采购代理机构将按上述所填信息办理代理服务费发票事宜。如所填信息有误导致开票信息错误等可能产生的一切后果由供应商自行负责。</w:t>
      </w:r>
    </w:p>
    <w:p w14:paraId="74B49FA3">
      <w:pPr>
        <w:spacing w:line="340" w:lineRule="exact"/>
        <w:ind w:firstLine="420" w:firstLineChars="200"/>
        <w:rPr>
          <w:color w:val="auto"/>
          <w:szCs w:val="21"/>
          <w:highlight w:val="none"/>
        </w:rPr>
      </w:pPr>
      <w:r>
        <w:rPr>
          <w:color w:val="auto"/>
          <w:szCs w:val="21"/>
          <w:highlight w:val="none"/>
        </w:rPr>
        <w:t>（3）如供应商未及时收到退回款项，请与广西机电设备招标有限公司财务部联系。广西机电设备招标有限公司财务部联系方式：联系人：吴茜；电话：0771-2821398；传真：0771-2843545。</w:t>
      </w:r>
    </w:p>
    <w:p w14:paraId="5C12B27A">
      <w:pPr>
        <w:snapToGrid w:val="0"/>
        <w:spacing w:before="50" w:after="120" w:afterLines="50"/>
        <w:jc w:val="left"/>
        <w:rPr>
          <w:b/>
          <w:bCs/>
          <w:color w:val="auto"/>
          <w:szCs w:val="21"/>
          <w:highlight w:val="none"/>
        </w:rPr>
      </w:pPr>
      <w:r>
        <w:rPr>
          <w:color w:val="auto"/>
          <w:szCs w:val="21"/>
          <w:highlight w:val="none"/>
        </w:rPr>
        <w:br w:type="page"/>
      </w:r>
      <w:r>
        <w:rPr>
          <w:b/>
          <w:bCs/>
          <w:color w:val="auto"/>
          <w:szCs w:val="21"/>
          <w:highlight w:val="none"/>
        </w:rPr>
        <w:t xml:space="preserve"> </w:t>
      </w:r>
    </w:p>
    <w:p w14:paraId="7D291B32">
      <w:pPr>
        <w:snapToGrid w:val="0"/>
        <w:spacing w:before="120" w:beforeLines="50" w:after="50" w:line="440" w:lineRule="exact"/>
        <w:jc w:val="center"/>
        <w:outlineLvl w:val="1"/>
        <w:rPr>
          <w:bCs/>
          <w:color w:val="auto"/>
          <w:sz w:val="24"/>
          <w:highlight w:val="none"/>
        </w:rPr>
      </w:pPr>
      <w:r>
        <w:rPr>
          <w:bCs/>
          <w:color w:val="auto"/>
          <w:sz w:val="24"/>
          <w:highlight w:val="none"/>
        </w:rPr>
        <w:t>第三部分 报价文件</w:t>
      </w:r>
    </w:p>
    <w:p w14:paraId="29F5CAE9">
      <w:pPr>
        <w:jc w:val="center"/>
        <w:rPr>
          <w:b/>
          <w:bCs/>
          <w:color w:val="auto"/>
          <w:szCs w:val="21"/>
          <w:highlight w:val="none"/>
        </w:rPr>
      </w:pPr>
    </w:p>
    <w:p w14:paraId="13C8412E">
      <w:pPr>
        <w:rPr>
          <w:rFonts w:hint="eastAsia"/>
          <w:b/>
          <w:color w:val="auto"/>
          <w:szCs w:val="21"/>
          <w:highlight w:val="none"/>
        </w:rPr>
      </w:pPr>
      <w:bookmarkStart w:id="135" w:name="_Hlk21624060"/>
      <w:r>
        <w:rPr>
          <w:b/>
          <w:color w:val="auto"/>
          <w:szCs w:val="21"/>
          <w:highlight w:val="none"/>
        </w:rPr>
        <w:t>1．响应函格式：</w:t>
      </w:r>
    </w:p>
    <w:p w14:paraId="55073A70">
      <w:pPr>
        <w:rPr>
          <w:b/>
          <w:color w:val="auto"/>
          <w:szCs w:val="21"/>
          <w:highlight w:val="none"/>
        </w:rPr>
      </w:pPr>
    </w:p>
    <w:p w14:paraId="6BEA4F4E">
      <w:pPr>
        <w:jc w:val="center"/>
        <w:rPr>
          <w:b/>
          <w:color w:val="auto"/>
          <w:szCs w:val="21"/>
          <w:highlight w:val="none"/>
        </w:rPr>
      </w:pPr>
      <w:r>
        <w:rPr>
          <w:b/>
          <w:color w:val="auto"/>
          <w:szCs w:val="21"/>
          <w:highlight w:val="none"/>
        </w:rPr>
        <w:t>响 应 函</w:t>
      </w:r>
    </w:p>
    <w:p w14:paraId="0DFD5525">
      <w:pPr>
        <w:rPr>
          <w:b/>
          <w:color w:val="auto"/>
          <w:szCs w:val="21"/>
          <w:highlight w:val="none"/>
        </w:rPr>
      </w:pPr>
    </w:p>
    <w:p w14:paraId="18B69924">
      <w:pPr>
        <w:spacing w:line="360" w:lineRule="auto"/>
        <w:rPr>
          <w:color w:val="auto"/>
          <w:szCs w:val="21"/>
          <w:highlight w:val="none"/>
        </w:rPr>
      </w:pPr>
      <w:r>
        <w:rPr>
          <w:color w:val="auto"/>
          <w:szCs w:val="21"/>
          <w:highlight w:val="none"/>
        </w:rPr>
        <w:t>致：_</w:t>
      </w:r>
      <w:r>
        <w:rPr>
          <w:i/>
          <w:iCs/>
          <w:color w:val="auto"/>
          <w:szCs w:val="21"/>
          <w:highlight w:val="none"/>
          <w:u w:val="single"/>
        </w:rPr>
        <w:t>（采购</w:t>
      </w:r>
      <w:r>
        <w:rPr>
          <w:rFonts w:hint="eastAsia"/>
          <w:i/>
          <w:iCs/>
          <w:color w:val="auto"/>
          <w:szCs w:val="21"/>
          <w:highlight w:val="none"/>
          <w:u w:val="single"/>
        </w:rPr>
        <w:t>人</w:t>
      </w:r>
      <w:r>
        <w:rPr>
          <w:i/>
          <w:iCs/>
          <w:color w:val="auto"/>
          <w:szCs w:val="21"/>
          <w:highlight w:val="none"/>
          <w:u w:val="single"/>
        </w:rPr>
        <w:t>名称）</w:t>
      </w:r>
      <w:r>
        <w:rPr>
          <w:i/>
          <w:iCs/>
          <w:color w:val="auto"/>
          <w:szCs w:val="21"/>
          <w:highlight w:val="none"/>
        </w:rPr>
        <w:t>_</w:t>
      </w:r>
    </w:p>
    <w:p w14:paraId="28ACA7F2">
      <w:pPr>
        <w:spacing w:line="360" w:lineRule="auto"/>
        <w:ind w:firstLine="420" w:firstLineChars="200"/>
        <w:rPr>
          <w:color w:val="auto"/>
          <w:szCs w:val="21"/>
          <w:highlight w:val="none"/>
        </w:rPr>
      </w:pPr>
      <w:r>
        <w:rPr>
          <w:color w:val="auto"/>
          <w:szCs w:val="21"/>
          <w:highlight w:val="none"/>
        </w:rPr>
        <w:t>我方已仔细研究了</w:t>
      </w:r>
      <w:r>
        <w:rPr>
          <w:rFonts w:hint="eastAsia"/>
          <w:i/>
          <w:iCs/>
          <w:color w:val="auto"/>
          <w:szCs w:val="21"/>
          <w:highlight w:val="none"/>
          <w:u w:val="single"/>
        </w:rPr>
        <w:t>（项目名称）</w:t>
      </w:r>
      <w:r>
        <w:rPr>
          <w:color w:val="auto"/>
          <w:szCs w:val="21"/>
          <w:highlight w:val="none"/>
        </w:rPr>
        <w:t>的</w:t>
      </w:r>
      <w:r>
        <w:rPr>
          <w:rFonts w:hint="eastAsia"/>
          <w:color w:val="auto"/>
          <w:szCs w:val="21"/>
          <w:highlight w:val="none"/>
        </w:rPr>
        <w:t>采购文件</w:t>
      </w:r>
      <w:r>
        <w:rPr>
          <w:color w:val="auto"/>
          <w:szCs w:val="21"/>
          <w:highlight w:val="none"/>
        </w:rPr>
        <w:t>的全部内容</w:t>
      </w:r>
      <w:r>
        <w:rPr>
          <w:rFonts w:hint="eastAsia"/>
          <w:color w:val="auto"/>
          <w:szCs w:val="21"/>
          <w:highlight w:val="none"/>
        </w:rPr>
        <w:t>，</w:t>
      </w:r>
      <w:r>
        <w:rPr>
          <w:color w:val="auto"/>
          <w:szCs w:val="21"/>
          <w:highlight w:val="none"/>
        </w:rPr>
        <w:t>签字代表</w:t>
      </w:r>
      <w:r>
        <w:rPr>
          <w:rFonts w:hint="eastAsia"/>
          <w:i/>
          <w:iCs/>
          <w:color w:val="auto"/>
          <w:szCs w:val="21"/>
          <w:highlight w:val="none"/>
          <w:u w:val="single"/>
        </w:rPr>
        <w:t>（授权代表姓名）</w:t>
      </w:r>
      <w:r>
        <w:rPr>
          <w:color w:val="auto"/>
          <w:szCs w:val="21"/>
          <w:highlight w:val="none"/>
        </w:rPr>
        <w:t>经正式授权并代表供应商</w:t>
      </w:r>
      <w:r>
        <w:rPr>
          <w:color w:val="auto"/>
          <w:szCs w:val="21"/>
          <w:highlight w:val="none"/>
          <w:u w:val="single"/>
        </w:rPr>
        <w:t xml:space="preserve"> </w:t>
      </w:r>
      <w:r>
        <w:rPr>
          <w:i/>
          <w:iCs/>
          <w:color w:val="auto"/>
          <w:szCs w:val="21"/>
          <w:highlight w:val="none"/>
          <w:u w:val="single"/>
        </w:rPr>
        <w:t>（供应商名称）</w:t>
      </w:r>
      <w:r>
        <w:rPr>
          <w:rFonts w:hint="eastAsia"/>
          <w:i/>
          <w:iCs/>
          <w:color w:val="auto"/>
          <w:szCs w:val="21"/>
          <w:highlight w:val="none"/>
          <w:u w:val="single"/>
        </w:rPr>
        <w:t xml:space="preserve"> </w:t>
      </w:r>
      <w:r>
        <w:rPr>
          <w:color w:val="auto"/>
          <w:szCs w:val="21"/>
          <w:highlight w:val="none"/>
        </w:rPr>
        <w:t>提交响应文件。</w:t>
      </w:r>
    </w:p>
    <w:p w14:paraId="58E28161">
      <w:pPr>
        <w:spacing w:line="360" w:lineRule="auto"/>
        <w:ind w:firstLine="420" w:firstLineChars="200"/>
        <w:rPr>
          <w:color w:val="auto"/>
          <w:szCs w:val="21"/>
          <w:highlight w:val="none"/>
        </w:rPr>
      </w:pPr>
      <w:r>
        <w:rPr>
          <w:color w:val="auto"/>
          <w:szCs w:val="21"/>
          <w:highlight w:val="none"/>
        </w:rPr>
        <w:t>据此函，签字代表宣布同意如下：</w:t>
      </w:r>
    </w:p>
    <w:p w14:paraId="44500BA0">
      <w:pPr>
        <w:spacing w:line="360" w:lineRule="auto"/>
        <w:rPr>
          <w:color w:val="auto"/>
          <w:szCs w:val="21"/>
          <w:highlight w:val="none"/>
        </w:rPr>
      </w:pPr>
      <w:r>
        <w:rPr>
          <w:color w:val="auto"/>
          <w:szCs w:val="21"/>
          <w:highlight w:val="none"/>
        </w:rPr>
        <w:t>（1）供应商已详细审查全部“采购文件”，包括修改文件（如有的话）以及全部参考资料和有关附件，已经了解我方对于采购文件、采购过程、采购结果有依法进行询问、质疑、投诉的权利及相关渠道和要求。</w:t>
      </w:r>
    </w:p>
    <w:p w14:paraId="269BAE3D">
      <w:pPr>
        <w:spacing w:line="360" w:lineRule="auto"/>
        <w:rPr>
          <w:color w:val="auto"/>
          <w:szCs w:val="21"/>
          <w:highlight w:val="none"/>
        </w:rPr>
      </w:pPr>
      <w:r>
        <w:rPr>
          <w:color w:val="auto"/>
          <w:szCs w:val="21"/>
          <w:highlight w:val="none"/>
        </w:rPr>
        <w:t>（2）供应商在响应之前已经与贵方进行了充分的沟通，完全理解并接受采购文件的各项规定和要求，对采购文件的合理性、合法性不再有异议。</w:t>
      </w:r>
    </w:p>
    <w:p w14:paraId="2D519C89">
      <w:pPr>
        <w:spacing w:line="360" w:lineRule="auto"/>
        <w:rPr>
          <w:color w:val="auto"/>
          <w:szCs w:val="21"/>
          <w:highlight w:val="none"/>
        </w:rPr>
      </w:pPr>
      <w:r>
        <w:rPr>
          <w:color w:val="auto"/>
          <w:szCs w:val="21"/>
          <w:highlight w:val="none"/>
        </w:rPr>
        <w:t>（3）响应有效期自响应文件递交截止之日起</w:t>
      </w:r>
      <w:r>
        <w:rPr>
          <w:color w:val="auto"/>
          <w:szCs w:val="21"/>
          <w:highlight w:val="none"/>
          <w:u w:val="single"/>
        </w:rPr>
        <w:t xml:space="preserve">      </w:t>
      </w:r>
      <w:r>
        <w:rPr>
          <w:color w:val="auto"/>
          <w:szCs w:val="21"/>
          <w:highlight w:val="none"/>
        </w:rPr>
        <w:t>天。</w:t>
      </w:r>
    </w:p>
    <w:p w14:paraId="4F1F9E33">
      <w:pPr>
        <w:spacing w:line="360" w:lineRule="auto"/>
        <w:rPr>
          <w:color w:val="auto"/>
          <w:szCs w:val="21"/>
          <w:highlight w:val="none"/>
        </w:rPr>
      </w:pPr>
      <w:r>
        <w:rPr>
          <w:color w:val="auto"/>
          <w:szCs w:val="21"/>
          <w:highlight w:val="none"/>
        </w:rPr>
        <w:t>（4）如成交，本响应文件至本项目合同履行完毕止均保持有效，本供应商将按“采购文件”及政府采购法律、法规的规定履行合同责任和义务</w:t>
      </w:r>
      <w:r>
        <w:rPr>
          <w:rFonts w:hint="eastAsia"/>
          <w:color w:val="auto"/>
          <w:szCs w:val="21"/>
          <w:highlight w:val="none"/>
        </w:rPr>
        <w:t>，并承诺</w:t>
      </w:r>
      <w:r>
        <w:rPr>
          <w:color w:val="auto"/>
          <w:szCs w:val="21"/>
          <w:highlight w:val="none"/>
        </w:rPr>
        <w:t>不分包及转包他人。</w:t>
      </w:r>
    </w:p>
    <w:p w14:paraId="630031EB">
      <w:pPr>
        <w:spacing w:line="360" w:lineRule="auto"/>
        <w:rPr>
          <w:color w:val="auto"/>
          <w:szCs w:val="21"/>
          <w:highlight w:val="none"/>
        </w:rPr>
      </w:pPr>
      <w:r>
        <w:rPr>
          <w:color w:val="auto"/>
          <w:szCs w:val="21"/>
          <w:highlight w:val="none"/>
        </w:rPr>
        <w:t>（5）供应商同意按照贵方要求提供与谈判有关的一切数据或资料。</w:t>
      </w:r>
    </w:p>
    <w:p w14:paraId="1528D202">
      <w:pPr>
        <w:spacing w:line="360" w:lineRule="auto"/>
        <w:rPr>
          <w:color w:val="auto"/>
          <w:szCs w:val="21"/>
          <w:highlight w:val="none"/>
        </w:rPr>
      </w:pPr>
      <w:r>
        <w:rPr>
          <w:color w:val="auto"/>
          <w:szCs w:val="21"/>
          <w:highlight w:val="none"/>
        </w:rPr>
        <w:t>（6）与本项目有关的一切正式往来信函请寄：</w:t>
      </w:r>
    </w:p>
    <w:p w14:paraId="5145E516">
      <w:pPr>
        <w:spacing w:line="360" w:lineRule="auto"/>
        <w:rPr>
          <w:color w:val="auto"/>
          <w:szCs w:val="21"/>
          <w:highlight w:val="none"/>
        </w:rPr>
      </w:pPr>
      <w:r>
        <w:rPr>
          <w:color w:val="auto"/>
          <w:szCs w:val="21"/>
          <w:highlight w:val="none"/>
        </w:rPr>
        <w:t>地址：</w:t>
      </w:r>
      <w:r>
        <w:rPr>
          <w:color w:val="auto"/>
          <w:szCs w:val="21"/>
          <w:highlight w:val="none"/>
          <w:u w:val="single"/>
        </w:rPr>
        <w:t xml:space="preserve">                      </w:t>
      </w:r>
      <w:r>
        <w:rPr>
          <w:color w:val="auto"/>
          <w:szCs w:val="21"/>
          <w:highlight w:val="none"/>
        </w:rPr>
        <w:t>邮编：</w:t>
      </w:r>
      <w:r>
        <w:rPr>
          <w:color w:val="auto"/>
          <w:szCs w:val="21"/>
          <w:highlight w:val="none"/>
          <w:u w:val="single"/>
        </w:rPr>
        <w:t xml:space="preserve">         </w:t>
      </w:r>
      <w:r>
        <w:rPr>
          <w:color w:val="auto"/>
          <w:szCs w:val="21"/>
          <w:highlight w:val="none"/>
        </w:rPr>
        <w:t xml:space="preserve">  电话：</w:t>
      </w:r>
      <w:r>
        <w:rPr>
          <w:color w:val="auto"/>
          <w:szCs w:val="21"/>
          <w:highlight w:val="none"/>
          <w:u w:val="single"/>
        </w:rPr>
        <w:t xml:space="preserve">            </w:t>
      </w:r>
    </w:p>
    <w:p w14:paraId="125CF0A9">
      <w:pPr>
        <w:spacing w:line="360" w:lineRule="auto"/>
        <w:rPr>
          <w:color w:val="auto"/>
          <w:szCs w:val="21"/>
          <w:highlight w:val="none"/>
        </w:rPr>
      </w:pPr>
      <w:r>
        <w:rPr>
          <w:color w:val="auto"/>
          <w:szCs w:val="21"/>
          <w:highlight w:val="none"/>
        </w:rPr>
        <w:t>传真：</w:t>
      </w:r>
      <w:r>
        <w:rPr>
          <w:color w:val="auto"/>
          <w:szCs w:val="21"/>
          <w:highlight w:val="none"/>
          <w:u w:val="single"/>
        </w:rPr>
        <w:t xml:space="preserve">           </w:t>
      </w:r>
      <w:r>
        <w:rPr>
          <w:color w:val="auto"/>
          <w:szCs w:val="21"/>
          <w:highlight w:val="none"/>
        </w:rPr>
        <w:t xml:space="preserve">  </w:t>
      </w:r>
    </w:p>
    <w:p w14:paraId="5E2C6466">
      <w:pPr>
        <w:spacing w:line="360" w:lineRule="auto"/>
        <w:rPr>
          <w:rFonts w:hint="eastAsia"/>
          <w:color w:val="auto"/>
          <w:szCs w:val="21"/>
          <w:highlight w:val="none"/>
          <w:u w:val="single"/>
        </w:rPr>
      </w:pPr>
      <w:r>
        <w:rPr>
          <w:color w:val="auto"/>
          <w:szCs w:val="21"/>
          <w:highlight w:val="none"/>
        </w:rPr>
        <w:t>供应商代表姓名</w:t>
      </w:r>
      <w:r>
        <w:rPr>
          <w:color w:val="auto"/>
          <w:szCs w:val="21"/>
          <w:highlight w:val="none"/>
          <w:u w:val="single"/>
        </w:rPr>
        <w:t xml:space="preserve">         </w:t>
      </w:r>
      <w:r>
        <w:rPr>
          <w:color w:val="auto"/>
          <w:szCs w:val="21"/>
          <w:highlight w:val="none"/>
        </w:rPr>
        <w:t xml:space="preserve">  职务：</w:t>
      </w:r>
      <w:r>
        <w:rPr>
          <w:color w:val="auto"/>
          <w:szCs w:val="21"/>
          <w:highlight w:val="none"/>
          <w:u w:val="single"/>
        </w:rPr>
        <w:t xml:space="preserve">             </w:t>
      </w:r>
      <w:r>
        <w:rPr>
          <w:rFonts w:hint="eastAsia"/>
          <w:color w:val="auto"/>
          <w:szCs w:val="21"/>
          <w:highlight w:val="none"/>
        </w:rPr>
        <w:t>邮箱：</w:t>
      </w:r>
      <w:r>
        <w:rPr>
          <w:rFonts w:hint="eastAsia"/>
          <w:color w:val="auto"/>
          <w:szCs w:val="21"/>
          <w:highlight w:val="none"/>
          <w:u w:val="single"/>
        </w:rPr>
        <w:t xml:space="preserve"> </w:t>
      </w:r>
      <w:r>
        <w:rPr>
          <w:color w:val="auto"/>
          <w:szCs w:val="21"/>
          <w:highlight w:val="none"/>
          <w:u w:val="single"/>
        </w:rPr>
        <w:t xml:space="preserve">             </w:t>
      </w:r>
    </w:p>
    <w:p w14:paraId="2DBF606C">
      <w:pPr>
        <w:spacing w:line="360" w:lineRule="auto"/>
        <w:rPr>
          <w:rFonts w:hint="eastAsia"/>
          <w:color w:val="auto"/>
          <w:szCs w:val="21"/>
          <w:highlight w:val="none"/>
          <w:u w:val="single"/>
        </w:rPr>
      </w:pPr>
    </w:p>
    <w:p w14:paraId="249067BF">
      <w:pPr>
        <w:spacing w:line="360" w:lineRule="auto"/>
        <w:rPr>
          <w:rFonts w:hint="eastAsia"/>
          <w:color w:val="auto"/>
          <w:szCs w:val="21"/>
          <w:highlight w:val="none"/>
          <w:u w:val="single"/>
        </w:rPr>
      </w:pPr>
    </w:p>
    <w:p w14:paraId="04D41E3E">
      <w:pPr>
        <w:spacing w:line="360" w:lineRule="auto"/>
        <w:rPr>
          <w:color w:val="auto"/>
          <w:szCs w:val="21"/>
          <w:highlight w:val="none"/>
        </w:rPr>
      </w:pPr>
    </w:p>
    <w:p w14:paraId="392C6DAB">
      <w:pPr>
        <w:spacing w:line="360" w:lineRule="auto"/>
        <w:rPr>
          <w:rFonts w:hint="eastAsia"/>
          <w:color w:val="auto"/>
          <w:szCs w:val="21"/>
          <w:highlight w:val="none"/>
          <w:u w:val="single"/>
        </w:rPr>
      </w:pPr>
      <w:bookmarkStart w:id="136" w:name="_Hlk89181776"/>
      <w:r>
        <w:rPr>
          <w:color w:val="auto"/>
          <w:szCs w:val="21"/>
          <w:highlight w:val="none"/>
        </w:rPr>
        <w:t>供应商</w:t>
      </w:r>
      <w:r>
        <w:rPr>
          <w:rFonts w:hint="eastAsia"/>
          <w:color w:val="auto"/>
          <w:szCs w:val="21"/>
          <w:highlight w:val="none"/>
        </w:rPr>
        <w:t>名称(电子签章</w:t>
      </w:r>
      <w:r>
        <w:rPr>
          <w:color w:val="auto"/>
          <w:szCs w:val="21"/>
          <w:highlight w:val="none"/>
        </w:rPr>
        <w:t>)：</w:t>
      </w:r>
      <w:r>
        <w:rPr>
          <w:color w:val="auto"/>
          <w:szCs w:val="21"/>
          <w:highlight w:val="none"/>
          <w:u w:val="single"/>
        </w:rPr>
        <w:t xml:space="preserve">                  </w:t>
      </w:r>
    </w:p>
    <w:bookmarkEnd w:id="136"/>
    <w:p w14:paraId="07BEA8AD">
      <w:pPr>
        <w:spacing w:line="360" w:lineRule="auto"/>
        <w:rPr>
          <w:rFonts w:hint="eastAsia"/>
          <w:color w:val="auto"/>
          <w:szCs w:val="21"/>
          <w:highlight w:val="none"/>
        </w:rPr>
      </w:pPr>
      <w:r>
        <w:rPr>
          <w:color w:val="auto"/>
          <w:szCs w:val="21"/>
          <w:highlight w:val="none"/>
        </w:rPr>
        <w:t xml:space="preserve">       </w:t>
      </w:r>
    </w:p>
    <w:p w14:paraId="075CF18E">
      <w:pPr>
        <w:spacing w:line="360" w:lineRule="auto"/>
        <w:rPr>
          <w:rFonts w:hint="eastAsia"/>
          <w:color w:val="auto"/>
          <w:szCs w:val="21"/>
          <w:highlight w:val="none"/>
        </w:rPr>
      </w:pPr>
    </w:p>
    <w:p w14:paraId="6711569A">
      <w:pPr>
        <w:spacing w:line="360" w:lineRule="auto"/>
        <w:rPr>
          <w:color w:val="auto"/>
          <w:szCs w:val="21"/>
          <w:highlight w:val="none"/>
        </w:rPr>
      </w:pPr>
      <w:r>
        <w:rPr>
          <w:color w:val="auto"/>
          <w:szCs w:val="21"/>
          <w:highlight w:val="none"/>
        </w:rPr>
        <w:t>日期：</w:t>
      </w:r>
      <w:r>
        <w:rPr>
          <w:color w:val="auto"/>
          <w:szCs w:val="21"/>
          <w:highlight w:val="none"/>
          <w:u w:val="single"/>
        </w:rPr>
        <w:t xml:space="preserve">      </w:t>
      </w:r>
      <w:r>
        <w:rPr>
          <w:color w:val="auto"/>
          <w:szCs w:val="21"/>
          <w:highlight w:val="none"/>
        </w:rPr>
        <w:t>年</w:t>
      </w:r>
      <w:r>
        <w:rPr>
          <w:color w:val="auto"/>
          <w:szCs w:val="21"/>
          <w:highlight w:val="none"/>
          <w:u w:val="single"/>
        </w:rPr>
        <w:t xml:space="preserve">    </w:t>
      </w:r>
      <w:r>
        <w:rPr>
          <w:color w:val="auto"/>
          <w:szCs w:val="21"/>
          <w:highlight w:val="none"/>
        </w:rPr>
        <w:t>月</w:t>
      </w:r>
      <w:r>
        <w:rPr>
          <w:color w:val="auto"/>
          <w:szCs w:val="21"/>
          <w:highlight w:val="none"/>
          <w:u w:val="single"/>
        </w:rPr>
        <w:t xml:space="preserve">   </w:t>
      </w:r>
      <w:r>
        <w:rPr>
          <w:color w:val="auto"/>
          <w:szCs w:val="21"/>
          <w:highlight w:val="none"/>
        </w:rPr>
        <w:t>日</w:t>
      </w:r>
    </w:p>
    <w:p w14:paraId="40BE195F">
      <w:pPr>
        <w:rPr>
          <w:b/>
          <w:color w:val="auto"/>
          <w:szCs w:val="21"/>
          <w:highlight w:val="none"/>
        </w:rPr>
      </w:pPr>
      <w:r>
        <w:rPr>
          <w:b/>
          <w:color w:val="auto"/>
          <w:szCs w:val="21"/>
          <w:highlight w:val="none"/>
        </w:rPr>
        <w:br w:type="page"/>
      </w:r>
      <w:bookmarkEnd w:id="135"/>
      <w:r>
        <w:rPr>
          <w:b/>
          <w:color w:val="auto"/>
          <w:szCs w:val="21"/>
          <w:highlight w:val="none"/>
        </w:rPr>
        <w:t>2．谈判报价明细表格式：</w:t>
      </w:r>
    </w:p>
    <w:p w14:paraId="2ACCF28D">
      <w:pPr>
        <w:jc w:val="center"/>
        <w:rPr>
          <w:b/>
          <w:color w:val="auto"/>
          <w:szCs w:val="21"/>
          <w:highlight w:val="none"/>
        </w:rPr>
      </w:pPr>
      <w:r>
        <w:rPr>
          <w:b/>
          <w:color w:val="auto"/>
          <w:szCs w:val="21"/>
          <w:highlight w:val="none"/>
        </w:rPr>
        <w:t>谈判报价明细表</w:t>
      </w:r>
    </w:p>
    <w:p w14:paraId="3A91CCC6">
      <w:pPr>
        <w:ind w:firstLine="2415" w:firstLineChars="1150"/>
        <w:rPr>
          <w:color w:val="auto"/>
          <w:szCs w:val="21"/>
          <w:highlight w:val="none"/>
        </w:rPr>
      </w:pPr>
      <w:r>
        <w:rPr>
          <w:color w:val="auto"/>
          <w:szCs w:val="21"/>
          <w:highlight w:val="none"/>
        </w:rPr>
        <w:t xml:space="preserve">                            金额单位：人民币（元）</w:t>
      </w:r>
    </w:p>
    <w:tbl>
      <w:tblPr>
        <w:tblStyle w:val="5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620"/>
        <w:gridCol w:w="1080"/>
        <w:gridCol w:w="1440"/>
        <w:gridCol w:w="1620"/>
        <w:gridCol w:w="1260"/>
        <w:gridCol w:w="1440"/>
      </w:tblGrid>
      <w:tr w14:paraId="4365F2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14:paraId="1C6C6134">
            <w:pPr>
              <w:jc w:val="center"/>
              <w:rPr>
                <w:color w:val="auto"/>
                <w:spacing w:val="20"/>
                <w:szCs w:val="21"/>
                <w:highlight w:val="none"/>
              </w:rPr>
            </w:pPr>
            <w:r>
              <w:rPr>
                <w:color w:val="auto"/>
                <w:szCs w:val="21"/>
                <w:highlight w:val="none"/>
              </w:rPr>
              <w:t>序号</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2EE1D4FF">
            <w:pPr>
              <w:jc w:val="center"/>
              <w:rPr>
                <w:color w:val="auto"/>
                <w:szCs w:val="21"/>
                <w:highlight w:val="none"/>
              </w:rPr>
            </w:pPr>
            <w:r>
              <w:rPr>
                <w:color w:val="auto"/>
                <w:szCs w:val="21"/>
                <w:highlight w:val="none"/>
              </w:rPr>
              <w:t>产品名称</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056A784">
            <w:pPr>
              <w:jc w:val="center"/>
              <w:rPr>
                <w:color w:val="auto"/>
                <w:szCs w:val="21"/>
                <w:highlight w:val="none"/>
              </w:rPr>
            </w:pPr>
            <w:r>
              <w:rPr>
                <w:color w:val="auto"/>
                <w:szCs w:val="21"/>
                <w:highlight w:val="none"/>
              </w:rPr>
              <w:t>制造商</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0A1E9905">
            <w:pPr>
              <w:jc w:val="center"/>
              <w:rPr>
                <w:color w:val="auto"/>
                <w:szCs w:val="21"/>
                <w:highlight w:val="none"/>
              </w:rPr>
            </w:pPr>
            <w:r>
              <w:rPr>
                <w:color w:val="auto"/>
                <w:szCs w:val="21"/>
                <w:highlight w:val="none"/>
              </w:rPr>
              <w:t>规格型号</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10E0C953">
            <w:pPr>
              <w:jc w:val="center"/>
              <w:rPr>
                <w:color w:val="auto"/>
                <w:szCs w:val="21"/>
                <w:highlight w:val="none"/>
              </w:rPr>
            </w:pPr>
            <w:r>
              <w:rPr>
                <w:color w:val="auto"/>
                <w:szCs w:val="21"/>
                <w:highlight w:val="none"/>
              </w:rPr>
              <w:t>单位及数量</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D5DCD28">
            <w:pPr>
              <w:jc w:val="center"/>
              <w:rPr>
                <w:color w:val="auto"/>
                <w:szCs w:val="21"/>
                <w:highlight w:val="none"/>
              </w:rPr>
            </w:pPr>
            <w:r>
              <w:rPr>
                <w:color w:val="auto"/>
                <w:szCs w:val="21"/>
                <w:highlight w:val="none"/>
              </w:rPr>
              <w:t>单价</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37900E48">
            <w:pPr>
              <w:jc w:val="center"/>
              <w:rPr>
                <w:rFonts w:hint="eastAsia"/>
                <w:color w:val="auto"/>
                <w:szCs w:val="21"/>
                <w:highlight w:val="none"/>
              </w:rPr>
            </w:pPr>
            <w:r>
              <w:rPr>
                <w:rFonts w:hint="eastAsia"/>
                <w:color w:val="auto"/>
                <w:szCs w:val="21"/>
                <w:highlight w:val="none"/>
              </w:rPr>
              <w:t>合计</w:t>
            </w:r>
          </w:p>
        </w:tc>
      </w:tr>
      <w:tr w14:paraId="662C22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14:paraId="63134EE4">
            <w:pPr>
              <w:jc w:val="center"/>
              <w:rPr>
                <w:color w:val="auto"/>
                <w:spacing w:val="20"/>
                <w:szCs w:val="21"/>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6A9D8612">
            <w:pPr>
              <w:jc w:val="center"/>
              <w:rPr>
                <w:color w:val="auto"/>
                <w:spacing w:val="20"/>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3A6A3C8">
            <w:pPr>
              <w:jc w:val="center"/>
              <w:rPr>
                <w:color w:val="auto"/>
                <w:spacing w:val="20"/>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347D6747">
            <w:pPr>
              <w:jc w:val="center"/>
              <w:rPr>
                <w:color w:val="auto"/>
                <w:spacing w:val="20"/>
                <w:szCs w:val="21"/>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4EA795D5">
            <w:pPr>
              <w:jc w:val="center"/>
              <w:rPr>
                <w:color w:val="auto"/>
                <w:spacing w:val="20"/>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FCF881C">
            <w:pPr>
              <w:jc w:val="center"/>
              <w:rPr>
                <w:color w:val="auto"/>
                <w:spacing w:val="20"/>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68873937">
            <w:pPr>
              <w:jc w:val="center"/>
              <w:rPr>
                <w:color w:val="auto"/>
                <w:spacing w:val="20"/>
                <w:szCs w:val="21"/>
                <w:highlight w:val="none"/>
              </w:rPr>
            </w:pPr>
          </w:p>
        </w:tc>
      </w:tr>
      <w:tr w14:paraId="6BBB62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14:paraId="75EBA178">
            <w:pPr>
              <w:jc w:val="center"/>
              <w:rPr>
                <w:color w:val="auto"/>
                <w:spacing w:val="20"/>
                <w:szCs w:val="21"/>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1674F3BF">
            <w:pPr>
              <w:jc w:val="center"/>
              <w:rPr>
                <w:color w:val="auto"/>
                <w:spacing w:val="20"/>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955BD63">
            <w:pPr>
              <w:jc w:val="center"/>
              <w:rPr>
                <w:color w:val="auto"/>
                <w:spacing w:val="20"/>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5FDAE107">
            <w:pPr>
              <w:jc w:val="center"/>
              <w:rPr>
                <w:color w:val="auto"/>
                <w:spacing w:val="20"/>
                <w:szCs w:val="21"/>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238DD9FE">
            <w:pPr>
              <w:jc w:val="center"/>
              <w:rPr>
                <w:color w:val="auto"/>
                <w:spacing w:val="20"/>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9EDD2EE">
            <w:pPr>
              <w:jc w:val="center"/>
              <w:rPr>
                <w:color w:val="auto"/>
                <w:spacing w:val="20"/>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11CD5D9A">
            <w:pPr>
              <w:jc w:val="center"/>
              <w:rPr>
                <w:color w:val="auto"/>
                <w:spacing w:val="20"/>
                <w:szCs w:val="21"/>
                <w:highlight w:val="none"/>
              </w:rPr>
            </w:pPr>
          </w:p>
        </w:tc>
      </w:tr>
      <w:tr w14:paraId="6862CC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14:paraId="5FF3F4DE">
            <w:pPr>
              <w:jc w:val="center"/>
              <w:rPr>
                <w:color w:val="auto"/>
                <w:spacing w:val="20"/>
                <w:szCs w:val="21"/>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5D7A4116">
            <w:pPr>
              <w:jc w:val="center"/>
              <w:rPr>
                <w:color w:val="auto"/>
                <w:spacing w:val="20"/>
                <w:szCs w:val="21"/>
                <w:highlight w:val="none"/>
              </w:rPr>
            </w:pPr>
            <w:r>
              <w:rPr>
                <w:color w:val="auto"/>
                <w:spacing w:val="20"/>
                <w:szCs w:val="21"/>
                <w:highlight w:val="none"/>
              </w:rPr>
              <w:t>……</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D322D5E">
            <w:pPr>
              <w:jc w:val="center"/>
              <w:rPr>
                <w:color w:val="auto"/>
                <w:spacing w:val="20"/>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369BF6EE">
            <w:pPr>
              <w:jc w:val="center"/>
              <w:rPr>
                <w:color w:val="auto"/>
                <w:spacing w:val="20"/>
                <w:szCs w:val="21"/>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7B821D65">
            <w:pPr>
              <w:jc w:val="center"/>
              <w:rPr>
                <w:color w:val="auto"/>
                <w:spacing w:val="20"/>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D93280E">
            <w:pPr>
              <w:jc w:val="center"/>
              <w:rPr>
                <w:color w:val="auto"/>
                <w:spacing w:val="20"/>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7473FADA">
            <w:pPr>
              <w:jc w:val="center"/>
              <w:rPr>
                <w:color w:val="auto"/>
                <w:spacing w:val="20"/>
                <w:szCs w:val="21"/>
                <w:highlight w:val="none"/>
              </w:rPr>
            </w:pPr>
          </w:p>
        </w:tc>
      </w:tr>
    </w:tbl>
    <w:p w14:paraId="481BA442">
      <w:pPr>
        <w:rPr>
          <w:color w:val="auto"/>
          <w:spacing w:val="20"/>
          <w:szCs w:val="21"/>
          <w:highlight w:val="none"/>
          <w:u w:val="single"/>
        </w:rPr>
      </w:pPr>
    </w:p>
    <w:p w14:paraId="1A22BA40">
      <w:pPr>
        <w:spacing w:line="360" w:lineRule="auto"/>
        <w:rPr>
          <w:color w:val="auto"/>
          <w:spacing w:val="20"/>
          <w:szCs w:val="21"/>
          <w:highlight w:val="none"/>
        </w:rPr>
      </w:pPr>
      <w:bookmarkStart w:id="137" w:name="_Hlk89181787"/>
    </w:p>
    <w:p w14:paraId="33ABAA30">
      <w:pPr>
        <w:pStyle w:val="17"/>
        <w:rPr>
          <w:color w:val="auto"/>
          <w:highlight w:val="none"/>
        </w:rPr>
      </w:pPr>
      <w:r>
        <w:rPr>
          <w:color w:val="auto"/>
          <w:szCs w:val="21"/>
          <w:highlight w:val="none"/>
        </w:rPr>
        <w:t>注：</w:t>
      </w:r>
      <w:r>
        <w:rPr>
          <w:rFonts w:hint="eastAsia"/>
          <w:color w:val="auto"/>
          <w:szCs w:val="21"/>
          <w:highlight w:val="none"/>
        </w:rPr>
        <w:t>本表如</w:t>
      </w:r>
      <w:r>
        <w:rPr>
          <w:rFonts w:hint="eastAsia"/>
          <w:color w:val="auto"/>
          <w:highlight w:val="none"/>
        </w:rPr>
        <w:t>与广西政府采购云平台不一致的，以广西政府采购云平台为准。</w:t>
      </w:r>
    </w:p>
    <w:p w14:paraId="2B88EC54">
      <w:pPr>
        <w:jc w:val="left"/>
        <w:rPr>
          <w:color w:val="auto"/>
          <w:szCs w:val="21"/>
          <w:highlight w:val="none"/>
        </w:rPr>
      </w:pPr>
    </w:p>
    <w:p w14:paraId="313B2C46">
      <w:pPr>
        <w:spacing w:line="360" w:lineRule="auto"/>
        <w:rPr>
          <w:color w:val="auto"/>
          <w:spacing w:val="20"/>
          <w:szCs w:val="21"/>
          <w:highlight w:val="none"/>
        </w:rPr>
      </w:pPr>
    </w:p>
    <w:p w14:paraId="274F7827">
      <w:pPr>
        <w:spacing w:line="360" w:lineRule="auto"/>
        <w:rPr>
          <w:color w:val="auto"/>
          <w:szCs w:val="21"/>
          <w:highlight w:val="none"/>
        </w:rPr>
      </w:pPr>
      <w:r>
        <w:rPr>
          <w:color w:val="auto"/>
          <w:szCs w:val="21"/>
          <w:highlight w:val="none"/>
        </w:rPr>
        <w:t>供应商名称（</w:t>
      </w:r>
      <w:r>
        <w:rPr>
          <w:rFonts w:hint="eastAsia"/>
          <w:color w:val="auto"/>
          <w:szCs w:val="21"/>
          <w:highlight w:val="none"/>
        </w:rPr>
        <w:t>电子签章</w:t>
      </w:r>
      <w:r>
        <w:rPr>
          <w:color w:val="auto"/>
          <w:szCs w:val="21"/>
          <w:highlight w:val="none"/>
        </w:rPr>
        <w:t>）：</w:t>
      </w:r>
      <w:r>
        <w:rPr>
          <w:color w:val="auto"/>
          <w:szCs w:val="21"/>
          <w:highlight w:val="none"/>
          <w:u w:val="single"/>
        </w:rPr>
        <w:t xml:space="preserve">                          </w:t>
      </w:r>
    </w:p>
    <w:p w14:paraId="34ED9605">
      <w:pPr>
        <w:spacing w:line="360" w:lineRule="auto"/>
        <w:rPr>
          <w:color w:val="auto"/>
          <w:spacing w:val="20"/>
          <w:szCs w:val="21"/>
          <w:highlight w:val="none"/>
          <w:u w:val="single"/>
        </w:rPr>
      </w:pPr>
      <w:r>
        <w:rPr>
          <w:color w:val="auto"/>
          <w:szCs w:val="21"/>
          <w:highlight w:val="none"/>
        </w:rPr>
        <w:t>日  期：</w:t>
      </w:r>
      <w:r>
        <w:rPr>
          <w:color w:val="auto"/>
          <w:szCs w:val="21"/>
          <w:highlight w:val="none"/>
          <w:u w:val="single"/>
        </w:rPr>
        <w:t xml:space="preserve">         </w:t>
      </w:r>
      <w:r>
        <w:rPr>
          <w:color w:val="auto"/>
          <w:szCs w:val="21"/>
          <w:highlight w:val="none"/>
        </w:rPr>
        <w:t>年</w:t>
      </w:r>
      <w:r>
        <w:rPr>
          <w:color w:val="auto"/>
          <w:szCs w:val="21"/>
          <w:highlight w:val="none"/>
          <w:u w:val="single"/>
        </w:rPr>
        <w:t xml:space="preserve">   </w:t>
      </w:r>
      <w:r>
        <w:rPr>
          <w:color w:val="auto"/>
          <w:szCs w:val="21"/>
          <w:highlight w:val="none"/>
        </w:rPr>
        <w:t>月</w:t>
      </w:r>
      <w:r>
        <w:rPr>
          <w:color w:val="auto"/>
          <w:szCs w:val="21"/>
          <w:highlight w:val="none"/>
          <w:u w:val="single"/>
        </w:rPr>
        <w:t xml:space="preserve">   </w:t>
      </w:r>
      <w:r>
        <w:rPr>
          <w:color w:val="auto"/>
          <w:szCs w:val="21"/>
          <w:highlight w:val="none"/>
        </w:rPr>
        <w:t xml:space="preserve">日 </w:t>
      </w:r>
    </w:p>
    <w:bookmarkEnd w:id="137"/>
    <w:p w14:paraId="1B1612DA">
      <w:pPr>
        <w:snapToGrid w:val="0"/>
        <w:spacing w:before="50" w:after="120" w:afterLines="50"/>
        <w:jc w:val="left"/>
        <w:rPr>
          <w:rFonts w:hint="eastAsia"/>
          <w:color w:val="auto"/>
          <w:szCs w:val="21"/>
          <w:highlight w:val="none"/>
        </w:rPr>
      </w:pPr>
    </w:p>
    <w:p w14:paraId="1744CF84">
      <w:pPr>
        <w:snapToGrid w:val="0"/>
        <w:spacing w:before="120" w:beforeLines="50" w:after="50" w:line="440" w:lineRule="exact"/>
        <w:jc w:val="left"/>
        <w:outlineLvl w:val="1"/>
        <w:rPr>
          <w:color w:val="auto"/>
          <w:szCs w:val="21"/>
          <w:highlight w:val="none"/>
        </w:rPr>
      </w:pPr>
      <w:r>
        <w:rPr>
          <w:color w:val="auto"/>
          <w:szCs w:val="21"/>
          <w:highlight w:val="none"/>
        </w:rPr>
        <w:br w:type="page"/>
      </w:r>
      <w:bookmarkStart w:id="138" w:name="_Hlk89184603"/>
      <w:bookmarkStart w:id="139" w:name="_Hlk89181869"/>
      <w:bookmarkStart w:id="140" w:name="_Hlk21624143"/>
    </w:p>
    <w:p w14:paraId="130CD0DB">
      <w:pPr>
        <w:widowControl/>
        <w:jc w:val="left"/>
        <w:outlineLvl w:val="1"/>
        <w:rPr>
          <w:color w:val="auto"/>
          <w:szCs w:val="21"/>
          <w:highlight w:val="none"/>
        </w:rPr>
      </w:pPr>
      <w:r>
        <w:rPr>
          <w:rFonts w:hint="eastAsia"/>
          <w:color w:val="auto"/>
          <w:szCs w:val="21"/>
          <w:highlight w:val="none"/>
        </w:rPr>
        <w:t>3.开标一览表</w:t>
      </w:r>
    </w:p>
    <w:p w14:paraId="1B932DCA">
      <w:pPr>
        <w:widowControl/>
        <w:jc w:val="left"/>
        <w:rPr>
          <w:color w:val="auto"/>
          <w:szCs w:val="21"/>
          <w:highlight w:val="none"/>
        </w:rPr>
      </w:pPr>
    </w:p>
    <w:p w14:paraId="19C2D50C">
      <w:pPr>
        <w:widowControl/>
        <w:jc w:val="left"/>
        <w:rPr>
          <w:color w:val="auto"/>
          <w:szCs w:val="21"/>
          <w:highlight w:val="none"/>
        </w:rPr>
      </w:pPr>
    </w:p>
    <w:p w14:paraId="0F041D99">
      <w:pPr>
        <w:widowControl/>
        <w:jc w:val="left"/>
        <w:rPr>
          <w:color w:val="auto"/>
          <w:szCs w:val="21"/>
          <w:highlight w:val="none"/>
        </w:rPr>
      </w:pPr>
    </w:p>
    <w:p w14:paraId="6C6427D3">
      <w:pPr>
        <w:rPr>
          <w:b/>
          <w:color w:val="auto"/>
          <w:szCs w:val="21"/>
          <w:highlight w:val="none"/>
        </w:rPr>
      </w:pPr>
    </w:p>
    <w:p w14:paraId="1F6F7162">
      <w:pPr>
        <w:rPr>
          <w:b/>
          <w:color w:val="auto"/>
          <w:szCs w:val="21"/>
          <w:highlight w:val="none"/>
        </w:rPr>
      </w:pPr>
    </w:p>
    <w:p w14:paraId="32F245C9">
      <w:pPr>
        <w:rPr>
          <w:b/>
          <w:color w:val="auto"/>
          <w:szCs w:val="21"/>
          <w:highlight w:val="none"/>
        </w:rPr>
      </w:pPr>
      <w:r>
        <w:rPr>
          <w:rFonts w:hint="eastAsia"/>
          <w:b/>
          <w:color w:val="auto"/>
          <w:szCs w:val="21"/>
          <w:highlight w:val="none"/>
        </w:rPr>
        <w:t>格式详见广西政府采购云平台，且仅在广西政府采购云平台填写即可。</w:t>
      </w:r>
    </w:p>
    <w:bookmarkEnd w:id="138"/>
    <w:p w14:paraId="2D8E85CA">
      <w:pPr>
        <w:spacing w:line="340" w:lineRule="exact"/>
        <w:ind w:firstLine="420" w:firstLineChars="200"/>
        <w:rPr>
          <w:color w:val="auto"/>
          <w:szCs w:val="21"/>
          <w:highlight w:val="none"/>
        </w:rPr>
      </w:pPr>
    </w:p>
    <w:bookmarkEnd w:id="139"/>
    <w:bookmarkEnd w:id="140"/>
    <w:p w14:paraId="3AAA5BEF">
      <w:pPr>
        <w:rPr>
          <w:b/>
          <w:color w:val="auto"/>
          <w:szCs w:val="21"/>
          <w:highlight w:val="none"/>
        </w:rPr>
      </w:pPr>
    </w:p>
    <w:sectPr>
      <w:headerReference r:id="rId15" w:type="default"/>
      <w:pgSz w:w="11906" w:h="16838"/>
      <w:pgMar w:top="1418" w:right="1274"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63ADBF7F-F057-4D90-AB2B-EAF0DD5BE3FE}"/>
  </w:font>
  <w:font w:name="黑体">
    <w:panose1 w:val="02010609060101010101"/>
    <w:charset w:val="86"/>
    <w:family w:val="auto"/>
    <w:pitch w:val="default"/>
    <w:sig w:usb0="800002BF" w:usb1="38CF7CFA" w:usb2="00000016" w:usb3="00000000" w:csb0="00040001" w:csb1="00000000"/>
    <w:embedRegular r:id="rId2" w:fontKey="{340ED7E0-81A8-4E91-9C86-2CFD4AACF358}"/>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CE6A7E90-27D7-49D9-A26A-A990671AEFF5}"/>
  </w:font>
  <w:font w:name="仿宋_GB2312">
    <w:panose1 w:val="02010609030101010101"/>
    <w:charset w:val="86"/>
    <w:family w:val="modern"/>
    <w:pitch w:val="default"/>
    <w:sig w:usb0="00000001" w:usb1="080E0000" w:usb2="00000000" w:usb3="00000000" w:csb0="00040000" w:csb1="00000000"/>
    <w:embedRegular r:id="rId4" w:fontKey="{11E67E27-90E2-4CC9-911B-3BB9A2A57DCF}"/>
  </w:font>
  <w:font w:name="_x000B__x000C_">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10006FF" w:usb1="4000205B" w:usb2="00000010" w:usb3="00000000" w:csb0="2000019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auto"/>
    <w:pitch w:val="default"/>
    <w:sig w:usb0="00000001" w:usb1="080E0000" w:usb2="00000000" w:usb3="00000000" w:csb0="00040000" w:csb1="00000000"/>
    <w:embedRegular r:id="rId5" w:fontKey="{9538D354-2236-4D83-8C65-B556A600BEE0}"/>
  </w:font>
  <w:font w:name="新宋体">
    <w:panose1 w:val="02010609030101010101"/>
    <w:charset w:val="86"/>
    <w:family w:val="modern"/>
    <w:pitch w:val="default"/>
    <w:sig w:usb0="00000003" w:usb1="288F0000" w:usb2="00000006" w:usb3="00000000" w:csb0="00040001" w:csb1="00000000"/>
    <w:embedRegular r:id="rId6" w:fontKey="{EFB74614-F6B1-4D7C-9977-84881CD28A87}"/>
  </w:font>
  <w:font w:name="Wingdings 2">
    <w:panose1 w:val="05020102010507070707"/>
    <w:charset w:val="02"/>
    <w:family w:val="roman"/>
    <w:pitch w:val="default"/>
    <w:sig w:usb0="00000000" w:usb1="00000000" w:usb2="00000000" w:usb3="00000000" w:csb0="80000000" w:csb1="00000000"/>
    <w:embedRegular r:id="rId7" w:fontKey="{7B7CE03A-4B69-45C6-B48F-EB325FEF1F9B}"/>
  </w:font>
  <w:font w:name="方正小标宋_GBK">
    <w:panose1 w:val="02000000000000000000"/>
    <w:charset w:val="86"/>
    <w:family w:val="script"/>
    <w:pitch w:val="default"/>
    <w:sig w:usb0="A00002BF" w:usb1="38CF7CFA" w:usb2="00082016" w:usb3="00000000" w:csb0="00040001" w:csb1="00000000"/>
    <w:embedRegular r:id="rId8" w:fontKey="{406B5923-8890-461E-99AF-D2F4B3C93A05}"/>
  </w:font>
  <w:font w:name="华文仿宋">
    <w:panose1 w:val="02010600040101010101"/>
    <w:charset w:val="86"/>
    <w:family w:val="auto"/>
    <w:pitch w:val="default"/>
    <w:sig w:usb0="00000287" w:usb1="080F0000" w:usb2="00000000" w:usb3="00000000" w:csb0="0004009F" w:csb1="DFD70000"/>
    <w:embedRegular r:id="rId9" w:fontKey="{162B6DE6-FC85-4935-A71A-7C33ADABF57F}"/>
  </w:font>
  <w:font w:name="Microsoft YaHei UI">
    <w:panose1 w:val="020B0503020204020204"/>
    <w:charset w:val="86"/>
    <w:family w:val="swiss"/>
    <w:pitch w:val="default"/>
    <w:sig w:usb0="80000287" w:usb1="28CF3C52" w:usb2="00000016" w:usb3="00000000" w:csb0="0004001F" w:csb1="00000000"/>
    <w:embedRegular r:id="rId10" w:fontKey="{7AF86053-DD59-45CC-9000-DE827EC31684}"/>
  </w:font>
  <w:font w:name="仿宋">
    <w:panose1 w:val="02010609060101010101"/>
    <w:charset w:val="86"/>
    <w:family w:val="modern"/>
    <w:pitch w:val="default"/>
    <w:sig w:usb0="800002BF" w:usb1="38CF7CFA" w:usb2="00000016" w:usb3="00000000" w:csb0="00040001" w:csb1="00000000"/>
    <w:embedRegular r:id="rId11" w:fontKey="{105CD4BA-73FE-42B1-8567-202A2F790401}"/>
  </w:font>
  <w:font w:name="方正小标宋简体">
    <w:panose1 w:val="02000000000000000000"/>
    <w:charset w:val="86"/>
    <w:family w:val="auto"/>
    <w:pitch w:val="default"/>
    <w:sig w:usb0="00000001" w:usb1="08000000" w:usb2="00000000" w:usb3="00000000" w:csb0="00040000" w:csb1="00000000"/>
    <w:embedRegular r:id="rId12" w:fontKey="{7304609F-29A4-4AF5-92E4-24506DF5B8BF}"/>
  </w:font>
  <w:font w:name="Helvetica">
    <w:altName w:val="Arial"/>
    <w:panose1 w:val="020B0604020202020204"/>
    <w:charset w:val="00"/>
    <w:family w:val="swiss"/>
    <w:pitch w:val="default"/>
    <w:sig w:usb0="00000000" w:usb1="00000000" w:usb2="00000009" w:usb3="00000000" w:csb0="000001FF" w:csb1="00000000"/>
    <w:embedRegular r:id="rId13" w:fontKey="{8F3CB110-ADC0-4F23-97A2-076D0387D700}"/>
  </w:font>
  <w:font w:name="WPSEMBED7">
    <w:panose1 w:val="02000000000000000000"/>
    <w:charset w:val="86"/>
    <w:family w:val="auto"/>
    <w:pitch w:val="default"/>
    <w:sig w:usb0="A00002BF" w:usb1="38CF7CFA" w:usb2="00082016" w:usb3="00000000" w:csb0="00040001" w:csb1="00000000"/>
  </w:font>
  <w:font w:name="WPSEMBED5">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WPSEMBED8">
    <w:panose1 w:val="02000000000000000000"/>
    <w:charset w:val="86"/>
    <w:family w:val="auto"/>
    <w:pitch w:val="default"/>
    <w:sig w:usb0="00000001" w:usb1="08000000" w:usb2="00000000" w:usb3="00000000" w:csb0="00040000" w:csb1="00000000"/>
  </w:font>
  <w:font w:name="WPSEMBED6">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CDD1D">
    <w:pPr>
      <w:pStyle w:val="31"/>
      <w:jc w:val="center"/>
    </w:pPr>
  </w:p>
  <w:p w14:paraId="410F650F">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BE0AA">
    <w:pPr>
      <w:pStyle w:val="31"/>
      <w:jc w:val="center"/>
    </w:pPr>
  </w:p>
  <w:p w14:paraId="6D7D7FCE">
    <w:pPr>
      <w:pStyle w:val="3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3F807">
    <w:pPr>
      <w:pStyle w:val="31"/>
      <w:jc w:val="center"/>
    </w:pPr>
    <w:r>
      <mc:AlternateContent>
        <mc:Choice Requires="wps">
          <w:drawing>
            <wp:anchor distT="0" distB="0" distL="114300" distR="114300" simplePos="0" relativeHeight="251660288" behindDoc="0" locked="0" layoutInCell="1" allowOverlap="1">
              <wp:simplePos x="0" y="0"/>
              <wp:positionH relativeFrom="margin">
                <wp:posOffset>2941320</wp:posOffset>
              </wp:positionH>
              <wp:positionV relativeFrom="paragraph">
                <wp:posOffset>0</wp:posOffset>
              </wp:positionV>
              <wp:extent cx="122555" cy="149860"/>
              <wp:effectExtent l="0" t="0" r="0" b="0"/>
              <wp:wrapNone/>
              <wp:docPr id="4" name="文本框 5"/>
              <wp:cNvGraphicFramePr/>
              <a:graphic xmlns:a="http://schemas.openxmlformats.org/drawingml/2006/main">
                <a:graphicData uri="http://schemas.microsoft.com/office/word/2010/wordprocessingShape">
                  <wps:wsp>
                    <wps:cNvSpPr txBox="1"/>
                    <wps:spPr>
                      <a:xfrm>
                        <a:off x="0" y="0"/>
                        <a:ext cx="122555" cy="149860"/>
                      </a:xfrm>
                      <a:prstGeom prst="rect">
                        <a:avLst/>
                      </a:prstGeom>
                      <a:noFill/>
                      <a:ln>
                        <a:noFill/>
                      </a:ln>
                    </wps:spPr>
                    <wps:txbx>
                      <w:txbxContent>
                        <w:p w14:paraId="05EDBE4D">
                          <w:pPr>
                            <w:pStyle w:val="31"/>
                          </w:pPr>
                          <w:r>
                            <w:fldChar w:fldCharType="begin"/>
                          </w:r>
                          <w:r>
                            <w:instrText xml:space="preserve"> PAGE  \* MERGEFORMAT </w:instrText>
                          </w:r>
                          <w:r>
                            <w:fldChar w:fldCharType="separate"/>
                          </w:r>
                          <w:r>
                            <w:t>1</w:t>
                          </w:r>
                          <w:r>
                            <w:fldChar w:fldCharType="end"/>
                          </w:r>
                        </w:p>
                      </w:txbxContent>
                    </wps:txbx>
                    <wps:bodyPr wrap="square" lIns="0" tIns="0" rIns="0" bIns="0" upright="0"/>
                  </wps:wsp>
                </a:graphicData>
              </a:graphic>
            </wp:anchor>
          </w:drawing>
        </mc:Choice>
        <mc:Fallback>
          <w:pict>
            <v:shape id="文本框 5" o:spid="_x0000_s1026" o:spt="202" type="#_x0000_t202" style="position:absolute;left:0pt;margin-left:231.6pt;margin-top:0pt;height:11.8pt;width:9.65pt;mso-position-horizontal-relative:margin;z-index:251660288;mso-width-relative:page;mso-height-relative:page;" filled="f" stroked="f" coordsize="21600,21600" o:gfxdata="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e28vDXAAAABwEAAA8AAAAAAAAAAQAgAAAAIgAAAGRycy9kb3ducmV2&#10;LnhtbFBLAQIUABQAAAAIAIdO4kAjxZavxAEAAH8DAAAOAAAAAAAAAAEAIAAAACYBAABkcnMvZTJv&#10;RG9jLnhtbFBLBQYAAAAABgAGAFkBAABcBQAAAAA=&#10;">
              <v:fill on="f" focussize="0,0"/>
              <v:stroke on="f"/>
              <v:imagedata o:title=""/>
              <o:lock v:ext="edit" aspectratio="f"/>
              <v:textbox inset="0mm,0mm,0mm,0mm">
                <w:txbxContent>
                  <w:p w14:paraId="05EDBE4D">
                    <w:pPr>
                      <w:pStyle w:val="31"/>
                    </w:pPr>
                    <w:r>
                      <w:fldChar w:fldCharType="begin"/>
                    </w:r>
                    <w:r>
                      <w:instrText xml:space="preserve"> PAGE  \* MERGEFORMAT </w:instrText>
                    </w:r>
                    <w:r>
                      <w:fldChar w:fldCharType="separate"/>
                    </w:r>
                    <w:r>
                      <w:t>1</w:t>
                    </w:r>
                    <w:r>
                      <w:fldChar w:fldCharType="end"/>
                    </w:r>
                  </w:p>
                </w:txbxContent>
              </v:textbox>
            </v:shape>
          </w:pict>
        </mc:Fallback>
      </mc:AlternateContent>
    </w:r>
  </w:p>
  <w:p w14:paraId="76B64A4D">
    <w:pPr>
      <w:pStyle w:val="3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C818D">
    <w:pPr>
      <w:pStyle w:val="31"/>
      <w:jc w:val="center"/>
      <w:rPr>
        <w:rFonts w:hint="eastAsia"/>
      </w:rPr>
    </w:pPr>
    <w:r>
      <w:fldChar w:fldCharType="begin"/>
    </w:r>
    <w:r>
      <w:instrText xml:space="preserve">PAGE   \* MERGEFORMAT</w:instrText>
    </w:r>
    <w:r>
      <w:fldChar w:fldCharType="separate"/>
    </w:r>
    <w:r>
      <w:rPr>
        <w:lang w:val="zh-CN"/>
      </w:rPr>
      <w:t>24</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6D7D6">
    <w:pPr>
      <w:pStyle w:val="31"/>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0E22073">
                          <w:pPr>
                            <w:pStyle w:val="31"/>
                            <w:rPr>
                              <w:rStyle w:val="55"/>
                            </w:rPr>
                          </w:pPr>
                          <w:r>
                            <w:fldChar w:fldCharType="begin"/>
                          </w:r>
                          <w:r>
                            <w:rPr>
                              <w:rStyle w:val="55"/>
                            </w:rPr>
                            <w:instrText xml:space="preserve">PAGE  </w:instrText>
                          </w:r>
                          <w:r>
                            <w:fldChar w:fldCharType="separate"/>
                          </w:r>
                          <w:r>
                            <w:rPr>
                              <w:rStyle w:val="55"/>
                            </w:rPr>
                            <w:t>80</w:t>
                          </w:r>
                          <w: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7Qo4MkBAACZAwAADgAAAGRycy9lMm9Eb2MueG1srVPNjtMwEL4j8Q6W&#10;79TZg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NeUOG5x4OefP86//px/fydv&#10;sjx9gBqzbgPmpeG9H3BpZj+gM7MeVLT5i3wIxlHc00VcOSQi8qPVcrWqMCQwNl8Qn90/DxHSB+kt&#10;yUZDI06viMqPnyCNqXNKrub8jTamTNC4/xyImT0s9z72mK007IaJ0M63J+TT4+Ab6nDPKTEfHeqa&#10;d2Q24mzsZuMQot53ZYlyPQjvDgmbKL3lCiPsVBgnVthN25VX4t97ybr/oz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DtCjgyQEAAJkDAAAOAAAAAAAAAAEAIAAAAB4BAABkcnMvZTJvRG9j&#10;LnhtbFBLBQYAAAAABgAGAFkBAABZBQAAAAA=&#10;">
              <v:fill on="f" focussize="0,0"/>
              <v:stroke on="f"/>
              <v:imagedata o:title=""/>
              <o:lock v:ext="edit" aspectratio="f"/>
              <v:textbox inset="0mm,0mm,0mm,0mm" style="mso-fit-shape-to-text:t;">
                <w:txbxContent>
                  <w:p w14:paraId="40E22073">
                    <w:pPr>
                      <w:pStyle w:val="31"/>
                      <w:rPr>
                        <w:rStyle w:val="55"/>
                      </w:rPr>
                    </w:pPr>
                    <w:r>
                      <w:fldChar w:fldCharType="begin"/>
                    </w:r>
                    <w:r>
                      <w:rPr>
                        <w:rStyle w:val="55"/>
                      </w:rPr>
                      <w:instrText xml:space="preserve">PAGE  </w:instrText>
                    </w:r>
                    <w:r>
                      <w:fldChar w:fldCharType="separate"/>
                    </w:r>
                    <w:r>
                      <w:rPr>
                        <w:rStyle w:val="55"/>
                      </w:rPr>
                      <w:t>80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14652">
    <w:pPr>
      <w:pStyle w:val="3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6E1B2">
    <w:pPr>
      <w:pStyle w:val="32"/>
      <w:pBdr>
        <w:bottom w:val="single" w:color="auto" w:sz="4" w:space="1"/>
      </w:pBdr>
      <w:jc w:val="left"/>
    </w:pPr>
    <w:r>
      <w:rPr>
        <w:rFonts w:hint="eastAsia"/>
      </w:rPr>
      <w:t xml:space="preserve">广西机电设备招标有限公司采购文件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73691">
    <w:pPr>
      <w:pStyle w:val="32"/>
      <w:pBdr>
        <w:bottom w:val="single" w:color="auto" w:sz="6" w:space="0"/>
      </w:pBdr>
      <w:jc w:val="left"/>
    </w:pPr>
    <w:r>
      <w:rPr>
        <w:rFonts w:hint="eastAsia"/>
      </w:rPr>
      <w:t xml:space="preserve">广西机电设备招标有限公司采购文件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C77FD">
    <w:pPr>
      <w:pStyle w:val="32"/>
      <w:jc w:val="left"/>
    </w:pPr>
    <w:r>
      <w:rPr>
        <w:rFonts w:hint="eastAsia"/>
      </w:rPr>
      <w:t xml:space="preserve">广西机电设备招标有限公司采购文件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1E2D5">
    <w:pPr>
      <w:pStyle w:val="32"/>
      <w:jc w:val="left"/>
    </w:pPr>
    <w:r>
      <w:rPr>
        <w:rFonts w:hint="eastAsia"/>
      </w:rPr>
      <w:t xml:space="preserve">广西机电设备招标有限公司采购文件                                                           </w:t>
    </w:r>
  </w:p>
  <w:p w14:paraId="05FAB6D7">
    <w:pPr>
      <w:pStyle w:val="32"/>
      <w:pBdr>
        <w:bottom w:val="none" w:color="auto" w:sz="0" w:space="0"/>
      </w:pBdr>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B516F">
    <w:pPr>
      <w:pStyle w:val="32"/>
      <w:jc w:val="left"/>
    </w:pPr>
    <w:r>
      <w:rPr>
        <w:rFonts w:hint="eastAsia"/>
      </w:rPr>
      <w:t xml:space="preserve">广西机电设备招标有限公司采购文件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B0381">
    <w:pPr>
      <w:rPr>
        <w:sz w:val="18"/>
        <w:szCs w:val="18"/>
        <w:u w:val="single"/>
      </w:rPr>
    </w:pPr>
    <w:r>
      <w:rPr>
        <w:rFonts w:hint="eastAsia"/>
        <w:sz w:val="18"/>
        <w:szCs w:val="18"/>
        <w:u w:val="single"/>
      </w:rPr>
      <w:t xml:space="preserve">广西机电设备招标有限公司采购文件                                                       </w:t>
    </w:r>
    <w:r>
      <w:rPr>
        <w:sz w:val="18"/>
        <w:szCs w:val="18"/>
        <w:u w:val="single"/>
      </w:rPr>
      <w:t xml:space="preserve">                                                          </w:t>
    </w:r>
    <w:r>
      <w:rPr>
        <w:rFonts w:hint="eastAsia"/>
        <w:sz w:val="18"/>
        <w:szCs w:val="18"/>
        <w:u w:val="single"/>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62CF4">
    <w:pPr>
      <w:rPr>
        <w:sz w:val="18"/>
        <w:szCs w:val="18"/>
        <w:u w:val="single"/>
      </w:rPr>
    </w:pPr>
    <w:r>
      <w:rPr>
        <w:rFonts w:hint="eastAsia"/>
        <w:sz w:val="18"/>
        <w:szCs w:val="18"/>
        <w:u w:val="single"/>
      </w:rPr>
      <w:t xml:space="preserve">广西机电设备招标有限公司采购文件                                                       </w:t>
    </w:r>
    <w:r>
      <w:rPr>
        <w:sz w:val="18"/>
        <w:szCs w:val="18"/>
        <w:u w:val="single"/>
      </w:rPr>
      <w:t xml:space="preserve">            </w:t>
    </w:r>
    <w:r>
      <w:rPr>
        <w:rFonts w:hint="eastAsia"/>
        <w:sz w:val="18"/>
        <w:szCs w:val="18"/>
        <w:u w:val="sing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DCE60D4"/>
    <w:multiLevelType w:val="singleLevel"/>
    <w:tmpl w:val="FDCE60D4"/>
    <w:lvl w:ilvl="0" w:tentative="0">
      <w:start w:val="2"/>
      <w:numFmt w:val="chineseCounting"/>
      <w:suff w:val="space"/>
      <w:lvlText w:val="第%1章"/>
      <w:lvlJc w:val="left"/>
      <w:rPr>
        <w:rFonts w:hint="eastAsia"/>
      </w:rPr>
    </w:lvl>
  </w:abstractNum>
  <w:abstractNum w:abstractNumId="1">
    <w:nsid w:val="00000013"/>
    <w:multiLevelType w:val="multilevel"/>
    <w:tmpl w:val="00000013"/>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A2MzE3MjFiNDhhYTc1YjM0ZmU3NWVlMDliZTE3MDYifQ=="/>
  </w:docVars>
  <w:rsids>
    <w:rsidRoot w:val="00172A27"/>
    <w:rsid w:val="0000020A"/>
    <w:rsid w:val="000003EF"/>
    <w:rsid w:val="0000091B"/>
    <w:rsid w:val="00000D0A"/>
    <w:rsid w:val="00000D19"/>
    <w:rsid w:val="00000E1A"/>
    <w:rsid w:val="00001B3E"/>
    <w:rsid w:val="00001CD6"/>
    <w:rsid w:val="00002DDA"/>
    <w:rsid w:val="00003D69"/>
    <w:rsid w:val="00003DAE"/>
    <w:rsid w:val="00004014"/>
    <w:rsid w:val="000058D7"/>
    <w:rsid w:val="00005E55"/>
    <w:rsid w:val="00006E2C"/>
    <w:rsid w:val="000079FF"/>
    <w:rsid w:val="00007B0D"/>
    <w:rsid w:val="000102A9"/>
    <w:rsid w:val="000103C7"/>
    <w:rsid w:val="00010B1A"/>
    <w:rsid w:val="00010CAB"/>
    <w:rsid w:val="00011D72"/>
    <w:rsid w:val="00012078"/>
    <w:rsid w:val="0001292D"/>
    <w:rsid w:val="00013139"/>
    <w:rsid w:val="0001371C"/>
    <w:rsid w:val="00013748"/>
    <w:rsid w:val="00013D1E"/>
    <w:rsid w:val="00013D41"/>
    <w:rsid w:val="000143A3"/>
    <w:rsid w:val="00014518"/>
    <w:rsid w:val="00014ADD"/>
    <w:rsid w:val="00014DD6"/>
    <w:rsid w:val="0001598C"/>
    <w:rsid w:val="000160DA"/>
    <w:rsid w:val="00016C31"/>
    <w:rsid w:val="00016CC7"/>
    <w:rsid w:val="00017339"/>
    <w:rsid w:val="000207AB"/>
    <w:rsid w:val="00020BB1"/>
    <w:rsid w:val="00020BF0"/>
    <w:rsid w:val="000215B7"/>
    <w:rsid w:val="000217BF"/>
    <w:rsid w:val="000217D7"/>
    <w:rsid w:val="00021C98"/>
    <w:rsid w:val="00021CCD"/>
    <w:rsid w:val="00021EE3"/>
    <w:rsid w:val="00022424"/>
    <w:rsid w:val="000228AB"/>
    <w:rsid w:val="000233CA"/>
    <w:rsid w:val="000234FB"/>
    <w:rsid w:val="00023652"/>
    <w:rsid w:val="00023790"/>
    <w:rsid w:val="0002407B"/>
    <w:rsid w:val="00024633"/>
    <w:rsid w:val="00024B89"/>
    <w:rsid w:val="0002560A"/>
    <w:rsid w:val="00025656"/>
    <w:rsid w:val="00025CB2"/>
    <w:rsid w:val="00025DA0"/>
    <w:rsid w:val="0002696D"/>
    <w:rsid w:val="0002754D"/>
    <w:rsid w:val="00027666"/>
    <w:rsid w:val="000276B2"/>
    <w:rsid w:val="00027A46"/>
    <w:rsid w:val="00027AF3"/>
    <w:rsid w:val="00030024"/>
    <w:rsid w:val="00030124"/>
    <w:rsid w:val="000305FD"/>
    <w:rsid w:val="0003084F"/>
    <w:rsid w:val="00030C2F"/>
    <w:rsid w:val="00030DAA"/>
    <w:rsid w:val="000311F9"/>
    <w:rsid w:val="00031757"/>
    <w:rsid w:val="00032686"/>
    <w:rsid w:val="0003274B"/>
    <w:rsid w:val="00032AD8"/>
    <w:rsid w:val="000331CC"/>
    <w:rsid w:val="0003322E"/>
    <w:rsid w:val="00033927"/>
    <w:rsid w:val="00033B67"/>
    <w:rsid w:val="00035840"/>
    <w:rsid w:val="00035844"/>
    <w:rsid w:val="00035DF4"/>
    <w:rsid w:val="00036BAA"/>
    <w:rsid w:val="00037895"/>
    <w:rsid w:val="00037A8A"/>
    <w:rsid w:val="00037C63"/>
    <w:rsid w:val="00037C99"/>
    <w:rsid w:val="00037CE4"/>
    <w:rsid w:val="00040187"/>
    <w:rsid w:val="000406A9"/>
    <w:rsid w:val="00040AC1"/>
    <w:rsid w:val="000418B1"/>
    <w:rsid w:val="00042BF9"/>
    <w:rsid w:val="00042C4D"/>
    <w:rsid w:val="00043295"/>
    <w:rsid w:val="00045069"/>
    <w:rsid w:val="00045194"/>
    <w:rsid w:val="00045947"/>
    <w:rsid w:val="00045B8A"/>
    <w:rsid w:val="000462A8"/>
    <w:rsid w:val="00046360"/>
    <w:rsid w:val="0004653D"/>
    <w:rsid w:val="000465AB"/>
    <w:rsid w:val="00046DC4"/>
    <w:rsid w:val="00046E59"/>
    <w:rsid w:val="000472E6"/>
    <w:rsid w:val="000476C9"/>
    <w:rsid w:val="000479CD"/>
    <w:rsid w:val="00047FA4"/>
    <w:rsid w:val="000500E6"/>
    <w:rsid w:val="000504FE"/>
    <w:rsid w:val="00050E2B"/>
    <w:rsid w:val="00052A50"/>
    <w:rsid w:val="00052CA6"/>
    <w:rsid w:val="00052CE3"/>
    <w:rsid w:val="00053BFC"/>
    <w:rsid w:val="0005428F"/>
    <w:rsid w:val="00054870"/>
    <w:rsid w:val="00054ABD"/>
    <w:rsid w:val="00054F7D"/>
    <w:rsid w:val="00055230"/>
    <w:rsid w:val="00055557"/>
    <w:rsid w:val="000556A1"/>
    <w:rsid w:val="00055A1D"/>
    <w:rsid w:val="00055A8A"/>
    <w:rsid w:val="00055E6D"/>
    <w:rsid w:val="00055F06"/>
    <w:rsid w:val="0005625F"/>
    <w:rsid w:val="000563CB"/>
    <w:rsid w:val="0005649E"/>
    <w:rsid w:val="00056597"/>
    <w:rsid w:val="00056999"/>
    <w:rsid w:val="0005700C"/>
    <w:rsid w:val="00057393"/>
    <w:rsid w:val="00057E45"/>
    <w:rsid w:val="000606B6"/>
    <w:rsid w:val="00060C55"/>
    <w:rsid w:val="000616F0"/>
    <w:rsid w:val="00062637"/>
    <w:rsid w:val="000631AC"/>
    <w:rsid w:val="000631B7"/>
    <w:rsid w:val="000639D4"/>
    <w:rsid w:val="00064A48"/>
    <w:rsid w:val="00064C80"/>
    <w:rsid w:val="00065AB2"/>
    <w:rsid w:val="00065AB7"/>
    <w:rsid w:val="00065D71"/>
    <w:rsid w:val="0006667A"/>
    <w:rsid w:val="000673D8"/>
    <w:rsid w:val="00067DE7"/>
    <w:rsid w:val="000706AC"/>
    <w:rsid w:val="00070950"/>
    <w:rsid w:val="000709D3"/>
    <w:rsid w:val="00070B2E"/>
    <w:rsid w:val="00070F5F"/>
    <w:rsid w:val="000710CA"/>
    <w:rsid w:val="000712F8"/>
    <w:rsid w:val="00071A6A"/>
    <w:rsid w:val="00071C4A"/>
    <w:rsid w:val="00071C95"/>
    <w:rsid w:val="00071E9C"/>
    <w:rsid w:val="0007216A"/>
    <w:rsid w:val="00072A95"/>
    <w:rsid w:val="00073F01"/>
    <w:rsid w:val="00074218"/>
    <w:rsid w:val="00074923"/>
    <w:rsid w:val="00074CBD"/>
    <w:rsid w:val="000750EA"/>
    <w:rsid w:val="000753A7"/>
    <w:rsid w:val="00076AA9"/>
    <w:rsid w:val="00077698"/>
    <w:rsid w:val="00077891"/>
    <w:rsid w:val="0007797E"/>
    <w:rsid w:val="000800AA"/>
    <w:rsid w:val="0008017C"/>
    <w:rsid w:val="00080AA6"/>
    <w:rsid w:val="00081C1C"/>
    <w:rsid w:val="00081F2E"/>
    <w:rsid w:val="000820CD"/>
    <w:rsid w:val="000822F0"/>
    <w:rsid w:val="00082611"/>
    <w:rsid w:val="0008264F"/>
    <w:rsid w:val="0008372E"/>
    <w:rsid w:val="00083A64"/>
    <w:rsid w:val="00083B97"/>
    <w:rsid w:val="000866A9"/>
    <w:rsid w:val="00086EC2"/>
    <w:rsid w:val="00087358"/>
    <w:rsid w:val="000873F5"/>
    <w:rsid w:val="00087A48"/>
    <w:rsid w:val="00090053"/>
    <w:rsid w:val="000900DF"/>
    <w:rsid w:val="00090193"/>
    <w:rsid w:val="0009021F"/>
    <w:rsid w:val="00091D8D"/>
    <w:rsid w:val="000923A3"/>
    <w:rsid w:val="00093149"/>
    <w:rsid w:val="00093A83"/>
    <w:rsid w:val="00093DF8"/>
    <w:rsid w:val="000941F6"/>
    <w:rsid w:val="000945C5"/>
    <w:rsid w:val="00094784"/>
    <w:rsid w:val="00094ECF"/>
    <w:rsid w:val="0009592E"/>
    <w:rsid w:val="00096686"/>
    <w:rsid w:val="0009715C"/>
    <w:rsid w:val="000A10DB"/>
    <w:rsid w:val="000A1429"/>
    <w:rsid w:val="000A2075"/>
    <w:rsid w:val="000A2584"/>
    <w:rsid w:val="000A2968"/>
    <w:rsid w:val="000A3515"/>
    <w:rsid w:val="000A3518"/>
    <w:rsid w:val="000A6F1D"/>
    <w:rsid w:val="000A70C7"/>
    <w:rsid w:val="000A71BA"/>
    <w:rsid w:val="000A7238"/>
    <w:rsid w:val="000A791D"/>
    <w:rsid w:val="000B0698"/>
    <w:rsid w:val="000B09FE"/>
    <w:rsid w:val="000B15EF"/>
    <w:rsid w:val="000B26D6"/>
    <w:rsid w:val="000B28C2"/>
    <w:rsid w:val="000B316D"/>
    <w:rsid w:val="000B3194"/>
    <w:rsid w:val="000B3CFE"/>
    <w:rsid w:val="000B41B9"/>
    <w:rsid w:val="000B4EF3"/>
    <w:rsid w:val="000B554C"/>
    <w:rsid w:val="000B59FF"/>
    <w:rsid w:val="000B5D87"/>
    <w:rsid w:val="000B6F18"/>
    <w:rsid w:val="000B7E6D"/>
    <w:rsid w:val="000C0269"/>
    <w:rsid w:val="000C350A"/>
    <w:rsid w:val="000C38C8"/>
    <w:rsid w:val="000C3CF9"/>
    <w:rsid w:val="000C4988"/>
    <w:rsid w:val="000C56F1"/>
    <w:rsid w:val="000C59D1"/>
    <w:rsid w:val="000C5D4B"/>
    <w:rsid w:val="000C645C"/>
    <w:rsid w:val="000C680F"/>
    <w:rsid w:val="000C6F35"/>
    <w:rsid w:val="000C7045"/>
    <w:rsid w:val="000C7170"/>
    <w:rsid w:val="000C757A"/>
    <w:rsid w:val="000C7D9F"/>
    <w:rsid w:val="000C7FA4"/>
    <w:rsid w:val="000D1B95"/>
    <w:rsid w:val="000D207B"/>
    <w:rsid w:val="000D211B"/>
    <w:rsid w:val="000D3E1B"/>
    <w:rsid w:val="000D4061"/>
    <w:rsid w:val="000D4860"/>
    <w:rsid w:val="000D48FB"/>
    <w:rsid w:val="000D4B4F"/>
    <w:rsid w:val="000D4EC1"/>
    <w:rsid w:val="000D55FD"/>
    <w:rsid w:val="000D6AC8"/>
    <w:rsid w:val="000E01DF"/>
    <w:rsid w:val="000E0E30"/>
    <w:rsid w:val="000E1C04"/>
    <w:rsid w:val="000E2AD1"/>
    <w:rsid w:val="000E2BC5"/>
    <w:rsid w:val="000E3CD3"/>
    <w:rsid w:val="000E3D2F"/>
    <w:rsid w:val="000E4712"/>
    <w:rsid w:val="000E612C"/>
    <w:rsid w:val="000E6D38"/>
    <w:rsid w:val="000E72E7"/>
    <w:rsid w:val="000E72F6"/>
    <w:rsid w:val="000E75B3"/>
    <w:rsid w:val="000E7CC8"/>
    <w:rsid w:val="000F1769"/>
    <w:rsid w:val="000F1B78"/>
    <w:rsid w:val="000F1F2C"/>
    <w:rsid w:val="000F1F51"/>
    <w:rsid w:val="000F1FB0"/>
    <w:rsid w:val="000F2181"/>
    <w:rsid w:val="000F24AC"/>
    <w:rsid w:val="000F2BA5"/>
    <w:rsid w:val="000F2F60"/>
    <w:rsid w:val="000F4B3A"/>
    <w:rsid w:val="000F5331"/>
    <w:rsid w:val="000F55C9"/>
    <w:rsid w:val="000F5AE9"/>
    <w:rsid w:val="000F6242"/>
    <w:rsid w:val="000F6F32"/>
    <w:rsid w:val="000F7264"/>
    <w:rsid w:val="000F75A8"/>
    <w:rsid w:val="000F76E0"/>
    <w:rsid w:val="000F7F50"/>
    <w:rsid w:val="00100331"/>
    <w:rsid w:val="00101255"/>
    <w:rsid w:val="001016BB"/>
    <w:rsid w:val="0010251A"/>
    <w:rsid w:val="00102BC3"/>
    <w:rsid w:val="00103458"/>
    <w:rsid w:val="0010483B"/>
    <w:rsid w:val="00104AFF"/>
    <w:rsid w:val="001054C2"/>
    <w:rsid w:val="00105A06"/>
    <w:rsid w:val="001078F4"/>
    <w:rsid w:val="001102CB"/>
    <w:rsid w:val="00110797"/>
    <w:rsid w:val="0011136F"/>
    <w:rsid w:val="00111D44"/>
    <w:rsid w:val="00111ECD"/>
    <w:rsid w:val="001121DD"/>
    <w:rsid w:val="00112DBF"/>
    <w:rsid w:val="00112DD2"/>
    <w:rsid w:val="00113646"/>
    <w:rsid w:val="0011487E"/>
    <w:rsid w:val="001150C7"/>
    <w:rsid w:val="0011545B"/>
    <w:rsid w:val="00116258"/>
    <w:rsid w:val="0011730E"/>
    <w:rsid w:val="00117495"/>
    <w:rsid w:val="00117559"/>
    <w:rsid w:val="00117694"/>
    <w:rsid w:val="00117CB4"/>
    <w:rsid w:val="0012077F"/>
    <w:rsid w:val="00120813"/>
    <w:rsid w:val="0012099E"/>
    <w:rsid w:val="00120E60"/>
    <w:rsid w:val="0012130E"/>
    <w:rsid w:val="001213B0"/>
    <w:rsid w:val="00121741"/>
    <w:rsid w:val="00121818"/>
    <w:rsid w:val="00121832"/>
    <w:rsid w:val="00121BDD"/>
    <w:rsid w:val="0012235C"/>
    <w:rsid w:val="0012239D"/>
    <w:rsid w:val="00122A75"/>
    <w:rsid w:val="00122C14"/>
    <w:rsid w:val="0012405C"/>
    <w:rsid w:val="001241D1"/>
    <w:rsid w:val="00124871"/>
    <w:rsid w:val="00124985"/>
    <w:rsid w:val="00125609"/>
    <w:rsid w:val="00126655"/>
    <w:rsid w:val="00126707"/>
    <w:rsid w:val="001269E0"/>
    <w:rsid w:val="00130116"/>
    <w:rsid w:val="0013190A"/>
    <w:rsid w:val="00131C94"/>
    <w:rsid w:val="00131DE6"/>
    <w:rsid w:val="00131EAD"/>
    <w:rsid w:val="001326DF"/>
    <w:rsid w:val="00132AD8"/>
    <w:rsid w:val="00132CCE"/>
    <w:rsid w:val="00133D01"/>
    <w:rsid w:val="00134161"/>
    <w:rsid w:val="00134510"/>
    <w:rsid w:val="00134BB0"/>
    <w:rsid w:val="0013590D"/>
    <w:rsid w:val="00136031"/>
    <w:rsid w:val="00136073"/>
    <w:rsid w:val="001361F7"/>
    <w:rsid w:val="00136606"/>
    <w:rsid w:val="00136806"/>
    <w:rsid w:val="001369A6"/>
    <w:rsid w:val="00136BD6"/>
    <w:rsid w:val="00136DBC"/>
    <w:rsid w:val="00136F77"/>
    <w:rsid w:val="00137856"/>
    <w:rsid w:val="00137BD8"/>
    <w:rsid w:val="00137E9D"/>
    <w:rsid w:val="00140291"/>
    <w:rsid w:val="001404CD"/>
    <w:rsid w:val="00141083"/>
    <w:rsid w:val="001422D4"/>
    <w:rsid w:val="00142B33"/>
    <w:rsid w:val="001442C2"/>
    <w:rsid w:val="001449E1"/>
    <w:rsid w:val="00144D5F"/>
    <w:rsid w:val="001457CC"/>
    <w:rsid w:val="0014647C"/>
    <w:rsid w:val="00147769"/>
    <w:rsid w:val="00147916"/>
    <w:rsid w:val="0014795D"/>
    <w:rsid w:val="001479AA"/>
    <w:rsid w:val="00147F00"/>
    <w:rsid w:val="00150564"/>
    <w:rsid w:val="001506A7"/>
    <w:rsid w:val="00150882"/>
    <w:rsid w:val="00150A4A"/>
    <w:rsid w:val="00151898"/>
    <w:rsid w:val="001518B5"/>
    <w:rsid w:val="0015193E"/>
    <w:rsid w:val="00151BBA"/>
    <w:rsid w:val="0015252D"/>
    <w:rsid w:val="00152656"/>
    <w:rsid w:val="001526A2"/>
    <w:rsid w:val="00152C00"/>
    <w:rsid w:val="00152C2B"/>
    <w:rsid w:val="00152E98"/>
    <w:rsid w:val="00153084"/>
    <w:rsid w:val="001535D0"/>
    <w:rsid w:val="001540CA"/>
    <w:rsid w:val="00154304"/>
    <w:rsid w:val="0015430F"/>
    <w:rsid w:val="0015450A"/>
    <w:rsid w:val="0015477A"/>
    <w:rsid w:val="00154F0A"/>
    <w:rsid w:val="001554C4"/>
    <w:rsid w:val="00155767"/>
    <w:rsid w:val="00156891"/>
    <w:rsid w:val="00156BA3"/>
    <w:rsid w:val="00156BFA"/>
    <w:rsid w:val="00157320"/>
    <w:rsid w:val="001579B9"/>
    <w:rsid w:val="001602EB"/>
    <w:rsid w:val="001610EB"/>
    <w:rsid w:val="00161A22"/>
    <w:rsid w:val="00161BE7"/>
    <w:rsid w:val="00161C1F"/>
    <w:rsid w:val="00161C2F"/>
    <w:rsid w:val="001620B6"/>
    <w:rsid w:val="001621E9"/>
    <w:rsid w:val="00162664"/>
    <w:rsid w:val="00163005"/>
    <w:rsid w:val="00163194"/>
    <w:rsid w:val="00163CE9"/>
    <w:rsid w:val="00163DB9"/>
    <w:rsid w:val="00164267"/>
    <w:rsid w:val="001648C2"/>
    <w:rsid w:val="00164C68"/>
    <w:rsid w:val="00164F8F"/>
    <w:rsid w:val="0016529F"/>
    <w:rsid w:val="001658F5"/>
    <w:rsid w:val="00165F38"/>
    <w:rsid w:val="001661B8"/>
    <w:rsid w:val="00166237"/>
    <w:rsid w:val="0016644D"/>
    <w:rsid w:val="00166EE6"/>
    <w:rsid w:val="001672AF"/>
    <w:rsid w:val="001677C3"/>
    <w:rsid w:val="00170A14"/>
    <w:rsid w:val="0017112B"/>
    <w:rsid w:val="0017260F"/>
    <w:rsid w:val="001726CF"/>
    <w:rsid w:val="00172B96"/>
    <w:rsid w:val="00172BAF"/>
    <w:rsid w:val="00172EC0"/>
    <w:rsid w:val="00173191"/>
    <w:rsid w:val="001731C7"/>
    <w:rsid w:val="001737FE"/>
    <w:rsid w:val="00173F09"/>
    <w:rsid w:val="0017426E"/>
    <w:rsid w:val="00174C5D"/>
    <w:rsid w:val="00176E50"/>
    <w:rsid w:val="00176FB5"/>
    <w:rsid w:val="0017723E"/>
    <w:rsid w:val="001775DA"/>
    <w:rsid w:val="00177959"/>
    <w:rsid w:val="00177AD0"/>
    <w:rsid w:val="00177D53"/>
    <w:rsid w:val="001804A1"/>
    <w:rsid w:val="00180B38"/>
    <w:rsid w:val="00181135"/>
    <w:rsid w:val="00181344"/>
    <w:rsid w:val="00181C0B"/>
    <w:rsid w:val="00182382"/>
    <w:rsid w:val="001825DE"/>
    <w:rsid w:val="00182DF8"/>
    <w:rsid w:val="00182F05"/>
    <w:rsid w:val="001838B4"/>
    <w:rsid w:val="00185AA7"/>
    <w:rsid w:val="00185D27"/>
    <w:rsid w:val="00187892"/>
    <w:rsid w:val="00187DFB"/>
    <w:rsid w:val="00190463"/>
    <w:rsid w:val="0019075C"/>
    <w:rsid w:val="00191323"/>
    <w:rsid w:val="00191435"/>
    <w:rsid w:val="001919C3"/>
    <w:rsid w:val="00192213"/>
    <w:rsid w:val="001927A2"/>
    <w:rsid w:val="001927AF"/>
    <w:rsid w:val="0019290D"/>
    <w:rsid w:val="00192C82"/>
    <w:rsid w:val="0019335B"/>
    <w:rsid w:val="00193A21"/>
    <w:rsid w:val="0019423A"/>
    <w:rsid w:val="00194BD4"/>
    <w:rsid w:val="00195648"/>
    <w:rsid w:val="001959DC"/>
    <w:rsid w:val="00195F44"/>
    <w:rsid w:val="00196019"/>
    <w:rsid w:val="00196C83"/>
    <w:rsid w:val="00196E92"/>
    <w:rsid w:val="00197054"/>
    <w:rsid w:val="001A0154"/>
    <w:rsid w:val="001A0896"/>
    <w:rsid w:val="001A21A3"/>
    <w:rsid w:val="001A315B"/>
    <w:rsid w:val="001A3856"/>
    <w:rsid w:val="001A3F6D"/>
    <w:rsid w:val="001A43A8"/>
    <w:rsid w:val="001A4C94"/>
    <w:rsid w:val="001A4FDF"/>
    <w:rsid w:val="001A544D"/>
    <w:rsid w:val="001A5A97"/>
    <w:rsid w:val="001A5DA1"/>
    <w:rsid w:val="001A5DB5"/>
    <w:rsid w:val="001A5F35"/>
    <w:rsid w:val="001A63AC"/>
    <w:rsid w:val="001A69CB"/>
    <w:rsid w:val="001A775C"/>
    <w:rsid w:val="001A7CBA"/>
    <w:rsid w:val="001B05F1"/>
    <w:rsid w:val="001B1736"/>
    <w:rsid w:val="001B1AE6"/>
    <w:rsid w:val="001B32D3"/>
    <w:rsid w:val="001B32E4"/>
    <w:rsid w:val="001B35B1"/>
    <w:rsid w:val="001B36EB"/>
    <w:rsid w:val="001B3778"/>
    <w:rsid w:val="001B3E30"/>
    <w:rsid w:val="001B3E4A"/>
    <w:rsid w:val="001B4ED3"/>
    <w:rsid w:val="001B50CC"/>
    <w:rsid w:val="001B5355"/>
    <w:rsid w:val="001B6049"/>
    <w:rsid w:val="001B60D4"/>
    <w:rsid w:val="001B6482"/>
    <w:rsid w:val="001B66F9"/>
    <w:rsid w:val="001B69E2"/>
    <w:rsid w:val="001B6EA5"/>
    <w:rsid w:val="001B7014"/>
    <w:rsid w:val="001B7A12"/>
    <w:rsid w:val="001B7C32"/>
    <w:rsid w:val="001B7CBF"/>
    <w:rsid w:val="001B7F9E"/>
    <w:rsid w:val="001C0D3C"/>
    <w:rsid w:val="001C148A"/>
    <w:rsid w:val="001C15DB"/>
    <w:rsid w:val="001C1814"/>
    <w:rsid w:val="001C1860"/>
    <w:rsid w:val="001C3671"/>
    <w:rsid w:val="001C3B66"/>
    <w:rsid w:val="001C3D80"/>
    <w:rsid w:val="001C4361"/>
    <w:rsid w:val="001C51A3"/>
    <w:rsid w:val="001C5358"/>
    <w:rsid w:val="001C56D1"/>
    <w:rsid w:val="001C59AB"/>
    <w:rsid w:val="001C613F"/>
    <w:rsid w:val="001C6154"/>
    <w:rsid w:val="001C6921"/>
    <w:rsid w:val="001C7A8C"/>
    <w:rsid w:val="001D1400"/>
    <w:rsid w:val="001D15D9"/>
    <w:rsid w:val="001D1930"/>
    <w:rsid w:val="001D20E3"/>
    <w:rsid w:val="001D23EF"/>
    <w:rsid w:val="001D3534"/>
    <w:rsid w:val="001D4681"/>
    <w:rsid w:val="001D537F"/>
    <w:rsid w:val="001D678A"/>
    <w:rsid w:val="001D723E"/>
    <w:rsid w:val="001D7681"/>
    <w:rsid w:val="001D7B65"/>
    <w:rsid w:val="001E0464"/>
    <w:rsid w:val="001E131D"/>
    <w:rsid w:val="001E1FA3"/>
    <w:rsid w:val="001E21AC"/>
    <w:rsid w:val="001E24A4"/>
    <w:rsid w:val="001E28CC"/>
    <w:rsid w:val="001E321D"/>
    <w:rsid w:val="001E38B1"/>
    <w:rsid w:val="001E3FEB"/>
    <w:rsid w:val="001E42EC"/>
    <w:rsid w:val="001E43E6"/>
    <w:rsid w:val="001E478C"/>
    <w:rsid w:val="001E4C00"/>
    <w:rsid w:val="001E4D12"/>
    <w:rsid w:val="001E4D56"/>
    <w:rsid w:val="001E5B91"/>
    <w:rsid w:val="001E6426"/>
    <w:rsid w:val="001E697B"/>
    <w:rsid w:val="001E6F9D"/>
    <w:rsid w:val="001E72E0"/>
    <w:rsid w:val="001F0064"/>
    <w:rsid w:val="001F09D1"/>
    <w:rsid w:val="001F16DF"/>
    <w:rsid w:val="001F17B3"/>
    <w:rsid w:val="001F193C"/>
    <w:rsid w:val="001F1960"/>
    <w:rsid w:val="001F1ABD"/>
    <w:rsid w:val="001F2631"/>
    <w:rsid w:val="001F30D8"/>
    <w:rsid w:val="001F3661"/>
    <w:rsid w:val="001F3BF9"/>
    <w:rsid w:val="001F3DAE"/>
    <w:rsid w:val="001F4685"/>
    <w:rsid w:val="001F4A98"/>
    <w:rsid w:val="001F4B1F"/>
    <w:rsid w:val="001F4F17"/>
    <w:rsid w:val="001F6159"/>
    <w:rsid w:val="001F6680"/>
    <w:rsid w:val="001F6F34"/>
    <w:rsid w:val="001F6FB6"/>
    <w:rsid w:val="001F740D"/>
    <w:rsid w:val="001F792F"/>
    <w:rsid w:val="001F7AC9"/>
    <w:rsid w:val="001F7B97"/>
    <w:rsid w:val="001F7B9E"/>
    <w:rsid w:val="001F7BE1"/>
    <w:rsid w:val="001F7C97"/>
    <w:rsid w:val="00200A84"/>
    <w:rsid w:val="002012B8"/>
    <w:rsid w:val="00201436"/>
    <w:rsid w:val="002014F7"/>
    <w:rsid w:val="00202576"/>
    <w:rsid w:val="00202B50"/>
    <w:rsid w:val="00202EF9"/>
    <w:rsid w:val="00203204"/>
    <w:rsid w:val="00203236"/>
    <w:rsid w:val="002036E8"/>
    <w:rsid w:val="00203894"/>
    <w:rsid w:val="00203999"/>
    <w:rsid w:val="00203B3F"/>
    <w:rsid w:val="00203B81"/>
    <w:rsid w:val="002048AD"/>
    <w:rsid w:val="0020494A"/>
    <w:rsid w:val="00204AC3"/>
    <w:rsid w:val="002051F7"/>
    <w:rsid w:val="0020531C"/>
    <w:rsid w:val="00205536"/>
    <w:rsid w:val="00205C3B"/>
    <w:rsid w:val="00205EF5"/>
    <w:rsid w:val="002067D2"/>
    <w:rsid w:val="0020708A"/>
    <w:rsid w:val="00207642"/>
    <w:rsid w:val="00207AFC"/>
    <w:rsid w:val="00207F6A"/>
    <w:rsid w:val="00210256"/>
    <w:rsid w:val="00210394"/>
    <w:rsid w:val="0021076E"/>
    <w:rsid w:val="0021193D"/>
    <w:rsid w:val="00212B08"/>
    <w:rsid w:val="00213289"/>
    <w:rsid w:val="002132DA"/>
    <w:rsid w:val="00213825"/>
    <w:rsid w:val="00213E48"/>
    <w:rsid w:val="00214189"/>
    <w:rsid w:val="002143DA"/>
    <w:rsid w:val="00214ADD"/>
    <w:rsid w:val="00214F82"/>
    <w:rsid w:val="0021525B"/>
    <w:rsid w:val="002153E3"/>
    <w:rsid w:val="00215A0D"/>
    <w:rsid w:val="00216B19"/>
    <w:rsid w:val="00216CCC"/>
    <w:rsid w:val="00216E16"/>
    <w:rsid w:val="0021738B"/>
    <w:rsid w:val="00220082"/>
    <w:rsid w:val="00220248"/>
    <w:rsid w:val="002203BD"/>
    <w:rsid w:val="00220776"/>
    <w:rsid w:val="00222027"/>
    <w:rsid w:val="002221C3"/>
    <w:rsid w:val="002223BA"/>
    <w:rsid w:val="0022299A"/>
    <w:rsid w:val="00222B91"/>
    <w:rsid w:val="002230FD"/>
    <w:rsid w:val="002232B3"/>
    <w:rsid w:val="002242DB"/>
    <w:rsid w:val="00224756"/>
    <w:rsid w:val="00224878"/>
    <w:rsid w:val="0022514D"/>
    <w:rsid w:val="00225366"/>
    <w:rsid w:val="00225495"/>
    <w:rsid w:val="00225AFD"/>
    <w:rsid w:val="00225CEE"/>
    <w:rsid w:val="00226447"/>
    <w:rsid w:val="002266DB"/>
    <w:rsid w:val="00226894"/>
    <w:rsid w:val="002268B0"/>
    <w:rsid w:val="00227577"/>
    <w:rsid w:val="002277E9"/>
    <w:rsid w:val="002301C5"/>
    <w:rsid w:val="002303A6"/>
    <w:rsid w:val="00230894"/>
    <w:rsid w:val="002308E9"/>
    <w:rsid w:val="002316CD"/>
    <w:rsid w:val="00231B36"/>
    <w:rsid w:val="00231F9E"/>
    <w:rsid w:val="0023243C"/>
    <w:rsid w:val="00232498"/>
    <w:rsid w:val="0023254E"/>
    <w:rsid w:val="00232918"/>
    <w:rsid w:val="00232D34"/>
    <w:rsid w:val="0023350C"/>
    <w:rsid w:val="00233D7D"/>
    <w:rsid w:val="00233E70"/>
    <w:rsid w:val="00234281"/>
    <w:rsid w:val="00234FD3"/>
    <w:rsid w:val="0023583D"/>
    <w:rsid w:val="002362C4"/>
    <w:rsid w:val="00236B90"/>
    <w:rsid w:val="002371BF"/>
    <w:rsid w:val="00237A87"/>
    <w:rsid w:val="002404C3"/>
    <w:rsid w:val="00240C42"/>
    <w:rsid w:val="00241129"/>
    <w:rsid w:val="00241840"/>
    <w:rsid w:val="00241C36"/>
    <w:rsid w:val="00241CFA"/>
    <w:rsid w:val="002421D6"/>
    <w:rsid w:val="002427EB"/>
    <w:rsid w:val="002427F0"/>
    <w:rsid w:val="002428BD"/>
    <w:rsid w:val="0024294E"/>
    <w:rsid w:val="00242E09"/>
    <w:rsid w:val="00243214"/>
    <w:rsid w:val="002432B7"/>
    <w:rsid w:val="002440B2"/>
    <w:rsid w:val="002458CE"/>
    <w:rsid w:val="00245FBA"/>
    <w:rsid w:val="00246513"/>
    <w:rsid w:val="00246B1D"/>
    <w:rsid w:val="00247439"/>
    <w:rsid w:val="00247BDE"/>
    <w:rsid w:val="0025009E"/>
    <w:rsid w:val="002507C4"/>
    <w:rsid w:val="00250B11"/>
    <w:rsid w:val="00251D1C"/>
    <w:rsid w:val="00251EB3"/>
    <w:rsid w:val="00252473"/>
    <w:rsid w:val="00253254"/>
    <w:rsid w:val="0025329B"/>
    <w:rsid w:val="002538BA"/>
    <w:rsid w:val="00253EC4"/>
    <w:rsid w:val="0025418A"/>
    <w:rsid w:val="00254240"/>
    <w:rsid w:val="00255BC2"/>
    <w:rsid w:val="00256539"/>
    <w:rsid w:val="00256D0C"/>
    <w:rsid w:val="00256DEA"/>
    <w:rsid w:val="00257C49"/>
    <w:rsid w:val="0026072F"/>
    <w:rsid w:val="00260952"/>
    <w:rsid w:val="00261192"/>
    <w:rsid w:val="00261A11"/>
    <w:rsid w:val="00261A67"/>
    <w:rsid w:val="00261CB5"/>
    <w:rsid w:val="002625F2"/>
    <w:rsid w:val="002626D5"/>
    <w:rsid w:val="00263413"/>
    <w:rsid w:val="0026431A"/>
    <w:rsid w:val="002644A4"/>
    <w:rsid w:val="0026452D"/>
    <w:rsid w:val="00265066"/>
    <w:rsid w:val="00265C93"/>
    <w:rsid w:val="00266300"/>
    <w:rsid w:val="002676F9"/>
    <w:rsid w:val="00270BA8"/>
    <w:rsid w:val="00270E35"/>
    <w:rsid w:val="00271150"/>
    <w:rsid w:val="0027313E"/>
    <w:rsid w:val="00274025"/>
    <w:rsid w:val="00274041"/>
    <w:rsid w:val="002747CC"/>
    <w:rsid w:val="00274830"/>
    <w:rsid w:val="00274A77"/>
    <w:rsid w:val="00274DF9"/>
    <w:rsid w:val="00275170"/>
    <w:rsid w:val="002756DB"/>
    <w:rsid w:val="00275D77"/>
    <w:rsid w:val="002775AA"/>
    <w:rsid w:val="002778F2"/>
    <w:rsid w:val="00277F52"/>
    <w:rsid w:val="002809A3"/>
    <w:rsid w:val="00280AAE"/>
    <w:rsid w:val="00281664"/>
    <w:rsid w:val="00281979"/>
    <w:rsid w:val="00281E85"/>
    <w:rsid w:val="002837F8"/>
    <w:rsid w:val="00283ACF"/>
    <w:rsid w:val="00283C99"/>
    <w:rsid w:val="0028473D"/>
    <w:rsid w:val="00284850"/>
    <w:rsid w:val="00284AC7"/>
    <w:rsid w:val="00284D22"/>
    <w:rsid w:val="00284EAF"/>
    <w:rsid w:val="00285326"/>
    <w:rsid w:val="00285DE8"/>
    <w:rsid w:val="00286798"/>
    <w:rsid w:val="00290891"/>
    <w:rsid w:val="00291DA9"/>
    <w:rsid w:val="00292097"/>
    <w:rsid w:val="00292773"/>
    <w:rsid w:val="002927AC"/>
    <w:rsid w:val="00292E8B"/>
    <w:rsid w:val="0029469F"/>
    <w:rsid w:val="00294704"/>
    <w:rsid w:val="00294C20"/>
    <w:rsid w:val="00295405"/>
    <w:rsid w:val="002954FB"/>
    <w:rsid w:val="0029618D"/>
    <w:rsid w:val="002965BA"/>
    <w:rsid w:val="00296711"/>
    <w:rsid w:val="00296814"/>
    <w:rsid w:val="00296FE0"/>
    <w:rsid w:val="0029716C"/>
    <w:rsid w:val="002A0C57"/>
    <w:rsid w:val="002A0DD4"/>
    <w:rsid w:val="002A1CD7"/>
    <w:rsid w:val="002A2537"/>
    <w:rsid w:val="002A2AB8"/>
    <w:rsid w:val="002A2B8E"/>
    <w:rsid w:val="002A2FD5"/>
    <w:rsid w:val="002A30B3"/>
    <w:rsid w:val="002A34B0"/>
    <w:rsid w:val="002A413D"/>
    <w:rsid w:val="002A5126"/>
    <w:rsid w:val="002A5948"/>
    <w:rsid w:val="002A64F2"/>
    <w:rsid w:val="002A6590"/>
    <w:rsid w:val="002A66BC"/>
    <w:rsid w:val="002A7059"/>
    <w:rsid w:val="002A7350"/>
    <w:rsid w:val="002A7478"/>
    <w:rsid w:val="002A7B26"/>
    <w:rsid w:val="002B01AD"/>
    <w:rsid w:val="002B047F"/>
    <w:rsid w:val="002B1493"/>
    <w:rsid w:val="002B2D78"/>
    <w:rsid w:val="002B32C9"/>
    <w:rsid w:val="002B3736"/>
    <w:rsid w:val="002B389E"/>
    <w:rsid w:val="002B4054"/>
    <w:rsid w:val="002B46FF"/>
    <w:rsid w:val="002B497D"/>
    <w:rsid w:val="002B4D0E"/>
    <w:rsid w:val="002B542A"/>
    <w:rsid w:val="002B5495"/>
    <w:rsid w:val="002B54C5"/>
    <w:rsid w:val="002B55E5"/>
    <w:rsid w:val="002B60D3"/>
    <w:rsid w:val="002B653E"/>
    <w:rsid w:val="002B6703"/>
    <w:rsid w:val="002B6D69"/>
    <w:rsid w:val="002B6F67"/>
    <w:rsid w:val="002B7411"/>
    <w:rsid w:val="002B7F0B"/>
    <w:rsid w:val="002B7F1B"/>
    <w:rsid w:val="002C0083"/>
    <w:rsid w:val="002C032E"/>
    <w:rsid w:val="002C0788"/>
    <w:rsid w:val="002C081A"/>
    <w:rsid w:val="002C108A"/>
    <w:rsid w:val="002C1553"/>
    <w:rsid w:val="002C2CCD"/>
    <w:rsid w:val="002C2F7F"/>
    <w:rsid w:val="002C2FB4"/>
    <w:rsid w:val="002C2FD3"/>
    <w:rsid w:val="002C30A3"/>
    <w:rsid w:val="002C3337"/>
    <w:rsid w:val="002C3683"/>
    <w:rsid w:val="002C369F"/>
    <w:rsid w:val="002C3A79"/>
    <w:rsid w:val="002C3BA9"/>
    <w:rsid w:val="002C6684"/>
    <w:rsid w:val="002C6840"/>
    <w:rsid w:val="002C6916"/>
    <w:rsid w:val="002C6DC2"/>
    <w:rsid w:val="002C6DDA"/>
    <w:rsid w:val="002C713E"/>
    <w:rsid w:val="002C7F2C"/>
    <w:rsid w:val="002D053D"/>
    <w:rsid w:val="002D0B99"/>
    <w:rsid w:val="002D1936"/>
    <w:rsid w:val="002D1CE8"/>
    <w:rsid w:val="002D2FB2"/>
    <w:rsid w:val="002D3782"/>
    <w:rsid w:val="002D3CE3"/>
    <w:rsid w:val="002D48E6"/>
    <w:rsid w:val="002D4DBC"/>
    <w:rsid w:val="002D5B16"/>
    <w:rsid w:val="002D685C"/>
    <w:rsid w:val="002D73F7"/>
    <w:rsid w:val="002D769A"/>
    <w:rsid w:val="002D7789"/>
    <w:rsid w:val="002D77B7"/>
    <w:rsid w:val="002D7CC4"/>
    <w:rsid w:val="002D7DBC"/>
    <w:rsid w:val="002E0C21"/>
    <w:rsid w:val="002E0FA4"/>
    <w:rsid w:val="002E192A"/>
    <w:rsid w:val="002E2471"/>
    <w:rsid w:val="002E2B84"/>
    <w:rsid w:val="002E300A"/>
    <w:rsid w:val="002E30AC"/>
    <w:rsid w:val="002E3543"/>
    <w:rsid w:val="002E3B82"/>
    <w:rsid w:val="002E3C6A"/>
    <w:rsid w:val="002E3C95"/>
    <w:rsid w:val="002E40D7"/>
    <w:rsid w:val="002E4BB3"/>
    <w:rsid w:val="002E5518"/>
    <w:rsid w:val="002E5F0D"/>
    <w:rsid w:val="002E6119"/>
    <w:rsid w:val="002E67C6"/>
    <w:rsid w:val="002E6EE7"/>
    <w:rsid w:val="002F0C6B"/>
    <w:rsid w:val="002F1A12"/>
    <w:rsid w:val="002F1CD0"/>
    <w:rsid w:val="002F1D5C"/>
    <w:rsid w:val="002F207F"/>
    <w:rsid w:val="002F24AF"/>
    <w:rsid w:val="002F3259"/>
    <w:rsid w:val="002F32ED"/>
    <w:rsid w:val="002F3799"/>
    <w:rsid w:val="002F43B6"/>
    <w:rsid w:val="002F49F9"/>
    <w:rsid w:val="002F4E60"/>
    <w:rsid w:val="002F515D"/>
    <w:rsid w:val="002F594A"/>
    <w:rsid w:val="002F6673"/>
    <w:rsid w:val="002F66DB"/>
    <w:rsid w:val="002F689E"/>
    <w:rsid w:val="002F7A05"/>
    <w:rsid w:val="002F7EB8"/>
    <w:rsid w:val="0030086D"/>
    <w:rsid w:val="00300D86"/>
    <w:rsid w:val="003017E1"/>
    <w:rsid w:val="0030272F"/>
    <w:rsid w:val="00302F6A"/>
    <w:rsid w:val="00303B54"/>
    <w:rsid w:val="003040C0"/>
    <w:rsid w:val="00305CC7"/>
    <w:rsid w:val="00305F62"/>
    <w:rsid w:val="0030688B"/>
    <w:rsid w:val="00306AB8"/>
    <w:rsid w:val="003074FD"/>
    <w:rsid w:val="00307A2D"/>
    <w:rsid w:val="00310204"/>
    <w:rsid w:val="00310272"/>
    <w:rsid w:val="0031058E"/>
    <w:rsid w:val="00310D86"/>
    <w:rsid w:val="00310F34"/>
    <w:rsid w:val="00311FD9"/>
    <w:rsid w:val="00312AF6"/>
    <w:rsid w:val="00312CB7"/>
    <w:rsid w:val="00312E68"/>
    <w:rsid w:val="0031351A"/>
    <w:rsid w:val="00314AF3"/>
    <w:rsid w:val="00315B92"/>
    <w:rsid w:val="003161E5"/>
    <w:rsid w:val="00316C18"/>
    <w:rsid w:val="00317071"/>
    <w:rsid w:val="003170F2"/>
    <w:rsid w:val="0032028C"/>
    <w:rsid w:val="003204DA"/>
    <w:rsid w:val="00320582"/>
    <w:rsid w:val="003206BE"/>
    <w:rsid w:val="00321282"/>
    <w:rsid w:val="0032130E"/>
    <w:rsid w:val="00321461"/>
    <w:rsid w:val="0032187E"/>
    <w:rsid w:val="003218EA"/>
    <w:rsid w:val="00321F93"/>
    <w:rsid w:val="003223D4"/>
    <w:rsid w:val="0032278A"/>
    <w:rsid w:val="0032279E"/>
    <w:rsid w:val="00322A25"/>
    <w:rsid w:val="0032318E"/>
    <w:rsid w:val="0032373F"/>
    <w:rsid w:val="00323BA6"/>
    <w:rsid w:val="003240D0"/>
    <w:rsid w:val="00324A14"/>
    <w:rsid w:val="00325668"/>
    <w:rsid w:val="00326266"/>
    <w:rsid w:val="003262AB"/>
    <w:rsid w:val="0032659C"/>
    <w:rsid w:val="00326E7D"/>
    <w:rsid w:val="00327292"/>
    <w:rsid w:val="003272FD"/>
    <w:rsid w:val="0032744E"/>
    <w:rsid w:val="00327480"/>
    <w:rsid w:val="00327554"/>
    <w:rsid w:val="00330A37"/>
    <w:rsid w:val="00330B81"/>
    <w:rsid w:val="003313AD"/>
    <w:rsid w:val="00332EBA"/>
    <w:rsid w:val="00333A15"/>
    <w:rsid w:val="00333A67"/>
    <w:rsid w:val="00333A6D"/>
    <w:rsid w:val="00333F1D"/>
    <w:rsid w:val="00335776"/>
    <w:rsid w:val="00336075"/>
    <w:rsid w:val="003365AA"/>
    <w:rsid w:val="00336AA6"/>
    <w:rsid w:val="0033731A"/>
    <w:rsid w:val="003374B9"/>
    <w:rsid w:val="003375AB"/>
    <w:rsid w:val="003378B1"/>
    <w:rsid w:val="003408E2"/>
    <w:rsid w:val="003415A2"/>
    <w:rsid w:val="0034163B"/>
    <w:rsid w:val="003419D5"/>
    <w:rsid w:val="0034312D"/>
    <w:rsid w:val="0034330F"/>
    <w:rsid w:val="00343669"/>
    <w:rsid w:val="00343C67"/>
    <w:rsid w:val="0034413A"/>
    <w:rsid w:val="00344BA3"/>
    <w:rsid w:val="00344BDC"/>
    <w:rsid w:val="00344D5E"/>
    <w:rsid w:val="00345475"/>
    <w:rsid w:val="00345E41"/>
    <w:rsid w:val="00346AE5"/>
    <w:rsid w:val="00346C56"/>
    <w:rsid w:val="00347159"/>
    <w:rsid w:val="00347782"/>
    <w:rsid w:val="00347D51"/>
    <w:rsid w:val="00347E11"/>
    <w:rsid w:val="00350268"/>
    <w:rsid w:val="00350594"/>
    <w:rsid w:val="00350C56"/>
    <w:rsid w:val="003511D2"/>
    <w:rsid w:val="0035155F"/>
    <w:rsid w:val="003518DC"/>
    <w:rsid w:val="00351DC1"/>
    <w:rsid w:val="00352523"/>
    <w:rsid w:val="00352542"/>
    <w:rsid w:val="00352E7B"/>
    <w:rsid w:val="0035326A"/>
    <w:rsid w:val="0035327A"/>
    <w:rsid w:val="003534CB"/>
    <w:rsid w:val="0035354E"/>
    <w:rsid w:val="00353E65"/>
    <w:rsid w:val="00353FC5"/>
    <w:rsid w:val="00354407"/>
    <w:rsid w:val="00354730"/>
    <w:rsid w:val="003547FD"/>
    <w:rsid w:val="0035516A"/>
    <w:rsid w:val="003555CF"/>
    <w:rsid w:val="00355B59"/>
    <w:rsid w:val="0035620E"/>
    <w:rsid w:val="003564B6"/>
    <w:rsid w:val="0035669E"/>
    <w:rsid w:val="003574FA"/>
    <w:rsid w:val="00357518"/>
    <w:rsid w:val="0035773F"/>
    <w:rsid w:val="00357C05"/>
    <w:rsid w:val="00357DE5"/>
    <w:rsid w:val="003600BF"/>
    <w:rsid w:val="003605B1"/>
    <w:rsid w:val="0036071E"/>
    <w:rsid w:val="00360B3F"/>
    <w:rsid w:val="00360B9B"/>
    <w:rsid w:val="00360E9D"/>
    <w:rsid w:val="0036394D"/>
    <w:rsid w:val="00363B12"/>
    <w:rsid w:val="00363DC5"/>
    <w:rsid w:val="0036423C"/>
    <w:rsid w:val="003648BB"/>
    <w:rsid w:val="00364A04"/>
    <w:rsid w:val="00364B4C"/>
    <w:rsid w:val="00364B96"/>
    <w:rsid w:val="00364C38"/>
    <w:rsid w:val="00364D59"/>
    <w:rsid w:val="003654BE"/>
    <w:rsid w:val="003654DD"/>
    <w:rsid w:val="00365D2E"/>
    <w:rsid w:val="00365DBB"/>
    <w:rsid w:val="003673E6"/>
    <w:rsid w:val="003675F0"/>
    <w:rsid w:val="00367A90"/>
    <w:rsid w:val="003703EC"/>
    <w:rsid w:val="00370963"/>
    <w:rsid w:val="00370FF7"/>
    <w:rsid w:val="00371009"/>
    <w:rsid w:val="00371BC4"/>
    <w:rsid w:val="003722E8"/>
    <w:rsid w:val="00372733"/>
    <w:rsid w:val="0037280D"/>
    <w:rsid w:val="003728E1"/>
    <w:rsid w:val="00372C4C"/>
    <w:rsid w:val="003735AF"/>
    <w:rsid w:val="00373B9D"/>
    <w:rsid w:val="003745D0"/>
    <w:rsid w:val="00374EA0"/>
    <w:rsid w:val="00375B8A"/>
    <w:rsid w:val="00375E04"/>
    <w:rsid w:val="0037642E"/>
    <w:rsid w:val="00376D72"/>
    <w:rsid w:val="00377897"/>
    <w:rsid w:val="00377D05"/>
    <w:rsid w:val="00377D45"/>
    <w:rsid w:val="003801DC"/>
    <w:rsid w:val="00380E15"/>
    <w:rsid w:val="00380E43"/>
    <w:rsid w:val="00380F51"/>
    <w:rsid w:val="00381993"/>
    <w:rsid w:val="00381B3A"/>
    <w:rsid w:val="00381F75"/>
    <w:rsid w:val="0038248C"/>
    <w:rsid w:val="0038286E"/>
    <w:rsid w:val="0038294D"/>
    <w:rsid w:val="003832C2"/>
    <w:rsid w:val="00383E24"/>
    <w:rsid w:val="00383F00"/>
    <w:rsid w:val="00384837"/>
    <w:rsid w:val="003856C6"/>
    <w:rsid w:val="00385E50"/>
    <w:rsid w:val="0038685F"/>
    <w:rsid w:val="00386B43"/>
    <w:rsid w:val="00386CBA"/>
    <w:rsid w:val="00386FC4"/>
    <w:rsid w:val="003878B7"/>
    <w:rsid w:val="00387D7F"/>
    <w:rsid w:val="00391901"/>
    <w:rsid w:val="00391AC1"/>
    <w:rsid w:val="00391B2B"/>
    <w:rsid w:val="003923E6"/>
    <w:rsid w:val="00392F45"/>
    <w:rsid w:val="00393FE9"/>
    <w:rsid w:val="0039476B"/>
    <w:rsid w:val="00394841"/>
    <w:rsid w:val="00395161"/>
    <w:rsid w:val="00396113"/>
    <w:rsid w:val="0039618A"/>
    <w:rsid w:val="00396F26"/>
    <w:rsid w:val="003973FD"/>
    <w:rsid w:val="00397413"/>
    <w:rsid w:val="003976E4"/>
    <w:rsid w:val="00397E21"/>
    <w:rsid w:val="00397FDC"/>
    <w:rsid w:val="003A04AE"/>
    <w:rsid w:val="003A0667"/>
    <w:rsid w:val="003A1549"/>
    <w:rsid w:val="003A19D6"/>
    <w:rsid w:val="003A22AE"/>
    <w:rsid w:val="003A2D4E"/>
    <w:rsid w:val="003A3116"/>
    <w:rsid w:val="003A3999"/>
    <w:rsid w:val="003A3B99"/>
    <w:rsid w:val="003A4462"/>
    <w:rsid w:val="003A4663"/>
    <w:rsid w:val="003A4BFF"/>
    <w:rsid w:val="003A4F4E"/>
    <w:rsid w:val="003A5D90"/>
    <w:rsid w:val="003A62DA"/>
    <w:rsid w:val="003A7B14"/>
    <w:rsid w:val="003A7B7B"/>
    <w:rsid w:val="003A7D2A"/>
    <w:rsid w:val="003A7D38"/>
    <w:rsid w:val="003A7EEA"/>
    <w:rsid w:val="003B08CD"/>
    <w:rsid w:val="003B14FD"/>
    <w:rsid w:val="003B202F"/>
    <w:rsid w:val="003B2427"/>
    <w:rsid w:val="003B2465"/>
    <w:rsid w:val="003B2D7D"/>
    <w:rsid w:val="003B3E12"/>
    <w:rsid w:val="003B4696"/>
    <w:rsid w:val="003B4E65"/>
    <w:rsid w:val="003B4EB6"/>
    <w:rsid w:val="003B517A"/>
    <w:rsid w:val="003B6031"/>
    <w:rsid w:val="003B6E81"/>
    <w:rsid w:val="003B77E5"/>
    <w:rsid w:val="003B7E05"/>
    <w:rsid w:val="003C02B7"/>
    <w:rsid w:val="003C052A"/>
    <w:rsid w:val="003C0F8F"/>
    <w:rsid w:val="003C131E"/>
    <w:rsid w:val="003C19A5"/>
    <w:rsid w:val="003C1C85"/>
    <w:rsid w:val="003C1F69"/>
    <w:rsid w:val="003C2450"/>
    <w:rsid w:val="003C2FEB"/>
    <w:rsid w:val="003C3A2A"/>
    <w:rsid w:val="003C3BB8"/>
    <w:rsid w:val="003C3E7F"/>
    <w:rsid w:val="003C4482"/>
    <w:rsid w:val="003C47C6"/>
    <w:rsid w:val="003C5260"/>
    <w:rsid w:val="003C553F"/>
    <w:rsid w:val="003C612F"/>
    <w:rsid w:val="003C6468"/>
    <w:rsid w:val="003C76EF"/>
    <w:rsid w:val="003D0AF6"/>
    <w:rsid w:val="003D0BFD"/>
    <w:rsid w:val="003D11D9"/>
    <w:rsid w:val="003D1E5A"/>
    <w:rsid w:val="003D3990"/>
    <w:rsid w:val="003D42B5"/>
    <w:rsid w:val="003D42CB"/>
    <w:rsid w:val="003D43E2"/>
    <w:rsid w:val="003D4B62"/>
    <w:rsid w:val="003D4E9A"/>
    <w:rsid w:val="003D51F4"/>
    <w:rsid w:val="003D5811"/>
    <w:rsid w:val="003D58C5"/>
    <w:rsid w:val="003D5C4A"/>
    <w:rsid w:val="003D6638"/>
    <w:rsid w:val="003D688E"/>
    <w:rsid w:val="003D6910"/>
    <w:rsid w:val="003D7786"/>
    <w:rsid w:val="003D7E89"/>
    <w:rsid w:val="003D7FC4"/>
    <w:rsid w:val="003E0354"/>
    <w:rsid w:val="003E08DC"/>
    <w:rsid w:val="003E0BDE"/>
    <w:rsid w:val="003E1248"/>
    <w:rsid w:val="003E184A"/>
    <w:rsid w:val="003E1887"/>
    <w:rsid w:val="003E18C9"/>
    <w:rsid w:val="003E19E2"/>
    <w:rsid w:val="003E2538"/>
    <w:rsid w:val="003E278F"/>
    <w:rsid w:val="003E2835"/>
    <w:rsid w:val="003E2E55"/>
    <w:rsid w:val="003E3370"/>
    <w:rsid w:val="003E4296"/>
    <w:rsid w:val="003E43C8"/>
    <w:rsid w:val="003E450F"/>
    <w:rsid w:val="003E4B5F"/>
    <w:rsid w:val="003E530F"/>
    <w:rsid w:val="003E5A33"/>
    <w:rsid w:val="003E65FD"/>
    <w:rsid w:val="003E69CF"/>
    <w:rsid w:val="003E6DA0"/>
    <w:rsid w:val="003E6F17"/>
    <w:rsid w:val="003E72DA"/>
    <w:rsid w:val="003F02A3"/>
    <w:rsid w:val="003F031C"/>
    <w:rsid w:val="003F0912"/>
    <w:rsid w:val="003F099E"/>
    <w:rsid w:val="003F1622"/>
    <w:rsid w:val="003F1AA3"/>
    <w:rsid w:val="003F25EF"/>
    <w:rsid w:val="003F3277"/>
    <w:rsid w:val="003F3C9B"/>
    <w:rsid w:val="003F40EC"/>
    <w:rsid w:val="003F4C79"/>
    <w:rsid w:val="003F4E06"/>
    <w:rsid w:val="003F4FA4"/>
    <w:rsid w:val="003F4FF2"/>
    <w:rsid w:val="003F506A"/>
    <w:rsid w:val="003F562C"/>
    <w:rsid w:val="003F5E3F"/>
    <w:rsid w:val="003F6463"/>
    <w:rsid w:val="003F67CB"/>
    <w:rsid w:val="003F6A4A"/>
    <w:rsid w:val="003F759C"/>
    <w:rsid w:val="003F7DBA"/>
    <w:rsid w:val="00401CD0"/>
    <w:rsid w:val="00402608"/>
    <w:rsid w:val="00402A5A"/>
    <w:rsid w:val="00403542"/>
    <w:rsid w:val="00403A15"/>
    <w:rsid w:val="00403B73"/>
    <w:rsid w:val="004048FE"/>
    <w:rsid w:val="00405461"/>
    <w:rsid w:val="00405477"/>
    <w:rsid w:val="0040566B"/>
    <w:rsid w:val="0040646A"/>
    <w:rsid w:val="004067F1"/>
    <w:rsid w:val="00406C91"/>
    <w:rsid w:val="00410441"/>
    <w:rsid w:val="0041078F"/>
    <w:rsid w:val="00410B78"/>
    <w:rsid w:val="00410ED9"/>
    <w:rsid w:val="0041102C"/>
    <w:rsid w:val="00411154"/>
    <w:rsid w:val="004125D1"/>
    <w:rsid w:val="004127F9"/>
    <w:rsid w:val="00412BDE"/>
    <w:rsid w:val="004146E5"/>
    <w:rsid w:val="00414DE0"/>
    <w:rsid w:val="004150FE"/>
    <w:rsid w:val="0041522E"/>
    <w:rsid w:val="004158A0"/>
    <w:rsid w:val="00415D69"/>
    <w:rsid w:val="00415FAD"/>
    <w:rsid w:val="0041619C"/>
    <w:rsid w:val="00416E51"/>
    <w:rsid w:val="0041747C"/>
    <w:rsid w:val="00417697"/>
    <w:rsid w:val="00417701"/>
    <w:rsid w:val="004178A6"/>
    <w:rsid w:val="00417C68"/>
    <w:rsid w:val="00417D7A"/>
    <w:rsid w:val="004203AA"/>
    <w:rsid w:val="00420779"/>
    <w:rsid w:val="0042099D"/>
    <w:rsid w:val="00420ABF"/>
    <w:rsid w:val="00420BA6"/>
    <w:rsid w:val="0042110F"/>
    <w:rsid w:val="0042121D"/>
    <w:rsid w:val="0042181C"/>
    <w:rsid w:val="00422508"/>
    <w:rsid w:val="0042267A"/>
    <w:rsid w:val="00422C4F"/>
    <w:rsid w:val="00422C59"/>
    <w:rsid w:val="00422CFC"/>
    <w:rsid w:val="00423B44"/>
    <w:rsid w:val="0042412E"/>
    <w:rsid w:val="0042472D"/>
    <w:rsid w:val="00424995"/>
    <w:rsid w:val="0042505E"/>
    <w:rsid w:val="004257A7"/>
    <w:rsid w:val="00425EF9"/>
    <w:rsid w:val="0042784A"/>
    <w:rsid w:val="00430564"/>
    <w:rsid w:val="004305C5"/>
    <w:rsid w:val="00430686"/>
    <w:rsid w:val="00430FEF"/>
    <w:rsid w:val="004318F9"/>
    <w:rsid w:val="0043202F"/>
    <w:rsid w:val="00432859"/>
    <w:rsid w:val="00432B9E"/>
    <w:rsid w:val="00432C15"/>
    <w:rsid w:val="004336BA"/>
    <w:rsid w:val="004342CB"/>
    <w:rsid w:val="00434374"/>
    <w:rsid w:val="0043448E"/>
    <w:rsid w:val="00435197"/>
    <w:rsid w:val="004358F0"/>
    <w:rsid w:val="00435944"/>
    <w:rsid w:val="0043678E"/>
    <w:rsid w:val="004373AE"/>
    <w:rsid w:val="00437957"/>
    <w:rsid w:val="00437B57"/>
    <w:rsid w:val="00437F88"/>
    <w:rsid w:val="00440CFD"/>
    <w:rsid w:val="004410BC"/>
    <w:rsid w:val="00441164"/>
    <w:rsid w:val="004412C4"/>
    <w:rsid w:val="004414D3"/>
    <w:rsid w:val="00441976"/>
    <w:rsid w:val="00441A6C"/>
    <w:rsid w:val="004420F9"/>
    <w:rsid w:val="004435D7"/>
    <w:rsid w:val="00443C09"/>
    <w:rsid w:val="00444188"/>
    <w:rsid w:val="00444473"/>
    <w:rsid w:val="0044482D"/>
    <w:rsid w:val="00444927"/>
    <w:rsid w:val="00444FEA"/>
    <w:rsid w:val="0044517B"/>
    <w:rsid w:val="00445226"/>
    <w:rsid w:val="00445837"/>
    <w:rsid w:val="004458AB"/>
    <w:rsid w:val="00445C9F"/>
    <w:rsid w:val="00446D64"/>
    <w:rsid w:val="00447C52"/>
    <w:rsid w:val="004503A1"/>
    <w:rsid w:val="00450674"/>
    <w:rsid w:val="0045201A"/>
    <w:rsid w:val="00453DB3"/>
    <w:rsid w:val="00454B8F"/>
    <w:rsid w:val="00454C20"/>
    <w:rsid w:val="004558FA"/>
    <w:rsid w:val="00455CAE"/>
    <w:rsid w:val="00455E9B"/>
    <w:rsid w:val="0045683D"/>
    <w:rsid w:val="00456D15"/>
    <w:rsid w:val="004578E3"/>
    <w:rsid w:val="00457B9A"/>
    <w:rsid w:val="004602D4"/>
    <w:rsid w:val="00460A4B"/>
    <w:rsid w:val="00461252"/>
    <w:rsid w:val="0046159B"/>
    <w:rsid w:val="00461A84"/>
    <w:rsid w:val="00461EAE"/>
    <w:rsid w:val="00462286"/>
    <w:rsid w:val="0046249E"/>
    <w:rsid w:val="00462F25"/>
    <w:rsid w:val="004631A1"/>
    <w:rsid w:val="0046330C"/>
    <w:rsid w:val="00463717"/>
    <w:rsid w:val="00463754"/>
    <w:rsid w:val="004637CD"/>
    <w:rsid w:val="004653AD"/>
    <w:rsid w:val="00465498"/>
    <w:rsid w:val="00465A3C"/>
    <w:rsid w:val="00465F55"/>
    <w:rsid w:val="00466065"/>
    <w:rsid w:val="0046615C"/>
    <w:rsid w:val="004665E5"/>
    <w:rsid w:val="00466742"/>
    <w:rsid w:val="00466AE4"/>
    <w:rsid w:val="0046756D"/>
    <w:rsid w:val="00467B68"/>
    <w:rsid w:val="00471361"/>
    <w:rsid w:val="00471ED1"/>
    <w:rsid w:val="00472834"/>
    <w:rsid w:val="00472ADA"/>
    <w:rsid w:val="00472AF9"/>
    <w:rsid w:val="00472E87"/>
    <w:rsid w:val="00473CE6"/>
    <w:rsid w:val="004741E2"/>
    <w:rsid w:val="00474322"/>
    <w:rsid w:val="00474620"/>
    <w:rsid w:val="0047548C"/>
    <w:rsid w:val="00475B81"/>
    <w:rsid w:val="00476085"/>
    <w:rsid w:val="00476446"/>
    <w:rsid w:val="004768DB"/>
    <w:rsid w:val="0047700C"/>
    <w:rsid w:val="004779AB"/>
    <w:rsid w:val="00477FA2"/>
    <w:rsid w:val="004801BA"/>
    <w:rsid w:val="0048028B"/>
    <w:rsid w:val="0048113B"/>
    <w:rsid w:val="00481C87"/>
    <w:rsid w:val="00482785"/>
    <w:rsid w:val="004828B4"/>
    <w:rsid w:val="00482D36"/>
    <w:rsid w:val="00482F94"/>
    <w:rsid w:val="0048329D"/>
    <w:rsid w:val="004840B7"/>
    <w:rsid w:val="00485352"/>
    <w:rsid w:val="0048639E"/>
    <w:rsid w:val="004865B6"/>
    <w:rsid w:val="004876C2"/>
    <w:rsid w:val="004878B6"/>
    <w:rsid w:val="00487D66"/>
    <w:rsid w:val="00490831"/>
    <w:rsid w:val="00491095"/>
    <w:rsid w:val="00491554"/>
    <w:rsid w:val="004918B1"/>
    <w:rsid w:val="00492774"/>
    <w:rsid w:val="00492C56"/>
    <w:rsid w:val="00492F1A"/>
    <w:rsid w:val="00493782"/>
    <w:rsid w:val="00493CF5"/>
    <w:rsid w:val="00493D4F"/>
    <w:rsid w:val="00493E2D"/>
    <w:rsid w:val="00494B2E"/>
    <w:rsid w:val="004952A2"/>
    <w:rsid w:val="0049590C"/>
    <w:rsid w:val="00495D9A"/>
    <w:rsid w:val="004966E0"/>
    <w:rsid w:val="0049688D"/>
    <w:rsid w:val="00496FC7"/>
    <w:rsid w:val="00497D9F"/>
    <w:rsid w:val="004A00D5"/>
    <w:rsid w:val="004A05C0"/>
    <w:rsid w:val="004A0ECC"/>
    <w:rsid w:val="004A1246"/>
    <w:rsid w:val="004A1416"/>
    <w:rsid w:val="004A17FA"/>
    <w:rsid w:val="004A25D9"/>
    <w:rsid w:val="004A2B26"/>
    <w:rsid w:val="004A37E1"/>
    <w:rsid w:val="004A3F18"/>
    <w:rsid w:val="004A40D9"/>
    <w:rsid w:val="004A4606"/>
    <w:rsid w:val="004A4886"/>
    <w:rsid w:val="004A4D06"/>
    <w:rsid w:val="004A4FC8"/>
    <w:rsid w:val="004A5232"/>
    <w:rsid w:val="004A53D2"/>
    <w:rsid w:val="004A59C2"/>
    <w:rsid w:val="004A76F0"/>
    <w:rsid w:val="004B0A5F"/>
    <w:rsid w:val="004B11AD"/>
    <w:rsid w:val="004B15CE"/>
    <w:rsid w:val="004B2630"/>
    <w:rsid w:val="004B4636"/>
    <w:rsid w:val="004B495E"/>
    <w:rsid w:val="004B4990"/>
    <w:rsid w:val="004B51A3"/>
    <w:rsid w:val="004B534E"/>
    <w:rsid w:val="004B59CB"/>
    <w:rsid w:val="004B6901"/>
    <w:rsid w:val="004B6F05"/>
    <w:rsid w:val="004B7582"/>
    <w:rsid w:val="004B7977"/>
    <w:rsid w:val="004B7A51"/>
    <w:rsid w:val="004C0712"/>
    <w:rsid w:val="004C08EA"/>
    <w:rsid w:val="004C09C3"/>
    <w:rsid w:val="004C0F0D"/>
    <w:rsid w:val="004C1838"/>
    <w:rsid w:val="004C1CE3"/>
    <w:rsid w:val="004C3144"/>
    <w:rsid w:val="004C380C"/>
    <w:rsid w:val="004C3FD7"/>
    <w:rsid w:val="004C4B3E"/>
    <w:rsid w:val="004C5AA1"/>
    <w:rsid w:val="004C600D"/>
    <w:rsid w:val="004C6374"/>
    <w:rsid w:val="004C64D0"/>
    <w:rsid w:val="004C683A"/>
    <w:rsid w:val="004C6B4F"/>
    <w:rsid w:val="004C6D63"/>
    <w:rsid w:val="004C6DF5"/>
    <w:rsid w:val="004C79D9"/>
    <w:rsid w:val="004D118D"/>
    <w:rsid w:val="004D200F"/>
    <w:rsid w:val="004D25E2"/>
    <w:rsid w:val="004D3A17"/>
    <w:rsid w:val="004D48A7"/>
    <w:rsid w:val="004D4AC2"/>
    <w:rsid w:val="004D5038"/>
    <w:rsid w:val="004D53B3"/>
    <w:rsid w:val="004D5EBD"/>
    <w:rsid w:val="004D6314"/>
    <w:rsid w:val="004D645B"/>
    <w:rsid w:val="004D6A67"/>
    <w:rsid w:val="004D7171"/>
    <w:rsid w:val="004D7312"/>
    <w:rsid w:val="004D7420"/>
    <w:rsid w:val="004D79DD"/>
    <w:rsid w:val="004E054D"/>
    <w:rsid w:val="004E07DA"/>
    <w:rsid w:val="004E0B98"/>
    <w:rsid w:val="004E1454"/>
    <w:rsid w:val="004E1704"/>
    <w:rsid w:val="004E1DEA"/>
    <w:rsid w:val="004E1F07"/>
    <w:rsid w:val="004E22FD"/>
    <w:rsid w:val="004E234B"/>
    <w:rsid w:val="004E2921"/>
    <w:rsid w:val="004E2BC5"/>
    <w:rsid w:val="004E305F"/>
    <w:rsid w:val="004E3C85"/>
    <w:rsid w:val="004E3FB6"/>
    <w:rsid w:val="004E41AF"/>
    <w:rsid w:val="004E4277"/>
    <w:rsid w:val="004E4F95"/>
    <w:rsid w:val="004E53FC"/>
    <w:rsid w:val="004E54A3"/>
    <w:rsid w:val="004E578F"/>
    <w:rsid w:val="004E5A30"/>
    <w:rsid w:val="004E5CF5"/>
    <w:rsid w:val="004E7540"/>
    <w:rsid w:val="004E7FC0"/>
    <w:rsid w:val="004F05B8"/>
    <w:rsid w:val="004F0962"/>
    <w:rsid w:val="004F0F05"/>
    <w:rsid w:val="004F1A7E"/>
    <w:rsid w:val="004F2F35"/>
    <w:rsid w:val="004F3442"/>
    <w:rsid w:val="004F3B0D"/>
    <w:rsid w:val="004F3BE6"/>
    <w:rsid w:val="004F3D20"/>
    <w:rsid w:val="004F3F4C"/>
    <w:rsid w:val="004F4978"/>
    <w:rsid w:val="004F4D72"/>
    <w:rsid w:val="004F4F47"/>
    <w:rsid w:val="004F5124"/>
    <w:rsid w:val="004F56ED"/>
    <w:rsid w:val="004F5D56"/>
    <w:rsid w:val="004F5FA0"/>
    <w:rsid w:val="004F6045"/>
    <w:rsid w:val="004F6147"/>
    <w:rsid w:val="004F614F"/>
    <w:rsid w:val="004F636C"/>
    <w:rsid w:val="004F69FE"/>
    <w:rsid w:val="004F752A"/>
    <w:rsid w:val="004F781C"/>
    <w:rsid w:val="004F7918"/>
    <w:rsid w:val="004F7DEC"/>
    <w:rsid w:val="0050084B"/>
    <w:rsid w:val="0050098F"/>
    <w:rsid w:val="00500CC6"/>
    <w:rsid w:val="0050145C"/>
    <w:rsid w:val="005014A0"/>
    <w:rsid w:val="00501507"/>
    <w:rsid w:val="005029F5"/>
    <w:rsid w:val="00503797"/>
    <w:rsid w:val="0050398F"/>
    <w:rsid w:val="00503F6D"/>
    <w:rsid w:val="005042A5"/>
    <w:rsid w:val="00504FA6"/>
    <w:rsid w:val="005058F0"/>
    <w:rsid w:val="00505B35"/>
    <w:rsid w:val="005064B5"/>
    <w:rsid w:val="005067EB"/>
    <w:rsid w:val="00506B64"/>
    <w:rsid w:val="005111E1"/>
    <w:rsid w:val="0051227C"/>
    <w:rsid w:val="0051254F"/>
    <w:rsid w:val="005130A1"/>
    <w:rsid w:val="00513E25"/>
    <w:rsid w:val="0051430B"/>
    <w:rsid w:val="005144B5"/>
    <w:rsid w:val="00514710"/>
    <w:rsid w:val="00514D31"/>
    <w:rsid w:val="005152F9"/>
    <w:rsid w:val="0051578D"/>
    <w:rsid w:val="005162F1"/>
    <w:rsid w:val="00516603"/>
    <w:rsid w:val="005169DD"/>
    <w:rsid w:val="0051788F"/>
    <w:rsid w:val="00517F25"/>
    <w:rsid w:val="005209F7"/>
    <w:rsid w:val="005219BF"/>
    <w:rsid w:val="00521A42"/>
    <w:rsid w:val="00521C86"/>
    <w:rsid w:val="0052249E"/>
    <w:rsid w:val="0052275F"/>
    <w:rsid w:val="0052297D"/>
    <w:rsid w:val="00522FD1"/>
    <w:rsid w:val="005234BC"/>
    <w:rsid w:val="00523834"/>
    <w:rsid w:val="00523B2F"/>
    <w:rsid w:val="00523D53"/>
    <w:rsid w:val="00523F12"/>
    <w:rsid w:val="00523FCF"/>
    <w:rsid w:val="0052435F"/>
    <w:rsid w:val="00524E5B"/>
    <w:rsid w:val="00525285"/>
    <w:rsid w:val="0052553B"/>
    <w:rsid w:val="00525A51"/>
    <w:rsid w:val="00525BBB"/>
    <w:rsid w:val="00526118"/>
    <w:rsid w:val="0052636C"/>
    <w:rsid w:val="005263EB"/>
    <w:rsid w:val="0052648C"/>
    <w:rsid w:val="0052699C"/>
    <w:rsid w:val="0052700A"/>
    <w:rsid w:val="00527A5E"/>
    <w:rsid w:val="00527BA9"/>
    <w:rsid w:val="00530166"/>
    <w:rsid w:val="00530257"/>
    <w:rsid w:val="00530771"/>
    <w:rsid w:val="00530783"/>
    <w:rsid w:val="00530833"/>
    <w:rsid w:val="00530A18"/>
    <w:rsid w:val="00530A47"/>
    <w:rsid w:val="00530DE9"/>
    <w:rsid w:val="005320EA"/>
    <w:rsid w:val="00532334"/>
    <w:rsid w:val="005330E9"/>
    <w:rsid w:val="0053426D"/>
    <w:rsid w:val="0053625D"/>
    <w:rsid w:val="005368B7"/>
    <w:rsid w:val="00536C47"/>
    <w:rsid w:val="00536F59"/>
    <w:rsid w:val="00537507"/>
    <w:rsid w:val="00537609"/>
    <w:rsid w:val="005378D9"/>
    <w:rsid w:val="00537A32"/>
    <w:rsid w:val="0054020B"/>
    <w:rsid w:val="005404C8"/>
    <w:rsid w:val="0054077E"/>
    <w:rsid w:val="00540889"/>
    <w:rsid w:val="00540997"/>
    <w:rsid w:val="005412F3"/>
    <w:rsid w:val="00541413"/>
    <w:rsid w:val="00541D7A"/>
    <w:rsid w:val="005431F0"/>
    <w:rsid w:val="005431FC"/>
    <w:rsid w:val="00544261"/>
    <w:rsid w:val="00544329"/>
    <w:rsid w:val="00544453"/>
    <w:rsid w:val="005446AA"/>
    <w:rsid w:val="005449AC"/>
    <w:rsid w:val="0054597C"/>
    <w:rsid w:val="00545CEB"/>
    <w:rsid w:val="005461C3"/>
    <w:rsid w:val="0054766B"/>
    <w:rsid w:val="00550AA6"/>
    <w:rsid w:val="005516BD"/>
    <w:rsid w:val="00552F3F"/>
    <w:rsid w:val="005530E3"/>
    <w:rsid w:val="00553457"/>
    <w:rsid w:val="00553854"/>
    <w:rsid w:val="005539EC"/>
    <w:rsid w:val="00553A0B"/>
    <w:rsid w:val="00554607"/>
    <w:rsid w:val="00554627"/>
    <w:rsid w:val="005547FF"/>
    <w:rsid w:val="00555DC4"/>
    <w:rsid w:val="00555E12"/>
    <w:rsid w:val="005563C9"/>
    <w:rsid w:val="005563D0"/>
    <w:rsid w:val="005574F9"/>
    <w:rsid w:val="00560031"/>
    <w:rsid w:val="00560624"/>
    <w:rsid w:val="00560C38"/>
    <w:rsid w:val="00560DE2"/>
    <w:rsid w:val="00560FAC"/>
    <w:rsid w:val="005612D4"/>
    <w:rsid w:val="005613A3"/>
    <w:rsid w:val="005613A7"/>
    <w:rsid w:val="005619B7"/>
    <w:rsid w:val="00561A59"/>
    <w:rsid w:val="00561C1C"/>
    <w:rsid w:val="00562E3D"/>
    <w:rsid w:val="00563ADB"/>
    <w:rsid w:val="00563BCC"/>
    <w:rsid w:val="00563F75"/>
    <w:rsid w:val="005640EB"/>
    <w:rsid w:val="00565514"/>
    <w:rsid w:val="00565A6B"/>
    <w:rsid w:val="00565D52"/>
    <w:rsid w:val="00565D96"/>
    <w:rsid w:val="00565DB8"/>
    <w:rsid w:val="00566845"/>
    <w:rsid w:val="00566900"/>
    <w:rsid w:val="00570584"/>
    <w:rsid w:val="0057070F"/>
    <w:rsid w:val="005712D6"/>
    <w:rsid w:val="00571548"/>
    <w:rsid w:val="00571812"/>
    <w:rsid w:val="005718F3"/>
    <w:rsid w:val="00571DCD"/>
    <w:rsid w:val="0057218C"/>
    <w:rsid w:val="00572C81"/>
    <w:rsid w:val="00572E70"/>
    <w:rsid w:val="00573369"/>
    <w:rsid w:val="00573C20"/>
    <w:rsid w:val="0057418A"/>
    <w:rsid w:val="00574923"/>
    <w:rsid w:val="00574D59"/>
    <w:rsid w:val="00575ACD"/>
    <w:rsid w:val="00575C24"/>
    <w:rsid w:val="00576226"/>
    <w:rsid w:val="005762EA"/>
    <w:rsid w:val="005767AE"/>
    <w:rsid w:val="005800A8"/>
    <w:rsid w:val="00580390"/>
    <w:rsid w:val="005803A9"/>
    <w:rsid w:val="00581240"/>
    <w:rsid w:val="005817B2"/>
    <w:rsid w:val="005819F7"/>
    <w:rsid w:val="00581C35"/>
    <w:rsid w:val="005824C6"/>
    <w:rsid w:val="00582674"/>
    <w:rsid w:val="0058271E"/>
    <w:rsid w:val="00582761"/>
    <w:rsid w:val="0058283F"/>
    <w:rsid w:val="0058380D"/>
    <w:rsid w:val="00583930"/>
    <w:rsid w:val="00583BFE"/>
    <w:rsid w:val="00583D8A"/>
    <w:rsid w:val="005840EF"/>
    <w:rsid w:val="005845A3"/>
    <w:rsid w:val="005848F8"/>
    <w:rsid w:val="00584E2F"/>
    <w:rsid w:val="00585151"/>
    <w:rsid w:val="0058525B"/>
    <w:rsid w:val="00585C03"/>
    <w:rsid w:val="0058619F"/>
    <w:rsid w:val="00586637"/>
    <w:rsid w:val="005867CF"/>
    <w:rsid w:val="00586E8E"/>
    <w:rsid w:val="00587C46"/>
    <w:rsid w:val="00587F56"/>
    <w:rsid w:val="00587FD9"/>
    <w:rsid w:val="005908B9"/>
    <w:rsid w:val="00591265"/>
    <w:rsid w:val="00591283"/>
    <w:rsid w:val="005915A4"/>
    <w:rsid w:val="005922F4"/>
    <w:rsid w:val="005924D3"/>
    <w:rsid w:val="005924F1"/>
    <w:rsid w:val="005925E3"/>
    <w:rsid w:val="00592F32"/>
    <w:rsid w:val="0059304D"/>
    <w:rsid w:val="005933AE"/>
    <w:rsid w:val="00594200"/>
    <w:rsid w:val="00594550"/>
    <w:rsid w:val="00595156"/>
    <w:rsid w:val="00596129"/>
    <w:rsid w:val="00596832"/>
    <w:rsid w:val="00596CCB"/>
    <w:rsid w:val="00596DB6"/>
    <w:rsid w:val="00597753"/>
    <w:rsid w:val="00597E6F"/>
    <w:rsid w:val="005A0203"/>
    <w:rsid w:val="005A052F"/>
    <w:rsid w:val="005A0EFC"/>
    <w:rsid w:val="005A1018"/>
    <w:rsid w:val="005A1099"/>
    <w:rsid w:val="005A12EF"/>
    <w:rsid w:val="005A167F"/>
    <w:rsid w:val="005A1980"/>
    <w:rsid w:val="005A1A26"/>
    <w:rsid w:val="005A1B43"/>
    <w:rsid w:val="005A1C52"/>
    <w:rsid w:val="005A1F74"/>
    <w:rsid w:val="005A23D2"/>
    <w:rsid w:val="005A2593"/>
    <w:rsid w:val="005A3196"/>
    <w:rsid w:val="005A339E"/>
    <w:rsid w:val="005A408B"/>
    <w:rsid w:val="005A6F80"/>
    <w:rsid w:val="005A710D"/>
    <w:rsid w:val="005A7215"/>
    <w:rsid w:val="005A726F"/>
    <w:rsid w:val="005A72E6"/>
    <w:rsid w:val="005A782E"/>
    <w:rsid w:val="005A793B"/>
    <w:rsid w:val="005A79AE"/>
    <w:rsid w:val="005B1731"/>
    <w:rsid w:val="005B1B6F"/>
    <w:rsid w:val="005B1FD1"/>
    <w:rsid w:val="005B2054"/>
    <w:rsid w:val="005B2607"/>
    <w:rsid w:val="005B26FD"/>
    <w:rsid w:val="005B40A1"/>
    <w:rsid w:val="005B429E"/>
    <w:rsid w:val="005B44D0"/>
    <w:rsid w:val="005B4C41"/>
    <w:rsid w:val="005B4CD8"/>
    <w:rsid w:val="005B5179"/>
    <w:rsid w:val="005B5B11"/>
    <w:rsid w:val="005B60BD"/>
    <w:rsid w:val="005B626C"/>
    <w:rsid w:val="005B6837"/>
    <w:rsid w:val="005B68F2"/>
    <w:rsid w:val="005B74F6"/>
    <w:rsid w:val="005B75BF"/>
    <w:rsid w:val="005B78D4"/>
    <w:rsid w:val="005B7BAD"/>
    <w:rsid w:val="005B7BE6"/>
    <w:rsid w:val="005C0607"/>
    <w:rsid w:val="005C0A76"/>
    <w:rsid w:val="005C0F51"/>
    <w:rsid w:val="005C0F98"/>
    <w:rsid w:val="005C11E6"/>
    <w:rsid w:val="005C1F3B"/>
    <w:rsid w:val="005C208C"/>
    <w:rsid w:val="005C2E67"/>
    <w:rsid w:val="005C2E85"/>
    <w:rsid w:val="005C35ED"/>
    <w:rsid w:val="005C35FA"/>
    <w:rsid w:val="005C3CEA"/>
    <w:rsid w:val="005C482F"/>
    <w:rsid w:val="005C48AC"/>
    <w:rsid w:val="005C4D24"/>
    <w:rsid w:val="005C4DD7"/>
    <w:rsid w:val="005C539A"/>
    <w:rsid w:val="005C549E"/>
    <w:rsid w:val="005C5CAB"/>
    <w:rsid w:val="005C6236"/>
    <w:rsid w:val="005C65F2"/>
    <w:rsid w:val="005C667F"/>
    <w:rsid w:val="005C778A"/>
    <w:rsid w:val="005C794A"/>
    <w:rsid w:val="005C7B1F"/>
    <w:rsid w:val="005D03CD"/>
    <w:rsid w:val="005D074C"/>
    <w:rsid w:val="005D0923"/>
    <w:rsid w:val="005D1034"/>
    <w:rsid w:val="005D12BF"/>
    <w:rsid w:val="005D130B"/>
    <w:rsid w:val="005D14E9"/>
    <w:rsid w:val="005D1B75"/>
    <w:rsid w:val="005D1C71"/>
    <w:rsid w:val="005D21A6"/>
    <w:rsid w:val="005D29D5"/>
    <w:rsid w:val="005D2A36"/>
    <w:rsid w:val="005D3E97"/>
    <w:rsid w:val="005D4095"/>
    <w:rsid w:val="005D4641"/>
    <w:rsid w:val="005D49FF"/>
    <w:rsid w:val="005D4D0A"/>
    <w:rsid w:val="005D5695"/>
    <w:rsid w:val="005D5F69"/>
    <w:rsid w:val="005D63D6"/>
    <w:rsid w:val="005D7ED3"/>
    <w:rsid w:val="005E0862"/>
    <w:rsid w:val="005E1375"/>
    <w:rsid w:val="005E147F"/>
    <w:rsid w:val="005E1CEB"/>
    <w:rsid w:val="005E218F"/>
    <w:rsid w:val="005E2A30"/>
    <w:rsid w:val="005E2FF1"/>
    <w:rsid w:val="005E3850"/>
    <w:rsid w:val="005E3DEF"/>
    <w:rsid w:val="005E421F"/>
    <w:rsid w:val="005E4507"/>
    <w:rsid w:val="005E4E97"/>
    <w:rsid w:val="005E5C65"/>
    <w:rsid w:val="005E5DFA"/>
    <w:rsid w:val="005E682E"/>
    <w:rsid w:val="005E6F86"/>
    <w:rsid w:val="005E7479"/>
    <w:rsid w:val="005E7892"/>
    <w:rsid w:val="005E7AE2"/>
    <w:rsid w:val="005F0245"/>
    <w:rsid w:val="005F0652"/>
    <w:rsid w:val="005F07BE"/>
    <w:rsid w:val="005F1146"/>
    <w:rsid w:val="005F3CEA"/>
    <w:rsid w:val="005F42D4"/>
    <w:rsid w:val="005F4A97"/>
    <w:rsid w:val="005F4E85"/>
    <w:rsid w:val="005F546F"/>
    <w:rsid w:val="005F5479"/>
    <w:rsid w:val="005F5B32"/>
    <w:rsid w:val="005F5CD6"/>
    <w:rsid w:val="005F6568"/>
    <w:rsid w:val="005F66DC"/>
    <w:rsid w:val="005F6D4B"/>
    <w:rsid w:val="005F731B"/>
    <w:rsid w:val="005F7D47"/>
    <w:rsid w:val="005F7E3B"/>
    <w:rsid w:val="005F7E8D"/>
    <w:rsid w:val="0060009D"/>
    <w:rsid w:val="006002D9"/>
    <w:rsid w:val="0060130C"/>
    <w:rsid w:val="006013FB"/>
    <w:rsid w:val="00601F1A"/>
    <w:rsid w:val="00602070"/>
    <w:rsid w:val="00602746"/>
    <w:rsid w:val="0060294C"/>
    <w:rsid w:val="00603073"/>
    <w:rsid w:val="00603128"/>
    <w:rsid w:val="006036E2"/>
    <w:rsid w:val="006037C5"/>
    <w:rsid w:val="00604154"/>
    <w:rsid w:val="006041D5"/>
    <w:rsid w:val="00604F65"/>
    <w:rsid w:val="00604F87"/>
    <w:rsid w:val="006052B9"/>
    <w:rsid w:val="00605607"/>
    <w:rsid w:val="00605E4D"/>
    <w:rsid w:val="00606050"/>
    <w:rsid w:val="00606458"/>
    <w:rsid w:val="00606CC5"/>
    <w:rsid w:val="00607141"/>
    <w:rsid w:val="00607B23"/>
    <w:rsid w:val="00611189"/>
    <w:rsid w:val="006125C5"/>
    <w:rsid w:val="006126C4"/>
    <w:rsid w:val="0061278B"/>
    <w:rsid w:val="00612EA9"/>
    <w:rsid w:val="006136B7"/>
    <w:rsid w:val="006144BB"/>
    <w:rsid w:val="00614943"/>
    <w:rsid w:val="00616900"/>
    <w:rsid w:val="00616ACC"/>
    <w:rsid w:val="00616B2A"/>
    <w:rsid w:val="00616B3B"/>
    <w:rsid w:val="0061744E"/>
    <w:rsid w:val="0061780F"/>
    <w:rsid w:val="0061799E"/>
    <w:rsid w:val="00617BBF"/>
    <w:rsid w:val="00617CDA"/>
    <w:rsid w:val="006204D9"/>
    <w:rsid w:val="006205AD"/>
    <w:rsid w:val="00621934"/>
    <w:rsid w:val="00622007"/>
    <w:rsid w:val="00622295"/>
    <w:rsid w:val="006223E7"/>
    <w:rsid w:val="00622B34"/>
    <w:rsid w:val="00623836"/>
    <w:rsid w:val="00623D94"/>
    <w:rsid w:val="00623F1D"/>
    <w:rsid w:val="0062463B"/>
    <w:rsid w:val="00624B58"/>
    <w:rsid w:val="00624D93"/>
    <w:rsid w:val="00624E2A"/>
    <w:rsid w:val="006251EF"/>
    <w:rsid w:val="006254B1"/>
    <w:rsid w:val="00630007"/>
    <w:rsid w:val="006305AE"/>
    <w:rsid w:val="00630940"/>
    <w:rsid w:val="00630B6A"/>
    <w:rsid w:val="00630DDC"/>
    <w:rsid w:val="006312F7"/>
    <w:rsid w:val="006320CB"/>
    <w:rsid w:val="0063262B"/>
    <w:rsid w:val="00632656"/>
    <w:rsid w:val="00632F67"/>
    <w:rsid w:val="00633FD3"/>
    <w:rsid w:val="00634285"/>
    <w:rsid w:val="006345ED"/>
    <w:rsid w:val="006345EE"/>
    <w:rsid w:val="00635971"/>
    <w:rsid w:val="00640005"/>
    <w:rsid w:val="006403E0"/>
    <w:rsid w:val="0064043A"/>
    <w:rsid w:val="0064099A"/>
    <w:rsid w:val="00641627"/>
    <w:rsid w:val="00641758"/>
    <w:rsid w:val="00641DF1"/>
    <w:rsid w:val="00641F32"/>
    <w:rsid w:val="00642B83"/>
    <w:rsid w:val="0064341D"/>
    <w:rsid w:val="00643C4B"/>
    <w:rsid w:val="00645164"/>
    <w:rsid w:val="006451C3"/>
    <w:rsid w:val="0064691C"/>
    <w:rsid w:val="006469A2"/>
    <w:rsid w:val="00646AB8"/>
    <w:rsid w:val="00646D0D"/>
    <w:rsid w:val="006471F9"/>
    <w:rsid w:val="006475BE"/>
    <w:rsid w:val="0064768C"/>
    <w:rsid w:val="0064782E"/>
    <w:rsid w:val="006507E9"/>
    <w:rsid w:val="00650822"/>
    <w:rsid w:val="006508E9"/>
    <w:rsid w:val="00650A98"/>
    <w:rsid w:val="00651614"/>
    <w:rsid w:val="00652145"/>
    <w:rsid w:val="00652863"/>
    <w:rsid w:val="0065290E"/>
    <w:rsid w:val="00652921"/>
    <w:rsid w:val="00653C4B"/>
    <w:rsid w:val="00653D6D"/>
    <w:rsid w:val="00654978"/>
    <w:rsid w:val="00655EA5"/>
    <w:rsid w:val="006560A2"/>
    <w:rsid w:val="00656401"/>
    <w:rsid w:val="00656989"/>
    <w:rsid w:val="006572C7"/>
    <w:rsid w:val="00657499"/>
    <w:rsid w:val="006578FA"/>
    <w:rsid w:val="0066025F"/>
    <w:rsid w:val="0066047B"/>
    <w:rsid w:val="00660BD7"/>
    <w:rsid w:val="00660E13"/>
    <w:rsid w:val="0066141F"/>
    <w:rsid w:val="00661B9D"/>
    <w:rsid w:val="0066243B"/>
    <w:rsid w:val="00662520"/>
    <w:rsid w:val="00662E8A"/>
    <w:rsid w:val="00663136"/>
    <w:rsid w:val="00663BB8"/>
    <w:rsid w:val="0066419D"/>
    <w:rsid w:val="0066434A"/>
    <w:rsid w:val="00664610"/>
    <w:rsid w:val="00664DBC"/>
    <w:rsid w:val="006655C3"/>
    <w:rsid w:val="00665B45"/>
    <w:rsid w:val="006661AE"/>
    <w:rsid w:val="006661E7"/>
    <w:rsid w:val="0066711D"/>
    <w:rsid w:val="0066735E"/>
    <w:rsid w:val="006674AF"/>
    <w:rsid w:val="00667690"/>
    <w:rsid w:val="00667861"/>
    <w:rsid w:val="00667980"/>
    <w:rsid w:val="00667EF3"/>
    <w:rsid w:val="00667FEE"/>
    <w:rsid w:val="006701A1"/>
    <w:rsid w:val="006707CC"/>
    <w:rsid w:val="00670E7B"/>
    <w:rsid w:val="00670ECD"/>
    <w:rsid w:val="00671D6C"/>
    <w:rsid w:val="00671E51"/>
    <w:rsid w:val="0067398D"/>
    <w:rsid w:val="00673BC8"/>
    <w:rsid w:val="00673BEE"/>
    <w:rsid w:val="006740EF"/>
    <w:rsid w:val="006746D0"/>
    <w:rsid w:val="00675115"/>
    <w:rsid w:val="006757FE"/>
    <w:rsid w:val="00675FA0"/>
    <w:rsid w:val="00676A77"/>
    <w:rsid w:val="00677B79"/>
    <w:rsid w:val="00677FAC"/>
    <w:rsid w:val="006801FA"/>
    <w:rsid w:val="00680580"/>
    <w:rsid w:val="00680B1F"/>
    <w:rsid w:val="00680E20"/>
    <w:rsid w:val="0068129F"/>
    <w:rsid w:val="00681688"/>
    <w:rsid w:val="00681A87"/>
    <w:rsid w:val="00681D97"/>
    <w:rsid w:val="00681F24"/>
    <w:rsid w:val="006826D6"/>
    <w:rsid w:val="00682E85"/>
    <w:rsid w:val="00682F49"/>
    <w:rsid w:val="006838FF"/>
    <w:rsid w:val="00683A6F"/>
    <w:rsid w:val="00683AED"/>
    <w:rsid w:val="006840C7"/>
    <w:rsid w:val="0068441B"/>
    <w:rsid w:val="0068476F"/>
    <w:rsid w:val="00684771"/>
    <w:rsid w:val="00684C89"/>
    <w:rsid w:val="00685028"/>
    <w:rsid w:val="0068553C"/>
    <w:rsid w:val="00686E4A"/>
    <w:rsid w:val="00686F72"/>
    <w:rsid w:val="0068744E"/>
    <w:rsid w:val="00687644"/>
    <w:rsid w:val="00687A58"/>
    <w:rsid w:val="00687A88"/>
    <w:rsid w:val="00687B8D"/>
    <w:rsid w:val="00687CF6"/>
    <w:rsid w:val="00687D00"/>
    <w:rsid w:val="006900BA"/>
    <w:rsid w:val="0069098B"/>
    <w:rsid w:val="006914F0"/>
    <w:rsid w:val="006930F8"/>
    <w:rsid w:val="00693912"/>
    <w:rsid w:val="00693BDB"/>
    <w:rsid w:val="006940D3"/>
    <w:rsid w:val="006940F0"/>
    <w:rsid w:val="00694113"/>
    <w:rsid w:val="006949CD"/>
    <w:rsid w:val="00694BA0"/>
    <w:rsid w:val="00695222"/>
    <w:rsid w:val="00695C9D"/>
    <w:rsid w:val="006966DF"/>
    <w:rsid w:val="006A0747"/>
    <w:rsid w:val="006A18E6"/>
    <w:rsid w:val="006A1DBF"/>
    <w:rsid w:val="006A29F8"/>
    <w:rsid w:val="006A427A"/>
    <w:rsid w:val="006A4C49"/>
    <w:rsid w:val="006A55B0"/>
    <w:rsid w:val="006A6C1F"/>
    <w:rsid w:val="006A7279"/>
    <w:rsid w:val="006A77AB"/>
    <w:rsid w:val="006A7D09"/>
    <w:rsid w:val="006B0723"/>
    <w:rsid w:val="006B0794"/>
    <w:rsid w:val="006B14B4"/>
    <w:rsid w:val="006B1692"/>
    <w:rsid w:val="006B2437"/>
    <w:rsid w:val="006B25B8"/>
    <w:rsid w:val="006B3E1A"/>
    <w:rsid w:val="006B3F37"/>
    <w:rsid w:val="006B51B9"/>
    <w:rsid w:val="006B75B6"/>
    <w:rsid w:val="006B7772"/>
    <w:rsid w:val="006B7896"/>
    <w:rsid w:val="006C0484"/>
    <w:rsid w:val="006C05A9"/>
    <w:rsid w:val="006C067B"/>
    <w:rsid w:val="006C179E"/>
    <w:rsid w:val="006C1850"/>
    <w:rsid w:val="006C231A"/>
    <w:rsid w:val="006C2352"/>
    <w:rsid w:val="006C367E"/>
    <w:rsid w:val="006C3AB5"/>
    <w:rsid w:val="006C541F"/>
    <w:rsid w:val="006C562C"/>
    <w:rsid w:val="006C5A85"/>
    <w:rsid w:val="006C61A8"/>
    <w:rsid w:val="006C65A0"/>
    <w:rsid w:val="006C6E11"/>
    <w:rsid w:val="006C6E7A"/>
    <w:rsid w:val="006C70B8"/>
    <w:rsid w:val="006C7607"/>
    <w:rsid w:val="006C76C7"/>
    <w:rsid w:val="006C7EC3"/>
    <w:rsid w:val="006D0598"/>
    <w:rsid w:val="006D0793"/>
    <w:rsid w:val="006D0851"/>
    <w:rsid w:val="006D0C71"/>
    <w:rsid w:val="006D0F97"/>
    <w:rsid w:val="006D348B"/>
    <w:rsid w:val="006D3522"/>
    <w:rsid w:val="006D3530"/>
    <w:rsid w:val="006D3751"/>
    <w:rsid w:val="006D4415"/>
    <w:rsid w:val="006D4716"/>
    <w:rsid w:val="006D47F4"/>
    <w:rsid w:val="006D5683"/>
    <w:rsid w:val="006D5B1D"/>
    <w:rsid w:val="006D60C9"/>
    <w:rsid w:val="006D68DC"/>
    <w:rsid w:val="006D743E"/>
    <w:rsid w:val="006D7B59"/>
    <w:rsid w:val="006D7EAC"/>
    <w:rsid w:val="006E0011"/>
    <w:rsid w:val="006E035A"/>
    <w:rsid w:val="006E0F39"/>
    <w:rsid w:val="006E16B5"/>
    <w:rsid w:val="006E17E8"/>
    <w:rsid w:val="006E1A47"/>
    <w:rsid w:val="006E1F0F"/>
    <w:rsid w:val="006E2EA6"/>
    <w:rsid w:val="006E2F04"/>
    <w:rsid w:val="006E462D"/>
    <w:rsid w:val="006E4782"/>
    <w:rsid w:val="006E530D"/>
    <w:rsid w:val="006E566E"/>
    <w:rsid w:val="006E6469"/>
    <w:rsid w:val="006E6D01"/>
    <w:rsid w:val="006E6FDA"/>
    <w:rsid w:val="006E737E"/>
    <w:rsid w:val="006E74B2"/>
    <w:rsid w:val="006E7CBD"/>
    <w:rsid w:val="006F003B"/>
    <w:rsid w:val="006F179A"/>
    <w:rsid w:val="006F27E3"/>
    <w:rsid w:val="006F28FB"/>
    <w:rsid w:val="006F316D"/>
    <w:rsid w:val="006F39CD"/>
    <w:rsid w:val="006F3DAA"/>
    <w:rsid w:val="006F7DDF"/>
    <w:rsid w:val="00700123"/>
    <w:rsid w:val="007004A0"/>
    <w:rsid w:val="00700E90"/>
    <w:rsid w:val="0070109F"/>
    <w:rsid w:val="00701447"/>
    <w:rsid w:val="007016D3"/>
    <w:rsid w:val="00701979"/>
    <w:rsid w:val="00701F65"/>
    <w:rsid w:val="007021DE"/>
    <w:rsid w:val="007023A5"/>
    <w:rsid w:val="00702F78"/>
    <w:rsid w:val="00702F7F"/>
    <w:rsid w:val="0070322B"/>
    <w:rsid w:val="00703C9A"/>
    <w:rsid w:val="00703E2E"/>
    <w:rsid w:val="00703FAC"/>
    <w:rsid w:val="00704A0E"/>
    <w:rsid w:val="00705495"/>
    <w:rsid w:val="007055DE"/>
    <w:rsid w:val="007056E8"/>
    <w:rsid w:val="007058C0"/>
    <w:rsid w:val="00705BC6"/>
    <w:rsid w:val="0070698D"/>
    <w:rsid w:val="00706F45"/>
    <w:rsid w:val="00706FCE"/>
    <w:rsid w:val="00707316"/>
    <w:rsid w:val="00707892"/>
    <w:rsid w:val="007104DD"/>
    <w:rsid w:val="00710869"/>
    <w:rsid w:val="00711196"/>
    <w:rsid w:val="0071172F"/>
    <w:rsid w:val="00711B3F"/>
    <w:rsid w:val="007121B4"/>
    <w:rsid w:val="00712886"/>
    <w:rsid w:val="00714306"/>
    <w:rsid w:val="00714C50"/>
    <w:rsid w:val="007150D4"/>
    <w:rsid w:val="00715DE1"/>
    <w:rsid w:val="00717B75"/>
    <w:rsid w:val="00717ECB"/>
    <w:rsid w:val="00717FE8"/>
    <w:rsid w:val="007203E3"/>
    <w:rsid w:val="00720A06"/>
    <w:rsid w:val="00720C72"/>
    <w:rsid w:val="007213E4"/>
    <w:rsid w:val="0072163E"/>
    <w:rsid w:val="007217AF"/>
    <w:rsid w:val="007223EB"/>
    <w:rsid w:val="00723ABC"/>
    <w:rsid w:val="00723F70"/>
    <w:rsid w:val="0072430C"/>
    <w:rsid w:val="0072437A"/>
    <w:rsid w:val="00724531"/>
    <w:rsid w:val="0072578A"/>
    <w:rsid w:val="0072662E"/>
    <w:rsid w:val="00730355"/>
    <w:rsid w:val="00730A23"/>
    <w:rsid w:val="00730CB1"/>
    <w:rsid w:val="0073147D"/>
    <w:rsid w:val="0073158E"/>
    <w:rsid w:val="0073172A"/>
    <w:rsid w:val="00732773"/>
    <w:rsid w:val="00732EBC"/>
    <w:rsid w:val="00733672"/>
    <w:rsid w:val="0073379C"/>
    <w:rsid w:val="00733FFC"/>
    <w:rsid w:val="0073414D"/>
    <w:rsid w:val="00734289"/>
    <w:rsid w:val="007345C7"/>
    <w:rsid w:val="00735263"/>
    <w:rsid w:val="00735626"/>
    <w:rsid w:val="00735AA3"/>
    <w:rsid w:val="00735AB7"/>
    <w:rsid w:val="00735C2D"/>
    <w:rsid w:val="0073604D"/>
    <w:rsid w:val="007363B4"/>
    <w:rsid w:val="00736733"/>
    <w:rsid w:val="00736761"/>
    <w:rsid w:val="00736B6F"/>
    <w:rsid w:val="007371A6"/>
    <w:rsid w:val="00737264"/>
    <w:rsid w:val="00737BA6"/>
    <w:rsid w:val="007409B2"/>
    <w:rsid w:val="00741510"/>
    <w:rsid w:val="00742156"/>
    <w:rsid w:val="00743ADC"/>
    <w:rsid w:val="007443A1"/>
    <w:rsid w:val="00744416"/>
    <w:rsid w:val="00744493"/>
    <w:rsid w:val="00744534"/>
    <w:rsid w:val="0074455E"/>
    <w:rsid w:val="00744C97"/>
    <w:rsid w:val="007462EC"/>
    <w:rsid w:val="00746589"/>
    <w:rsid w:val="0074663B"/>
    <w:rsid w:val="00746766"/>
    <w:rsid w:val="00746DF1"/>
    <w:rsid w:val="00747577"/>
    <w:rsid w:val="0074789C"/>
    <w:rsid w:val="00747A16"/>
    <w:rsid w:val="00750613"/>
    <w:rsid w:val="0075090A"/>
    <w:rsid w:val="00750B94"/>
    <w:rsid w:val="00751195"/>
    <w:rsid w:val="007518EA"/>
    <w:rsid w:val="007522AF"/>
    <w:rsid w:val="00753347"/>
    <w:rsid w:val="007533C9"/>
    <w:rsid w:val="007539CB"/>
    <w:rsid w:val="007544A9"/>
    <w:rsid w:val="0075471A"/>
    <w:rsid w:val="00755D9A"/>
    <w:rsid w:val="00756B31"/>
    <w:rsid w:val="00756D76"/>
    <w:rsid w:val="00756E62"/>
    <w:rsid w:val="007572BA"/>
    <w:rsid w:val="00757425"/>
    <w:rsid w:val="007576A8"/>
    <w:rsid w:val="007603B7"/>
    <w:rsid w:val="00760428"/>
    <w:rsid w:val="00760C90"/>
    <w:rsid w:val="00761442"/>
    <w:rsid w:val="00761AC8"/>
    <w:rsid w:val="00761E92"/>
    <w:rsid w:val="0076206F"/>
    <w:rsid w:val="00762CF0"/>
    <w:rsid w:val="00762F5B"/>
    <w:rsid w:val="007632E0"/>
    <w:rsid w:val="00764453"/>
    <w:rsid w:val="00764801"/>
    <w:rsid w:val="00764891"/>
    <w:rsid w:val="00764C4A"/>
    <w:rsid w:val="0076515D"/>
    <w:rsid w:val="007655FA"/>
    <w:rsid w:val="007658E5"/>
    <w:rsid w:val="00765AA7"/>
    <w:rsid w:val="007662DE"/>
    <w:rsid w:val="00766779"/>
    <w:rsid w:val="007679EB"/>
    <w:rsid w:val="00770D94"/>
    <w:rsid w:val="00771631"/>
    <w:rsid w:val="0077193B"/>
    <w:rsid w:val="00771F9B"/>
    <w:rsid w:val="0077261D"/>
    <w:rsid w:val="0077271B"/>
    <w:rsid w:val="00772ADE"/>
    <w:rsid w:val="007735A5"/>
    <w:rsid w:val="007752E2"/>
    <w:rsid w:val="007759FE"/>
    <w:rsid w:val="007762CD"/>
    <w:rsid w:val="0077710D"/>
    <w:rsid w:val="00777290"/>
    <w:rsid w:val="007777C3"/>
    <w:rsid w:val="00780273"/>
    <w:rsid w:val="00780956"/>
    <w:rsid w:val="007820F6"/>
    <w:rsid w:val="0078233F"/>
    <w:rsid w:val="00782D8F"/>
    <w:rsid w:val="00782F00"/>
    <w:rsid w:val="00782FC5"/>
    <w:rsid w:val="007834E3"/>
    <w:rsid w:val="0078357E"/>
    <w:rsid w:val="0078385A"/>
    <w:rsid w:val="007839E7"/>
    <w:rsid w:val="00783F2E"/>
    <w:rsid w:val="007841FF"/>
    <w:rsid w:val="00785009"/>
    <w:rsid w:val="00785E26"/>
    <w:rsid w:val="00785EFF"/>
    <w:rsid w:val="007865FC"/>
    <w:rsid w:val="00786824"/>
    <w:rsid w:val="00786C48"/>
    <w:rsid w:val="0078724C"/>
    <w:rsid w:val="007872AD"/>
    <w:rsid w:val="00787C9D"/>
    <w:rsid w:val="00790107"/>
    <w:rsid w:val="007906CA"/>
    <w:rsid w:val="00791503"/>
    <w:rsid w:val="00791C71"/>
    <w:rsid w:val="007934D4"/>
    <w:rsid w:val="00793789"/>
    <w:rsid w:val="007939BD"/>
    <w:rsid w:val="00793C16"/>
    <w:rsid w:val="00793FBD"/>
    <w:rsid w:val="00795610"/>
    <w:rsid w:val="00795792"/>
    <w:rsid w:val="007959B0"/>
    <w:rsid w:val="0079630D"/>
    <w:rsid w:val="00796AC3"/>
    <w:rsid w:val="00796C5E"/>
    <w:rsid w:val="0079775B"/>
    <w:rsid w:val="00797D70"/>
    <w:rsid w:val="007A0692"/>
    <w:rsid w:val="007A0A3F"/>
    <w:rsid w:val="007A0B62"/>
    <w:rsid w:val="007A11B0"/>
    <w:rsid w:val="007A1236"/>
    <w:rsid w:val="007A1D32"/>
    <w:rsid w:val="007A1EE7"/>
    <w:rsid w:val="007A21A0"/>
    <w:rsid w:val="007A2955"/>
    <w:rsid w:val="007A2A69"/>
    <w:rsid w:val="007A2A6F"/>
    <w:rsid w:val="007A2D6D"/>
    <w:rsid w:val="007A32ED"/>
    <w:rsid w:val="007A39D3"/>
    <w:rsid w:val="007A3BDD"/>
    <w:rsid w:val="007A3E4D"/>
    <w:rsid w:val="007A40B3"/>
    <w:rsid w:val="007A4506"/>
    <w:rsid w:val="007A4EA2"/>
    <w:rsid w:val="007A57AE"/>
    <w:rsid w:val="007A6E20"/>
    <w:rsid w:val="007A737B"/>
    <w:rsid w:val="007A73DA"/>
    <w:rsid w:val="007A74B2"/>
    <w:rsid w:val="007A7922"/>
    <w:rsid w:val="007B07C4"/>
    <w:rsid w:val="007B0B94"/>
    <w:rsid w:val="007B11EC"/>
    <w:rsid w:val="007B1798"/>
    <w:rsid w:val="007B1956"/>
    <w:rsid w:val="007B1F57"/>
    <w:rsid w:val="007B4597"/>
    <w:rsid w:val="007B47A0"/>
    <w:rsid w:val="007B4B28"/>
    <w:rsid w:val="007B4B84"/>
    <w:rsid w:val="007B5174"/>
    <w:rsid w:val="007B5336"/>
    <w:rsid w:val="007B55C5"/>
    <w:rsid w:val="007B57D2"/>
    <w:rsid w:val="007B5E43"/>
    <w:rsid w:val="007B6AE4"/>
    <w:rsid w:val="007B70FB"/>
    <w:rsid w:val="007B74DB"/>
    <w:rsid w:val="007C02CB"/>
    <w:rsid w:val="007C0482"/>
    <w:rsid w:val="007C123C"/>
    <w:rsid w:val="007C1DC9"/>
    <w:rsid w:val="007C1FC0"/>
    <w:rsid w:val="007C20FE"/>
    <w:rsid w:val="007C212C"/>
    <w:rsid w:val="007C2678"/>
    <w:rsid w:val="007C2F6E"/>
    <w:rsid w:val="007C3435"/>
    <w:rsid w:val="007C376A"/>
    <w:rsid w:val="007C39D4"/>
    <w:rsid w:val="007C3E04"/>
    <w:rsid w:val="007C4936"/>
    <w:rsid w:val="007C4A77"/>
    <w:rsid w:val="007C522D"/>
    <w:rsid w:val="007C5477"/>
    <w:rsid w:val="007C55BE"/>
    <w:rsid w:val="007C5AB5"/>
    <w:rsid w:val="007C5CCF"/>
    <w:rsid w:val="007C6869"/>
    <w:rsid w:val="007C766F"/>
    <w:rsid w:val="007C7942"/>
    <w:rsid w:val="007C7AD6"/>
    <w:rsid w:val="007C7C59"/>
    <w:rsid w:val="007C7DC7"/>
    <w:rsid w:val="007D0BB9"/>
    <w:rsid w:val="007D2593"/>
    <w:rsid w:val="007D2A26"/>
    <w:rsid w:val="007D40F5"/>
    <w:rsid w:val="007D4419"/>
    <w:rsid w:val="007D46D8"/>
    <w:rsid w:val="007D4892"/>
    <w:rsid w:val="007D48E9"/>
    <w:rsid w:val="007D53CB"/>
    <w:rsid w:val="007D564C"/>
    <w:rsid w:val="007D5857"/>
    <w:rsid w:val="007D6380"/>
    <w:rsid w:val="007D6F86"/>
    <w:rsid w:val="007D72EB"/>
    <w:rsid w:val="007D7CD6"/>
    <w:rsid w:val="007D7E01"/>
    <w:rsid w:val="007E06FB"/>
    <w:rsid w:val="007E0C3A"/>
    <w:rsid w:val="007E0F8F"/>
    <w:rsid w:val="007E2DD6"/>
    <w:rsid w:val="007E317C"/>
    <w:rsid w:val="007E3E82"/>
    <w:rsid w:val="007E44F9"/>
    <w:rsid w:val="007E46B8"/>
    <w:rsid w:val="007E5E79"/>
    <w:rsid w:val="007E5ED9"/>
    <w:rsid w:val="007E5EDC"/>
    <w:rsid w:val="007E5F31"/>
    <w:rsid w:val="007E6646"/>
    <w:rsid w:val="007E6C51"/>
    <w:rsid w:val="007E7232"/>
    <w:rsid w:val="007E72AB"/>
    <w:rsid w:val="007E7A42"/>
    <w:rsid w:val="007F0378"/>
    <w:rsid w:val="007F0684"/>
    <w:rsid w:val="007F06B6"/>
    <w:rsid w:val="007F06E8"/>
    <w:rsid w:val="007F08B2"/>
    <w:rsid w:val="007F0AF8"/>
    <w:rsid w:val="007F219A"/>
    <w:rsid w:val="007F226D"/>
    <w:rsid w:val="007F2450"/>
    <w:rsid w:val="007F2841"/>
    <w:rsid w:val="007F2A83"/>
    <w:rsid w:val="007F3A6F"/>
    <w:rsid w:val="007F3F16"/>
    <w:rsid w:val="007F4981"/>
    <w:rsid w:val="007F5C57"/>
    <w:rsid w:val="007F65DB"/>
    <w:rsid w:val="007F6761"/>
    <w:rsid w:val="007F6BC4"/>
    <w:rsid w:val="007F70D4"/>
    <w:rsid w:val="007F76B6"/>
    <w:rsid w:val="0080009A"/>
    <w:rsid w:val="00800120"/>
    <w:rsid w:val="0080073F"/>
    <w:rsid w:val="008009AF"/>
    <w:rsid w:val="0080123D"/>
    <w:rsid w:val="00801CB1"/>
    <w:rsid w:val="00802AA7"/>
    <w:rsid w:val="00802B6F"/>
    <w:rsid w:val="00802BED"/>
    <w:rsid w:val="00803ACE"/>
    <w:rsid w:val="00805B99"/>
    <w:rsid w:val="0080611F"/>
    <w:rsid w:val="008064DA"/>
    <w:rsid w:val="00806E9B"/>
    <w:rsid w:val="00807090"/>
    <w:rsid w:val="008071F1"/>
    <w:rsid w:val="00807926"/>
    <w:rsid w:val="00807A15"/>
    <w:rsid w:val="00807AB5"/>
    <w:rsid w:val="008100A2"/>
    <w:rsid w:val="008107F5"/>
    <w:rsid w:val="00810E30"/>
    <w:rsid w:val="00810ED7"/>
    <w:rsid w:val="00811993"/>
    <w:rsid w:val="008136E9"/>
    <w:rsid w:val="00813AEB"/>
    <w:rsid w:val="00813FF1"/>
    <w:rsid w:val="00814A43"/>
    <w:rsid w:val="00814CAD"/>
    <w:rsid w:val="00814F7D"/>
    <w:rsid w:val="00815CC8"/>
    <w:rsid w:val="00816377"/>
    <w:rsid w:val="008167F3"/>
    <w:rsid w:val="00817D96"/>
    <w:rsid w:val="00817F9A"/>
    <w:rsid w:val="008227FA"/>
    <w:rsid w:val="008229A2"/>
    <w:rsid w:val="00823049"/>
    <w:rsid w:val="0082443D"/>
    <w:rsid w:val="00824678"/>
    <w:rsid w:val="00824A9E"/>
    <w:rsid w:val="00824AA5"/>
    <w:rsid w:val="00825852"/>
    <w:rsid w:val="00825EA0"/>
    <w:rsid w:val="00825F58"/>
    <w:rsid w:val="00826756"/>
    <w:rsid w:val="008268CF"/>
    <w:rsid w:val="008270EE"/>
    <w:rsid w:val="00827497"/>
    <w:rsid w:val="0083026B"/>
    <w:rsid w:val="00830356"/>
    <w:rsid w:val="00831472"/>
    <w:rsid w:val="008329FF"/>
    <w:rsid w:val="00832ECB"/>
    <w:rsid w:val="00833526"/>
    <w:rsid w:val="008340EC"/>
    <w:rsid w:val="008344B2"/>
    <w:rsid w:val="00834B47"/>
    <w:rsid w:val="00834D0C"/>
    <w:rsid w:val="00835459"/>
    <w:rsid w:val="00836F1A"/>
    <w:rsid w:val="008373A3"/>
    <w:rsid w:val="00837C41"/>
    <w:rsid w:val="00837C92"/>
    <w:rsid w:val="00837F0F"/>
    <w:rsid w:val="008416E5"/>
    <w:rsid w:val="0084210C"/>
    <w:rsid w:val="00842BBA"/>
    <w:rsid w:val="00842CB6"/>
    <w:rsid w:val="00842D41"/>
    <w:rsid w:val="00843029"/>
    <w:rsid w:val="008432FC"/>
    <w:rsid w:val="00843420"/>
    <w:rsid w:val="00843B5D"/>
    <w:rsid w:val="008447D4"/>
    <w:rsid w:val="0084506C"/>
    <w:rsid w:val="008454BD"/>
    <w:rsid w:val="00845BDC"/>
    <w:rsid w:val="008463F3"/>
    <w:rsid w:val="00846D76"/>
    <w:rsid w:val="00847B3C"/>
    <w:rsid w:val="0085005F"/>
    <w:rsid w:val="0085062F"/>
    <w:rsid w:val="008506AC"/>
    <w:rsid w:val="00851059"/>
    <w:rsid w:val="00851307"/>
    <w:rsid w:val="008515B1"/>
    <w:rsid w:val="00852508"/>
    <w:rsid w:val="00852B17"/>
    <w:rsid w:val="00852E5B"/>
    <w:rsid w:val="00852E5E"/>
    <w:rsid w:val="00853677"/>
    <w:rsid w:val="008536B3"/>
    <w:rsid w:val="00853ACD"/>
    <w:rsid w:val="00853ACF"/>
    <w:rsid w:val="00853F1F"/>
    <w:rsid w:val="008544D3"/>
    <w:rsid w:val="008551DC"/>
    <w:rsid w:val="008558A1"/>
    <w:rsid w:val="0085642F"/>
    <w:rsid w:val="008573AF"/>
    <w:rsid w:val="00857645"/>
    <w:rsid w:val="00857D80"/>
    <w:rsid w:val="008602FC"/>
    <w:rsid w:val="0086083C"/>
    <w:rsid w:val="00860989"/>
    <w:rsid w:val="00860CF9"/>
    <w:rsid w:val="00861DDC"/>
    <w:rsid w:val="008622D3"/>
    <w:rsid w:val="0086268A"/>
    <w:rsid w:val="008639A2"/>
    <w:rsid w:val="00863BBB"/>
    <w:rsid w:val="00863D0B"/>
    <w:rsid w:val="008640FD"/>
    <w:rsid w:val="0086426C"/>
    <w:rsid w:val="0086564F"/>
    <w:rsid w:val="00865681"/>
    <w:rsid w:val="00866618"/>
    <w:rsid w:val="008668AB"/>
    <w:rsid w:val="00867985"/>
    <w:rsid w:val="00867B6B"/>
    <w:rsid w:val="00870AFC"/>
    <w:rsid w:val="0087132F"/>
    <w:rsid w:val="008715CC"/>
    <w:rsid w:val="008719F7"/>
    <w:rsid w:val="00872589"/>
    <w:rsid w:val="00872770"/>
    <w:rsid w:val="00873754"/>
    <w:rsid w:val="00873AD5"/>
    <w:rsid w:val="0087455C"/>
    <w:rsid w:val="008751B8"/>
    <w:rsid w:val="008752FC"/>
    <w:rsid w:val="00875FA4"/>
    <w:rsid w:val="008763C8"/>
    <w:rsid w:val="00877D6E"/>
    <w:rsid w:val="00877E35"/>
    <w:rsid w:val="0088014E"/>
    <w:rsid w:val="00880BAB"/>
    <w:rsid w:val="008817FF"/>
    <w:rsid w:val="008819B1"/>
    <w:rsid w:val="00881CC6"/>
    <w:rsid w:val="00881D3A"/>
    <w:rsid w:val="00881D3D"/>
    <w:rsid w:val="00882284"/>
    <w:rsid w:val="0088239C"/>
    <w:rsid w:val="00882745"/>
    <w:rsid w:val="008828F7"/>
    <w:rsid w:val="00882A65"/>
    <w:rsid w:val="00882E58"/>
    <w:rsid w:val="008835B1"/>
    <w:rsid w:val="00883B3F"/>
    <w:rsid w:val="00884CE3"/>
    <w:rsid w:val="008851BE"/>
    <w:rsid w:val="00885538"/>
    <w:rsid w:val="00885691"/>
    <w:rsid w:val="00885777"/>
    <w:rsid w:val="00886188"/>
    <w:rsid w:val="00886AF1"/>
    <w:rsid w:val="00887063"/>
    <w:rsid w:val="00887F1B"/>
    <w:rsid w:val="008900CF"/>
    <w:rsid w:val="00890ADA"/>
    <w:rsid w:val="00891E35"/>
    <w:rsid w:val="008922CF"/>
    <w:rsid w:val="008923D1"/>
    <w:rsid w:val="008925B9"/>
    <w:rsid w:val="008937CB"/>
    <w:rsid w:val="0089427B"/>
    <w:rsid w:val="0089483C"/>
    <w:rsid w:val="00894A6B"/>
    <w:rsid w:val="00894A7F"/>
    <w:rsid w:val="00895815"/>
    <w:rsid w:val="00895E4B"/>
    <w:rsid w:val="00895E5A"/>
    <w:rsid w:val="00896642"/>
    <w:rsid w:val="00896E3B"/>
    <w:rsid w:val="00897502"/>
    <w:rsid w:val="00897855"/>
    <w:rsid w:val="00897E32"/>
    <w:rsid w:val="008A0432"/>
    <w:rsid w:val="008A0E63"/>
    <w:rsid w:val="008A125D"/>
    <w:rsid w:val="008A173F"/>
    <w:rsid w:val="008A1EFD"/>
    <w:rsid w:val="008A2149"/>
    <w:rsid w:val="008A2790"/>
    <w:rsid w:val="008A2C5D"/>
    <w:rsid w:val="008A3C32"/>
    <w:rsid w:val="008A3CB8"/>
    <w:rsid w:val="008A40AB"/>
    <w:rsid w:val="008A414F"/>
    <w:rsid w:val="008A4F57"/>
    <w:rsid w:val="008A52CE"/>
    <w:rsid w:val="008A574C"/>
    <w:rsid w:val="008A6A25"/>
    <w:rsid w:val="008B0BA7"/>
    <w:rsid w:val="008B0D11"/>
    <w:rsid w:val="008B1E06"/>
    <w:rsid w:val="008B20A4"/>
    <w:rsid w:val="008B2A3F"/>
    <w:rsid w:val="008B2F1A"/>
    <w:rsid w:val="008B31AD"/>
    <w:rsid w:val="008B331F"/>
    <w:rsid w:val="008B3A87"/>
    <w:rsid w:val="008B3C1F"/>
    <w:rsid w:val="008B4243"/>
    <w:rsid w:val="008B4953"/>
    <w:rsid w:val="008B4E19"/>
    <w:rsid w:val="008B4F72"/>
    <w:rsid w:val="008B585B"/>
    <w:rsid w:val="008B5F58"/>
    <w:rsid w:val="008B6367"/>
    <w:rsid w:val="008B63AD"/>
    <w:rsid w:val="008B6F61"/>
    <w:rsid w:val="008B7546"/>
    <w:rsid w:val="008B7636"/>
    <w:rsid w:val="008B79D4"/>
    <w:rsid w:val="008C0557"/>
    <w:rsid w:val="008C0771"/>
    <w:rsid w:val="008C0845"/>
    <w:rsid w:val="008C127F"/>
    <w:rsid w:val="008C1715"/>
    <w:rsid w:val="008C1779"/>
    <w:rsid w:val="008C1DC1"/>
    <w:rsid w:val="008C28B3"/>
    <w:rsid w:val="008C2919"/>
    <w:rsid w:val="008C3434"/>
    <w:rsid w:val="008C3591"/>
    <w:rsid w:val="008C3A88"/>
    <w:rsid w:val="008C3AC1"/>
    <w:rsid w:val="008C4EB8"/>
    <w:rsid w:val="008C61B0"/>
    <w:rsid w:val="008C6FD3"/>
    <w:rsid w:val="008C702F"/>
    <w:rsid w:val="008C70EB"/>
    <w:rsid w:val="008C7A27"/>
    <w:rsid w:val="008C7FA7"/>
    <w:rsid w:val="008D03A3"/>
    <w:rsid w:val="008D155D"/>
    <w:rsid w:val="008D15E6"/>
    <w:rsid w:val="008D229E"/>
    <w:rsid w:val="008D24C5"/>
    <w:rsid w:val="008D25A1"/>
    <w:rsid w:val="008D36D2"/>
    <w:rsid w:val="008D3FE4"/>
    <w:rsid w:val="008D415F"/>
    <w:rsid w:val="008D4B1B"/>
    <w:rsid w:val="008D5506"/>
    <w:rsid w:val="008D56FC"/>
    <w:rsid w:val="008D5744"/>
    <w:rsid w:val="008D5DAB"/>
    <w:rsid w:val="008D5FB0"/>
    <w:rsid w:val="008D6641"/>
    <w:rsid w:val="008D6644"/>
    <w:rsid w:val="008D6847"/>
    <w:rsid w:val="008D6968"/>
    <w:rsid w:val="008D6C68"/>
    <w:rsid w:val="008D71F3"/>
    <w:rsid w:val="008D761B"/>
    <w:rsid w:val="008D7AFD"/>
    <w:rsid w:val="008D7E3E"/>
    <w:rsid w:val="008D7EA6"/>
    <w:rsid w:val="008E0029"/>
    <w:rsid w:val="008E01BA"/>
    <w:rsid w:val="008E0219"/>
    <w:rsid w:val="008E08E9"/>
    <w:rsid w:val="008E0DE2"/>
    <w:rsid w:val="008E1A04"/>
    <w:rsid w:val="008E1CA4"/>
    <w:rsid w:val="008E2796"/>
    <w:rsid w:val="008E2BCC"/>
    <w:rsid w:val="008E3B01"/>
    <w:rsid w:val="008E3F5C"/>
    <w:rsid w:val="008E4594"/>
    <w:rsid w:val="008E5A4E"/>
    <w:rsid w:val="008E6D37"/>
    <w:rsid w:val="008E6F6B"/>
    <w:rsid w:val="008E7155"/>
    <w:rsid w:val="008E71FB"/>
    <w:rsid w:val="008E7365"/>
    <w:rsid w:val="008E7B7F"/>
    <w:rsid w:val="008E7E42"/>
    <w:rsid w:val="008E7F33"/>
    <w:rsid w:val="008F0248"/>
    <w:rsid w:val="008F07B8"/>
    <w:rsid w:val="008F0932"/>
    <w:rsid w:val="008F0EF5"/>
    <w:rsid w:val="008F1238"/>
    <w:rsid w:val="008F1B93"/>
    <w:rsid w:val="008F1BA0"/>
    <w:rsid w:val="008F232D"/>
    <w:rsid w:val="008F2435"/>
    <w:rsid w:val="008F257A"/>
    <w:rsid w:val="008F35D9"/>
    <w:rsid w:val="008F3793"/>
    <w:rsid w:val="008F3E4F"/>
    <w:rsid w:val="008F4363"/>
    <w:rsid w:val="008F438C"/>
    <w:rsid w:val="008F465B"/>
    <w:rsid w:val="008F4AA0"/>
    <w:rsid w:val="008F525C"/>
    <w:rsid w:val="008F540C"/>
    <w:rsid w:val="008F57F7"/>
    <w:rsid w:val="008F6060"/>
    <w:rsid w:val="008F6426"/>
    <w:rsid w:val="008F660A"/>
    <w:rsid w:val="008F6B8B"/>
    <w:rsid w:val="008F6EA1"/>
    <w:rsid w:val="008F74F0"/>
    <w:rsid w:val="00900C3B"/>
    <w:rsid w:val="00901038"/>
    <w:rsid w:val="009013A1"/>
    <w:rsid w:val="0090146E"/>
    <w:rsid w:val="00901587"/>
    <w:rsid w:val="00901D9F"/>
    <w:rsid w:val="00901E4D"/>
    <w:rsid w:val="0090218B"/>
    <w:rsid w:val="00902295"/>
    <w:rsid w:val="00902AEA"/>
    <w:rsid w:val="00903424"/>
    <w:rsid w:val="00903553"/>
    <w:rsid w:val="0090368C"/>
    <w:rsid w:val="00904206"/>
    <w:rsid w:val="00904595"/>
    <w:rsid w:val="0090491E"/>
    <w:rsid w:val="009049B3"/>
    <w:rsid w:val="00904D8C"/>
    <w:rsid w:val="00905456"/>
    <w:rsid w:val="009054D6"/>
    <w:rsid w:val="009058F9"/>
    <w:rsid w:val="0090621C"/>
    <w:rsid w:val="00906618"/>
    <w:rsid w:val="00906C4A"/>
    <w:rsid w:val="00910866"/>
    <w:rsid w:val="009110AD"/>
    <w:rsid w:val="009110CA"/>
    <w:rsid w:val="009111CC"/>
    <w:rsid w:val="009114FF"/>
    <w:rsid w:val="00911A79"/>
    <w:rsid w:val="00911D8B"/>
    <w:rsid w:val="00911D95"/>
    <w:rsid w:val="00912180"/>
    <w:rsid w:val="009127CC"/>
    <w:rsid w:val="00914099"/>
    <w:rsid w:val="00914797"/>
    <w:rsid w:val="009158B9"/>
    <w:rsid w:val="00915938"/>
    <w:rsid w:val="00915AFA"/>
    <w:rsid w:val="0091620A"/>
    <w:rsid w:val="00916863"/>
    <w:rsid w:val="00916C2B"/>
    <w:rsid w:val="009171B3"/>
    <w:rsid w:val="00917458"/>
    <w:rsid w:val="00917EF4"/>
    <w:rsid w:val="00920761"/>
    <w:rsid w:val="0092096D"/>
    <w:rsid w:val="00921E56"/>
    <w:rsid w:val="009221ED"/>
    <w:rsid w:val="0092259C"/>
    <w:rsid w:val="00922AB8"/>
    <w:rsid w:val="00923106"/>
    <w:rsid w:val="0092330D"/>
    <w:rsid w:val="00923D98"/>
    <w:rsid w:val="00923FFB"/>
    <w:rsid w:val="00924CAD"/>
    <w:rsid w:val="00926F12"/>
    <w:rsid w:val="00927309"/>
    <w:rsid w:val="00927334"/>
    <w:rsid w:val="009278F2"/>
    <w:rsid w:val="00927DE3"/>
    <w:rsid w:val="00930591"/>
    <w:rsid w:val="00930609"/>
    <w:rsid w:val="00930A59"/>
    <w:rsid w:val="00930B72"/>
    <w:rsid w:val="0093196E"/>
    <w:rsid w:val="00931A58"/>
    <w:rsid w:val="00931B74"/>
    <w:rsid w:val="00932113"/>
    <w:rsid w:val="00932A8D"/>
    <w:rsid w:val="00932AD7"/>
    <w:rsid w:val="00932E71"/>
    <w:rsid w:val="00933C9E"/>
    <w:rsid w:val="00934C06"/>
    <w:rsid w:val="00934FDD"/>
    <w:rsid w:val="009352C5"/>
    <w:rsid w:val="00935534"/>
    <w:rsid w:val="0093562F"/>
    <w:rsid w:val="00935F61"/>
    <w:rsid w:val="009360BB"/>
    <w:rsid w:val="00936B1F"/>
    <w:rsid w:val="009379F0"/>
    <w:rsid w:val="00937A67"/>
    <w:rsid w:val="00941E03"/>
    <w:rsid w:val="00942B2E"/>
    <w:rsid w:val="009431FA"/>
    <w:rsid w:val="00943238"/>
    <w:rsid w:val="00943CFE"/>
    <w:rsid w:val="00943F96"/>
    <w:rsid w:val="00943FA2"/>
    <w:rsid w:val="0094494D"/>
    <w:rsid w:val="00944E59"/>
    <w:rsid w:val="00945401"/>
    <w:rsid w:val="009459F4"/>
    <w:rsid w:val="00945ABE"/>
    <w:rsid w:val="00945E58"/>
    <w:rsid w:val="00946127"/>
    <w:rsid w:val="00946907"/>
    <w:rsid w:val="009508FB"/>
    <w:rsid w:val="00950CAE"/>
    <w:rsid w:val="00951256"/>
    <w:rsid w:val="009512EC"/>
    <w:rsid w:val="009515E2"/>
    <w:rsid w:val="009519A8"/>
    <w:rsid w:val="00951F0B"/>
    <w:rsid w:val="0095315A"/>
    <w:rsid w:val="009534DD"/>
    <w:rsid w:val="009535C2"/>
    <w:rsid w:val="00953A5D"/>
    <w:rsid w:val="00953A73"/>
    <w:rsid w:val="00954D5A"/>
    <w:rsid w:val="009551A8"/>
    <w:rsid w:val="0095597C"/>
    <w:rsid w:val="00956098"/>
    <w:rsid w:val="00956B6C"/>
    <w:rsid w:val="00957210"/>
    <w:rsid w:val="00957B5B"/>
    <w:rsid w:val="009601CB"/>
    <w:rsid w:val="0096059A"/>
    <w:rsid w:val="0096081E"/>
    <w:rsid w:val="00960D39"/>
    <w:rsid w:val="00960F7E"/>
    <w:rsid w:val="009611A5"/>
    <w:rsid w:val="00961742"/>
    <w:rsid w:val="0096193B"/>
    <w:rsid w:val="00961BF0"/>
    <w:rsid w:val="00963188"/>
    <w:rsid w:val="00963240"/>
    <w:rsid w:val="00963B82"/>
    <w:rsid w:val="00964338"/>
    <w:rsid w:val="00964475"/>
    <w:rsid w:val="00964A6E"/>
    <w:rsid w:val="00964FB4"/>
    <w:rsid w:val="0096563E"/>
    <w:rsid w:val="00965A82"/>
    <w:rsid w:val="009663B0"/>
    <w:rsid w:val="009666BD"/>
    <w:rsid w:val="0096670E"/>
    <w:rsid w:val="00966BFB"/>
    <w:rsid w:val="009670AC"/>
    <w:rsid w:val="00967CDA"/>
    <w:rsid w:val="00970048"/>
    <w:rsid w:val="00971831"/>
    <w:rsid w:val="0097216D"/>
    <w:rsid w:val="00972D8F"/>
    <w:rsid w:val="0097363C"/>
    <w:rsid w:val="00973C2B"/>
    <w:rsid w:val="00973CB6"/>
    <w:rsid w:val="0097437B"/>
    <w:rsid w:val="0097441E"/>
    <w:rsid w:val="0097556A"/>
    <w:rsid w:val="00975FB0"/>
    <w:rsid w:val="009762C7"/>
    <w:rsid w:val="009766E7"/>
    <w:rsid w:val="0097670F"/>
    <w:rsid w:val="00976C61"/>
    <w:rsid w:val="0098021F"/>
    <w:rsid w:val="009803EC"/>
    <w:rsid w:val="00980D74"/>
    <w:rsid w:val="00981215"/>
    <w:rsid w:val="009812FC"/>
    <w:rsid w:val="009813BF"/>
    <w:rsid w:val="009819CD"/>
    <w:rsid w:val="00981D8D"/>
    <w:rsid w:val="009829F3"/>
    <w:rsid w:val="00982C0D"/>
    <w:rsid w:val="00983D98"/>
    <w:rsid w:val="009844B4"/>
    <w:rsid w:val="0098453B"/>
    <w:rsid w:val="00984626"/>
    <w:rsid w:val="0098462A"/>
    <w:rsid w:val="00984D82"/>
    <w:rsid w:val="009854EF"/>
    <w:rsid w:val="0098572B"/>
    <w:rsid w:val="009859BF"/>
    <w:rsid w:val="00985CDA"/>
    <w:rsid w:val="0098603A"/>
    <w:rsid w:val="00986137"/>
    <w:rsid w:val="00986B96"/>
    <w:rsid w:val="0098740B"/>
    <w:rsid w:val="00987C6F"/>
    <w:rsid w:val="00987E5E"/>
    <w:rsid w:val="0099018C"/>
    <w:rsid w:val="00990708"/>
    <w:rsid w:val="00990C3D"/>
    <w:rsid w:val="0099199D"/>
    <w:rsid w:val="00991B9A"/>
    <w:rsid w:val="009921CE"/>
    <w:rsid w:val="0099331F"/>
    <w:rsid w:val="00993499"/>
    <w:rsid w:val="009934DB"/>
    <w:rsid w:val="009939CB"/>
    <w:rsid w:val="00993CFF"/>
    <w:rsid w:val="00993D95"/>
    <w:rsid w:val="009948FE"/>
    <w:rsid w:val="00994D09"/>
    <w:rsid w:val="00994EAB"/>
    <w:rsid w:val="00995756"/>
    <w:rsid w:val="00995AE2"/>
    <w:rsid w:val="00996AFE"/>
    <w:rsid w:val="00997125"/>
    <w:rsid w:val="009978F4"/>
    <w:rsid w:val="009A0208"/>
    <w:rsid w:val="009A0B05"/>
    <w:rsid w:val="009A0FE2"/>
    <w:rsid w:val="009A1B80"/>
    <w:rsid w:val="009A21EE"/>
    <w:rsid w:val="009A253B"/>
    <w:rsid w:val="009A2F7C"/>
    <w:rsid w:val="009A3C6E"/>
    <w:rsid w:val="009A472B"/>
    <w:rsid w:val="009A4CC5"/>
    <w:rsid w:val="009A603A"/>
    <w:rsid w:val="009A640C"/>
    <w:rsid w:val="009A657D"/>
    <w:rsid w:val="009A667C"/>
    <w:rsid w:val="009A6A04"/>
    <w:rsid w:val="009A6A34"/>
    <w:rsid w:val="009A7344"/>
    <w:rsid w:val="009A7741"/>
    <w:rsid w:val="009A78A6"/>
    <w:rsid w:val="009B01AE"/>
    <w:rsid w:val="009B04F2"/>
    <w:rsid w:val="009B074F"/>
    <w:rsid w:val="009B0A43"/>
    <w:rsid w:val="009B123D"/>
    <w:rsid w:val="009B1C1B"/>
    <w:rsid w:val="009B1E55"/>
    <w:rsid w:val="009B27FE"/>
    <w:rsid w:val="009B35BF"/>
    <w:rsid w:val="009B4C3E"/>
    <w:rsid w:val="009B4D2F"/>
    <w:rsid w:val="009B5038"/>
    <w:rsid w:val="009B55FE"/>
    <w:rsid w:val="009B56BE"/>
    <w:rsid w:val="009B573C"/>
    <w:rsid w:val="009B6E0F"/>
    <w:rsid w:val="009B708C"/>
    <w:rsid w:val="009B7356"/>
    <w:rsid w:val="009B78AF"/>
    <w:rsid w:val="009B7A8A"/>
    <w:rsid w:val="009C099B"/>
    <w:rsid w:val="009C0B86"/>
    <w:rsid w:val="009C1604"/>
    <w:rsid w:val="009C1ADB"/>
    <w:rsid w:val="009C1DBE"/>
    <w:rsid w:val="009C1F3C"/>
    <w:rsid w:val="009C25AE"/>
    <w:rsid w:val="009C37BF"/>
    <w:rsid w:val="009C398A"/>
    <w:rsid w:val="009C3EAC"/>
    <w:rsid w:val="009C442E"/>
    <w:rsid w:val="009C4676"/>
    <w:rsid w:val="009C4D9E"/>
    <w:rsid w:val="009C52A3"/>
    <w:rsid w:val="009C5FC3"/>
    <w:rsid w:val="009C6046"/>
    <w:rsid w:val="009C60E9"/>
    <w:rsid w:val="009C619B"/>
    <w:rsid w:val="009C6629"/>
    <w:rsid w:val="009C7896"/>
    <w:rsid w:val="009D0530"/>
    <w:rsid w:val="009D0C23"/>
    <w:rsid w:val="009D0CF4"/>
    <w:rsid w:val="009D0D52"/>
    <w:rsid w:val="009D140A"/>
    <w:rsid w:val="009D1460"/>
    <w:rsid w:val="009D1A74"/>
    <w:rsid w:val="009D2398"/>
    <w:rsid w:val="009D23B8"/>
    <w:rsid w:val="009D2988"/>
    <w:rsid w:val="009D2B87"/>
    <w:rsid w:val="009D3160"/>
    <w:rsid w:val="009D39E1"/>
    <w:rsid w:val="009D3D90"/>
    <w:rsid w:val="009D43C4"/>
    <w:rsid w:val="009D4760"/>
    <w:rsid w:val="009D484C"/>
    <w:rsid w:val="009D4C5D"/>
    <w:rsid w:val="009D59CA"/>
    <w:rsid w:val="009D6254"/>
    <w:rsid w:val="009D645F"/>
    <w:rsid w:val="009D6D3F"/>
    <w:rsid w:val="009D7410"/>
    <w:rsid w:val="009D7601"/>
    <w:rsid w:val="009D7622"/>
    <w:rsid w:val="009E05DA"/>
    <w:rsid w:val="009E075E"/>
    <w:rsid w:val="009E1908"/>
    <w:rsid w:val="009E1ECF"/>
    <w:rsid w:val="009E2463"/>
    <w:rsid w:val="009E28F8"/>
    <w:rsid w:val="009E2A45"/>
    <w:rsid w:val="009E2B4C"/>
    <w:rsid w:val="009E2C55"/>
    <w:rsid w:val="009E2E3F"/>
    <w:rsid w:val="009E2FAC"/>
    <w:rsid w:val="009E3197"/>
    <w:rsid w:val="009E329D"/>
    <w:rsid w:val="009E391D"/>
    <w:rsid w:val="009E44A4"/>
    <w:rsid w:val="009E4A34"/>
    <w:rsid w:val="009E4E3B"/>
    <w:rsid w:val="009E4F7F"/>
    <w:rsid w:val="009E53DF"/>
    <w:rsid w:val="009E59F4"/>
    <w:rsid w:val="009E61B0"/>
    <w:rsid w:val="009E63F0"/>
    <w:rsid w:val="009E716C"/>
    <w:rsid w:val="009E7A47"/>
    <w:rsid w:val="009E7BCD"/>
    <w:rsid w:val="009F012F"/>
    <w:rsid w:val="009F05AC"/>
    <w:rsid w:val="009F086C"/>
    <w:rsid w:val="009F142C"/>
    <w:rsid w:val="009F1443"/>
    <w:rsid w:val="009F14F3"/>
    <w:rsid w:val="009F1778"/>
    <w:rsid w:val="009F1EEE"/>
    <w:rsid w:val="009F239C"/>
    <w:rsid w:val="009F282A"/>
    <w:rsid w:val="009F2E88"/>
    <w:rsid w:val="009F37FA"/>
    <w:rsid w:val="009F4825"/>
    <w:rsid w:val="009F49FF"/>
    <w:rsid w:val="009F5CE6"/>
    <w:rsid w:val="009F60E0"/>
    <w:rsid w:val="009F68A3"/>
    <w:rsid w:val="009F6B75"/>
    <w:rsid w:val="009F6C90"/>
    <w:rsid w:val="009F6DD9"/>
    <w:rsid w:val="009F74DB"/>
    <w:rsid w:val="009F77DF"/>
    <w:rsid w:val="009F7813"/>
    <w:rsid w:val="009F783F"/>
    <w:rsid w:val="009F7CB3"/>
    <w:rsid w:val="00A00221"/>
    <w:rsid w:val="00A00271"/>
    <w:rsid w:val="00A00437"/>
    <w:rsid w:val="00A00DDA"/>
    <w:rsid w:val="00A01385"/>
    <w:rsid w:val="00A01B9D"/>
    <w:rsid w:val="00A02C0A"/>
    <w:rsid w:val="00A03652"/>
    <w:rsid w:val="00A03A2A"/>
    <w:rsid w:val="00A03D17"/>
    <w:rsid w:val="00A0480E"/>
    <w:rsid w:val="00A04844"/>
    <w:rsid w:val="00A064E2"/>
    <w:rsid w:val="00A06ED8"/>
    <w:rsid w:val="00A07570"/>
    <w:rsid w:val="00A07B97"/>
    <w:rsid w:val="00A10103"/>
    <w:rsid w:val="00A10707"/>
    <w:rsid w:val="00A11137"/>
    <w:rsid w:val="00A111EA"/>
    <w:rsid w:val="00A11235"/>
    <w:rsid w:val="00A1135E"/>
    <w:rsid w:val="00A11447"/>
    <w:rsid w:val="00A115F3"/>
    <w:rsid w:val="00A11B67"/>
    <w:rsid w:val="00A11C28"/>
    <w:rsid w:val="00A11DEE"/>
    <w:rsid w:val="00A1240A"/>
    <w:rsid w:val="00A12B28"/>
    <w:rsid w:val="00A12F3C"/>
    <w:rsid w:val="00A137E6"/>
    <w:rsid w:val="00A13C3A"/>
    <w:rsid w:val="00A13EAB"/>
    <w:rsid w:val="00A151EB"/>
    <w:rsid w:val="00A162DF"/>
    <w:rsid w:val="00A16324"/>
    <w:rsid w:val="00A17013"/>
    <w:rsid w:val="00A1745E"/>
    <w:rsid w:val="00A175C6"/>
    <w:rsid w:val="00A17AF1"/>
    <w:rsid w:val="00A17B4D"/>
    <w:rsid w:val="00A17B91"/>
    <w:rsid w:val="00A20220"/>
    <w:rsid w:val="00A20CAE"/>
    <w:rsid w:val="00A216BF"/>
    <w:rsid w:val="00A21A16"/>
    <w:rsid w:val="00A21C7C"/>
    <w:rsid w:val="00A22A9E"/>
    <w:rsid w:val="00A23269"/>
    <w:rsid w:val="00A238E0"/>
    <w:rsid w:val="00A23F95"/>
    <w:rsid w:val="00A24010"/>
    <w:rsid w:val="00A24CF6"/>
    <w:rsid w:val="00A25E6E"/>
    <w:rsid w:val="00A26462"/>
    <w:rsid w:val="00A26700"/>
    <w:rsid w:val="00A26B21"/>
    <w:rsid w:val="00A274E2"/>
    <w:rsid w:val="00A2766F"/>
    <w:rsid w:val="00A27B4F"/>
    <w:rsid w:val="00A30B97"/>
    <w:rsid w:val="00A30BDB"/>
    <w:rsid w:val="00A31193"/>
    <w:rsid w:val="00A312FC"/>
    <w:rsid w:val="00A3159D"/>
    <w:rsid w:val="00A31F9A"/>
    <w:rsid w:val="00A3288D"/>
    <w:rsid w:val="00A3307A"/>
    <w:rsid w:val="00A34BDA"/>
    <w:rsid w:val="00A358DC"/>
    <w:rsid w:val="00A35AFC"/>
    <w:rsid w:val="00A3607A"/>
    <w:rsid w:val="00A362FE"/>
    <w:rsid w:val="00A37093"/>
    <w:rsid w:val="00A375F6"/>
    <w:rsid w:val="00A400B2"/>
    <w:rsid w:val="00A405AF"/>
    <w:rsid w:val="00A4164A"/>
    <w:rsid w:val="00A417AB"/>
    <w:rsid w:val="00A41898"/>
    <w:rsid w:val="00A4189A"/>
    <w:rsid w:val="00A41C3D"/>
    <w:rsid w:val="00A41F2E"/>
    <w:rsid w:val="00A42475"/>
    <w:rsid w:val="00A42B38"/>
    <w:rsid w:val="00A42D5D"/>
    <w:rsid w:val="00A432A0"/>
    <w:rsid w:val="00A4354B"/>
    <w:rsid w:val="00A43F0A"/>
    <w:rsid w:val="00A43FF9"/>
    <w:rsid w:val="00A44220"/>
    <w:rsid w:val="00A4432F"/>
    <w:rsid w:val="00A44627"/>
    <w:rsid w:val="00A4578C"/>
    <w:rsid w:val="00A463FC"/>
    <w:rsid w:val="00A463FD"/>
    <w:rsid w:val="00A465E9"/>
    <w:rsid w:val="00A4661A"/>
    <w:rsid w:val="00A46A4B"/>
    <w:rsid w:val="00A47774"/>
    <w:rsid w:val="00A47BC1"/>
    <w:rsid w:val="00A47CAA"/>
    <w:rsid w:val="00A505E0"/>
    <w:rsid w:val="00A5072C"/>
    <w:rsid w:val="00A50899"/>
    <w:rsid w:val="00A512A2"/>
    <w:rsid w:val="00A51DF0"/>
    <w:rsid w:val="00A5216F"/>
    <w:rsid w:val="00A52254"/>
    <w:rsid w:val="00A52401"/>
    <w:rsid w:val="00A5287D"/>
    <w:rsid w:val="00A52AD2"/>
    <w:rsid w:val="00A52BBB"/>
    <w:rsid w:val="00A532D8"/>
    <w:rsid w:val="00A536F1"/>
    <w:rsid w:val="00A53753"/>
    <w:rsid w:val="00A539C0"/>
    <w:rsid w:val="00A550F7"/>
    <w:rsid w:val="00A55E33"/>
    <w:rsid w:val="00A562BE"/>
    <w:rsid w:val="00A56A4F"/>
    <w:rsid w:val="00A56B98"/>
    <w:rsid w:val="00A56DDE"/>
    <w:rsid w:val="00A56EA0"/>
    <w:rsid w:val="00A5787F"/>
    <w:rsid w:val="00A57E73"/>
    <w:rsid w:val="00A60436"/>
    <w:rsid w:val="00A607D9"/>
    <w:rsid w:val="00A60C3A"/>
    <w:rsid w:val="00A621B7"/>
    <w:rsid w:val="00A63037"/>
    <w:rsid w:val="00A6323E"/>
    <w:rsid w:val="00A637BA"/>
    <w:rsid w:val="00A639B6"/>
    <w:rsid w:val="00A63AF3"/>
    <w:rsid w:val="00A63FB6"/>
    <w:rsid w:val="00A6419E"/>
    <w:rsid w:val="00A64E8C"/>
    <w:rsid w:val="00A64EF8"/>
    <w:rsid w:val="00A656E1"/>
    <w:rsid w:val="00A65E01"/>
    <w:rsid w:val="00A664B6"/>
    <w:rsid w:val="00A6677B"/>
    <w:rsid w:val="00A6771B"/>
    <w:rsid w:val="00A67D1C"/>
    <w:rsid w:val="00A710AC"/>
    <w:rsid w:val="00A717AD"/>
    <w:rsid w:val="00A7186E"/>
    <w:rsid w:val="00A71FC9"/>
    <w:rsid w:val="00A725DB"/>
    <w:rsid w:val="00A72EFB"/>
    <w:rsid w:val="00A72FB6"/>
    <w:rsid w:val="00A73335"/>
    <w:rsid w:val="00A73738"/>
    <w:rsid w:val="00A73D7C"/>
    <w:rsid w:val="00A73E8F"/>
    <w:rsid w:val="00A747DC"/>
    <w:rsid w:val="00A74D4E"/>
    <w:rsid w:val="00A753BD"/>
    <w:rsid w:val="00A761EE"/>
    <w:rsid w:val="00A76B33"/>
    <w:rsid w:val="00A76E5B"/>
    <w:rsid w:val="00A77933"/>
    <w:rsid w:val="00A77F98"/>
    <w:rsid w:val="00A80813"/>
    <w:rsid w:val="00A80EA4"/>
    <w:rsid w:val="00A819BA"/>
    <w:rsid w:val="00A819DD"/>
    <w:rsid w:val="00A81B13"/>
    <w:rsid w:val="00A81B4E"/>
    <w:rsid w:val="00A81C95"/>
    <w:rsid w:val="00A82734"/>
    <w:rsid w:val="00A83A16"/>
    <w:rsid w:val="00A83CA5"/>
    <w:rsid w:val="00A84336"/>
    <w:rsid w:val="00A84863"/>
    <w:rsid w:val="00A84EBD"/>
    <w:rsid w:val="00A84EDD"/>
    <w:rsid w:val="00A84F34"/>
    <w:rsid w:val="00A85382"/>
    <w:rsid w:val="00A857EF"/>
    <w:rsid w:val="00A8620E"/>
    <w:rsid w:val="00A864E9"/>
    <w:rsid w:val="00A86CC9"/>
    <w:rsid w:val="00A87906"/>
    <w:rsid w:val="00A87958"/>
    <w:rsid w:val="00A87E9E"/>
    <w:rsid w:val="00A901BE"/>
    <w:rsid w:val="00A904E2"/>
    <w:rsid w:val="00A90D2E"/>
    <w:rsid w:val="00A912E7"/>
    <w:rsid w:val="00A91E97"/>
    <w:rsid w:val="00A92BCF"/>
    <w:rsid w:val="00A92E1F"/>
    <w:rsid w:val="00A93095"/>
    <w:rsid w:val="00A9407D"/>
    <w:rsid w:val="00A948C8"/>
    <w:rsid w:val="00A96085"/>
    <w:rsid w:val="00A96424"/>
    <w:rsid w:val="00A978D8"/>
    <w:rsid w:val="00A978E7"/>
    <w:rsid w:val="00AA0795"/>
    <w:rsid w:val="00AA19A6"/>
    <w:rsid w:val="00AA1AED"/>
    <w:rsid w:val="00AA20B1"/>
    <w:rsid w:val="00AA262E"/>
    <w:rsid w:val="00AA2C89"/>
    <w:rsid w:val="00AA336E"/>
    <w:rsid w:val="00AA3451"/>
    <w:rsid w:val="00AA3908"/>
    <w:rsid w:val="00AA3FF0"/>
    <w:rsid w:val="00AA43BD"/>
    <w:rsid w:val="00AA46E6"/>
    <w:rsid w:val="00AA48C1"/>
    <w:rsid w:val="00AA4D05"/>
    <w:rsid w:val="00AA60A4"/>
    <w:rsid w:val="00AA6240"/>
    <w:rsid w:val="00AA73A8"/>
    <w:rsid w:val="00AA7B3F"/>
    <w:rsid w:val="00AB006F"/>
    <w:rsid w:val="00AB11F1"/>
    <w:rsid w:val="00AB1A9F"/>
    <w:rsid w:val="00AB3037"/>
    <w:rsid w:val="00AB3184"/>
    <w:rsid w:val="00AB33F9"/>
    <w:rsid w:val="00AB3CEC"/>
    <w:rsid w:val="00AB3E8B"/>
    <w:rsid w:val="00AB4AFF"/>
    <w:rsid w:val="00AB537C"/>
    <w:rsid w:val="00AB5887"/>
    <w:rsid w:val="00AB5B81"/>
    <w:rsid w:val="00AB5C13"/>
    <w:rsid w:val="00AB5D24"/>
    <w:rsid w:val="00AB6154"/>
    <w:rsid w:val="00AB626D"/>
    <w:rsid w:val="00AB64E5"/>
    <w:rsid w:val="00AB6606"/>
    <w:rsid w:val="00AB6B8F"/>
    <w:rsid w:val="00AB6C31"/>
    <w:rsid w:val="00AB703C"/>
    <w:rsid w:val="00AB7213"/>
    <w:rsid w:val="00AB7442"/>
    <w:rsid w:val="00AC0FA9"/>
    <w:rsid w:val="00AC1226"/>
    <w:rsid w:val="00AC1686"/>
    <w:rsid w:val="00AC179A"/>
    <w:rsid w:val="00AC24F6"/>
    <w:rsid w:val="00AC299E"/>
    <w:rsid w:val="00AC2DD1"/>
    <w:rsid w:val="00AC5281"/>
    <w:rsid w:val="00AC52D3"/>
    <w:rsid w:val="00AC5C6A"/>
    <w:rsid w:val="00AC65AF"/>
    <w:rsid w:val="00AC7052"/>
    <w:rsid w:val="00AC7703"/>
    <w:rsid w:val="00AC7E57"/>
    <w:rsid w:val="00AD00D9"/>
    <w:rsid w:val="00AD0558"/>
    <w:rsid w:val="00AD0964"/>
    <w:rsid w:val="00AD10E5"/>
    <w:rsid w:val="00AD1EAE"/>
    <w:rsid w:val="00AD1FF4"/>
    <w:rsid w:val="00AD23CC"/>
    <w:rsid w:val="00AD2719"/>
    <w:rsid w:val="00AD31EC"/>
    <w:rsid w:val="00AD339F"/>
    <w:rsid w:val="00AD35A4"/>
    <w:rsid w:val="00AD37F0"/>
    <w:rsid w:val="00AD3BF1"/>
    <w:rsid w:val="00AD3C2A"/>
    <w:rsid w:val="00AD3E6B"/>
    <w:rsid w:val="00AD4379"/>
    <w:rsid w:val="00AD4659"/>
    <w:rsid w:val="00AD4797"/>
    <w:rsid w:val="00AD4817"/>
    <w:rsid w:val="00AD4FA6"/>
    <w:rsid w:val="00AD5107"/>
    <w:rsid w:val="00AD5162"/>
    <w:rsid w:val="00AD5D9A"/>
    <w:rsid w:val="00AD6676"/>
    <w:rsid w:val="00AD6833"/>
    <w:rsid w:val="00AD6997"/>
    <w:rsid w:val="00AD715B"/>
    <w:rsid w:val="00AD77E3"/>
    <w:rsid w:val="00AD77FA"/>
    <w:rsid w:val="00AE0E90"/>
    <w:rsid w:val="00AE0ED0"/>
    <w:rsid w:val="00AE1212"/>
    <w:rsid w:val="00AE1923"/>
    <w:rsid w:val="00AE1D4C"/>
    <w:rsid w:val="00AE2257"/>
    <w:rsid w:val="00AE24A2"/>
    <w:rsid w:val="00AE252A"/>
    <w:rsid w:val="00AE2D96"/>
    <w:rsid w:val="00AE4168"/>
    <w:rsid w:val="00AE48A4"/>
    <w:rsid w:val="00AE4F38"/>
    <w:rsid w:val="00AE507F"/>
    <w:rsid w:val="00AE6873"/>
    <w:rsid w:val="00AE6D21"/>
    <w:rsid w:val="00AE6F1E"/>
    <w:rsid w:val="00AE7F9B"/>
    <w:rsid w:val="00AF0979"/>
    <w:rsid w:val="00AF1375"/>
    <w:rsid w:val="00AF1DE2"/>
    <w:rsid w:val="00AF2806"/>
    <w:rsid w:val="00AF3D49"/>
    <w:rsid w:val="00AF406C"/>
    <w:rsid w:val="00AF428A"/>
    <w:rsid w:val="00AF436B"/>
    <w:rsid w:val="00AF498E"/>
    <w:rsid w:val="00AF4AF0"/>
    <w:rsid w:val="00AF4E90"/>
    <w:rsid w:val="00AF4FCC"/>
    <w:rsid w:val="00AF5912"/>
    <w:rsid w:val="00AF5D8B"/>
    <w:rsid w:val="00AF7135"/>
    <w:rsid w:val="00AF7341"/>
    <w:rsid w:val="00B0063B"/>
    <w:rsid w:val="00B00F17"/>
    <w:rsid w:val="00B01DB9"/>
    <w:rsid w:val="00B01E36"/>
    <w:rsid w:val="00B0346B"/>
    <w:rsid w:val="00B039CC"/>
    <w:rsid w:val="00B04AB9"/>
    <w:rsid w:val="00B04C10"/>
    <w:rsid w:val="00B0575B"/>
    <w:rsid w:val="00B068E4"/>
    <w:rsid w:val="00B068FF"/>
    <w:rsid w:val="00B07451"/>
    <w:rsid w:val="00B10CE6"/>
    <w:rsid w:val="00B115ED"/>
    <w:rsid w:val="00B117CB"/>
    <w:rsid w:val="00B117D7"/>
    <w:rsid w:val="00B11A82"/>
    <w:rsid w:val="00B11D8C"/>
    <w:rsid w:val="00B12211"/>
    <w:rsid w:val="00B12732"/>
    <w:rsid w:val="00B1288F"/>
    <w:rsid w:val="00B13785"/>
    <w:rsid w:val="00B13B8E"/>
    <w:rsid w:val="00B142E0"/>
    <w:rsid w:val="00B150A3"/>
    <w:rsid w:val="00B15237"/>
    <w:rsid w:val="00B15612"/>
    <w:rsid w:val="00B166DD"/>
    <w:rsid w:val="00B17A45"/>
    <w:rsid w:val="00B21AAB"/>
    <w:rsid w:val="00B21F97"/>
    <w:rsid w:val="00B231BC"/>
    <w:rsid w:val="00B23573"/>
    <w:rsid w:val="00B23ABE"/>
    <w:rsid w:val="00B23B67"/>
    <w:rsid w:val="00B24B78"/>
    <w:rsid w:val="00B26443"/>
    <w:rsid w:val="00B26797"/>
    <w:rsid w:val="00B26C98"/>
    <w:rsid w:val="00B26E4F"/>
    <w:rsid w:val="00B271E8"/>
    <w:rsid w:val="00B275D8"/>
    <w:rsid w:val="00B3111B"/>
    <w:rsid w:val="00B313F6"/>
    <w:rsid w:val="00B31AE0"/>
    <w:rsid w:val="00B32506"/>
    <w:rsid w:val="00B32F66"/>
    <w:rsid w:val="00B33678"/>
    <w:rsid w:val="00B33DDF"/>
    <w:rsid w:val="00B33FD6"/>
    <w:rsid w:val="00B34AFD"/>
    <w:rsid w:val="00B3512D"/>
    <w:rsid w:val="00B354E2"/>
    <w:rsid w:val="00B358C1"/>
    <w:rsid w:val="00B36705"/>
    <w:rsid w:val="00B37073"/>
    <w:rsid w:val="00B40037"/>
    <w:rsid w:val="00B40C0D"/>
    <w:rsid w:val="00B41861"/>
    <w:rsid w:val="00B41A1A"/>
    <w:rsid w:val="00B41FDB"/>
    <w:rsid w:val="00B42107"/>
    <w:rsid w:val="00B429CA"/>
    <w:rsid w:val="00B433C5"/>
    <w:rsid w:val="00B437D9"/>
    <w:rsid w:val="00B43D84"/>
    <w:rsid w:val="00B440D1"/>
    <w:rsid w:val="00B44A28"/>
    <w:rsid w:val="00B45088"/>
    <w:rsid w:val="00B453BC"/>
    <w:rsid w:val="00B457F9"/>
    <w:rsid w:val="00B45BBA"/>
    <w:rsid w:val="00B462D8"/>
    <w:rsid w:val="00B46347"/>
    <w:rsid w:val="00B46444"/>
    <w:rsid w:val="00B4762E"/>
    <w:rsid w:val="00B4785D"/>
    <w:rsid w:val="00B507E3"/>
    <w:rsid w:val="00B52633"/>
    <w:rsid w:val="00B528BF"/>
    <w:rsid w:val="00B52EAD"/>
    <w:rsid w:val="00B52F36"/>
    <w:rsid w:val="00B5474A"/>
    <w:rsid w:val="00B54B53"/>
    <w:rsid w:val="00B54B97"/>
    <w:rsid w:val="00B55825"/>
    <w:rsid w:val="00B5594B"/>
    <w:rsid w:val="00B55E9E"/>
    <w:rsid w:val="00B56439"/>
    <w:rsid w:val="00B57320"/>
    <w:rsid w:val="00B574FC"/>
    <w:rsid w:val="00B577AE"/>
    <w:rsid w:val="00B57E55"/>
    <w:rsid w:val="00B60AAA"/>
    <w:rsid w:val="00B60E24"/>
    <w:rsid w:val="00B61068"/>
    <w:rsid w:val="00B61183"/>
    <w:rsid w:val="00B6118D"/>
    <w:rsid w:val="00B6199F"/>
    <w:rsid w:val="00B62312"/>
    <w:rsid w:val="00B63653"/>
    <w:rsid w:val="00B6487A"/>
    <w:rsid w:val="00B64CDE"/>
    <w:rsid w:val="00B652A4"/>
    <w:rsid w:val="00B6563B"/>
    <w:rsid w:val="00B67088"/>
    <w:rsid w:val="00B674BE"/>
    <w:rsid w:val="00B67A5D"/>
    <w:rsid w:val="00B67BF5"/>
    <w:rsid w:val="00B70240"/>
    <w:rsid w:val="00B70478"/>
    <w:rsid w:val="00B706E0"/>
    <w:rsid w:val="00B70A9B"/>
    <w:rsid w:val="00B70E68"/>
    <w:rsid w:val="00B71BEA"/>
    <w:rsid w:val="00B71D0E"/>
    <w:rsid w:val="00B71D2A"/>
    <w:rsid w:val="00B71D57"/>
    <w:rsid w:val="00B7236B"/>
    <w:rsid w:val="00B72616"/>
    <w:rsid w:val="00B731A4"/>
    <w:rsid w:val="00B7351F"/>
    <w:rsid w:val="00B7410C"/>
    <w:rsid w:val="00B743DF"/>
    <w:rsid w:val="00B74B06"/>
    <w:rsid w:val="00B74B6F"/>
    <w:rsid w:val="00B752A3"/>
    <w:rsid w:val="00B75640"/>
    <w:rsid w:val="00B75690"/>
    <w:rsid w:val="00B77355"/>
    <w:rsid w:val="00B77E94"/>
    <w:rsid w:val="00B80265"/>
    <w:rsid w:val="00B80321"/>
    <w:rsid w:val="00B81FA5"/>
    <w:rsid w:val="00B82B5E"/>
    <w:rsid w:val="00B852BF"/>
    <w:rsid w:val="00B863E7"/>
    <w:rsid w:val="00B8737B"/>
    <w:rsid w:val="00B8778B"/>
    <w:rsid w:val="00B87DD5"/>
    <w:rsid w:val="00B9031C"/>
    <w:rsid w:val="00B90653"/>
    <w:rsid w:val="00B925DB"/>
    <w:rsid w:val="00B92679"/>
    <w:rsid w:val="00B93309"/>
    <w:rsid w:val="00B9333B"/>
    <w:rsid w:val="00B93360"/>
    <w:rsid w:val="00B938E4"/>
    <w:rsid w:val="00B93E85"/>
    <w:rsid w:val="00B947BF"/>
    <w:rsid w:val="00B94CF7"/>
    <w:rsid w:val="00B94E55"/>
    <w:rsid w:val="00B94F87"/>
    <w:rsid w:val="00B951C1"/>
    <w:rsid w:val="00B95516"/>
    <w:rsid w:val="00B9556E"/>
    <w:rsid w:val="00B95DC7"/>
    <w:rsid w:val="00B96C53"/>
    <w:rsid w:val="00B975CF"/>
    <w:rsid w:val="00BA0F89"/>
    <w:rsid w:val="00BA1049"/>
    <w:rsid w:val="00BA104D"/>
    <w:rsid w:val="00BA108A"/>
    <w:rsid w:val="00BA179D"/>
    <w:rsid w:val="00BA1AFD"/>
    <w:rsid w:val="00BA217B"/>
    <w:rsid w:val="00BA25A4"/>
    <w:rsid w:val="00BA2A85"/>
    <w:rsid w:val="00BA3CDC"/>
    <w:rsid w:val="00BA4159"/>
    <w:rsid w:val="00BA44B5"/>
    <w:rsid w:val="00BA4525"/>
    <w:rsid w:val="00BA4BFB"/>
    <w:rsid w:val="00BA50C8"/>
    <w:rsid w:val="00BA51F6"/>
    <w:rsid w:val="00BA5B47"/>
    <w:rsid w:val="00BA5ED6"/>
    <w:rsid w:val="00BA648B"/>
    <w:rsid w:val="00BA6818"/>
    <w:rsid w:val="00BA73A7"/>
    <w:rsid w:val="00BA77DE"/>
    <w:rsid w:val="00BA782E"/>
    <w:rsid w:val="00BA7A25"/>
    <w:rsid w:val="00BA7CB5"/>
    <w:rsid w:val="00BB05F4"/>
    <w:rsid w:val="00BB0630"/>
    <w:rsid w:val="00BB12F6"/>
    <w:rsid w:val="00BB13AC"/>
    <w:rsid w:val="00BB1AA6"/>
    <w:rsid w:val="00BB27E2"/>
    <w:rsid w:val="00BB2F06"/>
    <w:rsid w:val="00BB3274"/>
    <w:rsid w:val="00BB3436"/>
    <w:rsid w:val="00BB3A7C"/>
    <w:rsid w:val="00BB3D9E"/>
    <w:rsid w:val="00BB4053"/>
    <w:rsid w:val="00BB48F9"/>
    <w:rsid w:val="00BB4AAA"/>
    <w:rsid w:val="00BB507A"/>
    <w:rsid w:val="00BB51DC"/>
    <w:rsid w:val="00BB5776"/>
    <w:rsid w:val="00BB5B56"/>
    <w:rsid w:val="00BB6157"/>
    <w:rsid w:val="00BB6172"/>
    <w:rsid w:val="00BB62E8"/>
    <w:rsid w:val="00BB6853"/>
    <w:rsid w:val="00BB6B0B"/>
    <w:rsid w:val="00BB6C0B"/>
    <w:rsid w:val="00BB6DEB"/>
    <w:rsid w:val="00BB6F1C"/>
    <w:rsid w:val="00BB725C"/>
    <w:rsid w:val="00BB772D"/>
    <w:rsid w:val="00BB7A00"/>
    <w:rsid w:val="00BC091B"/>
    <w:rsid w:val="00BC0969"/>
    <w:rsid w:val="00BC13E1"/>
    <w:rsid w:val="00BC23C0"/>
    <w:rsid w:val="00BC24B2"/>
    <w:rsid w:val="00BC265E"/>
    <w:rsid w:val="00BC2978"/>
    <w:rsid w:val="00BC3563"/>
    <w:rsid w:val="00BC3677"/>
    <w:rsid w:val="00BC39D7"/>
    <w:rsid w:val="00BC6480"/>
    <w:rsid w:val="00BC6725"/>
    <w:rsid w:val="00BC6794"/>
    <w:rsid w:val="00BC68F0"/>
    <w:rsid w:val="00BC730B"/>
    <w:rsid w:val="00BC7C23"/>
    <w:rsid w:val="00BD0750"/>
    <w:rsid w:val="00BD0E33"/>
    <w:rsid w:val="00BD1B59"/>
    <w:rsid w:val="00BD1D83"/>
    <w:rsid w:val="00BD2555"/>
    <w:rsid w:val="00BD35F1"/>
    <w:rsid w:val="00BD37BA"/>
    <w:rsid w:val="00BD383C"/>
    <w:rsid w:val="00BD3897"/>
    <w:rsid w:val="00BD4A43"/>
    <w:rsid w:val="00BD4CCC"/>
    <w:rsid w:val="00BD4D8D"/>
    <w:rsid w:val="00BD5A96"/>
    <w:rsid w:val="00BD5F56"/>
    <w:rsid w:val="00BD601C"/>
    <w:rsid w:val="00BD673C"/>
    <w:rsid w:val="00BD6E23"/>
    <w:rsid w:val="00BD70AE"/>
    <w:rsid w:val="00BD7B76"/>
    <w:rsid w:val="00BD7FDA"/>
    <w:rsid w:val="00BE0398"/>
    <w:rsid w:val="00BE057C"/>
    <w:rsid w:val="00BE0DCB"/>
    <w:rsid w:val="00BE15E9"/>
    <w:rsid w:val="00BE1859"/>
    <w:rsid w:val="00BE24E9"/>
    <w:rsid w:val="00BE2D0C"/>
    <w:rsid w:val="00BE34C5"/>
    <w:rsid w:val="00BE3B5B"/>
    <w:rsid w:val="00BE3D89"/>
    <w:rsid w:val="00BE5199"/>
    <w:rsid w:val="00BE538C"/>
    <w:rsid w:val="00BE638D"/>
    <w:rsid w:val="00BE6738"/>
    <w:rsid w:val="00BE756C"/>
    <w:rsid w:val="00BE7822"/>
    <w:rsid w:val="00BE7934"/>
    <w:rsid w:val="00BE7AC2"/>
    <w:rsid w:val="00BE7DD7"/>
    <w:rsid w:val="00BF01F1"/>
    <w:rsid w:val="00BF04AD"/>
    <w:rsid w:val="00BF07D6"/>
    <w:rsid w:val="00BF1740"/>
    <w:rsid w:val="00BF183E"/>
    <w:rsid w:val="00BF2184"/>
    <w:rsid w:val="00BF2FB4"/>
    <w:rsid w:val="00BF381C"/>
    <w:rsid w:val="00BF3CF1"/>
    <w:rsid w:val="00BF4733"/>
    <w:rsid w:val="00BF498B"/>
    <w:rsid w:val="00BF4EB8"/>
    <w:rsid w:val="00BF5D42"/>
    <w:rsid w:val="00BF6690"/>
    <w:rsid w:val="00BF7E99"/>
    <w:rsid w:val="00C00469"/>
    <w:rsid w:val="00C0047B"/>
    <w:rsid w:val="00C010FA"/>
    <w:rsid w:val="00C01BB0"/>
    <w:rsid w:val="00C03B67"/>
    <w:rsid w:val="00C03FC3"/>
    <w:rsid w:val="00C042FB"/>
    <w:rsid w:val="00C05422"/>
    <w:rsid w:val="00C05541"/>
    <w:rsid w:val="00C0591B"/>
    <w:rsid w:val="00C05BBD"/>
    <w:rsid w:val="00C0643E"/>
    <w:rsid w:val="00C06FD8"/>
    <w:rsid w:val="00C07AE4"/>
    <w:rsid w:val="00C10E4A"/>
    <w:rsid w:val="00C10F84"/>
    <w:rsid w:val="00C11958"/>
    <w:rsid w:val="00C11E76"/>
    <w:rsid w:val="00C1213D"/>
    <w:rsid w:val="00C129C1"/>
    <w:rsid w:val="00C12C2C"/>
    <w:rsid w:val="00C13EC6"/>
    <w:rsid w:val="00C14145"/>
    <w:rsid w:val="00C14D49"/>
    <w:rsid w:val="00C15346"/>
    <w:rsid w:val="00C153CC"/>
    <w:rsid w:val="00C15E18"/>
    <w:rsid w:val="00C161D2"/>
    <w:rsid w:val="00C16A23"/>
    <w:rsid w:val="00C16DA8"/>
    <w:rsid w:val="00C175F1"/>
    <w:rsid w:val="00C17671"/>
    <w:rsid w:val="00C17D16"/>
    <w:rsid w:val="00C202DC"/>
    <w:rsid w:val="00C20431"/>
    <w:rsid w:val="00C20542"/>
    <w:rsid w:val="00C20D32"/>
    <w:rsid w:val="00C20DA8"/>
    <w:rsid w:val="00C20DF3"/>
    <w:rsid w:val="00C21563"/>
    <w:rsid w:val="00C21792"/>
    <w:rsid w:val="00C21910"/>
    <w:rsid w:val="00C2200C"/>
    <w:rsid w:val="00C224D0"/>
    <w:rsid w:val="00C22E4B"/>
    <w:rsid w:val="00C23107"/>
    <w:rsid w:val="00C23E65"/>
    <w:rsid w:val="00C240D2"/>
    <w:rsid w:val="00C243CD"/>
    <w:rsid w:val="00C247FF"/>
    <w:rsid w:val="00C24886"/>
    <w:rsid w:val="00C24A19"/>
    <w:rsid w:val="00C24A20"/>
    <w:rsid w:val="00C24A93"/>
    <w:rsid w:val="00C25770"/>
    <w:rsid w:val="00C26063"/>
    <w:rsid w:val="00C262DD"/>
    <w:rsid w:val="00C2636E"/>
    <w:rsid w:val="00C268C6"/>
    <w:rsid w:val="00C26F90"/>
    <w:rsid w:val="00C27BD1"/>
    <w:rsid w:val="00C27BEB"/>
    <w:rsid w:val="00C27F83"/>
    <w:rsid w:val="00C3003D"/>
    <w:rsid w:val="00C3074B"/>
    <w:rsid w:val="00C30904"/>
    <w:rsid w:val="00C3164C"/>
    <w:rsid w:val="00C318AF"/>
    <w:rsid w:val="00C321FC"/>
    <w:rsid w:val="00C324F0"/>
    <w:rsid w:val="00C3267E"/>
    <w:rsid w:val="00C327BC"/>
    <w:rsid w:val="00C3385B"/>
    <w:rsid w:val="00C34193"/>
    <w:rsid w:val="00C35323"/>
    <w:rsid w:val="00C35747"/>
    <w:rsid w:val="00C35A2D"/>
    <w:rsid w:val="00C35E84"/>
    <w:rsid w:val="00C3671C"/>
    <w:rsid w:val="00C368B2"/>
    <w:rsid w:val="00C368FB"/>
    <w:rsid w:val="00C36FB7"/>
    <w:rsid w:val="00C37102"/>
    <w:rsid w:val="00C37709"/>
    <w:rsid w:val="00C37A49"/>
    <w:rsid w:val="00C40622"/>
    <w:rsid w:val="00C4227F"/>
    <w:rsid w:val="00C434FF"/>
    <w:rsid w:val="00C43770"/>
    <w:rsid w:val="00C43DB2"/>
    <w:rsid w:val="00C43F3C"/>
    <w:rsid w:val="00C44B2F"/>
    <w:rsid w:val="00C4508E"/>
    <w:rsid w:val="00C46905"/>
    <w:rsid w:val="00C46B0A"/>
    <w:rsid w:val="00C4786D"/>
    <w:rsid w:val="00C47DE2"/>
    <w:rsid w:val="00C50543"/>
    <w:rsid w:val="00C505BA"/>
    <w:rsid w:val="00C5092D"/>
    <w:rsid w:val="00C50D2A"/>
    <w:rsid w:val="00C512A3"/>
    <w:rsid w:val="00C5157D"/>
    <w:rsid w:val="00C52CEE"/>
    <w:rsid w:val="00C530B7"/>
    <w:rsid w:val="00C53C97"/>
    <w:rsid w:val="00C53EE3"/>
    <w:rsid w:val="00C5409B"/>
    <w:rsid w:val="00C55138"/>
    <w:rsid w:val="00C56B7F"/>
    <w:rsid w:val="00C56DA7"/>
    <w:rsid w:val="00C56EA1"/>
    <w:rsid w:val="00C56EEA"/>
    <w:rsid w:val="00C57A60"/>
    <w:rsid w:val="00C57AE0"/>
    <w:rsid w:val="00C57C31"/>
    <w:rsid w:val="00C61102"/>
    <w:rsid w:val="00C617AE"/>
    <w:rsid w:val="00C61CEC"/>
    <w:rsid w:val="00C620C3"/>
    <w:rsid w:val="00C62211"/>
    <w:rsid w:val="00C624A9"/>
    <w:rsid w:val="00C62B22"/>
    <w:rsid w:val="00C63304"/>
    <w:rsid w:val="00C63BC0"/>
    <w:rsid w:val="00C63D7F"/>
    <w:rsid w:val="00C64BB8"/>
    <w:rsid w:val="00C64D09"/>
    <w:rsid w:val="00C6554F"/>
    <w:rsid w:val="00C6582D"/>
    <w:rsid w:val="00C65AE0"/>
    <w:rsid w:val="00C661CD"/>
    <w:rsid w:val="00C66925"/>
    <w:rsid w:val="00C66FFA"/>
    <w:rsid w:val="00C6779C"/>
    <w:rsid w:val="00C67A83"/>
    <w:rsid w:val="00C67BA4"/>
    <w:rsid w:val="00C7042B"/>
    <w:rsid w:val="00C7112E"/>
    <w:rsid w:val="00C71A7E"/>
    <w:rsid w:val="00C71C06"/>
    <w:rsid w:val="00C7346A"/>
    <w:rsid w:val="00C736A6"/>
    <w:rsid w:val="00C73BEB"/>
    <w:rsid w:val="00C73F09"/>
    <w:rsid w:val="00C74352"/>
    <w:rsid w:val="00C75061"/>
    <w:rsid w:val="00C7524C"/>
    <w:rsid w:val="00C766FC"/>
    <w:rsid w:val="00C76D6D"/>
    <w:rsid w:val="00C77636"/>
    <w:rsid w:val="00C776FD"/>
    <w:rsid w:val="00C80129"/>
    <w:rsid w:val="00C8020F"/>
    <w:rsid w:val="00C804E2"/>
    <w:rsid w:val="00C81842"/>
    <w:rsid w:val="00C8225E"/>
    <w:rsid w:val="00C83948"/>
    <w:rsid w:val="00C83C7D"/>
    <w:rsid w:val="00C83FC0"/>
    <w:rsid w:val="00C84351"/>
    <w:rsid w:val="00C848BA"/>
    <w:rsid w:val="00C84F98"/>
    <w:rsid w:val="00C852CD"/>
    <w:rsid w:val="00C85810"/>
    <w:rsid w:val="00C85A03"/>
    <w:rsid w:val="00C85DF0"/>
    <w:rsid w:val="00C86128"/>
    <w:rsid w:val="00C86A07"/>
    <w:rsid w:val="00C8751E"/>
    <w:rsid w:val="00C8799A"/>
    <w:rsid w:val="00C901FF"/>
    <w:rsid w:val="00C903B9"/>
    <w:rsid w:val="00C906AF"/>
    <w:rsid w:val="00C91C46"/>
    <w:rsid w:val="00C92372"/>
    <w:rsid w:val="00C93087"/>
    <w:rsid w:val="00C93944"/>
    <w:rsid w:val="00C9424C"/>
    <w:rsid w:val="00C94660"/>
    <w:rsid w:val="00C94796"/>
    <w:rsid w:val="00C94A32"/>
    <w:rsid w:val="00C94C8D"/>
    <w:rsid w:val="00C953D7"/>
    <w:rsid w:val="00C955D7"/>
    <w:rsid w:val="00C95C81"/>
    <w:rsid w:val="00C95D19"/>
    <w:rsid w:val="00C95F4E"/>
    <w:rsid w:val="00C96502"/>
    <w:rsid w:val="00C96DAC"/>
    <w:rsid w:val="00C971AB"/>
    <w:rsid w:val="00CA043B"/>
    <w:rsid w:val="00CA062B"/>
    <w:rsid w:val="00CA0CFC"/>
    <w:rsid w:val="00CA1D40"/>
    <w:rsid w:val="00CA2076"/>
    <w:rsid w:val="00CA261A"/>
    <w:rsid w:val="00CA2E6A"/>
    <w:rsid w:val="00CA301A"/>
    <w:rsid w:val="00CA3981"/>
    <w:rsid w:val="00CA4024"/>
    <w:rsid w:val="00CA4192"/>
    <w:rsid w:val="00CA46A4"/>
    <w:rsid w:val="00CA4B8E"/>
    <w:rsid w:val="00CA4CB1"/>
    <w:rsid w:val="00CA59F3"/>
    <w:rsid w:val="00CA5A78"/>
    <w:rsid w:val="00CA68D4"/>
    <w:rsid w:val="00CA71A9"/>
    <w:rsid w:val="00CA7BBD"/>
    <w:rsid w:val="00CB034A"/>
    <w:rsid w:val="00CB0479"/>
    <w:rsid w:val="00CB0705"/>
    <w:rsid w:val="00CB0A16"/>
    <w:rsid w:val="00CB100F"/>
    <w:rsid w:val="00CB1696"/>
    <w:rsid w:val="00CB1DCD"/>
    <w:rsid w:val="00CB1E2D"/>
    <w:rsid w:val="00CB2774"/>
    <w:rsid w:val="00CB2A32"/>
    <w:rsid w:val="00CB4562"/>
    <w:rsid w:val="00CB4650"/>
    <w:rsid w:val="00CB47F9"/>
    <w:rsid w:val="00CB486A"/>
    <w:rsid w:val="00CB5079"/>
    <w:rsid w:val="00CB5679"/>
    <w:rsid w:val="00CB5713"/>
    <w:rsid w:val="00CB68A2"/>
    <w:rsid w:val="00CB6A96"/>
    <w:rsid w:val="00CB731B"/>
    <w:rsid w:val="00CB7F3B"/>
    <w:rsid w:val="00CC01EB"/>
    <w:rsid w:val="00CC0A7F"/>
    <w:rsid w:val="00CC150E"/>
    <w:rsid w:val="00CC16A1"/>
    <w:rsid w:val="00CC1EB3"/>
    <w:rsid w:val="00CC25FD"/>
    <w:rsid w:val="00CC27B8"/>
    <w:rsid w:val="00CC2CA2"/>
    <w:rsid w:val="00CC31EA"/>
    <w:rsid w:val="00CC327F"/>
    <w:rsid w:val="00CC474A"/>
    <w:rsid w:val="00CC4C03"/>
    <w:rsid w:val="00CC4DEB"/>
    <w:rsid w:val="00CC4E98"/>
    <w:rsid w:val="00CC4F74"/>
    <w:rsid w:val="00CC61AA"/>
    <w:rsid w:val="00CC71A0"/>
    <w:rsid w:val="00CC75C2"/>
    <w:rsid w:val="00CC778A"/>
    <w:rsid w:val="00CC7F41"/>
    <w:rsid w:val="00CD0246"/>
    <w:rsid w:val="00CD06F8"/>
    <w:rsid w:val="00CD0842"/>
    <w:rsid w:val="00CD0F57"/>
    <w:rsid w:val="00CD157B"/>
    <w:rsid w:val="00CD23D6"/>
    <w:rsid w:val="00CD24F6"/>
    <w:rsid w:val="00CD2656"/>
    <w:rsid w:val="00CD365A"/>
    <w:rsid w:val="00CD3F18"/>
    <w:rsid w:val="00CD3F88"/>
    <w:rsid w:val="00CD45E3"/>
    <w:rsid w:val="00CD4B8D"/>
    <w:rsid w:val="00CD5857"/>
    <w:rsid w:val="00CD5A3F"/>
    <w:rsid w:val="00CD5FFD"/>
    <w:rsid w:val="00CD688F"/>
    <w:rsid w:val="00CD79E1"/>
    <w:rsid w:val="00CD7E7F"/>
    <w:rsid w:val="00CE02E6"/>
    <w:rsid w:val="00CE0875"/>
    <w:rsid w:val="00CE0E91"/>
    <w:rsid w:val="00CE1043"/>
    <w:rsid w:val="00CE1724"/>
    <w:rsid w:val="00CE1A3B"/>
    <w:rsid w:val="00CE1A6D"/>
    <w:rsid w:val="00CE1F54"/>
    <w:rsid w:val="00CE26DC"/>
    <w:rsid w:val="00CE30FD"/>
    <w:rsid w:val="00CE31E5"/>
    <w:rsid w:val="00CE3564"/>
    <w:rsid w:val="00CE381B"/>
    <w:rsid w:val="00CE4819"/>
    <w:rsid w:val="00CE4935"/>
    <w:rsid w:val="00CE6342"/>
    <w:rsid w:val="00CE6528"/>
    <w:rsid w:val="00CE6B16"/>
    <w:rsid w:val="00CE6BB0"/>
    <w:rsid w:val="00CE6F27"/>
    <w:rsid w:val="00CE79FE"/>
    <w:rsid w:val="00CE7E16"/>
    <w:rsid w:val="00CF010F"/>
    <w:rsid w:val="00CF022E"/>
    <w:rsid w:val="00CF072B"/>
    <w:rsid w:val="00CF078C"/>
    <w:rsid w:val="00CF0ADD"/>
    <w:rsid w:val="00CF0AFE"/>
    <w:rsid w:val="00CF0D20"/>
    <w:rsid w:val="00CF1AA8"/>
    <w:rsid w:val="00CF28EE"/>
    <w:rsid w:val="00CF3159"/>
    <w:rsid w:val="00CF402D"/>
    <w:rsid w:val="00CF431B"/>
    <w:rsid w:val="00CF548A"/>
    <w:rsid w:val="00CF5577"/>
    <w:rsid w:val="00CF62A8"/>
    <w:rsid w:val="00CF6DF4"/>
    <w:rsid w:val="00CF6EA7"/>
    <w:rsid w:val="00CF7020"/>
    <w:rsid w:val="00CF7244"/>
    <w:rsid w:val="00CF7654"/>
    <w:rsid w:val="00CF7684"/>
    <w:rsid w:val="00CF770B"/>
    <w:rsid w:val="00D00DEF"/>
    <w:rsid w:val="00D01366"/>
    <w:rsid w:val="00D0212E"/>
    <w:rsid w:val="00D02657"/>
    <w:rsid w:val="00D04F62"/>
    <w:rsid w:val="00D04F7B"/>
    <w:rsid w:val="00D0512C"/>
    <w:rsid w:val="00D05B9C"/>
    <w:rsid w:val="00D06211"/>
    <w:rsid w:val="00D06E9F"/>
    <w:rsid w:val="00D06FFF"/>
    <w:rsid w:val="00D0757E"/>
    <w:rsid w:val="00D07B7D"/>
    <w:rsid w:val="00D109A9"/>
    <w:rsid w:val="00D10CDF"/>
    <w:rsid w:val="00D113E7"/>
    <w:rsid w:val="00D116F0"/>
    <w:rsid w:val="00D119B8"/>
    <w:rsid w:val="00D11B26"/>
    <w:rsid w:val="00D122BD"/>
    <w:rsid w:val="00D12A77"/>
    <w:rsid w:val="00D12E24"/>
    <w:rsid w:val="00D13CD4"/>
    <w:rsid w:val="00D13FF6"/>
    <w:rsid w:val="00D14332"/>
    <w:rsid w:val="00D15178"/>
    <w:rsid w:val="00D1522A"/>
    <w:rsid w:val="00D15337"/>
    <w:rsid w:val="00D15B0C"/>
    <w:rsid w:val="00D167E6"/>
    <w:rsid w:val="00D16F9B"/>
    <w:rsid w:val="00D17611"/>
    <w:rsid w:val="00D17D94"/>
    <w:rsid w:val="00D17E36"/>
    <w:rsid w:val="00D17F53"/>
    <w:rsid w:val="00D203A5"/>
    <w:rsid w:val="00D20E33"/>
    <w:rsid w:val="00D21482"/>
    <w:rsid w:val="00D21A5A"/>
    <w:rsid w:val="00D22170"/>
    <w:rsid w:val="00D22491"/>
    <w:rsid w:val="00D225CE"/>
    <w:rsid w:val="00D225E0"/>
    <w:rsid w:val="00D22863"/>
    <w:rsid w:val="00D22A36"/>
    <w:rsid w:val="00D23502"/>
    <w:rsid w:val="00D23F03"/>
    <w:rsid w:val="00D23F9F"/>
    <w:rsid w:val="00D24213"/>
    <w:rsid w:val="00D24778"/>
    <w:rsid w:val="00D25322"/>
    <w:rsid w:val="00D25ADF"/>
    <w:rsid w:val="00D25BE6"/>
    <w:rsid w:val="00D25C2E"/>
    <w:rsid w:val="00D25FFA"/>
    <w:rsid w:val="00D2620A"/>
    <w:rsid w:val="00D264A4"/>
    <w:rsid w:val="00D269E6"/>
    <w:rsid w:val="00D26DF4"/>
    <w:rsid w:val="00D26E87"/>
    <w:rsid w:val="00D27086"/>
    <w:rsid w:val="00D2765A"/>
    <w:rsid w:val="00D27CDB"/>
    <w:rsid w:val="00D30458"/>
    <w:rsid w:val="00D30B67"/>
    <w:rsid w:val="00D30D2F"/>
    <w:rsid w:val="00D30E9F"/>
    <w:rsid w:val="00D31529"/>
    <w:rsid w:val="00D3190D"/>
    <w:rsid w:val="00D329FC"/>
    <w:rsid w:val="00D3345B"/>
    <w:rsid w:val="00D33974"/>
    <w:rsid w:val="00D33C7E"/>
    <w:rsid w:val="00D33EFD"/>
    <w:rsid w:val="00D346EB"/>
    <w:rsid w:val="00D35DEF"/>
    <w:rsid w:val="00D362D1"/>
    <w:rsid w:val="00D36FEC"/>
    <w:rsid w:val="00D3723B"/>
    <w:rsid w:val="00D377B1"/>
    <w:rsid w:val="00D37996"/>
    <w:rsid w:val="00D37DF7"/>
    <w:rsid w:val="00D405B2"/>
    <w:rsid w:val="00D4101C"/>
    <w:rsid w:val="00D4115A"/>
    <w:rsid w:val="00D411AB"/>
    <w:rsid w:val="00D41602"/>
    <w:rsid w:val="00D41BD7"/>
    <w:rsid w:val="00D41E32"/>
    <w:rsid w:val="00D41F47"/>
    <w:rsid w:val="00D42078"/>
    <w:rsid w:val="00D421C9"/>
    <w:rsid w:val="00D42731"/>
    <w:rsid w:val="00D42CC1"/>
    <w:rsid w:val="00D42F6C"/>
    <w:rsid w:val="00D43A1F"/>
    <w:rsid w:val="00D43BDB"/>
    <w:rsid w:val="00D44755"/>
    <w:rsid w:val="00D45EB8"/>
    <w:rsid w:val="00D45EDA"/>
    <w:rsid w:val="00D46126"/>
    <w:rsid w:val="00D46268"/>
    <w:rsid w:val="00D465EF"/>
    <w:rsid w:val="00D508A9"/>
    <w:rsid w:val="00D50DFF"/>
    <w:rsid w:val="00D512A4"/>
    <w:rsid w:val="00D5138A"/>
    <w:rsid w:val="00D51A7A"/>
    <w:rsid w:val="00D52002"/>
    <w:rsid w:val="00D521C2"/>
    <w:rsid w:val="00D52582"/>
    <w:rsid w:val="00D52BC1"/>
    <w:rsid w:val="00D53401"/>
    <w:rsid w:val="00D5370C"/>
    <w:rsid w:val="00D53A72"/>
    <w:rsid w:val="00D53B37"/>
    <w:rsid w:val="00D54213"/>
    <w:rsid w:val="00D54F96"/>
    <w:rsid w:val="00D5509A"/>
    <w:rsid w:val="00D55A92"/>
    <w:rsid w:val="00D57027"/>
    <w:rsid w:val="00D57380"/>
    <w:rsid w:val="00D57713"/>
    <w:rsid w:val="00D578DF"/>
    <w:rsid w:val="00D57D43"/>
    <w:rsid w:val="00D57D99"/>
    <w:rsid w:val="00D60147"/>
    <w:rsid w:val="00D60DEF"/>
    <w:rsid w:val="00D611D1"/>
    <w:rsid w:val="00D6125E"/>
    <w:rsid w:val="00D61AC5"/>
    <w:rsid w:val="00D61D9D"/>
    <w:rsid w:val="00D6217D"/>
    <w:rsid w:val="00D6231B"/>
    <w:rsid w:val="00D62D79"/>
    <w:rsid w:val="00D62DFA"/>
    <w:rsid w:val="00D63ACC"/>
    <w:rsid w:val="00D63B23"/>
    <w:rsid w:val="00D65822"/>
    <w:rsid w:val="00D6664E"/>
    <w:rsid w:val="00D66949"/>
    <w:rsid w:val="00D670F8"/>
    <w:rsid w:val="00D672E0"/>
    <w:rsid w:val="00D67A60"/>
    <w:rsid w:val="00D67CAF"/>
    <w:rsid w:val="00D70016"/>
    <w:rsid w:val="00D70178"/>
    <w:rsid w:val="00D701D4"/>
    <w:rsid w:val="00D7100B"/>
    <w:rsid w:val="00D71336"/>
    <w:rsid w:val="00D71461"/>
    <w:rsid w:val="00D71471"/>
    <w:rsid w:val="00D71C56"/>
    <w:rsid w:val="00D71FF8"/>
    <w:rsid w:val="00D72473"/>
    <w:rsid w:val="00D726A8"/>
    <w:rsid w:val="00D72E14"/>
    <w:rsid w:val="00D73C72"/>
    <w:rsid w:val="00D73DDB"/>
    <w:rsid w:val="00D7519D"/>
    <w:rsid w:val="00D75281"/>
    <w:rsid w:val="00D756DF"/>
    <w:rsid w:val="00D75B25"/>
    <w:rsid w:val="00D75FC5"/>
    <w:rsid w:val="00D7657C"/>
    <w:rsid w:val="00D76BAD"/>
    <w:rsid w:val="00D76E8B"/>
    <w:rsid w:val="00D77049"/>
    <w:rsid w:val="00D7706C"/>
    <w:rsid w:val="00D77433"/>
    <w:rsid w:val="00D776E4"/>
    <w:rsid w:val="00D7777B"/>
    <w:rsid w:val="00D80F0E"/>
    <w:rsid w:val="00D810BB"/>
    <w:rsid w:val="00D81801"/>
    <w:rsid w:val="00D8205D"/>
    <w:rsid w:val="00D82A69"/>
    <w:rsid w:val="00D844C1"/>
    <w:rsid w:val="00D844CD"/>
    <w:rsid w:val="00D846EA"/>
    <w:rsid w:val="00D846FB"/>
    <w:rsid w:val="00D84E58"/>
    <w:rsid w:val="00D8567A"/>
    <w:rsid w:val="00D860C6"/>
    <w:rsid w:val="00D8643D"/>
    <w:rsid w:val="00D86512"/>
    <w:rsid w:val="00D86695"/>
    <w:rsid w:val="00D867A8"/>
    <w:rsid w:val="00D86A06"/>
    <w:rsid w:val="00D86ABB"/>
    <w:rsid w:val="00D86AD8"/>
    <w:rsid w:val="00D87080"/>
    <w:rsid w:val="00D87115"/>
    <w:rsid w:val="00D879C1"/>
    <w:rsid w:val="00D87C32"/>
    <w:rsid w:val="00D901C9"/>
    <w:rsid w:val="00D90A77"/>
    <w:rsid w:val="00D90BA1"/>
    <w:rsid w:val="00D90EA9"/>
    <w:rsid w:val="00D91911"/>
    <w:rsid w:val="00D91B8A"/>
    <w:rsid w:val="00D91D48"/>
    <w:rsid w:val="00D9376B"/>
    <w:rsid w:val="00D93E53"/>
    <w:rsid w:val="00D93F56"/>
    <w:rsid w:val="00D9449B"/>
    <w:rsid w:val="00D94A33"/>
    <w:rsid w:val="00D952A7"/>
    <w:rsid w:val="00D97CB3"/>
    <w:rsid w:val="00DA037D"/>
    <w:rsid w:val="00DA182E"/>
    <w:rsid w:val="00DA1E23"/>
    <w:rsid w:val="00DA32AF"/>
    <w:rsid w:val="00DA33EF"/>
    <w:rsid w:val="00DA35AD"/>
    <w:rsid w:val="00DA3A33"/>
    <w:rsid w:val="00DA3EAD"/>
    <w:rsid w:val="00DA4370"/>
    <w:rsid w:val="00DA43C4"/>
    <w:rsid w:val="00DA44F1"/>
    <w:rsid w:val="00DA477A"/>
    <w:rsid w:val="00DA4973"/>
    <w:rsid w:val="00DA4FAC"/>
    <w:rsid w:val="00DA5172"/>
    <w:rsid w:val="00DA5259"/>
    <w:rsid w:val="00DA545B"/>
    <w:rsid w:val="00DA56A9"/>
    <w:rsid w:val="00DA6366"/>
    <w:rsid w:val="00DA6381"/>
    <w:rsid w:val="00DA65CE"/>
    <w:rsid w:val="00DA67B4"/>
    <w:rsid w:val="00DA6B61"/>
    <w:rsid w:val="00DA6CF4"/>
    <w:rsid w:val="00DA70E8"/>
    <w:rsid w:val="00DA73AF"/>
    <w:rsid w:val="00DA7CFE"/>
    <w:rsid w:val="00DB0056"/>
    <w:rsid w:val="00DB016D"/>
    <w:rsid w:val="00DB0DD9"/>
    <w:rsid w:val="00DB149A"/>
    <w:rsid w:val="00DB30F4"/>
    <w:rsid w:val="00DB3A12"/>
    <w:rsid w:val="00DB3AC3"/>
    <w:rsid w:val="00DB3D95"/>
    <w:rsid w:val="00DB49CD"/>
    <w:rsid w:val="00DB4B04"/>
    <w:rsid w:val="00DB59FC"/>
    <w:rsid w:val="00DB6E07"/>
    <w:rsid w:val="00DB6E98"/>
    <w:rsid w:val="00DB73D7"/>
    <w:rsid w:val="00DB7E6A"/>
    <w:rsid w:val="00DB7ED2"/>
    <w:rsid w:val="00DC0D2B"/>
    <w:rsid w:val="00DC1528"/>
    <w:rsid w:val="00DC168D"/>
    <w:rsid w:val="00DC1926"/>
    <w:rsid w:val="00DC1C01"/>
    <w:rsid w:val="00DC1DE3"/>
    <w:rsid w:val="00DC1E36"/>
    <w:rsid w:val="00DC2886"/>
    <w:rsid w:val="00DC390F"/>
    <w:rsid w:val="00DC3A85"/>
    <w:rsid w:val="00DC5DB6"/>
    <w:rsid w:val="00DC6B92"/>
    <w:rsid w:val="00DC7465"/>
    <w:rsid w:val="00DC7C54"/>
    <w:rsid w:val="00DD2301"/>
    <w:rsid w:val="00DD2520"/>
    <w:rsid w:val="00DD28FB"/>
    <w:rsid w:val="00DD2AC9"/>
    <w:rsid w:val="00DD30CB"/>
    <w:rsid w:val="00DD3791"/>
    <w:rsid w:val="00DD3820"/>
    <w:rsid w:val="00DD38C1"/>
    <w:rsid w:val="00DD3A1E"/>
    <w:rsid w:val="00DD4752"/>
    <w:rsid w:val="00DD488F"/>
    <w:rsid w:val="00DD4D46"/>
    <w:rsid w:val="00DD4DAF"/>
    <w:rsid w:val="00DD52AB"/>
    <w:rsid w:val="00DD5948"/>
    <w:rsid w:val="00DD5CE2"/>
    <w:rsid w:val="00DD6294"/>
    <w:rsid w:val="00DD67E5"/>
    <w:rsid w:val="00DD6A57"/>
    <w:rsid w:val="00DD6DE4"/>
    <w:rsid w:val="00DD726A"/>
    <w:rsid w:val="00DD72B7"/>
    <w:rsid w:val="00DD7848"/>
    <w:rsid w:val="00DD7EAF"/>
    <w:rsid w:val="00DE0FBE"/>
    <w:rsid w:val="00DE14EC"/>
    <w:rsid w:val="00DE1B18"/>
    <w:rsid w:val="00DE1D5F"/>
    <w:rsid w:val="00DE20F1"/>
    <w:rsid w:val="00DE21F5"/>
    <w:rsid w:val="00DE2445"/>
    <w:rsid w:val="00DE2792"/>
    <w:rsid w:val="00DE2EB4"/>
    <w:rsid w:val="00DE2F3D"/>
    <w:rsid w:val="00DE3203"/>
    <w:rsid w:val="00DE34E7"/>
    <w:rsid w:val="00DE357C"/>
    <w:rsid w:val="00DE38E9"/>
    <w:rsid w:val="00DE3A21"/>
    <w:rsid w:val="00DE3CE5"/>
    <w:rsid w:val="00DE4063"/>
    <w:rsid w:val="00DE472C"/>
    <w:rsid w:val="00DE5870"/>
    <w:rsid w:val="00DE6EB9"/>
    <w:rsid w:val="00DE7B6E"/>
    <w:rsid w:val="00DF074F"/>
    <w:rsid w:val="00DF0A20"/>
    <w:rsid w:val="00DF12B3"/>
    <w:rsid w:val="00DF1A16"/>
    <w:rsid w:val="00DF1ACA"/>
    <w:rsid w:val="00DF1C08"/>
    <w:rsid w:val="00DF21F4"/>
    <w:rsid w:val="00DF2583"/>
    <w:rsid w:val="00DF26B1"/>
    <w:rsid w:val="00DF2CE5"/>
    <w:rsid w:val="00DF2E7F"/>
    <w:rsid w:val="00DF3158"/>
    <w:rsid w:val="00DF3219"/>
    <w:rsid w:val="00DF3DA5"/>
    <w:rsid w:val="00DF4355"/>
    <w:rsid w:val="00DF4FB9"/>
    <w:rsid w:val="00DF553C"/>
    <w:rsid w:val="00DF6037"/>
    <w:rsid w:val="00DF6922"/>
    <w:rsid w:val="00E0085F"/>
    <w:rsid w:val="00E00B69"/>
    <w:rsid w:val="00E01CA7"/>
    <w:rsid w:val="00E02E95"/>
    <w:rsid w:val="00E033BA"/>
    <w:rsid w:val="00E03692"/>
    <w:rsid w:val="00E0382F"/>
    <w:rsid w:val="00E03980"/>
    <w:rsid w:val="00E041EC"/>
    <w:rsid w:val="00E04715"/>
    <w:rsid w:val="00E047AD"/>
    <w:rsid w:val="00E056A7"/>
    <w:rsid w:val="00E058EE"/>
    <w:rsid w:val="00E061C0"/>
    <w:rsid w:val="00E06220"/>
    <w:rsid w:val="00E06676"/>
    <w:rsid w:val="00E06A0D"/>
    <w:rsid w:val="00E06DF1"/>
    <w:rsid w:val="00E073D9"/>
    <w:rsid w:val="00E075DE"/>
    <w:rsid w:val="00E07AA3"/>
    <w:rsid w:val="00E07AB5"/>
    <w:rsid w:val="00E11DB0"/>
    <w:rsid w:val="00E1213E"/>
    <w:rsid w:val="00E1249C"/>
    <w:rsid w:val="00E12CBB"/>
    <w:rsid w:val="00E12D6C"/>
    <w:rsid w:val="00E12EDF"/>
    <w:rsid w:val="00E1448C"/>
    <w:rsid w:val="00E14B7B"/>
    <w:rsid w:val="00E14D04"/>
    <w:rsid w:val="00E1520B"/>
    <w:rsid w:val="00E15B76"/>
    <w:rsid w:val="00E15F03"/>
    <w:rsid w:val="00E16150"/>
    <w:rsid w:val="00E16787"/>
    <w:rsid w:val="00E16B28"/>
    <w:rsid w:val="00E16D2F"/>
    <w:rsid w:val="00E17B40"/>
    <w:rsid w:val="00E17D6E"/>
    <w:rsid w:val="00E17F71"/>
    <w:rsid w:val="00E21224"/>
    <w:rsid w:val="00E22E87"/>
    <w:rsid w:val="00E2360B"/>
    <w:rsid w:val="00E23C52"/>
    <w:rsid w:val="00E23C67"/>
    <w:rsid w:val="00E23CEF"/>
    <w:rsid w:val="00E240A6"/>
    <w:rsid w:val="00E24BE7"/>
    <w:rsid w:val="00E2574A"/>
    <w:rsid w:val="00E25DE9"/>
    <w:rsid w:val="00E2631F"/>
    <w:rsid w:val="00E26A6B"/>
    <w:rsid w:val="00E27665"/>
    <w:rsid w:val="00E2788E"/>
    <w:rsid w:val="00E278AC"/>
    <w:rsid w:val="00E27BEE"/>
    <w:rsid w:val="00E3052B"/>
    <w:rsid w:val="00E314C0"/>
    <w:rsid w:val="00E31710"/>
    <w:rsid w:val="00E31AD7"/>
    <w:rsid w:val="00E32188"/>
    <w:rsid w:val="00E32490"/>
    <w:rsid w:val="00E32616"/>
    <w:rsid w:val="00E328D8"/>
    <w:rsid w:val="00E32CE2"/>
    <w:rsid w:val="00E32D37"/>
    <w:rsid w:val="00E33C12"/>
    <w:rsid w:val="00E33C67"/>
    <w:rsid w:val="00E33F65"/>
    <w:rsid w:val="00E34142"/>
    <w:rsid w:val="00E3420B"/>
    <w:rsid w:val="00E3495E"/>
    <w:rsid w:val="00E35F46"/>
    <w:rsid w:val="00E37667"/>
    <w:rsid w:val="00E4022B"/>
    <w:rsid w:val="00E406DA"/>
    <w:rsid w:val="00E40ADA"/>
    <w:rsid w:val="00E40B89"/>
    <w:rsid w:val="00E41423"/>
    <w:rsid w:val="00E415FC"/>
    <w:rsid w:val="00E4170E"/>
    <w:rsid w:val="00E41BE9"/>
    <w:rsid w:val="00E41D81"/>
    <w:rsid w:val="00E43398"/>
    <w:rsid w:val="00E435C9"/>
    <w:rsid w:val="00E43FB8"/>
    <w:rsid w:val="00E44214"/>
    <w:rsid w:val="00E44A83"/>
    <w:rsid w:val="00E44BFF"/>
    <w:rsid w:val="00E44C59"/>
    <w:rsid w:val="00E44E8D"/>
    <w:rsid w:val="00E4549D"/>
    <w:rsid w:val="00E45BF2"/>
    <w:rsid w:val="00E45DEA"/>
    <w:rsid w:val="00E47684"/>
    <w:rsid w:val="00E50C4C"/>
    <w:rsid w:val="00E51829"/>
    <w:rsid w:val="00E51E11"/>
    <w:rsid w:val="00E528AD"/>
    <w:rsid w:val="00E5372D"/>
    <w:rsid w:val="00E54291"/>
    <w:rsid w:val="00E5459C"/>
    <w:rsid w:val="00E549C2"/>
    <w:rsid w:val="00E557B5"/>
    <w:rsid w:val="00E559A7"/>
    <w:rsid w:val="00E56127"/>
    <w:rsid w:val="00E56BD8"/>
    <w:rsid w:val="00E56DC2"/>
    <w:rsid w:val="00E56F3C"/>
    <w:rsid w:val="00E56F48"/>
    <w:rsid w:val="00E57B6A"/>
    <w:rsid w:val="00E60952"/>
    <w:rsid w:val="00E60DB2"/>
    <w:rsid w:val="00E61E23"/>
    <w:rsid w:val="00E620A6"/>
    <w:rsid w:val="00E6210D"/>
    <w:rsid w:val="00E62171"/>
    <w:rsid w:val="00E62768"/>
    <w:rsid w:val="00E6462C"/>
    <w:rsid w:val="00E658EB"/>
    <w:rsid w:val="00E65BCA"/>
    <w:rsid w:val="00E66365"/>
    <w:rsid w:val="00E666EB"/>
    <w:rsid w:val="00E66F2C"/>
    <w:rsid w:val="00E6726B"/>
    <w:rsid w:val="00E676F1"/>
    <w:rsid w:val="00E676F9"/>
    <w:rsid w:val="00E67882"/>
    <w:rsid w:val="00E70455"/>
    <w:rsid w:val="00E71702"/>
    <w:rsid w:val="00E719D3"/>
    <w:rsid w:val="00E71D9C"/>
    <w:rsid w:val="00E71E37"/>
    <w:rsid w:val="00E720FE"/>
    <w:rsid w:val="00E72A86"/>
    <w:rsid w:val="00E72C29"/>
    <w:rsid w:val="00E73019"/>
    <w:rsid w:val="00E73583"/>
    <w:rsid w:val="00E74EE7"/>
    <w:rsid w:val="00E76782"/>
    <w:rsid w:val="00E76956"/>
    <w:rsid w:val="00E76B49"/>
    <w:rsid w:val="00E77030"/>
    <w:rsid w:val="00E777A7"/>
    <w:rsid w:val="00E779CB"/>
    <w:rsid w:val="00E8050E"/>
    <w:rsid w:val="00E80B80"/>
    <w:rsid w:val="00E811AD"/>
    <w:rsid w:val="00E814BC"/>
    <w:rsid w:val="00E81603"/>
    <w:rsid w:val="00E81A4E"/>
    <w:rsid w:val="00E81C41"/>
    <w:rsid w:val="00E81D46"/>
    <w:rsid w:val="00E83B3D"/>
    <w:rsid w:val="00E83D1B"/>
    <w:rsid w:val="00E8420B"/>
    <w:rsid w:val="00E84AB4"/>
    <w:rsid w:val="00E84B48"/>
    <w:rsid w:val="00E84EBF"/>
    <w:rsid w:val="00E8590A"/>
    <w:rsid w:val="00E85F38"/>
    <w:rsid w:val="00E85F64"/>
    <w:rsid w:val="00E861A8"/>
    <w:rsid w:val="00E86216"/>
    <w:rsid w:val="00E86A89"/>
    <w:rsid w:val="00E86ED2"/>
    <w:rsid w:val="00E8754C"/>
    <w:rsid w:val="00E87629"/>
    <w:rsid w:val="00E87846"/>
    <w:rsid w:val="00E87853"/>
    <w:rsid w:val="00E90423"/>
    <w:rsid w:val="00E9047F"/>
    <w:rsid w:val="00E90630"/>
    <w:rsid w:val="00E90C42"/>
    <w:rsid w:val="00E91621"/>
    <w:rsid w:val="00E91759"/>
    <w:rsid w:val="00E91C47"/>
    <w:rsid w:val="00E91D47"/>
    <w:rsid w:val="00E92935"/>
    <w:rsid w:val="00E936FA"/>
    <w:rsid w:val="00E94496"/>
    <w:rsid w:val="00E949D3"/>
    <w:rsid w:val="00E94C45"/>
    <w:rsid w:val="00E953C0"/>
    <w:rsid w:val="00E95E30"/>
    <w:rsid w:val="00E96473"/>
    <w:rsid w:val="00E9686D"/>
    <w:rsid w:val="00E97928"/>
    <w:rsid w:val="00E97A5E"/>
    <w:rsid w:val="00EA0D57"/>
    <w:rsid w:val="00EA0E45"/>
    <w:rsid w:val="00EA1EAD"/>
    <w:rsid w:val="00EA205B"/>
    <w:rsid w:val="00EA4907"/>
    <w:rsid w:val="00EA4974"/>
    <w:rsid w:val="00EA4A2E"/>
    <w:rsid w:val="00EA5490"/>
    <w:rsid w:val="00EA5618"/>
    <w:rsid w:val="00EA5CB4"/>
    <w:rsid w:val="00EA5FF7"/>
    <w:rsid w:val="00EA6303"/>
    <w:rsid w:val="00EA6872"/>
    <w:rsid w:val="00EA6B90"/>
    <w:rsid w:val="00EA6EA1"/>
    <w:rsid w:val="00EA7A0F"/>
    <w:rsid w:val="00EA7FDA"/>
    <w:rsid w:val="00EB01A1"/>
    <w:rsid w:val="00EB04B5"/>
    <w:rsid w:val="00EB0B41"/>
    <w:rsid w:val="00EB1073"/>
    <w:rsid w:val="00EB199B"/>
    <w:rsid w:val="00EB19BD"/>
    <w:rsid w:val="00EB210B"/>
    <w:rsid w:val="00EB269D"/>
    <w:rsid w:val="00EB2979"/>
    <w:rsid w:val="00EB2D46"/>
    <w:rsid w:val="00EB39F9"/>
    <w:rsid w:val="00EB3BCE"/>
    <w:rsid w:val="00EB47E5"/>
    <w:rsid w:val="00EB5877"/>
    <w:rsid w:val="00EB5CAD"/>
    <w:rsid w:val="00EB621E"/>
    <w:rsid w:val="00EB65A1"/>
    <w:rsid w:val="00EB6633"/>
    <w:rsid w:val="00EB6833"/>
    <w:rsid w:val="00EB684B"/>
    <w:rsid w:val="00EB7939"/>
    <w:rsid w:val="00EB7C89"/>
    <w:rsid w:val="00EC04FD"/>
    <w:rsid w:val="00EC0DD2"/>
    <w:rsid w:val="00EC0E73"/>
    <w:rsid w:val="00EC1543"/>
    <w:rsid w:val="00EC23B5"/>
    <w:rsid w:val="00EC25DC"/>
    <w:rsid w:val="00EC2C2F"/>
    <w:rsid w:val="00EC2CF2"/>
    <w:rsid w:val="00EC3159"/>
    <w:rsid w:val="00EC323A"/>
    <w:rsid w:val="00EC34E3"/>
    <w:rsid w:val="00EC3D4A"/>
    <w:rsid w:val="00EC4304"/>
    <w:rsid w:val="00EC4820"/>
    <w:rsid w:val="00EC56F1"/>
    <w:rsid w:val="00EC5DD1"/>
    <w:rsid w:val="00EC70F7"/>
    <w:rsid w:val="00EC7EB7"/>
    <w:rsid w:val="00ED053F"/>
    <w:rsid w:val="00ED1A2D"/>
    <w:rsid w:val="00ED1CAE"/>
    <w:rsid w:val="00ED21B4"/>
    <w:rsid w:val="00ED241C"/>
    <w:rsid w:val="00ED28D4"/>
    <w:rsid w:val="00ED2F2E"/>
    <w:rsid w:val="00ED3A50"/>
    <w:rsid w:val="00ED4235"/>
    <w:rsid w:val="00ED45A5"/>
    <w:rsid w:val="00ED46D7"/>
    <w:rsid w:val="00ED542F"/>
    <w:rsid w:val="00ED6A8D"/>
    <w:rsid w:val="00ED6B2E"/>
    <w:rsid w:val="00ED710B"/>
    <w:rsid w:val="00ED7133"/>
    <w:rsid w:val="00ED788F"/>
    <w:rsid w:val="00EE0223"/>
    <w:rsid w:val="00EE11F8"/>
    <w:rsid w:val="00EE2328"/>
    <w:rsid w:val="00EE27E2"/>
    <w:rsid w:val="00EE2819"/>
    <w:rsid w:val="00EE2AE0"/>
    <w:rsid w:val="00EE2EC4"/>
    <w:rsid w:val="00EE31A8"/>
    <w:rsid w:val="00EE33D3"/>
    <w:rsid w:val="00EE38B4"/>
    <w:rsid w:val="00EE392A"/>
    <w:rsid w:val="00EE3F23"/>
    <w:rsid w:val="00EE526B"/>
    <w:rsid w:val="00EE59ED"/>
    <w:rsid w:val="00EE60CE"/>
    <w:rsid w:val="00EE6168"/>
    <w:rsid w:val="00EE6853"/>
    <w:rsid w:val="00EE6C9F"/>
    <w:rsid w:val="00EE7E5F"/>
    <w:rsid w:val="00EF0038"/>
    <w:rsid w:val="00EF04B9"/>
    <w:rsid w:val="00EF067D"/>
    <w:rsid w:val="00EF1038"/>
    <w:rsid w:val="00EF105D"/>
    <w:rsid w:val="00EF24F5"/>
    <w:rsid w:val="00EF2565"/>
    <w:rsid w:val="00EF27D0"/>
    <w:rsid w:val="00EF28B1"/>
    <w:rsid w:val="00EF2DE8"/>
    <w:rsid w:val="00EF32F6"/>
    <w:rsid w:val="00EF4580"/>
    <w:rsid w:val="00EF539F"/>
    <w:rsid w:val="00EF5810"/>
    <w:rsid w:val="00EF5C4F"/>
    <w:rsid w:val="00EF662C"/>
    <w:rsid w:val="00EF6928"/>
    <w:rsid w:val="00F016E4"/>
    <w:rsid w:val="00F038E3"/>
    <w:rsid w:val="00F03C06"/>
    <w:rsid w:val="00F04097"/>
    <w:rsid w:val="00F045E2"/>
    <w:rsid w:val="00F04F56"/>
    <w:rsid w:val="00F05409"/>
    <w:rsid w:val="00F0550C"/>
    <w:rsid w:val="00F063ED"/>
    <w:rsid w:val="00F0689B"/>
    <w:rsid w:val="00F068F7"/>
    <w:rsid w:val="00F06E52"/>
    <w:rsid w:val="00F06F62"/>
    <w:rsid w:val="00F07279"/>
    <w:rsid w:val="00F07EC3"/>
    <w:rsid w:val="00F100E0"/>
    <w:rsid w:val="00F10625"/>
    <w:rsid w:val="00F1079D"/>
    <w:rsid w:val="00F10A53"/>
    <w:rsid w:val="00F11209"/>
    <w:rsid w:val="00F11C39"/>
    <w:rsid w:val="00F11CEB"/>
    <w:rsid w:val="00F1239B"/>
    <w:rsid w:val="00F1248F"/>
    <w:rsid w:val="00F1264C"/>
    <w:rsid w:val="00F13573"/>
    <w:rsid w:val="00F14673"/>
    <w:rsid w:val="00F1469A"/>
    <w:rsid w:val="00F147BE"/>
    <w:rsid w:val="00F1480E"/>
    <w:rsid w:val="00F149A3"/>
    <w:rsid w:val="00F14FB0"/>
    <w:rsid w:val="00F15443"/>
    <w:rsid w:val="00F159C3"/>
    <w:rsid w:val="00F15BD1"/>
    <w:rsid w:val="00F1677E"/>
    <w:rsid w:val="00F1767B"/>
    <w:rsid w:val="00F20E6E"/>
    <w:rsid w:val="00F20F17"/>
    <w:rsid w:val="00F20FC7"/>
    <w:rsid w:val="00F211C1"/>
    <w:rsid w:val="00F21EEB"/>
    <w:rsid w:val="00F23077"/>
    <w:rsid w:val="00F234F2"/>
    <w:rsid w:val="00F23B62"/>
    <w:rsid w:val="00F23BCE"/>
    <w:rsid w:val="00F25F15"/>
    <w:rsid w:val="00F26877"/>
    <w:rsid w:val="00F26C20"/>
    <w:rsid w:val="00F26C2C"/>
    <w:rsid w:val="00F27165"/>
    <w:rsid w:val="00F27A80"/>
    <w:rsid w:val="00F27D16"/>
    <w:rsid w:val="00F30562"/>
    <w:rsid w:val="00F30CB3"/>
    <w:rsid w:val="00F312E0"/>
    <w:rsid w:val="00F3163A"/>
    <w:rsid w:val="00F31A97"/>
    <w:rsid w:val="00F31E33"/>
    <w:rsid w:val="00F320EB"/>
    <w:rsid w:val="00F32803"/>
    <w:rsid w:val="00F3289C"/>
    <w:rsid w:val="00F32E30"/>
    <w:rsid w:val="00F3344A"/>
    <w:rsid w:val="00F3372C"/>
    <w:rsid w:val="00F33FEC"/>
    <w:rsid w:val="00F35842"/>
    <w:rsid w:val="00F36501"/>
    <w:rsid w:val="00F36694"/>
    <w:rsid w:val="00F36CD4"/>
    <w:rsid w:val="00F36EE4"/>
    <w:rsid w:val="00F3767D"/>
    <w:rsid w:val="00F37B21"/>
    <w:rsid w:val="00F37E07"/>
    <w:rsid w:val="00F4093E"/>
    <w:rsid w:val="00F4170C"/>
    <w:rsid w:val="00F41879"/>
    <w:rsid w:val="00F41CFF"/>
    <w:rsid w:val="00F4207A"/>
    <w:rsid w:val="00F4243B"/>
    <w:rsid w:val="00F424F1"/>
    <w:rsid w:val="00F42646"/>
    <w:rsid w:val="00F42EA6"/>
    <w:rsid w:val="00F43598"/>
    <w:rsid w:val="00F43A0D"/>
    <w:rsid w:val="00F43F6D"/>
    <w:rsid w:val="00F43FDE"/>
    <w:rsid w:val="00F45A39"/>
    <w:rsid w:val="00F4667C"/>
    <w:rsid w:val="00F46963"/>
    <w:rsid w:val="00F47047"/>
    <w:rsid w:val="00F4722A"/>
    <w:rsid w:val="00F501D2"/>
    <w:rsid w:val="00F50392"/>
    <w:rsid w:val="00F50828"/>
    <w:rsid w:val="00F50A95"/>
    <w:rsid w:val="00F50AA7"/>
    <w:rsid w:val="00F511C1"/>
    <w:rsid w:val="00F512B2"/>
    <w:rsid w:val="00F51C83"/>
    <w:rsid w:val="00F52B07"/>
    <w:rsid w:val="00F53002"/>
    <w:rsid w:val="00F53734"/>
    <w:rsid w:val="00F54714"/>
    <w:rsid w:val="00F54BA2"/>
    <w:rsid w:val="00F54BD5"/>
    <w:rsid w:val="00F54F48"/>
    <w:rsid w:val="00F558D4"/>
    <w:rsid w:val="00F55FFC"/>
    <w:rsid w:val="00F56F60"/>
    <w:rsid w:val="00F571CE"/>
    <w:rsid w:val="00F577C6"/>
    <w:rsid w:val="00F57800"/>
    <w:rsid w:val="00F603F5"/>
    <w:rsid w:val="00F6185D"/>
    <w:rsid w:val="00F62238"/>
    <w:rsid w:val="00F62391"/>
    <w:rsid w:val="00F62A2D"/>
    <w:rsid w:val="00F6306A"/>
    <w:rsid w:val="00F6350B"/>
    <w:rsid w:val="00F63856"/>
    <w:rsid w:val="00F63A0E"/>
    <w:rsid w:val="00F642E8"/>
    <w:rsid w:val="00F64B72"/>
    <w:rsid w:val="00F64FC3"/>
    <w:rsid w:val="00F6516D"/>
    <w:rsid w:val="00F65390"/>
    <w:rsid w:val="00F65A96"/>
    <w:rsid w:val="00F65B4B"/>
    <w:rsid w:val="00F66F43"/>
    <w:rsid w:val="00F679A1"/>
    <w:rsid w:val="00F7113A"/>
    <w:rsid w:val="00F7132A"/>
    <w:rsid w:val="00F71859"/>
    <w:rsid w:val="00F721EA"/>
    <w:rsid w:val="00F72591"/>
    <w:rsid w:val="00F72B0E"/>
    <w:rsid w:val="00F72BF8"/>
    <w:rsid w:val="00F72D40"/>
    <w:rsid w:val="00F72F42"/>
    <w:rsid w:val="00F731D2"/>
    <w:rsid w:val="00F73A5D"/>
    <w:rsid w:val="00F73C9D"/>
    <w:rsid w:val="00F73CF7"/>
    <w:rsid w:val="00F73E94"/>
    <w:rsid w:val="00F7493A"/>
    <w:rsid w:val="00F74948"/>
    <w:rsid w:val="00F74FA0"/>
    <w:rsid w:val="00F75320"/>
    <w:rsid w:val="00F75913"/>
    <w:rsid w:val="00F76222"/>
    <w:rsid w:val="00F766A0"/>
    <w:rsid w:val="00F76D63"/>
    <w:rsid w:val="00F77748"/>
    <w:rsid w:val="00F77E2A"/>
    <w:rsid w:val="00F8050A"/>
    <w:rsid w:val="00F80C8A"/>
    <w:rsid w:val="00F81169"/>
    <w:rsid w:val="00F8129E"/>
    <w:rsid w:val="00F81908"/>
    <w:rsid w:val="00F8204F"/>
    <w:rsid w:val="00F82251"/>
    <w:rsid w:val="00F83339"/>
    <w:rsid w:val="00F83651"/>
    <w:rsid w:val="00F84776"/>
    <w:rsid w:val="00F84CA9"/>
    <w:rsid w:val="00F85A8A"/>
    <w:rsid w:val="00F85E5F"/>
    <w:rsid w:val="00F8681C"/>
    <w:rsid w:val="00F86A87"/>
    <w:rsid w:val="00F86C07"/>
    <w:rsid w:val="00F86FC8"/>
    <w:rsid w:val="00F87678"/>
    <w:rsid w:val="00F87A7C"/>
    <w:rsid w:val="00F87C61"/>
    <w:rsid w:val="00F90622"/>
    <w:rsid w:val="00F912FF"/>
    <w:rsid w:val="00F91577"/>
    <w:rsid w:val="00F91AC5"/>
    <w:rsid w:val="00F933AD"/>
    <w:rsid w:val="00F9431A"/>
    <w:rsid w:val="00F94CF3"/>
    <w:rsid w:val="00F957C9"/>
    <w:rsid w:val="00F96182"/>
    <w:rsid w:val="00F963DA"/>
    <w:rsid w:val="00F9643D"/>
    <w:rsid w:val="00F96646"/>
    <w:rsid w:val="00F967F7"/>
    <w:rsid w:val="00F969B9"/>
    <w:rsid w:val="00F973D4"/>
    <w:rsid w:val="00FA106A"/>
    <w:rsid w:val="00FA1EC5"/>
    <w:rsid w:val="00FA2240"/>
    <w:rsid w:val="00FA225E"/>
    <w:rsid w:val="00FA27B3"/>
    <w:rsid w:val="00FA38FE"/>
    <w:rsid w:val="00FA5B44"/>
    <w:rsid w:val="00FA6223"/>
    <w:rsid w:val="00FA68B5"/>
    <w:rsid w:val="00FA711F"/>
    <w:rsid w:val="00FA7753"/>
    <w:rsid w:val="00FA77BD"/>
    <w:rsid w:val="00FB023F"/>
    <w:rsid w:val="00FB0560"/>
    <w:rsid w:val="00FB1834"/>
    <w:rsid w:val="00FB188E"/>
    <w:rsid w:val="00FB20FB"/>
    <w:rsid w:val="00FB21C9"/>
    <w:rsid w:val="00FB240E"/>
    <w:rsid w:val="00FB280F"/>
    <w:rsid w:val="00FB3415"/>
    <w:rsid w:val="00FB35FD"/>
    <w:rsid w:val="00FB416C"/>
    <w:rsid w:val="00FB44B4"/>
    <w:rsid w:val="00FB5009"/>
    <w:rsid w:val="00FB5309"/>
    <w:rsid w:val="00FB536C"/>
    <w:rsid w:val="00FB5814"/>
    <w:rsid w:val="00FB645F"/>
    <w:rsid w:val="00FB695E"/>
    <w:rsid w:val="00FB6F5B"/>
    <w:rsid w:val="00FB791F"/>
    <w:rsid w:val="00FB7943"/>
    <w:rsid w:val="00FB7C6D"/>
    <w:rsid w:val="00FB7F47"/>
    <w:rsid w:val="00FC0C9A"/>
    <w:rsid w:val="00FC1B2C"/>
    <w:rsid w:val="00FC2034"/>
    <w:rsid w:val="00FC247E"/>
    <w:rsid w:val="00FC24E9"/>
    <w:rsid w:val="00FC251E"/>
    <w:rsid w:val="00FC2C6F"/>
    <w:rsid w:val="00FC2DF9"/>
    <w:rsid w:val="00FC317E"/>
    <w:rsid w:val="00FC3FA0"/>
    <w:rsid w:val="00FC49E2"/>
    <w:rsid w:val="00FC4C5F"/>
    <w:rsid w:val="00FC4C81"/>
    <w:rsid w:val="00FC503A"/>
    <w:rsid w:val="00FC58F4"/>
    <w:rsid w:val="00FC6D9B"/>
    <w:rsid w:val="00FC74D0"/>
    <w:rsid w:val="00FC7517"/>
    <w:rsid w:val="00FC799F"/>
    <w:rsid w:val="00FD0020"/>
    <w:rsid w:val="00FD007A"/>
    <w:rsid w:val="00FD071E"/>
    <w:rsid w:val="00FD11D9"/>
    <w:rsid w:val="00FD11F8"/>
    <w:rsid w:val="00FD1613"/>
    <w:rsid w:val="00FD18ED"/>
    <w:rsid w:val="00FD1A4B"/>
    <w:rsid w:val="00FD1B7C"/>
    <w:rsid w:val="00FD335A"/>
    <w:rsid w:val="00FD36F8"/>
    <w:rsid w:val="00FD3A87"/>
    <w:rsid w:val="00FD3E09"/>
    <w:rsid w:val="00FD3F57"/>
    <w:rsid w:val="00FD4326"/>
    <w:rsid w:val="00FD4BC6"/>
    <w:rsid w:val="00FD54D1"/>
    <w:rsid w:val="00FD56DD"/>
    <w:rsid w:val="00FD5C7D"/>
    <w:rsid w:val="00FD6A99"/>
    <w:rsid w:val="00FD6EFD"/>
    <w:rsid w:val="00FD70DF"/>
    <w:rsid w:val="00FD7919"/>
    <w:rsid w:val="00FE084A"/>
    <w:rsid w:val="00FE098C"/>
    <w:rsid w:val="00FE0AF5"/>
    <w:rsid w:val="00FE0BAC"/>
    <w:rsid w:val="00FE0D21"/>
    <w:rsid w:val="00FE162B"/>
    <w:rsid w:val="00FE21E9"/>
    <w:rsid w:val="00FE28DD"/>
    <w:rsid w:val="00FE2D16"/>
    <w:rsid w:val="00FE31B2"/>
    <w:rsid w:val="00FE3665"/>
    <w:rsid w:val="00FE3716"/>
    <w:rsid w:val="00FE3D20"/>
    <w:rsid w:val="00FE44B0"/>
    <w:rsid w:val="00FE4D74"/>
    <w:rsid w:val="00FE4FCE"/>
    <w:rsid w:val="00FE5355"/>
    <w:rsid w:val="00FE559F"/>
    <w:rsid w:val="00FE6B63"/>
    <w:rsid w:val="00FE6C1B"/>
    <w:rsid w:val="00FE7473"/>
    <w:rsid w:val="00FE77A6"/>
    <w:rsid w:val="00FE78C0"/>
    <w:rsid w:val="00FE7B51"/>
    <w:rsid w:val="00FE7E3F"/>
    <w:rsid w:val="00FE7EED"/>
    <w:rsid w:val="00FF032A"/>
    <w:rsid w:val="00FF0CD1"/>
    <w:rsid w:val="00FF0F4C"/>
    <w:rsid w:val="00FF2079"/>
    <w:rsid w:val="00FF2648"/>
    <w:rsid w:val="00FF2CF2"/>
    <w:rsid w:val="00FF33A9"/>
    <w:rsid w:val="00FF3582"/>
    <w:rsid w:val="00FF3907"/>
    <w:rsid w:val="00FF3BC9"/>
    <w:rsid w:val="00FF42B1"/>
    <w:rsid w:val="00FF42C3"/>
    <w:rsid w:val="00FF4F68"/>
    <w:rsid w:val="00FF5044"/>
    <w:rsid w:val="00FF52DE"/>
    <w:rsid w:val="00FF565C"/>
    <w:rsid w:val="00FF5F0C"/>
    <w:rsid w:val="00FF601C"/>
    <w:rsid w:val="00FF61B2"/>
    <w:rsid w:val="00FF64BE"/>
    <w:rsid w:val="00FF70B5"/>
    <w:rsid w:val="00FF7189"/>
    <w:rsid w:val="00FF7721"/>
    <w:rsid w:val="00FF7B15"/>
    <w:rsid w:val="00FF7F30"/>
    <w:rsid w:val="011A11A4"/>
    <w:rsid w:val="014B5B44"/>
    <w:rsid w:val="018C5F7F"/>
    <w:rsid w:val="01BE4069"/>
    <w:rsid w:val="01BE5800"/>
    <w:rsid w:val="01C66FA2"/>
    <w:rsid w:val="01E46F65"/>
    <w:rsid w:val="023A5F85"/>
    <w:rsid w:val="0284231A"/>
    <w:rsid w:val="02A8425B"/>
    <w:rsid w:val="02E536DD"/>
    <w:rsid w:val="03AD10E5"/>
    <w:rsid w:val="03F06C42"/>
    <w:rsid w:val="041B3357"/>
    <w:rsid w:val="04C34346"/>
    <w:rsid w:val="04E30437"/>
    <w:rsid w:val="057D6BA7"/>
    <w:rsid w:val="05F41FAA"/>
    <w:rsid w:val="063B78DC"/>
    <w:rsid w:val="076E0F6D"/>
    <w:rsid w:val="0781151E"/>
    <w:rsid w:val="07E84F31"/>
    <w:rsid w:val="0839529D"/>
    <w:rsid w:val="09974C33"/>
    <w:rsid w:val="09B82947"/>
    <w:rsid w:val="0AB5719A"/>
    <w:rsid w:val="0BF958C7"/>
    <w:rsid w:val="0C143CD0"/>
    <w:rsid w:val="0C395F54"/>
    <w:rsid w:val="0C3F3332"/>
    <w:rsid w:val="0C5A09A9"/>
    <w:rsid w:val="0C72137D"/>
    <w:rsid w:val="0CDB719E"/>
    <w:rsid w:val="0E0812B7"/>
    <w:rsid w:val="0E4D3F08"/>
    <w:rsid w:val="0EAB6A73"/>
    <w:rsid w:val="0F4D0707"/>
    <w:rsid w:val="0FBA2A45"/>
    <w:rsid w:val="0FC41654"/>
    <w:rsid w:val="0FDE7285"/>
    <w:rsid w:val="106650DA"/>
    <w:rsid w:val="11280AE6"/>
    <w:rsid w:val="118C2ED5"/>
    <w:rsid w:val="11B83D31"/>
    <w:rsid w:val="123F6BB3"/>
    <w:rsid w:val="12795B29"/>
    <w:rsid w:val="12BE7183"/>
    <w:rsid w:val="12F62B63"/>
    <w:rsid w:val="13696837"/>
    <w:rsid w:val="13B31AEC"/>
    <w:rsid w:val="13B32A60"/>
    <w:rsid w:val="13EB4331"/>
    <w:rsid w:val="13EC4843"/>
    <w:rsid w:val="13FE3FBA"/>
    <w:rsid w:val="140E1568"/>
    <w:rsid w:val="14404369"/>
    <w:rsid w:val="15233C15"/>
    <w:rsid w:val="175C5D77"/>
    <w:rsid w:val="175D674F"/>
    <w:rsid w:val="17CD2550"/>
    <w:rsid w:val="18114189"/>
    <w:rsid w:val="187C6497"/>
    <w:rsid w:val="18F06F2D"/>
    <w:rsid w:val="18F7519C"/>
    <w:rsid w:val="19421A22"/>
    <w:rsid w:val="19AD7F51"/>
    <w:rsid w:val="19E46B61"/>
    <w:rsid w:val="1A032568"/>
    <w:rsid w:val="1BA50D14"/>
    <w:rsid w:val="1BA677E7"/>
    <w:rsid w:val="1C27598D"/>
    <w:rsid w:val="1C625D30"/>
    <w:rsid w:val="1C7671E3"/>
    <w:rsid w:val="1C777601"/>
    <w:rsid w:val="1C8A493E"/>
    <w:rsid w:val="1C9E0249"/>
    <w:rsid w:val="1CBD66FD"/>
    <w:rsid w:val="1CCB6998"/>
    <w:rsid w:val="1CD6623F"/>
    <w:rsid w:val="1CF90898"/>
    <w:rsid w:val="1CFA0FE7"/>
    <w:rsid w:val="1CFF1447"/>
    <w:rsid w:val="1D082136"/>
    <w:rsid w:val="1D8C69C4"/>
    <w:rsid w:val="1D8E7412"/>
    <w:rsid w:val="1DC05AE9"/>
    <w:rsid w:val="1DCD6699"/>
    <w:rsid w:val="1DE303E5"/>
    <w:rsid w:val="1E1C7C6C"/>
    <w:rsid w:val="1E786F00"/>
    <w:rsid w:val="1F1F65F5"/>
    <w:rsid w:val="1F343C02"/>
    <w:rsid w:val="1F534907"/>
    <w:rsid w:val="1FAC7E53"/>
    <w:rsid w:val="1FB7496C"/>
    <w:rsid w:val="1FC4344E"/>
    <w:rsid w:val="1FC517F2"/>
    <w:rsid w:val="20346CD6"/>
    <w:rsid w:val="203E7119"/>
    <w:rsid w:val="20517FE3"/>
    <w:rsid w:val="205E17D1"/>
    <w:rsid w:val="20CE2C18"/>
    <w:rsid w:val="217C1DAF"/>
    <w:rsid w:val="218220DE"/>
    <w:rsid w:val="21D53029"/>
    <w:rsid w:val="22130B27"/>
    <w:rsid w:val="222C76C6"/>
    <w:rsid w:val="22315CB5"/>
    <w:rsid w:val="22466CF3"/>
    <w:rsid w:val="22A344E7"/>
    <w:rsid w:val="22DE3197"/>
    <w:rsid w:val="23060F37"/>
    <w:rsid w:val="230E0741"/>
    <w:rsid w:val="237E7691"/>
    <w:rsid w:val="23F63E16"/>
    <w:rsid w:val="243A32C2"/>
    <w:rsid w:val="247F2B3F"/>
    <w:rsid w:val="249F4C5C"/>
    <w:rsid w:val="25093A3B"/>
    <w:rsid w:val="25236D0D"/>
    <w:rsid w:val="252F645D"/>
    <w:rsid w:val="255617B4"/>
    <w:rsid w:val="258858A9"/>
    <w:rsid w:val="25A87D46"/>
    <w:rsid w:val="26565004"/>
    <w:rsid w:val="26757E2C"/>
    <w:rsid w:val="26790701"/>
    <w:rsid w:val="26EE17FA"/>
    <w:rsid w:val="273508EE"/>
    <w:rsid w:val="27483692"/>
    <w:rsid w:val="276F6E45"/>
    <w:rsid w:val="278066D7"/>
    <w:rsid w:val="27827B0F"/>
    <w:rsid w:val="27886287"/>
    <w:rsid w:val="27D74B17"/>
    <w:rsid w:val="27F53526"/>
    <w:rsid w:val="27FA5E76"/>
    <w:rsid w:val="281573ED"/>
    <w:rsid w:val="28690FE5"/>
    <w:rsid w:val="288E2BD2"/>
    <w:rsid w:val="28DC50AB"/>
    <w:rsid w:val="28E55271"/>
    <w:rsid w:val="28EF1CB6"/>
    <w:rsid w:val="2923374B"/>
    <w:rsid w:val="29BD796F"/>
    <w:rsid w:val="2A832011"/>
    <w:rsid w:val="2AAC3644"/>
    <w:rsid w:val="2ABB0C35"/>
    <w:rsid w:val="2B563448"/>
    <w:rsid w:val="2B8946FF"/>
    <w:rsid w:val="2C0A4741"/>
    <w:rsid w:val="2CB2345D"/>
    <w:rsid w:val="2CF86E08"/>
    <w:rsid w:val="2D014DE9"/>
    <w:rsid w:val="2D5B7F98"/>
    <w:rsid w:val="2D9B15EF"/>
    <w:rsid w:val="2E304308"/>
    <w:rsid w:val="2EB26D79"/>
    <w:rsid w:val="2F7145F4"/>
    <w:rsid w:val="303B7C0D"/>
    <w:rsid w:val="30580298"/>
    <w:rsid w:val="30646F90"/>
    <w:rsid w:val="30CB0402"/>
    <w:rsid w:val="31F246D5"/>
    <w:rsid w:val="324D2681"/>
    <w:rsid w:val="32AC769E"/>
    <w:rsid w:val="32C75788"/>
    <w:rsid w:val="32CC59DA"/>
    <w:rsid w:val="34457450"/>
    <w:rsid w:val="34C8178A"/>
    <w:rsid w:val="34CA1F22"/>
    <w:rsid w:val="34E05800"/>
    <w:rsid w:val="35147335"/>
    <w:rsid w:val="35373F98"/>
    <w:rsid w:val="358E6A31"/>
    <w:rsid w:val="363B7932"/>
    <w:rsid w:val="36820344"/>
    <w:rsid w:val="3695477A"/>
    <w:rsid w:val="36D15C2A"/>
    <w:rsid w:val="36FA4BBC"/>
    <w:rsid w:val="371D61FE"/>
    <w:rsid w:val="373D40D8"/>
    <w:rsid w:val="374B5AC3"/>
    <w:rsid w:val="3793414D"/>
    <w:rsid w:val="38187E4F"/>
    <w:rsid w:val="3820445B"/>
    <w:rsid w:val="38210467"/>
    <w:rsid w:val="382D42DF"/>
    <w:rsid w:val="38401B73"/>
    <w:rsid w:val="384B1D2A"/>
    <w:rsid w:val="39011F17"/>
    <w:rsid w:val="392751D2"/>
    <w:rsid w:val="39780BBB"/>
    <w:rsid w:val="39D617F2"/>
    <w:rsid w:val="3A1E77FC"/>
    <w:rsid w:val="3AA107FF"/>
    <w:rsid w:val="3B731AB5"/>
    <w:rsid w:val="3B7D529B"/>
    <w:rsid w:val="3B833738"/>
    <w:rsid w:val="3B874762"/>
    <w:rsid w:val="3C2527C5"/>
    <w:rsid w:val="3D3F3F96"/>
    <w:rsid w:val="3D6F75C9"/>
    <w:rsid w:val="3DE90F01"/>
    <w:rsid w:val="3E266E35"/>
    <w:rsid w:val="3F7F04D5"/>
    <w:rsid w:val="3F890995"/>
    <w:rsid w:val="40A005F0"/>
    <w:rsid w:val="41370D01"/>
    <w:rsid w:val="417E1386"/>
    <w:rsid w:val="422B6BF4"/>
    <w:rsid w:val="42347713"/>
    <w:rsid w:val="43B00A8F"/>
    <w:rsid w:val="44352E99"/>
    <w:rsid w:val="45511B47"/>
    <w:rsid w:val="45A15DDB"/>
    <w:rsid w:val="45A24E61"/>
    <w:rsid w:val="45B22926"/>
    <w:rsid w:val="46006A45"/>
    <w:rsid w:val="4681712C"/>
    <w:rsid w:val="468B6718"/>
    <w:rsid w:val="473B23EB"/>
    <w:rsid w:val="47B24801"/>
    <w:rsid w:val="47B32EAB"/>
    <w:rsid w:val="47C40E8C"/>
    <w:rsid w:val="48B1218F"/>
    <w:rsid w:val="48B14AB0"/>
    <w:rsid w:val="48D6123C"/>
    <w:rsid w:val="48D70BE7"/>
    <w:rsid w:val="49150F51"/>
    <w:rsid w:val="49480BD4"/>
    <w:rsid w:val="499F04DF"/>
    <w:rsid w:val="49CB3BFF"/>
    <w:rsid w:val="4A1D5BD4"/>
    <w:rsid w:val="4AA4619B"/>
    <w:rsid w:val="4ADD4C88"/>
    <w:rsid w:val="4B284D77"/>
    <w:rsid w:val="4BEC1507"/>
    <w:rsid w:val="4BF32846"/>
    <w:rsid w:val="4C4243A5"/>
    <w:rsid w:val="4C5B0FC3"/>
    <w:rsid w:val="4CD363C9"/>
    <w:rsid w:val="4D794138"/>
    <w:rsid w:val="4D7F6702"/>
    <w:rsid w:val="4DD17738"/>
    <w:rsid w:val="4F123950"/>
    <w:rsid w:val="4F134C73"/>
    <w:rsid w:val="4F2A522D"/>
    <w:rsid w:val="4FA64C4B"/>
    <w:rsid w:val="507519D9"/>
    <w:rsid w:val="50EC442B"/>
    <w:rsid w:val="50FE2865"/>
    <w:rsid w:val="52127D7D"/>
    <w:rsid w:val="52412A63"/>
    <w:rsid w:val="53763D4D"/>
    <w:rsid w:val="53A005FF"/>
    <w:rsid w:val="54135280"/>
    <w:rsid w:val="54D379A5"/>
    <w:rsid w:val="5526139C"/>
    <w:rsid w:val="552B2D26"/>
    <w:rsid w:val="552C78B8"/>
    <w:rsid w:val="554E1470"/>
    <w:rsid w:val="55986D51"/>
    <w:rsid w:val="55A75279"/>
    <w:rsid w:val="55CE2806"/>
    <w:rsid w:val="55D42624"/>
    <w:rsid w:val="56133CA0"/>
    <w:rsid w:val="56DD4ABD"/>
    <w:rsid w:val="5703231E"/>
    <w:rsid w:val="57116442"/>
    <w:rsid w:val="573D0CDB"/>
    <w:rsid w:val="578D3493"/>
    <w:rsid w:val="57A7718B"/>
    <w:rsid w:val="58247935"/>
    <w:rsid w:val="583152CE"/>
    <w:rsid w:val="586A7A45"/>
    <w:rsid w:val="588F7387"/>
    <w:rsid w:val="58914C8B"/>
    <w:rsid w:val="58E3423E"/>
    <w:rsid w:val="58F23ED5"/>
    <w:rsid w:val="593A6404"/>
    <w:rsid w:val="5956205C"/>
    <w:rsid w:val="59774744"/>
    <w:rsid w:val="599E6CB8"/>
    <w:rsid w:val="59E031E2"/>
    <w:rsid w:val="5A36047B"/>
    <w:rsid w:val="5AA974E8"/>
    <w:rsid w:val="5B8340E7"/>
    <w:rsid w:val="5B8D0599"/>
    <w:rsid w:val="5B937814"/>
    <w:rsid w:val="5BA627EA"/>
    <w:rsid w:val="5BAA125C"/>
    <w:rsid w:val="5C6E79F1"/>
    <w:rsid w:val="5C8657B1"/>
    <w:rsid w:val="5CA73484"/>
    <w:rsid w:val="5CAA03FF"/>
    <w:rsid w:val="5CE5499C"/>
    <w:rsid w:val="5CEB511D"/>
    <w:rsid w:val="5D77243C"/>
    <w:rsid w:val="5DB5658E"/>
    <w:rsid w:val="5DBD16F0"/>
    <w:rsid w:val="5DBF512A"/>
    <w:rsid w:val="5DFD25B8"/>
    <w:rsid w:val="5E2F13E4"/>
    <w:rsid w:val="5E9628F2"/>
    <w:rsid w:val="5EBB3B43"/>
    <w:rsid w:val="5EC546B7"/>
    <w:rsid w:val="5EE01513"/>
    <w:rsid w:val="5EF236E4"/>
    <w:rsid w:val="5F766867"/>
    <w:rsid w:val="5F9E47A5"/>
    <w:rsid w:val="5FA9036D"/>
    <w:rsid w:val="5FBF5E7E"/>
    <w:rsid w:val="5FE20A6A"/>
    <w:rsid w:val="5FE5609B"/>
    <w:rsid w:val="5FE80DF1"/>
    <w:rsid w:val="60394F33"/>
    <w:rsid w:val="607A028C"/>
    <w:rsid w:val="609F196E"/>
    <w:rsid w:val="6131661D"/>
    <w:rsid w:val="61904268"/>
    <w:rsid w:val="61922827"/>
    <w:rsid w:val="61985AAE"/>
    <w:rsid w:val="619B21A0"/>
    <w:rsid w:val="61A62889"/>
    <w:rsid w:val="61C95215"/>
    <w:rsid w:val="61D92C5E"/>
    <w:rsid w:val="620863D2"/>
    <w:rsid w:val="626058BD"/>
    <w:rsid w:val="6267026A"/>
    <w:rsid w:val="62875BA8"/>
    <w:rsid w:val="62D70238"/>
    <w:rsid w:val="634E5810"/>
    <w:rsid w:val="637F2206"/>
    <w:rsid w:val="63862B63"/>
    <w:rsid w:val="63A81226"/>
    <w:rsid w:val="63A85CAB"/>
    <w:rsid w:val="63C27700"/>
    <w:rsid w:val="63E44C6E"/>
    <w:rsid w:val="64403187"/>
    <w:rsid w:val="64D56443"/>
    <w:rsid w:val="650A079C"/>
    <w:rsid w:val="65847779"/>
    <w:rsid w:val="65A215B9"/>
    <w:rsid w:val="65B7636E"/>
    <w:rsid w:val="65E5355A"/>
    <w:rsid w:val="67075641"/>
    <w:rsid w:val="674A3D4F"/>
    <w:rsid w:val="679006E0"/>
    <w:rsid w:val="67D30150"/>
    <w:rsid w:val="68210AA5"/>
    <w:rsid w:val="684A41FF"/>
    <w:rsid w:val="6864772D"/>
    <w:rsid w:val="68BC6A3B"/>
    <w:rsid w:val="69265867"/>
    <w:rsid w:val="6A121AD7"/>
    <w:rsid w:val="6A3C248C"/>
    <w:rsid w:val="6A7B6A1C"/>
    <w:rsid w:val="6ABE009D"/>
    <w:rsid w:val="6AD23B35"/>
    <w:rsid w:val="6B385C9F"/>
    <w:rsid w:val="6BD54F71"/>
    <w:rsid w:val="6C3226C6"/>
    <w:rsid w:val="6C545FF5"/>
    <w:rsid w:val="6C591BE2"/>
    <w:rsid w:val="6CA976D1"/>
    <w:rsid w:val="6D0C6D61"/>
    <w:rsid w:val="6DCF1018"/>
    <w:rsid w:val="6E0A4A26"/>
    <w:rsid w:val="6E411855"/>
    <w:rsid w:val="6E5E1B6C"/>
    <w:rsid w:val="6E82642B"/>
    <w:rsid w:val="6EB613E7"/>
    <w:rsid w:val="6EEF71D1"/>
    <w:rsid w:val="6F021A16"/>
    <w:rsid w:val="6F1D40CE"/>
    <w:rsid w:val="70223318"/>
    <w:rsid w:val="7051517A"/>
    <w:rsid w:val="70694078"/>
    <w:rsid w:val="70D85BD1"/>
    <w:rsid w:val="71003FE0"/>
    <w:rsid w:val="71124305"/>
    <w:rsid w:val="715B338A"/>
    <w:rsid w:val="716A7ADC"/>
    <w:rsid w:val="71DE2E53"/>
    <w:rsid w:val="72014278"/>
    <w:rsid w:val="721F39FF"/>
    <w:rsid w:val="729E121E"/>
    <w:rsid w:val="72CD0809"/>
    <w:rsid w:val="72E23A7A"/>
    <w:rsid w:val="72F6179B"/>
    <w:rsid w:val="738003CA"/>
    <w:rsid w:val="73C56EED"/>
    <w:rsid w:val="73F2038F"/>
    <w:rsid w:val="758D4AB4"/>
    <w:rsid w:val="75A569F5"/>
    <w:rsid w:val="75D12961"/>
    <w:rsid w:val="76182B07"/>
    <w:rsid w:val="763B5101"/>
    <w:rsid w:val="765941C5"/>
    <w:rsid w:val="773B6CD4"/>
    <w:rsid w:val="7780039E"/>
    <w:rsid w:val="77E30949"/>
    <w:rsid w:val="77F04406"/>
    <w:rsid w:val="77F06BBC"/>
    <w:rsid w:val="77F16A53"/>
    <w:rsid w:val="783525A0"/>
    <w:rsid w:val="786F12BD"/>
    <w:rsid w:val="786F1AA9"/>
    <w:rsid w:val="7872551D"/>
    <w:rsid w:val="78782D79"/>
    <w:rsid w:val="78850FF2"/>
    <w:rsid w:val="78957D73"/>
    <w:rsid w:val="78FD6DDA"/>
    <w:rsid w:val="7920071D"/>
    <w:rsid w:val="799E129C"/>
    <w:rsid w:val="79C52BC7"/>
    <w:rsid w:val="79C747F6"/>
    <w:rsid w:val="79FE710C"/>
    <w:rsid w:val="7A36659D"/>
    <w:rsid w:val="7A6027C1"/>
    <w:rsid w:val="7A854A12"/>
    <w:rsid w:val="7AE64955"/>
    <w:rsid w:val="7B237820"/>
    <w:rsid w:val="7B974622"/>
    <w:rsid w:val="7BAE6AB2"/>
    <w:rsid w:val="7BDE67A2"/>
    <w:rsid w:val="7BE53E18"/>
    <w:rsid w:val="7C8C25A5"/>
    <w:rsid w:val="7D4E72F0"/>
    <w:rsid w:val="7DD21E4E"/>
    <w:rsid w:val="7E9219F9"/>
    <w:rsid w:val="7E93016A"/>
    <w:rsid w:val="7EF87B3E"/>
    <w:rsid w:val="7F513EF9"/>
    <w:rsid w:val="7F924DA0"/>
    <w:rsid w:val="7FE0336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9"/>
    <w:qFormat/>
    <w:uiPriority w:val="9"/>
    <w:pPr>
      <w:keepNext/>
      <w:keepLines/>
      <w:spacing w:before="340" w:beforeLines="0" w:after="330" w:afterLines="0" w:line="576" w:lineRule="auto"/>
      <w:outlineLvl w:val="0"/>
    </w:pPr>
    <w:rPr>
      <w:b/>
      <w:bCs/>
      <w:kern w:val="44"/>
      <w:sz w:val="44"/>
      <w:szCs w:val="44"/>
    </w:rPr>
  </w:style>
  <w:style w:type="paragraph" w:styleId="3">
    <w:name w:val="heading 2"/>
    <w:basedOn w:val="1"/>
    <w:next w:val="1"/>
    <w:link w:val="60"/>
    <w:qFormat/>
    <w:uiPriority w:val="0"/>
    <w:pPr>
      <w:keepNext/>
      <w:keepLines/>
      <w:spacing w:before="260" w:beforeLines="0" w:after="260" w:afterLines="0" w:line="413" w:lineRule="auto"/>
      <w:outlineLvl w:val="1"/>
    </w:pPr>
    <w:rPr>
      <w:rFonts w:ascii="Arial" w:hAnsi="Arial" w:eastAsia="黑体"/>
      <w:b/>
      <w:bCs/>
      <w:sz w:val="32"/>
      <w:szCs w:val="32"/>
    </w:rPr>
  </w:style>
  <w:style w:type="paragraph" w:styleId="4">
    <w:name w:val="heading 3"/>
    <w:basedOn w:val="1"/>
    <w:next w:val="1"/>
    <w:link w:val="61"/>
    <w:qFormat/>
    <w:uiPriority w:val="0"/>
    <w:pPr>
      <w:keepNext/>
      <w:keepLines/>
      <w:spacing w:before="260" w:beforeLines="0" w:after="260" w:afterLines="0" w:line="413" w:lineRule="auto"/>
      <w:outlineLvl w:val="2"/>
    </w:pPr>
    <w:rPr>
      <w:b/>
      <w:bCs/>
      <w:sz w:val="32"/>
      <w:szCs w:val="32"/>
    </w:rPr>
  </w:style>
  <w:style w:type="paragraph" w:styleId="5">
    <w:name w:val="heading 4"/>
    <w:basedOn w:val="1"/>
    <w:next w:val="1"/>
    <w:link w:val="62"/>
    <w:qFormat/>
    <w:uiPriority w:val="0"/>
    <w:pPr>
      <w:keepNext/>
      <w:keepLines/>
      <w:widowControl/>
      <w:spacing w:before="120" w:beforeLines="0" w:after="120" w:afterLines="0" w:line="360" w:lineRule="auto"/>
      <w:jc w:val="center"/>
      <w:outlineLvl w:val="3"/>
    </w:pPr>
    <w:rPr>
      <w:rFonts w:ascii="Arial" w:hAnsi="Arial" w:eastAsia="黑体"/>
      <w:kern w:val="0"/>
      <w:sz w:val="28"/>
      <w:szCs w:val="20"/>
    </w:rPr>
  </w:style>
  <w:style w:type="paragraph" w:styleId="6">
    <w:name w:val="heading 5"/>
    <w:basedOn w:val="1"/>
    <w:next w:val="7"/>
    <w:link w:val="63"/>
    <w:qFormat/>
    <w:uiPriority w:val="0"/>
    <w:pPr>
      <w:keepNext/>
      <w:keepLines/>
      <w:spacing w:before="280" w:after="290" w:line="372" w:lineRule="auto"/>
      <w:outlineLvl w:val="4"/>
    </w:pPr>
    <w:rPr>
      <w:b/>
      <w:sz w:val="28"/>
    </w:rPr>
  </w:style>
  <w:style w:type="paragraph" w:styleId="8">
    <w:name w:val="heading 6"/>
    <w:basedOn w:val="1"/>
    <w:next w:val="7"/>
    <w:link w:val="64"/>
    <w:qFormat/>
    <w:uiPriority w:val="0"/>
    <w:pPr>
      <w:keepNext/>
      <w:keepLines/>
      <w:spacing w:before="240" w:after="64" w:line="317" w:lineRule="auto"/>
      <w:outlineLvl w:val="5"/>
    </w:pPr>
    <w:rPr>
      <w:rFonts w:ascii="Arial" w:hAnsi="Arial" w:eastAsia="黑体"/>
      <w:b/>
      <w:sz w:val="24"/>
    </w:rPr>
  </w:style>
  <w:style w:type="paragraph" w:styleId="9">
    <w:name w:val="heading 7"/>
    <w:basedOn w:val="1"/>
    <w:next w:val="7"/>
    <w:link w:val="65"/>
    <w:qFormat/>
    <w:uiPriority w:val="0"/>
    <w:pPr>
      <w:keepNext/>
      <w:keepLines/>
      <w:spacing w:before="240" w:after="64" w:line="317" w:lineRule="auto"/>
      <w:outlineLvl w:val="6"/>
    </w:pPr>
    <w:rPr>
      <w:b/>
      <w:sz w:val="24"/>
    </w:rPr>
  </w:style>
  <w:style w:type="paragraph" w:styleId="10">
    <w:name w:val="heading 8"/>
    <w:basedOn w:val="1"/>
    <w:next w:val="7"/>
    <w:link w:val="66"/>
    <w:qFormat/>
    <w:uiPriority w:val="0"/>
    <w:pPr>
      <w:keepNext/>
      <w:keepLines/>
      <w:spacing w:before="240" w:after="64" w:line="317" w:lineRule="auto"/>
      <w:outlineLvl w:val="7"/>
    </w:pPr>
    <w:rPr>
      <w:rFonts w:ascii="Arial" w:hAnsi="Arial" w:eastAsia="黑体"/>
      <w:sz w:val="24"/>
    </w:rPr>
  </w:style>
  <w:style w:type="paragraph" w:styleId="11">
    <w:name w:val="heading 9"/>
    <w:basedOn w:val="1"/>
    <w:next w:val="7"/>
    <w:link w:val="67"/>
    <w:qFormat/>
    <w:uiPriority w:val="0"/>
    <w:pPr>
      <w:keepNext/>
      <w:keepLines/>
      <w:spacing w:before="240" w:after="64" w:line="317" w:lineRule="auto"/>
      <w:outlineLvl w:val="8"/>
    </w:pPr>
    <w:rPr>
      <w:rFonts w:ascii="Arial" w:hAnsi="Arial" w:eastAsia="黑体"/>
    </w:rPr>
  </w:style>
  <w:style w:type="character" w:default="1" w:styleId="53">
    <w:name w:val="Default Paragraph Font"/>
    <w:qFormat/>
    <w:uiPriority w:val="0"/>
  </w:style>
  <w:style w:type="table" w:default="1" w:styleId="51">
    <w:name w:val="Normal Table"/>
    <w:semiHidden/>
    <w:qFormat/>
    <w:uiPriority w:val="0"/>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12">
    <w:name w:val="List 3"/>
    <w:basedOn w:val="1"/>
    <w:qFormat/>
    <w:uiPriority w:val="0"/>
    <w:pPr>
      <w:ind w:left="100" w:leftChars="400" w:hanging="200" w:hangingChars="200"/>
    </w:pPr>
  </w:style>
  <w:style w:type="paragraph" w:styleId="13">
    <w:name w:val="toc 7"/>
    <w:basedOn w:val="1"/>
    <w:next w:val="1"/>
    <w:qFormat/>
    <w:uiPriority w:val="0"/>
    <w:pPr>
      <w:tabs>
        <w:tab w:val="right" w:leader="dot" w:pos="9185"/>
      </w:tabs>
      <w:adjustRightInd w:val="0"/>
      <w:spacing w:line="312" w:lineRule="atLeast"/>
      <w:ind w:left="2520"/>
      <w:textAlignment w:val="baseline"/>
    </w:pPr>
    <w:rPr>
      <w:kern w:val="0"/>
      <w:szCs w:val="20"/>
    </w:rPr>
  </w:style>
  <w:style w:type="paragraph" w:styleId="14">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15">
    <w:name w:val="caption"/>
    <w:basedOn w:val="1"/>
    <w:next w:val="1"/>
    <w:qFormat/>
    <w:uiPriority w:val="0"/>
    <w:pPr>
      <w:spacing w:before="152" w:beforeLines="0" w:after="160" w:afterLines="0"/>
    </w:pPr>
    <w:rPr>
      <w:rFonts w:ascii="Arial" w:hAnsi="Arial" w:eastAsia="黑体" w:cs="Arial"/>
      <w:sz w:val="20"/>
      <w:szCs w:val="20"/>
    </w:rPr>
  </w:style>
  <w:style w:type="paragraph" w:styleId="16">
    <w:name w:val="Document Map"/>
    <w:basedOn w:val="1"/>
    <w:link w:val="68"/>
    <w:qFormat/>
    <w:uiPriority w:val="0"/>
    <w:pPr>
      <w:shd w:val="clear" w:color="auto" w:fill="000080"/>
      <w:adjustRightInd w:val="0"/>
      <w:spacing w:line="312" w:lineRule="atLeast"/>
      <w:textAlignment w:val="baseline"/>
    </w:pPr>
    <w:rPr>
      <w:kern w:val="0"/>
      <w:szCs w:val="20"/>
    </w:rPr>
  </w:style>
  <w:style w:type="paragraph" w:styleId="17">
    <w:name w:val="annotation text"/>
    <w:basedOn w:val="1"/>
    <w:link w:val="69"/>
    <w:qFormat/>
    <w:uiPriority w:val="0"/>
    <w:pPr>
      <w:jc w:val="left"/>
    </w:pPr>
  </w:style>
  <w:style w:type="paragraph" w:styleId="18">
    <w:name w:val="Body Text 3"/>
    <w:basedOn w:val="1"/>
    <w:link w:val="70"/>
    <w:qFormat/>
    <w:uiPriority w:val="0"/>
    <w:pPr>
      <w:spacing w:line="500" w:lineRule="exact"/>
    </w:pPr>
    <w:rPr>
      <w:b/>
      <w:bCs/>
      <w:sz w:val="24"/>
    </w:rPr>
  </w:style>
  <w:style w:type="paragraph" w:styleId="19">
    <w:name w:val="Body Text"/>
    <w:basedOn w:val="1"/>
    <w:link w:val="71"/>
    <w:qFormat/>
    <w:uiPriority w:val="99"/>
    <w:pPr>
      <w:spacing w:line="380" w:lineRule="exact"/>
    </w:pPr>
    <w:rPr>
      <w:sz w:val="24"/>
    </w:rPr>
  </w:style>
  <w:style w:type="paragraph" w:styleId="20">
    <w:name w:val="Body Text Indent"/>
    <w:basedOn w:val="1"/>
    <w:link w:val="72"/>
    <w:qFormat/>
    <w:uiPriority w:val="99"/>
    <w:pPr>
      <w:ind w:firstLine="830" w:firstLineChars="352"/>
    </w:pPr>
    <w:rPr>
      <w:rFonts w:ascii="仿宋_GB2312" w:eastAsia="仿宋_GB2312"/>
      <w:sz w:val="32"/>
      <w:szCs w:val="20"/>
    </w:rPr>
  </w:style>
  <w:style w:type="paragraph" w:styleId="21">
    <w:name w:val="List Number 3"/>
    <w:basedOn w:val="1"/>
    <w:qFormat/>
    <w:uiPriority w:val="0"/>
    <w:pPr>
      <w:tabs>
        <w:tab w:val="left" w:pos="1200"/>
      </w:tabs>
      <w:ind w:left="1200" w:leftChars="400" w:hanging="360" w:hangingChars="200"/>
    </w:pPr>
  </w:style>
  <w:style w:type="paragraph" w:styleId="22">
    <w:name w:val="List 2"/>
    <w:basedOn w:val="1"/>
    <w:qFormat/>
    <w:uiPriority w:val="0"/>
    <w:pPr>
      <w:ind w:left="100" w:leftChars="200" w:hanging="200" w:hangingChars="200"/>
    </w:pPr>
    <w:rPr>
      <w:sz w:val="28"/>
    </w:rPr>
  </w:style>
  <w:style w:type="paragraph" w:styleId="23">
    <w:name w:val="Block Text"/>
    <w:basedOn w:val="1"/>
    <w:qFormat/>
    <w:uiPriority w:val="0"/>
    <w:pPr>
      <w:adjustRightInd w:val="0"/>
      <w:ind w:left="420" w:right="33"/>
      <w:jc w:val="left"/>
      <w:textAlignment w:val="baseline"/>
    </w:pPr>
    <w:rPr>
      <w:kern w:val="0"/>
      <w:sz w:val="24"/>
      <w:szCs w:val="20"/>
    </w:rPr>
  </w:style>
  <w:style w:type="paragraph" w:styleId="24">
    <w:name w:val="toc 5"/>
    <w:basedOn w:val="1"/>
    <w:next w:val="1"/>
    <w:qFormat/>
    <w:uiPriority w:val="0"/>
    <w:pPr>
      <w:tabs>
        <w:tab w:val="right" w:leader="dot" w:pos="9185"/>
      </w:tabs>
      <w:adjustRightInd w:val="0"/>
      <w:spacing w:line="312" w:lineRule="atLeast"/>
      <w:ind w:left="1680"/>
      <w:textAlignment w:val="baseline"/>
    </w:pPr>
    <w:rPr>
      <w:kern w:val="0"/>
      <w:szCs w:val="20"/>
    </w:rPr>
  </w:style>
  <w:style w:type="paragraph" w:styleId="25">
    <w:name w:val="toc 3"/>
    <w:basedOn w:val="1"/>
    <w:next w:val="1"/>
    <w:qFormat/>
    <w:uiPriority w:val="39"/>
    <w:pPr>
      <w:ind w:left="840" w:leftChars="400"/>
    </w:pPr>
  </w:style>
  <w:style w:type="paragraph" w:styleId="26">
    <w:name w:val="Plain Text"/>
    <w:basedOn w:val="1"/>
    <w:link w:val="73"/>
    <w:qFormat/>
    <w:uiPriority w:val="0"/>
    <w:rPr>
      <w:rFonts w:ascii="宋体" w:hAnsi="Courier New" w:cs="Courier New"/>
      <w:szCs w:val="21"/>
    </w:rPr>
  </w:style>
  <w:style w:type="paragraph" w:styleId="27">
    <w:name w:val="toc 8"/>
    <w:basedOn w:val="1"/>
    <w:next w:val="1"/>
    <w:qFormat/>
    <w:uiPriority w:val="0"/>
    <w:pPr>
      <w:tabs>
        <w:tab w:val="right" w:leader="dot" w:pos="9185"/>
      </w:tabs>
      <w:adjustRightInd w:val="0"/>
      <w:spacing w:line="312" w:lineRule="atLeast"/>
      <w:ind w:left="2940"/>
      <w:textAlignment w:val="baseline"/>
    </w:pPr>
    <w:rPr>
      <w:kern w:val="0"/>
      <w:szCs w:val="20"/>
    </w:rPr>
  </w:style>
  <w:style w:type="paragraph" w:styleId="28">
    <w:name w:val="Date"/>
    <w:basedOn w:val="1"/>
    <w:next w:val="1"/>
    <w:link w:val="74"/>
    <w:qFormat/>
    <w:uiPriority w:val="0"/>
    <w:pPr>
      <w:ind w:left="100" w:leftChars="2500"/>
    </w:pPr>
    <w:rPr>
      <w:rFonts w:ascii="宋体" w:hAnsi="Courier New"/>
      <w:szCs w:val="21"/>
    </w:rPr>
  </w:style>
  <w:style w:type="paragraph" w:styleId="29">
    <w:name w:val="Body Text Indent 2"/>
    <w:basedOn w:val="1"/>
    <w:link w:val="75"/>
    <w:qFormat/>
    <w:uiPriority w:val="0"/>
    <w:pPr>
      <w:ind w:firstLine="630"/>
    </w:pPr>
    <w:rPr>
      <w:sz w:val="32"/>
      <w:szCs w:val="20"/>
    </w:rPr>
  </w:style>
  <w:style w:type="paragraph" w:styleId="30">
    <w:name w:val="Balloon Text"/>
    <w:basedOn w:val="1"/>
    <w:link w:val="76"/>
    <w:qFormat/>
    <w:uiPriority w:val="0"/>
    <w:rPr>
      <w:sz w:val="18"/>
      <w:szCs w:val="18"/>
    </w:rPr>
  </w:style>
  <w:style w:type="paragraph" w:styleId="31">
    <w:name w:val="footer"/>
    <w:basedOn w:val="1"/>
    <w:link w:val="77"/>
    <w:qFormat/>
    <w:uiPriority w:val="99"/>
    <w:pPr>
      <w:tabs>
        <w:tab w:val="center" w:pos="4153"/>
        <w:tab w:val="right" w:pos="8306"/>
      </w:tabs>
      <w:snapToGrid w:val="0"/>
      <w:jc w:val="left"/>
    </w:pPr>
    <w:rPr>
      <w:sz w:val="18"/>
      <w:szCs w:val="18"/>
    </w:rPr>
  </w:style>
  <w:style w:type="paragraph" w:styleId="32">
    <w:name w:val="header"/>
    <w:basedOn w:val="1"/>
    <w:link w:val="78"/>
    <w:qFormat/>
    <w:uiPriority w:val="99"/>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tabs>
        <w:tab w:val="right" w:leader="dot" w:pos="8398"/>
      </w:tabs>
      <w:spacing w:before="120" w:beforeLines="0" w:after="120" w:afterLines="0"/>
      <w:ind w:firstLine="240" w:firstLineChars="100"/>
      <w:jc w:val="left"/>
    </w:pPr>
    <w:rPr>
      <w:rFonts w:ascii="宋体" w:hAnsi="宋体"/>
      <w:b/>
      <w:bCs/>
      <w:caps/>
      <w:sz w:val="24"/>
    </w:rPr>
  </w:style>
  <w:style w:type="paragraph" w:styleId="34">
    <w:name w:val="toc 4"/>
    <w:basedOn w:val="1"/>
    <w:next w:val="1"/>
    <w:qFormat/>
    <w:uiPriority w:val="0"/>
    <w:pPr>
      <w:tabs>
        <w:tab w:val="right" w:leader="dot" w:pos="9185"/>
      </w:tabs>
      <w:adjustRightInd w:val="0"/>
      <w:spacing w:line="312" w:lineRule="atLeast"/>
      <w:ind w:left="1260"/>
      <w:textAlignment w:val="baseline"/>
    </w:pPr>
    <w:rPr>
      <w:kern w:val="0"/>
      <w:szCs w:val="20"/>
    </w:rPr>
  </w:style>
  <w:style w:type="paragraph" w:styleId="35">
    <w:name w:val="List"/>
    <w:basedOn w:val="1"/>
    <w:qFormat/>
    <w:uiPriority w:val="0"/>
    <w:pPr>
      <w:ind w:left="200" w:hanging="200" w:hangingChars="200"/>
    </w:pPr>
    <w:rPr>
      <w:sz w:val="28"/>
    </w:rPr>
  </w:style>
  <w:style w:type="paragraph" w:styleId="36">
    <w:name w:val="toc 6"/>
    <w:basedOn w:val="1"/>
    <w:next w:val="1"/>
    <w:qFormat/>
    <w:uiPriority w:val="0"/>
    <w:pPr>
      <w:tabs>
        <w:tab w:val="right" w:leader="dot" w:pos="9185"/>
      </w:tabs>
      <w:adjustRightInd w:val="0"/>
      <w:spacing w:line="312" w:lineRule="atLeast"/>
      <w:ind w:left="2100"/>
      <w:textAlignment w:val="baseline"/>
    </w:pPr>
    <w:rPr>
      <w:kern w:val="0"/>
      <w:szCs w:val="20"/>
    </w:rPr>
  </w:style>
  <w:style w:type="paragraph" w:styleId="37">
    <w:name w:val="List 5"/>
    <w:basedOn w:val="1"/>
    <w:qFormat/>
    <w:uiPriority w:val="0"/>
    <w:pPr>
      <w:ind w:left="2100" w:hanging="420"/>
    </w:pPr>
    <w:rPr>
      <w:szCs w:val="20"/>
    </w:rPr>
  </w:style>
  <w:style w:type="paragraph" w:styleId="38">
    <w:name w:val="Body Text Indent 3"/>
    <w:basedOn w:val="1"/>
    <w:link w:val="79"/>
    <w:qFormat/>
    <w:uiPriority w:val="0"/>
    <w:pPr>
      <w:spacing w:after="120" w:afterLines="0"/>
      <w:ind w:left="420" w:leftChars="200"/>
    </w:pPr>
    <w:rPr>
      <w:sz w:val="16"/>
      <w:szCs w:val="16"/>
    </w:rPr>
  </w:style>
  <w:style w:type="paragraph" w:styleId="39">
    <w:name w:val="toc 2"/>
    <w:basedOn w:val="1"/>
    <w:next w:val="1"/>
    <w:qFormat/>
    <w:uiPriority w:val="39"/>
    <w:pPr>
      <w:ind w:left="420" w:leftChars="200"/>
    </w:pPr>
  </w:style>
  <w:style w:type="paragraph" w:styleId="40">
    <w:name w:val="toc 9"/>
    <w:basedOn w:val="1"/>
    <w:next w:val="1"/>
    <w:qFormat/>
    <w:uiPriority w:val="0"/>
    <w:pPr>
      <w:tabs>
        <w:tab w:val="right" w:leader="dot" w:pos="9185"/>
      </w:tabs>
      <w:adjustRightInd w:val="0"/>
      <w:spacing w:line="312" w:lineRule="atLeast"/>
      <w:ind w:left="3360"/>
      <w:textAlignment w:val="baseline"/>
    </w:pPr>
    <w:rPr>
      <w:kern w:val="0"/>
      <w:szCs w:val="20"/>
    </w:rPr>
  </w:style>
  <w:style w:type="paragraph" w:styleId="41">
    <w:name w:val="Body Text 2"/>
    <w:basedOn w:val="1"/>
    <w:link w:val="80"/>
    <w:qFormat/>
    <w:uiPriority w:val="0"/>
    <w:pPr>
      <w:spacing w:after="120" w:afterLines="0" w:line="480" w:lineRule="auto"/>
    </w:pPr>
  </w:style>
  <w:style w:type="paragraph" w:styleId="42">
    <w:name w:val="List 4"/>
    <w:basedOn w:val="1"/>
    <w:qFormat/>
    <w:uiPriority w:val="0"/>
    <w:pPr>
      <w:ind w:left="100" w:leftChars="600" w:hanging="200" w:hangingChars="200"/>
    </w:pPr>
  </w:style>
  <w:style w:type="paragraph" w:styleId="43">
    <w:name w:val="List Continue 2"/>
    <w:basedOn w:val="1"/>
    <w:qFormat/>
    <w:uiPriority w:val="0"/>
    <w:pPr>
      <w:spacing w:after="120" w:afterLines="0"/>
      <w:ind w:left="840" w:leftChars="400"/>
    </w:pPr>
  </w:style>
  <w:style w:type="paragraph" w:styleId="44">
    <w:name w:val="HTML Preformatted"/>
    <w:basedOn w:val="1"/>
    <w:link w:val="8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5">
    <w:name w:val="Normal (Web)"/>
    <w:basedOn w:val="1"/>
    <w:qFormat/>
    <w:uiPriority w:val="99"/>
    <w:pPr>
      <w:widowControl/>
      <w:spacing w:before="100" w:beforeLines="0" w:beforeAutospacing="1" w:after="100" w:afterLines="0" w:afterAutospacing="1"/>
      <w:jc w:val="left"/>
    </w:pPr>
    <w:rPr>
      <w:rFonts w:ascii="宋体" w:hAnsi="宋体"/>
      <w:kern w:val="0"/>
      <w:sz w:val="24"/>
    </w:rPr>
  </w:style>
  <w:style w:type="paragraph" w:styleId="46">
    <w:name w:val="index 1"/>
    <w:basedOn w:val="1"/>
    <w:next w:val="1"/>
    <w:qFormat/>
    <w:uiPriority w:val="0"/>
    <w:pPr>
      <w:spacing w:line="400" w:lineRule="exact"/>
      <w:ind w:firstLine="420" w:firstLineChars="200"/>
    </w:pPr>
    <w:rPr>
      <w:rFonts w:ascii="宋体" w:hAnsi="Courier New"/>
      <w:b/>
      <w:szCs w:val="20"/>
    </w:rPr>
  </w:style>
  <w:style w:type="paragraph" w:styleId="47">
    <w:name w:val="Title"/>
    <w:basedOn w:val="1"/>
    <w:link w:val="82"/>
    <w:qFormat/>
    <w:uiPriority w:val="0"/>
    <w:pPr>
      <w:jc w:val="center"/>
    </w:pPr>
    <w:rPr>
      <w:sz w:val="30"/>
    </w:rPr>
  </w:style>
  <w:style w:type="paragraph" w:styleId="48">
    <w:name w:val="annotation subject"/>
    <w:basedOn w:val="17"/>
    <w:next w:val="17"/>
    <w:link w:val="83"/>
    <w:qFormat/>
    <w:uiPriority w:val="0"/>
    <w:rPr>
      <w:b/>
      <w:bCs/>
    </w:rPr>
  </w:style>
  <w:style w:type="paragraph" w:styleId="49">
    <w:name w:val="Body Text First Indent"/>
    <w:basedOn w:val="19"/>
    <w:link w:val="84"/>
    <w:qFormat/>
    <w:uiPriority w:val="0"/>
    <w:pPr>
      <w:spacing w:after="120" w:afterLines="0" w:line="240" w:lineRule="auto"/>
      <w:ind w:firstLine="420" w:firstLineChars="100"/>
    </w:pPr>
    <w:rPr>
      <w:sz w:val="21"/>
    </w:rPr>
  </w:style>
  <w:style w:type="paragraph" w:styleId="50">
    <w:name w:val="Body Text First Indent 2"/>
    <w:basedOn w:val="20"/>
    <w:link w:val="85"/>
    <w:qFormat/>
    <w:uiPriority w:val="0"/>
    <w:pPr>
      <w:spacing w:after="120" w:afterLines="0"/>
      <w:ind w:left="420" w:leftChars="200" w:firstLine="420" w:firstLineChars="200"/>
    </w:pPr>
    <w:rPr>
      <w:rFonts w:ascii="Times New Roman" w:eastAsia="宋体"/>
      <w:sz w:val="21"/>
      <w:szCs w:val="24"/>
    </w:rPr>
  </w:style>
  <w:style w:type="table" w:styleId="52">
    <w:name w:val="Table Grid"/>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qFormat/>
    <w:uiPriority w:val="22"/>
    <w:rPr>
      <w:b/>
      <w:bCs/>
    </w:rPr>
  </w:style>
  <w:style w:type="character" w:styleId="55">
    <w:name w:val="page number"/>
    <w:qFormat/>
    <w:uiPriority w:val="0"/>
  </w:style>
  <w:style w:type="character" w:styleId="56">
    <w:name w:val="FollowedHyperlink"/>
    <w:qFormat/>
    <w:uiPriority w:val="99"/>
    <w:rPr>
      <w:color w:val="800080"/>
      <w:u w:val="single"/>
    </w:rPr>
  </w:style>
  <w:style w:type="character" w:styleId="57">
    <w:name w:val="Hyperlink"/>
    <w:qFormat/>
    <w:uiPriority w:val="99"/>
    <w:rPr>
      <w:color w:val="0000FF"/>
      <w:u w:val="single"/>
    </w:rPr>
  </w:style>
  <w:style w:type="character" w:styleId="58">
    <w:name w:val="annotation reference"/>
    <w:qFormat/>
    <w:uiPriority w:val="0"/>
    <w:rPr>
      <w:sz w:val="21"/>
      <w:szCs w:val="21"/>
    </w:rPr>
  </w:style>
  <w:style w:type="character" w:customStyle="1" w:styleId="59">
    <w:name w:val="标题 1 字符"/>
    <w:link w:val="2"/>
    <w:qFormat/>
    <w:uiPriority w:val="9"/>
    <w:rPr>
      <w:rFonts w:eastAsia="宋体"/>
      <w:b/>
      <w:bCs/>
      <w:kern w:val="44"/>
      <w:sz w:val="44"/>
      <w:szCs w:val="44"/>
      <w:lang w:val="en-US" w:eastAsia="zh-CN" w:bidi="ar-SA"/>
    </w:rPr>
  </w:style>
  <w:style w:type="character" w:customStyle="1" w:styleId="60">
    <w:name w:val="标题 2 字符"/>
    <w:link w:val="3"/>
    <w:qFormat/>
    <w:uiPriority w:val="0"/>
    <w:rPr>
      <w:rFonts w:ascii="Arial" w:hAnsi="Arial" w:eastAsia="黑体"/>
      <w:b/>
      <w:bCs/>
      <w:kern w:val="2"/>
      <w:sz w:val="32"/>
      <w:szCs w:val="32"/>
    </w:rPr>
  </w:style>
  <w:style w:type="character" w:customStyle="1" w:styleId="61">
    <w:name w:val="标题 3 字符"/>
    <w:link w:val="4"/>
    <w:qFormat/>
    <w:uiPriority w:val="0"/>
    <w:rPr>
      <w:b/>
      <w:bCs/>
      <w:kern w:val="2"/>
      <w:sz w:val="32"/>
      <w:szCs w:val="32"/>
    </w:rPr>
  </w:style>
  <w:style w:type="character" w:customStyle="1" w:styleId="62">
    <w:name w:val="标题 4 字符"/>
    <w:link w:val="5"/>
    <w:qFormat/>
    <w:uiPriority w:val="0"/>
    <w:rPr>
      <w:rFonts w:ascii="Arial" w:hAnsi="Arial" w:eastAsia="黑体"/>
      <w:sz w:val="28"/>
    </w:rPr>
  </w:style>
  <w:style w:type="character" w:customStyle="1" w:styleId="63">
    <w:name w:val="标题 5 字符1"/>
    <w:link w:val="6"/>
    <w:qFormat/>
    <w:uiPriority w:val="0"/>
    <w:rPr>
      <w:b/>
      <w:kern w:val="2"/>
      <w:sz w:val="28"/>
      <w:szCs w:val="24"/>
    </w:rPr>
  </w:style>
  <w:style w:type="character" w:customStyle="1" w:styleId="64">
    <w:name w:val="标题 6 字符"/>
    <w:link w:val="8"/>
    <w:qFormat/>
    <w:uiPriority w:val="0"/>
    <w:rPr>
      <w:rFonts w:ascii="Arial" w:hAnsi="Arial" w:eastAsia="黑体"/>
      <w:b/>
      <w:kern w:val="2"/>
      <w:sz w:val="24"/>
      <w:szCs w:val="24"/>
    </w:rPr>
  </w:style>
  <w:style w:type="character" w:customStyle="1" w:styleId="65">
    <w:name w:val="标题 7 字符"/>
    <w:link w:val="9"/>
    <w:qFormat/>
    <w:uiPriority w:val="0"/>
    <w:rPr>
      <w:b/>
      <w:kern w:val="2"/>
      <w:sz w:val="24"/>
      <w:szCs w:val="24"/>
    </w:rPr>
  </w:style>
  <w:style w:type="character" w:customStyle="1" w:styleId="66">
    <w:name w:val="标题 8 字符"/>
    <w:link w:val="10"/>
    <w:qFormat/>
    <w:uiPriority w:val="0"/>
    <w:rPr>
      <w:rFonts w:ascii="Arial" w:hAnsi="Arial" w:eastAsia="黑体"/>
      <w:kern w:val="2"/>
      <w:sz w:val="24"/>
      <w:szCs w:val="24"/>
    </w:rPr>
  </w:style>
  <w:style w:type="character" w:customStyle="1" w:styleId="67">
    <w:name w:val="标题 9 字符"/>
    <w:link w:val="11"/>
    <w:qFormat/>
    <w:uiPriority w:val="0"/>
    <w:rPr>
      <w:rFonts w:ascii="Arial" w:hAnsi="Arial" w:eastAsia="黑体"/>
      <w:kern w:val="2"/>
      <w:sz w:val="21"/>
      <w:szCs w:val="24"/>
    </w:rPr>
  </w:style>
  <w:style w:type="character" w:customStyle="1" w:styleId="68">
    <w:name w:val="文档结构图 字符"/>
    <w:link w:val="16"/>
    <w:qFormat/>
    <w:uiPriority w:val="0"/>
    <w:rPr>
      <w:sz w:val="21"/>
      <w:shd w:val="clear" w:color="auto" w:fill="000080"/>
    </w:rPr>
  </w:style>
  <w:style w:type="character" w:customStyle="1" w:styleId="69">
    <w:name w:val="批注文字 字符2"/>
    <w:link w:val="17"/>
    <w:qFormat/>
    <w:uiPriority w:val="0"/>
    <w:rPr>
      <w:kern w:val="2"/>
      <w:sz w:val="21"/>
      <w:szCs w:val="24"/>
    </w:rPr>
  </w:style>
  <w:style w:type="character" w:customStyle="1" w:styleId="70">
    <w:name w:val="正文文本 3 字符"/>
    <w:link w:val="18"/>
    <w:qFormat/>
    <w:uiPriority w:val="0"/>
    <w:rPr>
      <w:b/>
      <w:bCs/>
      <w:kern w:val="2"/>
      <w:sz w:val="24"/>
      <w:szCs w:val="24"/>
    </w:rPr>
  </w:style>
  <w:style w:type="character" w:customStyle="1" w:styleId="71">
    <w:name w:val="正文文本 字符"/>
    <w:link w:val="19"/>
    <w:qFormat/>
    <w:uiPriority w:val="99"/>
    <w:rPr>
      <w:kern w:val="2"/>
      <w:sz w:val="24"/>
      <w:szCs w:val="24"/>
    </w:rPr>
  </w:style>
  <w:style w:type="character" w:customStyle="1" w:styleId="72">
    <w:name w:val="正文文本缩进 字符"/>
    <w:link w:val="20"/>
    <w:qFormat/>
    <w:uiPriority w:val="99"/>
    <w:rPr>
      <w:rFonts w:ascii="仿宋_GB2312" w:eastAsia="仿宋_GB2312"/>
      <w:kern w:val="2"/>
      <w:sz w:val="32"/>
    </w:rPr>
  </w:style>
  <w:style w:type="character" w:customStyle="1" w:styleId="73">
    <w:name w:val="纯文本 字符"/>
    <w:link w:val="26"/>
    <w:qFormat/>
    <w:uiPriority w:val="99"/>
    <w:rPr>
      <w:rFonts w:ascii="宋体" w:hAnsi="Courier New" w:eastAsia="宋体" w:cs="Courier New"/>
      <w:kern w:val="2"/>
      <w:sz w:val="21"/>
      <w:szCs w:val="21"/>
      <w:lang w:val="en-US" w:eastAsia="zh-CN" w:bidi="ar-SA"/>
    </w:rPr>
  </w:style>
  <w:style w:type="character" w:customStyle="1" w:styleId="74">
    <w:name w:val="日期 字符"/>
    <w:link w:val="28"/>
    <w:qFormat/>
    <w:uiPriority w:val="0"/>
    <w:rPr>
      <w:rFonts w:ascii="宋体" w:hAnsi="Courier New" w:cs="Courier New"/>
      <w:kern w:val="2"/>
      <w:sz w:val="21"/>
      <w:szCs w:val="21"/>
    </w:rPr>
  </w:style>
  <w:style w:type="character" w:customStyle="1" w:styleId="75">
    <w:name w:val="正文文本缩进 2 字符"/>
    <w:link w:val="29"/>
    <w:qFormat/>
    <w:uiPriority w:val="0"/>
    <w:rPr>
      <w:kern w:val="2"/>
      <w:sz w:val="32"/>
    </w:rPr>
  </w:style>
  <w:style w:type="character" w:customStyle="1" w:styleId="76">
    <w:name w:val="批注框文本 字符"/>
    <w:link w:val="30"/>
    <w:qFormat/>
    <w:uiPriority w:val="0"/>
    <w:rPr>
      <w:kern w:val="2"/>
      <w:sz w:val="18"/>
      <w:szCs w:val="18"/>
    </w:rPr>
  </w:style>
  <w:style w:type="character" w:customStyle="1" w:styleId="77">
    <w:name w:val="页脚 字符"/>
    <w:link w:val="31"/>
    <w:qFormat/>
    <w:uiPriority w:val="99"/>
    <w:rPr>
      <w:kern w:val="2"/>
      <w:sz w:val="18"/>
      <w:szCs w:val="18"/>
    </w:rPr>
  </w:style>
  <w:style w:type="character" w:customStyle="1" w:styleId="78">
    <w:name w:val="页眉 字符"/>
    <w:link w:val="32"/>
    <w:qFormat/>
    <w:uiPriority w:val="99"/>
    <w:rPr>
      <w:kern w:val="2"/>
      <w:sz w:val="18"/>
      <w:szCs w:val="18"/>
    </w:rPr>
  </w:style>
  <w:style w:type="character" w:customStyle="1" w:styleId="79">
    <w:name w:val="正文文本缩进 3 字符"/>
    <w:link w:val="38"/>
    <w:qFormat/>
    <w:uiPriority w:val="0"/>
    <w:rPr>
      <w:kern w:val="2"/>
      <w:sz w:val="16"/>
      <w:szCs w:val="16"/>
    </w:rPr>
  </w:style>
  <w:style w:type="character" w:customStyle="1" w:styleId="80">
    <w:name w:val="正文文本 2 字符"/>
    <w:link w:val="41"/>
    <w:qFormat/>
    <w:uiPriority w:val="0"/>
    <w:rPr>
      <w:kern w:val="2"/>
      <w:sz w:val="21"/>
      <w:szCs w:val="24"/>
    </w:rPr>
  </w:style>
  <w:style w:type="character" w:customStyle="1" w:styleId="81">
    <w:name w:val="HTML 预设格式 字符"/>
    <w:link w:val="44"/>
    <w:qFormat/>
    <w:uiPriority w:val="0"/>
    <w:rPr>
      <w:rFonts w:ascii="黑体" w:hAnsi="Courier New" w:eastAsia="黑体" w:cs="Courier New"/>
    </w:rPr>
  </w:style>
  <w:style w:type="character" w:customStyle="1" w:styleId="82">
    <w:name w:val="标题 字符"/>
    <w:link w:val="47"/>
    <w:qFormat/>
    <w:uiPriority w:val="0"/>
    <w:rPr>
      <w:kern w:val="2"/>
      <w:sz w:val="30"/>
      <w:szCs w:val="24"/>
    </w:rPr>
  </w:style>
  <w:style w:type="character" w:customStyle="1" w:styleId="83">
    <w:name w:val="批注主题 字符"/>
    <w:link w:val="48"/>
    <w:qFormat/>
    <w:uiPriority w:val="0"/>
    <w:rPr>
      <w:b/>
      <w:bCs/>
      <w:kern w:val="2"/>
      <w:sz w:val="21"/>
      <w:szCs w:val="24"/>
    </w:rPr>
  </w:style>
  <w:style w:type="character" w:customStyle="1" w:styleId="84">
    <w:name w:val="正文文本首行缩进 字符"/>
    <w:link w:val="49"/>
    <w:qFormat/>
    <w:uiPriority w:val="0"/>
    <w:rPr>
      <w:kern w:val="2"/>
      <w:sz w:val="21"/>
      <w:szCs w:val="24"/>
    </w:rPr>
  </w:style>
  <w:style w:type="character" w:customStyle="1" w:styleId="85">
    <w:name w:val="正文文本首行缩进 2 字符"/>
    <w:link w:val="50"/>
    <w:qFormat/>
    <w:uiPriority w:val="0"/>
    <w:rPr>
      <w:kern w:val="2"/>
      <w:sz w:val="21"/>
      <w:szCs w:val="24"/>
    </w:rPr>
  </w:style>
  <w:style w:type="character" w:customStyle="1" w:styleId="86">
    <w:name w:val="white"/>
    <w:qFormat/>
    <w:uiPriority w:val="0"/>
  </w:style>
  <w:style w:type="character" w:customStyle="1" w:styleId="87">
    <w:name w:val="style11"/>
    <w:qFormat/>
    <w:uiPriority w:val="0"/>
    <w:rPr>
      <w:rFonts w:hint="default" w:ascii="Arial" w:hAnsi="Arial" w:cs="Arial"/>
    </w:rPr>
  </w:style>
  <w:style w:type="character" w:customStyle="1" w:styleId="88">
    <w:name w:val="z-窗体顶端 字符"/>
    <w:link w:val="89"/>
    <w:qFormat/>
    <w:uiPriority w:val="0"/>
    <w:rPr>
      <w:rFonts w:ascii="Arial"/>
      <w:vanish/>
      <w:kern w:val="2"/>
      <w:sz w:val="16"/>
      <w:szCs w:val="24"/>
    </w:rPr>
  </w:style>
  <w:style w:type="paragraph" w:customStyle="1" w:styleId="89">
    <w:name w:val="_Style 88"/>
    <w:basedOn w:val="1"/>
    <w:next w:val="1"/>
    <w:link w:val="88"/>
    <w:qFormat/>
    <w:uiPriority w:val="0"/>
    <w:pPr>
      <w:pBdr>
        <w:bottom w:val="single" w:color="auto" w:sz="6" w:space="1"/>
      </w:pBdr>
      <w:jc w:val="center"/>
    </w:pPr>
    <w:rPr>
      <w:rFonts w:ascii="Arial"/>
      <w:vanish/>
      <w:sz w:val="16"/>
    </w:rPr>
  </w:style>
  <w:style w:type="character" w:customStyle="1" w:styleId="90">
    <w:name w:val="f151"/>
    <w:qFormat/>
    <w:uiPriority w:val="0"/>
    <w:rPr>
      <w:sz w:val="23"/>
      <w:szCs w:val="23"/>
    </w:rPr>
  </w:style>
  <w:style w:type="character" w:customStyle="1" w:styleId="91">
    <w:name w:val="1ji Char"/>
    <w:link w:val="92"/>
    <w:qFormat/>
    <w:uiPriority w:val="0"/>
    <w:rPr>
      <w:rFonts w:ascii="宋体" w:hAnsi="宋体" w:eastAsia="宋体"/>
      <w:b/>
      <w:bCs/>
      <w:kern w:val="44"/>
      <w:sz w:val="36"/>
      <w:szCs w:val="44"/>
      <w:lang w:val="en-US" w:eastAsia="zh-CN" w:bidi="ar-SA"/>
    </w:rPr>
  </w:style>
  <w:style w:type="paragraph" w:customStyle="1" w:styleId="92">
    <w:name w:val="1ji"/>
    <w:basedOn w:val="2"/>
    <w:link w:val="91"/>
    <w:qFormat/>
    <w:uiPriority w:val="0"/>
    <w:pPr>
      <w:keepLines w:val="0"/>
      <w:widowControl/>
      <w:spacing w:before="0" w:beforeLines="0" w:after="0" w:afterLines="0" w:line="240" w:lineRule="auto"/>
      <w:jc w:val="center"/>
    </w:pPr>
    <w:rPr>
      <w:rFonts w:ascii="宋体" w:hAnsi="宋体"/>
      <w:sz w:val="36"/>
    </w:rPr>
  </w:style>
  <w:style w:type="character" w:customStyle="1" w:styleId="93">
    <w:name w:val="apple-converted-space"/>
    <w:qFormat/>
    <w:uiPriority w:val="0"/>
  </w:style>
  <w:style w:type="character" w:customStyle="1" w:styleId="94">
    <w:name w:val="unnamed3"/>
    <w:qFormat/>
    <w:uiPriority w:val="0"/>
  </w:style>
  <w:style w:type="character" w:customStyle="1" w:styleId="95">
    <w:name w:val="case31"/>
    <w:qFormat/>
    <w:uiPriority w:val="0"/>
    <w:rPr>
      <w:rFonts w:hint="default" w:ascii="_x000B__x000C_" w:hAnsi="_x000B__x000C_"/>
      <w:sz w:val="21"/>
      <w:szCs w:val="21"/>
    </w:rPr>
  </w:style>
  <w:style w:type="character" w:customStyle="1" w:styleId="96">
    <w:name w:val="gray12"/>
    <w:qFormat/>
    <w:uiPriority w:val="0"/>
  </w:style>
  <w:style w:type="character" w:customStyle="1" w:styleId="97">
    <w:name w:val="text11"/>
    <w:qFormat/>
    <w:uiPriority w:val="0"/>
    <w:rPr>
      <w:rFonts w:hint="default" w:ascii="Verdana" w:hAnsi="Verdana"/>
      <w:color w:val="4E4E4E"/>
      <w:sz w:val="18"/>
      <w:szCs w:val="18"/>
    </w:rPr>
  </w:style>
  <w:style w:type="character" w:customStyle="1" w:styleId="98">
    <w:name w:val="style21"/>
    <w:qFormat/>
    <w:uiPriority w:val="0"/>
    <w:rPr>
      <w:sz w:val="17"/>
      <w:szCs w:val="17"/>
    </w:rPr>
  </w:style>
  <w:style w:type="character" w:customStyle="1" w:styleId="99">
    <w:name w:val="mark8"/>
    <w:qFormat/>
    <w:uiPriority w:val="0"/>
    <w:rPr>
      <w:b/>
      <w:bCs/>
      <w:sz w:val="21"/>
      <w:szCs w:val="21"/>
    </w:rPr>
  </w:style>
  <w:style w:type="character" w:customStyle="1" w:styleId="100">
    <w:name w:val="font01"/>
    <w:qFormat/>
    <w:uiPriority w:val="0"/>
    <w:rPr>
      <w:rFonts w:hint="eastAsia" w:ascii="宋体" w:hAnsi="宋体" w:eastAsia="宋体"/>
      <w:color w:val="000000"/>
      <w:sz w:val="22"/>
      <w:szCs w:val="22"/>
      <w:u w:val="none"/>
    </w:rPr>
  </w:style>
  <w:style w:type="character" w:customStyle="1" w:styleId="101">
    <w:name w:val="content2"/>
    <w:qFormat/>
    <w:uiPriority w:val="0"/>
  </w:style>
  <w:style w:type="character" w:customStyle="1" w:styleId="102">
    <w:name w:val="1051"/>
    <w:qFormat/>
    <w:uiPriority w:val="0"/>
    <w:rPr>
      <w:sz w:val="21"/>
      <w:szCs w:val="21"/>
    </w:rPr>
  </w:style>
  <w:style w:type="character" w:customStyle="1" w:styleId="103">
    <w:name w:val="062"/>
    <w:qFormat/>
    <w:uiPriority w:val="0"/>
    <w:rPr>
      <w:rFonts w:ascii="宋体" w:hAnsi="宋体"/>
      <w:b/>
      <w:bCs/>
      <w:sz w:val="32"/>
    </w:rPr>
  </w:style>
  <w:style w:type="character" w:customStyle="1" w:styleId="104">
    <w:name w:val="标题3 Char"/>
    <w:link w:val="105"/>
    <w:qFormat/>
    <w:uiPriority w:val="0"/>
    <w:rPr>
      <w:rFonts w:ascii="宋体" w:hAnsi="宋体"/>
      <w:b/>
      <w:bCs/>
      <w:kern w:val="44"/>
      <w:sz w:val="24"/>
      <w:szCs w:val="24"/>
    </w:rPr>
  </w:style>
  <w:style w:type="paragraph" w:customStyle="1" w:styleId="105">
    <w:name w:val="标题3"/>
    <w:basedOn w:val="2"/>
    <w:link w:val="104"/>
    <w:qFormat/>
    <w:uiPriority w:val="0"/>
    <w:pPr>
      <w:spacing w:before="0" w:beforeLines="50" w:after="0" w:afterLines="50" w:line="400" w:lineRule="exact"/>
    </w:pPr>
    <w:rPr>
      <w:rFonts w:ascii="宋体" w:hAnsi="宋体"/>
      <w:sz w:val="24"/>
      <w:szCs w:val="24"/>
    </w:rPr>
  </w:style>
  <w:style w:type="character" w:customStyle="1" w:styleId="106">
    <w:name w:val="small"/>
    <w:qFormat/>
    <w:uiPriority w:val="0"/>
  </w:style>
  <w:style w:type="character" w:customStyle="1" w:styleId="107">
    <w:name w:val="纯文本 Char1"/>
    <w:qFormat/>
    <w:uiPriority w:val="0"/>
    <w:rPr>
      <w:rFonts w:ascii="宋体" w:hAnsi="Courier New" w:eastAsia="宋体" w:cs="Courier New"/>
      <w:kern w:val="2"/>
      <w:sz w:val="21"/>
      <w:szCs w:val="21"/>
      <w:lang w:val="en-US" w:eastAsia="zh-CN" w:bidi="ar-SA"/>
    </w:rPr>
  </w:style>
  <w:style w:type="character" w:customStyle="1" w:styleId="108">
    <w:name w:val="short_text1"/>
    <w:qFormat/>
    <w:uiPriority w:val="0"/>
    <w:rPr>
      <w:sz w:val="26"/>
    </w:rPr>
  </w:style>
  <w:style w:type="character" w:customStyle="1" w:styleId="109">
    <w:name w:val="graytext1"/>
    <w:qFormat/>
    <w:uiPriority w:val="0"/>
    <w:rPr>
      <w:color w:val="666666"/>
    </w:rPr>
  </w:style>
  <w:style w:type="paragraph" w:customStyle="1" w:styleId="110">
    <w:name w:val="a9"/>
    <w:basedOn w:val="1"/>
    <w:qFormat/>
    <w:uiPriority w:val="0"/>
    <w:pPr>
      <w:widowControl/>
      <w:spacing w:before="100" w:beforeLines="0" w:beforeAutospacing="1" w:after="100" w:afterLines="0" w:afterAutospacing="1"/>
      <w:jc w:val="left"/>
    </w:pPr>
    <w:rPr>
      <w:rFonts w:ascii="宋体" w:hAnsi="宋体" w:cs="宋体"/>
      <w:kern w:val="0"/>
      <w:sz w:val="24"/>
    </w:rPr>
  </w:style>
  <w:style w:type="paragraph" w:customStyle="1" w:styleId="111">
    <w:name w:val="Char"/>
    <w:basedOn w:val="1"/>
    <w:qFormat/>
    <w:uiPriority w:val="0"/>
    <w:pPr>
      <w:widowControl/>
      <w:spacing w:line="500" w:lineRule="exact"/>
      <w:outlineLvl w:val="2"/>
    </w:pPr>
    <w:rPr>
      <w:rFonts w:ascii="黑体" w:hAnsi="Verdana" w:eastAsia="黑体" w:cs="黑体"/>
      <w:kern w:val="0"/>
      <w:sz w:val="28"/>
      <w:szCs w:val="28"/>
      <w:lang w:eastAsia="en-US"/>
    </w:rPr>
  </w:style>
  <w:style w:type="paragraph" w:customStyle="1" w:styleId="11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13">
    <w:name w:val="样式 标题 3 + (中文) 黑体 小四 非加粗 段前: 7.8 磅 段后: 0 磅 行距: 固定值 20 磅"/>
    <w:basedOn w:val="4"/>
    <w:qFormat/>
    <w:uiPriority w:val="0"/>
    <w:pPr>
      <w:spacing w:before="0" w:beforeLines="0" w:after="0" w:afterLines="0" w:line="400" w:lineRule="exact"/>
    </w:pPr>
    <w:rPr>
      <w:rFonts w:eastAsia="黑体" w:cs="宋体"/>
      <w:b w:val="0"/>
      <w:bCs w:val="0"/>
      <w:sz w:val="24"/>
      <w:szCs w:val="20"/>
    </w:rPr>
  </w:style>
  <w:style w:type="paragraph" w:customStyle="1" w:styleId="114">
    <w:name w:val="样式 首行缩进:  2 字符"/>
    <w:basedOn w:val="1"/>
    <w:qFormat/>
    <w:uiPriority w:val="0"/>
    <w:pPr>
      <w:spacing w:line="400" w:lineRule="exact"/>
      <w:ind w:firstLine="200" w:firstLineChars="200"/>
    </w:pPr>
    <w:rPr>
      <w:rFonts w:cs="宋体"/>
      <w:sz w:val="24"/>
    </w:rPr>
  </w:style>
  <w:style w:type="paragraph" w:customStyle="1" w:styleId="115">
    <w:name w:val="_Style 114"/>
    <w:unhideWhenUsed/>
    <w:qFormat/>
    <w:uiPriority w:val="99"/>
    <w:rPr>
      <w:rFonts w:ascii="Times New Roman" w:hAnsi="Times New Roman" w:eastAsia="宋体" w:cs="Times New Roman"/>
      <w:kern w:val="2"/>
      <w:sz w:val="21"/>
      <w:szCs w:val="24"/>
      <w:lang w:val="en-US" w:eastAsia="zh-CN" w:bidi="ar-SA"/>
    </w:rPr>
  </w:style>
  <w:style w:type="paragraph" w:customStyle="1" w:styleId="116">
    <w:name w:val="_Style 115"/>
    <w:basedOn w:val="2"/>
    <w:next w:val="1"/>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 w:type="paragraph" w:styleId="117">
    <w:name w:val="List Paragraph"/>
    <w:basedOn w:val="1"/>
    <w:qFormat/>
    <w:uiPriority w:val="34"/>
    <w:pPr>
      <w:ind w:firstLine="420" w:firstLineChars="200"/>
    </w:pPr>
    <w:rPr>
      <w:rFonts w:ascii="Calibri" w:hAnsi="Calibri"/>
      <w:szCs w:val="22"/>
    </w:rPr>
  </w:style>
  <w:style w:type="paragraph" w:customStyle="1" w:styleId="118">
    <w:name w:val="缺省文本"/>
    <w:basedOn w:val="1"/>
    <w:qFormat/>
    <w:uiPriority w:val="0"/>
    <w:pPr>
      <w:autoSpaceDE w:val="0"/>
      <w:autoSpaceDN w:val="0"/>
      <w:adjustRightInd w:val="0"/>
      <w:spacing w:line="360" w:lineRule="auto"/>
      <w:jc w:val="left"/>
    </w:pPr>
    <w:rPr>
      <w:kern w:val="0"/>
      <w:sz w:val="24"/>
      <w:szCs w:val="20"/>
    </w:rPr>
  </w:style>
  <w:style w:type="paragraph" w:customStyle="1" w:styleId="119">
    <w:name w:val="Default Paragraph Font Para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20">
    <w:name w:val="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1">
    <w:name w:val="Char Char Char Char Char Char Char Char Char Char Char Char Char Char Char Char"/>
    <w:basedOn w:val="1"/>
    <w:qFormat/>
    <w:uiPriority w:val="0"/>
    <w:pPr>
      <w:tabs>
        <w:tab w:val="left" w:pos="360"/>
      </w:tabs>
      <w:spacing w:line="360" w:lineRule="auto"/>
      <w:ind w:left="482" w:firstLine="200" w:firstLineChars="200"/>
    </w:pPr>
    <w:rPr>
      <w:rFonts w:ascii="宋体"/>
      <w:sz w:val="24"/>
    </w:rPr>
  </w:style>
  <w:style w:type="paragraph" w:customStyle="1" w:styleId="122">
    <w:name w:val="Char Char Char Char Char Char Char Char Char Char Char Char Char"/>
    <w:basedOn w:val="16"/>
    <w:qFormat/>
    <w:uiPriority w:val="0"/>
    <w:pPr>
      <w:adjustRightInd/>
      <w:spacing w:line="240" w:lineRule="auto"/>
      <w:textAlignment w:val="auto"/>
    </w:pPr>
    <w:rPr>
      <w:rFonts w:ascii="Tahoma" w:hAnsi="Tahoma"/>
      <w:kern w:val="2"/>
      <w:sz w:val="24"/>
      <w:szCs w:val="24"/>
    </w:rPr>
  </w:style>
  <w:style w:type="paragraph" w:customStyle="1" w:styleId="123">
    <w:name w:val="Char1"/>
    <w:basedOn w:val="1"/>
    <w:qFormat/>
    <w:uiPriority w:val="0"/>
    <w:rPr>
      <w:szCs w:val="21"/>
    </w:rPr>
  </w:style>
  <w:style w:type="paragraph" w:customStyle="1" w:styleId="124">
    <w:name w:val=" Char Char Char Char Char Char Char Char Char Char Char Char Char Char Char Char"/>
    <w:basedOn w:val="1"/>
    <w:qFormat/>
    <w:uiPriority w:val="0"/>
    <w:pPr>
      <w:tabs>
        <w:tab w:val="left" w:pos="360"/>
      </w:tabs>
      <w:spacing w:line="360" w:lineRule="auto"/>
      <w:ind w:left="482" w:firstLine="200" w:firstLineChars="200"/>
    </w:pPr>
    <w:rPr>
      <w:rFonts w:ascii="宋体"/>
      <w:sz w:val="24"/>
    </w:rPr>
  </w:style>
  <w:style w:type="paragraph" w:customStyle="1" w:styleId="125">
    <w:name w:val="xl30"/>
    <w:basedOn w:val="1"/>
    <w:qFormat/>
    <w:uiPriority w:val="0"/>
    <w:pPr>
      <w:widowControl/>
      <w:pBdr>
        <w:left w:val="single" w:color="auto" w:sz="4" w:space="0"/>
        <w:bottom w:val="single" w:color="auto" w:sz="4" w:space="0"/>
        <w:right w:val="single" w:color="auto" w:sz="4" w:space="0"/>
      </w:pBdr>
      <w:spacing w:before="100" w:beforeLines="0" w:beforeAutospacing="1" w:after="100" w:afterLines="0" w:afterAutospacing="1"/>
      <w:jc w:val="center"/>
    </w:pPr>
    <w:rPr>
      <w:kern w:val="0"/>
      <w:szCs w:val="21"/>
    </w:rPr>
  </w:style>
  <w:style w:type="paragraph" w:customStyle="1" w:styleId="126">
    <w:name w:val="正文首行缩进两字符"/>
    <w:basedOn w:val="1"/>
    <w:qFormat/>
    <w:uiPriority w:val="0"/>
    <w:pPr>
      <w:spacing w:line="360" w:lineRule="auto"/>
      <w:ind w:firstLine="200" w:firstLineChars="200"/>
    </w:pPr>
  </w:style>
  <w:style w:type="paragraph" w:customStyle="1" w:styleId="127">
    <w:name w:val=" Char2"/>
    <w:basedOn w:val="1"/>
    <w:qFormat/>
    <w:uiPriority w:val="0"/>
    <w:pPr>
      <w:widowControl/>
      <w:spacing w:after="160" w:afterLines="0" w:line="240" w:lineRule="exact"/>
      <w:jc w:val="left"/>
    </w:pPr>
    <w:rPr>
      <w:rFonts w:ascii="Verdana" w:hAnsi="Verdana"/>
      <w:kern w:val="0"/>
      <w:szCs w:val="20"/>
      <w:lang w:eastAsia="en-US"/>
    </w:rPr>
  </w:style>
  <w:style w:type="paragraph" w:customStyle="1" w:styleId="128">
    <w:name w:val="样式 标题 2 + Times New Roman 四号 非加粗 段前: 5 磅 段后: 0 磅 行距: 固定值 20..."/>
    <w:basedOn w:val="3"/>
    <w:qFormat/>
    <w:uiPriority w:val="0"/>
    <w:pPr>
      <w:spacing w:before="100" w:beforeLines="0" w:after="0" w:afterLines="0" w:line="400" w:lineRule="exact"/>
    </w:pPr>
    <w:rPr>
      <w:rFonts w:ascii="Times New Roman" w:hAnsi="Times New Roman" w:cs="宋体"/>
      <w:b w:val="0"/>
      <w:bCs w:val="0"/>
      <w:sz w:val="28"/>
      <w:szCs w:val="20"/>
    </w:rPr>
  </w:style>
  <w:style w:type="paragraph" w:customStyle="1" w:styleId="129">
    <w:name w:val="表内文字"/>
    <w:basedOn w:val="1"/>
    <w:qFormat/>
    <w:uiPriority w:val="0"/>
    <w:pPr>
      <w:snapToGrid w:val="0"/>
      <w:spacing w:before="50" w:beforeLines="0" w:after="50" w:afterLines="0"/>
      <w:jc w:val="center"/>
    </w:pPr>
    <w:rPr>
      <w:rFonts w:ascii="仿宋_GB2312" w:hAnsi="宋体" w:eastAsia="仿宋_GB2312"/>
      <w:b/>
      <w:color w:val="000000"/>
      <w:sz w:val="32"/>
      <w:szCs w:val="32"/>
    </w:rPr>
  </w:style>
  <w:style w:type="paragraph" w:customStyle="1" w:styleId="130">
    <w:name w:val="Char3"/>
    <w:basedOn w:val="1"/>
    <w:qFormat/>
    <w:uiPriority w:val="0"/>
    <w:pPr>
      <w:widowControl/>
      <w:spacing w:line="500" w:lineRule="exact"/>
      <w:outlineLvl w:val="2"/>
    </w:pPr>
    <w:rPr>
      <w:rFonts w:ascii="黑体" w:hAnsi="Verdana" w:eastAsia="黑体" w:cs="黑体"/>
      <w:kern w:val="0"/>
      <w:sz w:val="28"/>
      <w:szCs w:val="28"/>
      <w:lang w:eastAsia="en-US"/>
    </w:rPr>
  </w:style>
  <w:style w:type="paragraph" w:customStyle="1" w:styleId="131">
    <w:name w:val="Char Char Char"/>
    <w:basedOn w:val="1"/>
    <w:qFormat/>
    <w:uiPriority w:val="0"/>
    <w:rPr>
      <w:rFonts w:ascii="Tahoma" w:hAnsi="Tahoma"/>
      <w:sz w:val="24"/>
      <w:szCs w:val="20"/>
    </w:rPr>
  </w:style>
  <w:style w:type="paragraph" w:customStyle="1" w:styleId="132">
    <w:name w:val="表格"/>
    <w:basedOn w:val="1"/>
    <w:qFormat/>
    <w:uiPriority w:val="0"/>
    <w:pPr>
      <w:spacing w:line="400" w:lineRule="exact"/>
    </w:pPr>
    <w:rPr>
      <w:sz w:val="24"/>
    </w:rPr>
  </w:style>
  <w:style w:type="paragraph" w:customStyle="1" w:styleId="13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34">
    <w:name w:val=" Char Char Char Char Char Char Char"/>
    <w:basedOn w:val="1"/>
    <w:qFormat/>
    <w:uiPriority w:val="0"/>
  </w:style>
  <w:style w:type="paragraph" w:customStyle="1" w:styleId="135">
    <w:name w:val=" Char"/>
    <w:basedOn w:val="1"/>
    <w:qFormat/>
    <w:uiPriority w:val="0"/>
    <w:pPr>
      <w:tabs>
        <w:tab w:val="left" w:pos="360"/>
      </w:tabs>
      <w:ind w:left="252" w:hanging="252" w:hangingChars="140"/>
    </w:pPr>
    <w:rPr>
      <w:rFonts w:ascii="宋体"/>
      <w:sz w:val="18"/>
      <w:szCs w:val="18"/>
    </w:rPr>
  </w:style>
  <w:style w:type="paragraph" w:customStyle="1" w:styleId="136">
    <w:name w:val=" Char Char Char"/>
    <w:basedOn w:val="16"/>
    <w:qFormat/>
    <w:uiPriority w:val="0"/>
    <w:pPr>
      <w:adjustRightInd/>
      <w:spacing w:line="240" w:lineRule="auto"/>
      <w:textAlignment w:val="auto"/>
    </w:pPr>
    <w:rPr>
      <w:rFonts w:ascii="Tahoma" w:hAnsi="Tahoma"/>
      <w:kern w:val="2"/>
      <w:sz w:val="24"/>
      <w:szCs w:val="24"/>
    </w:rPr>
  </w:style>
  <w:style w:type="paragraph" w:customStyle="1" w:styleId="137">
    <w:name w:val="样式1"/>
    <w:basedOn w:val="1"/>
    <w:qFormat/>
    <w:uiPriority w:val="0"/>
    <w:pPr>
      <w:spacing w:before="120" w:beforeLines="0" w:after="120" w:afterLines="0" w:line="300" w:lineRule="auto"/>
    </w:pPr>
    <w:rPr>
      <w:rFonts w:ascii="宋体" w:hAnsi="宋体"/>
      <w:b/>
      <w:sz w:val="24"/>
      <w:szCs w:val="20"/>
    </w:rPr>
  </w:style>
  <w:style w:type="paragraph" w:customStyle="1" w:styleId="138">
    <w:name w:val="xl26"/>
    <w:basedOn w:val="1"/>
    <w:qFormat/>
    <w:uiPriority w:val="0"/>
    <w:pPr>
      <w:widowControl/>
      <w:pBdr>
        <w:left w:val="single" w:color="auto" w:sz="4" w:space="0"/>
        <w:bottom w:val="single" w:color="auto" w:sz="4" w:space="0"/>
        <w:right w:val="single" w:color="auto" w:sz="4" w:space="0"/>
      </w:pBdr>
      <w:spacing w:before="100" w:beforeLines="0" w:beforeAutospacing="1" w:after="100" w:afterLines="0" w:afterAutospacing="1"/>
    </w:pPr>
    <w:rPr>
      <w:kern w:val="0"/>
      <w:szCs w:val="21"/>
    </w:rPr>
  </w:style>
  <w:style w:type="paragraph" w:customStyle="1" w:styleId="139">
    <w:name w:val="Char Char Char Char Char Char Char"/>
    <w:basedOn w:val="1"/>
    <w:qFormat/>
    <w:uiPriority w:val="0"/>
  </w:style>
  <w:style w:type="paragraph" w:customStyle="1" w:styleId="140">
    <w:name w:val="xl31"/>
    <w:basedOn w:val="1"/>
    <w:qFormat/>
    <w:uiPriority w:val="0"/>
    <w:pPr>
      <w:widowControl/>
      <w:pBdr>
        <w:bottom w:val="single" w:color="auto" w:sz="4" w:space="0"/>
        <w:right w:val="single" w:color="auto" w:sz="4" w:space="0"/>
      </w:pBdr>
      <w:spacing w:before="100" w:beforeLines="0" w:beforeAutospacing="1" w:after="100" w:afterLines="0" w:afterAutospacing="1"/>
      <w:jc w:val="center"/>
    </w:pPr>
    <w:rPr>
      <w:rFonts w:ascii="宋体" w:hAnsi="宋体"/>
      <w:kern w:val="0"/>
      <w:szCs w:val="21"/>
    </w:rPr>
  </w:style>
  <w:style w:type="paragraph" w:customStyle="1" w:styleId="141">
    <w:name w:val="次小点说明 Char"/>
    <w:basedOn w:val="7"/>
    <w:qFormat/>
    <w:uiPriority w:val="0"/>
    <w:pPr>
      <w:ind w:firstLine="0"/>
    </w:pPr>
    <w:rPr>
      <w:sz w:val="24"/>
      <w:szCs w:val="24"/>
    </w:rPr>
  </w:style>
  <w:style w:type="paragraph" w:customStyle="1" w:styleId="142">
    <w:name w:val="五号正文（标准）"/>
    <w:basedOn w:val="1"/>
    <w:qFormat/>
    <w:uiPriority w:val="0"/>
    <w:pPr>
      <w:spacing w:line="360" w:lineRule="auto"/>
      <w:ind w:right="55" w:firstLine="560" w:firstLineChars="200"/>
    </w:pPr>
    <w:rPr>
      <w:rFonts w:eastAsia="仿宋_GB2312"/>
      <w:sz w:val="28"/>
      <w:szCs w:val="20"/>
    </w:rPr>
  </w:style>
  <w:style w:type="paragraph" w:customStyle="1" w:styleId="143">
    <w:name w:val=" Char Char Char Char"/>
    <w:basedOn w:val="1"/>
    <w:qFormat/>
    <w:uiPriority w:val="0"/>
    <w:pPr>
      <w:widowControl/>
      <w:spacing w:after="160" w:afterLines="0" w:line="240" w:lineRule="exact"/>
      <w:jc w:val="left"/>
    </w:pPr>
    <w:rPr>
      <w:rFonts w:ascii="Verdana" w:hAnsi="Verdana" w:eastAsia="仿宋_GB2312"/>
      <w:kern w:val="0"/>
      <w:sz w:val="24"/>
      <w:szCs w:val="20"/>
      <w:lang w:eastAsia="en-US"/>
    </w:rPr>
  </w:style>
  <w:style w:type="paragraph" w:customStyle="1" w:styleId="144">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145">
    <w:name w:val="默认段落字体 Para Char Char Char Char Char Char Char Char Char1 Char Char Char Char"/>
    <w:basedOn w:val="1"/>
    <w:qFormat/>
    <w:uiPriority w:val="0"/>
    <w:rPr>
      <w:rFonts w:ascii="Tahoma" w:hAnsi="Tahoma"/>
      <w:sz w:val="24"/>
      <w:szCs w:val="20"/>
    </w:rPr>
  </w:style>
  <w:style w:type="paragraph" w:customStyle="1" w:styleId="146">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47">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8">
    <w:name w:val=" Char Char Char Char Char Char Char Char Char Char Char Char Char"/>
    <w:basedOn w:val="16"/>
    <w:qFormat/>
    <w:uiPriority w:val="0"/>
    <w:pPr>
      <w:adjustRightInd/>
      <w:spacing w:line="240" w:lineRule="auto"/>
      <w:textAlignment w:val="auto"/>
    </w:pPr>
    <w:rPr>
      <w:rFonts w:ascii="Tahoma" w:hAnsi="Tahoma"/>
      <w:kern w:val="2"/>
      <w:sz w:val="24"/>
      <w:szCs w:val="24"/>
    </w:rPr>
  </w:style>
  <w:style w:type="paragraph" w:customStyle="1" w:styleId="149">
    <w:name w:val="图"/>
    <w:basedOn w:val="1"/>
    <w:qFormat/>
    <w:uiPriority w:val="0"/>
    <w:pPr>
      <w:keepNext/>
      <w:adjustRightInd w:val="0"/>
      <w:snapToGrid w:val="0"/>
      <w:spacing w:before="60" w:beforeLines="0" w:after="60" w:afterLines="0" w:line="300" w:lineRule="auto"/>
      <w:jc w:val="center"/>
    </w:pPr>
    <w:rPr>
      <w:spacing w:val="20"/>
      <w:kern w:val="0"/>
      <w:sz w:val="24"/>
      <w:szCs w:val="20"/>
    </w:rPr>
  </w:style>
  <w:style w:type="paragraph" w:customStyle="1" w:styleId="150">
    <w:name w:val=" Char Char Char Char Char Char1 Char"/>
    <w:basedOn w:val="1"/>
    <w:qFormat/>
    <w:uiPriority w:val="0"/>
    <w:pPr>
      <w:widowControl/>
      <w:spacing w:after="160" w:afterLines="0" w:line="240" w:lineRule="exact"/>
      <w:jc w:val="left"/>
    </w:pPr>
    <w:rPr>
      <w:rFonts w:ascii="Arial" w:hAnsi="Arial" w:eastAsia="Times New Roman" w:cs="Verdana"/>
      <w:b/>
      <w:kern w:val="0"/>
      <w:sz w:val="24"/>
      <w:szCs w:val="20"/>
      <w:lang w:eastAsia="en-US"/>
    </w:rPr>
  </w:style>
  <w:style w:type="paragraph" w:customStyle="1" w:styleId="151">
    <w:name w:val="Char Char Char1"/>
    <w:basedOn w:val="16"/>
    <w:qFormat/>
    <w:uiPriority w:val="0"/>
    <w:pPr>
      <w:adjustRightInd/>
      <w:spacing w:line="240" w:lineRule="auto"/>
      <w:textAlignment w:val="auto"/>
    </w:pPr>
    <w:rPr>
      <w:rFonts w:ascii="Tahoma" w:hAnsi="Tahoma"/>
      <w:kern w:val="2"/>
      <w:sz w:val="24"/>
      <w:szCs w:val="24"/>
    </w:rPr>
  </w:style>
  <w:style w:type="paragraph" w:customStyle="1" w:styleId="152">
    <w:name w:val="F2"/>
    <w:basedOn w:val="1"/>
    <w:qFormat/>
    <w:uiPriority w:val="0"/>
    <w:pPr>
      <w:autoSpaceDE w:val="0"/>
      <w:autoSpaceDN w:val="0"/>
      <w:adjustRightInd w:val="0"/>
      <w:ind w:firstLine="601"/>
      <w:textAlignment w:val="baseline"/>
    </w:pPr>
    <w:rPr>
      <w:kern w:val="0"/>
      <w:sz w:val="24"/>
      <w:szCs w:val="20"/>
    </w:rPr>
  </w:style>
  <w:style w:type="paragraph" w:customStyle="1" w:styleId="153">
    <w:name w:val="xl21"/>
    <w:basedOn w:val="1"/>
    <w:qFormat/>
    <w:uiPriority w:val="0"/>
    <w:pPr>
      <w:widowControl/>
      <w:spacing w:before="100" w:beforeLines="0" w:beforeAutospacing="1" w:after="100" w:afterLines="0" w:afterAutospacing="1"/>
      <w:jc w:val="center"/>
    </w:pPr>
    <w:rPr>
      <w:rFonts w:ascii="宋体" w:hAnsi="宋体"/>
      <w:b/>
      <w:bCs/>
      <w:kern w:val="0"/>
      <w:sz w:val="28"/>
      <w:szCs w:val="28"/>
    </w:rPr>
  </w:style>
  <w:style w:type="paragraph" w:customStyle="1" w:styleId="154">
    <w:name w:val="List Paragraph1"/>
    <w:basedOn w:val="1"/>
    <w:qFormat/>
    <w:uiPriority w:val="0"/>
    <w:pPr>
      <w:ind w:firstLine="420" w:firstLineChars="200"/>
    </w:pPr>
    <w:rPr>
      <w:rFonts w:ascii="Calibri" w:hAnsi="Calibri"/>
      <w:szCs w:val="22"/>
    </w:rPr>
  </w:style>
  <w:style w:type="paragraph" w:customStyle="1" w:styleId="155">
    <w:name w:val="普通 (Web)"/>
    <w:basedOn w:val="1"/>
    <w:qFormat/>
    <w:uiPriority w:val="0"/>
    <w:pPr>
      <w:widowControl/>
      <w:spacing w:before="100" w:beforeLines="0" w:beforeAutospacing="1" w:after="100" w:afterLines="0" w:afterAutospacing="1"/>
      <w:jc w:val="left"/>
    </w:pPr>
    <w:rPr>
      <w:rFonts w:ascii="宋体" w:hAnsi="宋体"/>
      <w:kern w:val="0"/>
      <w:sz w:val="24"/>
    </w:rPr>
  </w:style>
  <w:style w:type="paragraph" w:customStyle="1" w:styleId="156">
    <w:name w:val="默认段落字体 Para Char"/>
    <w:basedOn w:val="1"/>
    <w:qFormat/>
    <w:uiPriority w:val="0"/>
    <w:pPr>
      <w:adjustRightInd w:val="0"/>
      <w:spacing w:line="360" w:lineRule="auto"/>
    </w:pPr>
    <w:rPr>
      <w:kern w:val="0"/>
      <w:sz w:val="24"/>
      <w:szCs w:val="20"/>
    </w:rPr>
  </w:style>
  <w:style w:type="paragraph" w:customStyle="1" w:styleId="157">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b/>
      <w:bCs/>
      <w:kern w:val="0"/>
      <w:sz w:val="24"/>
    </w:rPr>
  </w:style>
  <w:style w:type="paragraph" w:customStyle="1" w:styleId="158">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59">
    <w:name w:val="tgt1"/>
    <w:basedOn w:val="1"/>
    <w:qFormat/>
    <w:uiPriority w:val="0"/>
    <w:pPr>
      <w:widowControl/>
      <w:spacing w:after="150" w:afterLines="0"/>
      <w:jc w:val="left"/>
    </w:pPr>
    <w:rPr>
      <w:rFonts w:ascii="宋体" w:hAnsi="宋体" w:cs="宋体"/>
      <w:kern w:val="0"/>
      <w:sz w:val="24"/>
    </w:rPr>
  </w:style>
  <w:style w:type="paragraph" w:customStyle="1" w:styleId="160">
    <w:name w:val="正文段"/>
    <w:basedOn w:val="1"/>
    <w:qFormat/>
    <w:uiPriority w:val="0"/>
    <w:pPr>
      <w:widowControl/>
      <w:snapToGrid w:val="0"/>
      <w:spacing w:after="156" w:afterLines="50"/>
      <w:ind w:firstLine="200" w:firstLineChars="200"/>
    </w:pPr>
    <w:rPr>
      <w:kern w:val="0"/>
      <w:sz w:val="24"/>
      <w:szCs w:val="20"/>
    </w:rPr>
  </w:style>
  <w:style w:type="paragraph" w:customStyle="1" w:styleId="161">
    <w:name w:val="1"/>
    <w:basedOn w:val="1"/>
    <w:next w:val="26"/>
    <w:qFormat/>
    <w:uiPriority w:val="0"/>
    <w:rPr>
      <w:rFonts w:ascii="宋体" w:hAnsi="Courier New"/>
      <w:szCs w:val="20"/>
    </w:rPr>
  </w:style>
  <w:style w:type="paragraph" w:customStyle="1" w:styleId="162">
    <w:name w:val="2ji"/>
    <w:basedOn w:val="3"/>
    <w:qFormat/>
    <w:uiPriority w:val="0"/>
    <w:pPr>
      <w:adjustRightInd w:val="0"/>
      <w:spacing w:before="0" w:beforeLines="0" w:after="0" w:afterLines="0" w:line="360" w:lineRule="auto"/>
      <w:textAlignment w:val="baseline"/>
    </w:pPr>
    <w:rPr>
      <w:rFonts w:ascii="宋体" w:hAnsi="宋体" w:eastAsia="宋体"/>
      <w:kern w:val="0"/>
      <w:sz w:val="21"/>
      <w:szCs w:val="21"/>
    </w:rPr>
  </w:style>
  <w:style w:type="paragraph" w:customStyle="1" w:styleId="163">
    <w:name w:val="2-2ji"/>
    <w:basedOn w:val="3"/>
    <w:qFormat/>
    <w:uiPriority w:val="0"/>
    <w:pPr>
      <w:adjustRightInd w:val="0"/>
      <w:spacing w:before="0" w:beforeLines="0" w:after="0" w:afterLines="0" w:line="360" w:lineRule="auto"/>
      <w:jc w:val="center"/>
      <w:textAlignment w:val="baseline"/>
    </w:pPr>
    <w:rPr>
      <w:rFonts w:ascii="宋体" w:hAnsi="宋体" w:eastAsia="宋体"/>
      <w:bCs w:val="0"/>
      <w:kern w:val="0"/>
      <w:sz w:val="36"/>
    </w:rPr>
  </w:style>
  <w:style w:type="paragraph" w:customStyle="1" w:styleId="164">
    <w:name w:val="444"/>
    <w:basedOn w:val="1"/>
    <w:qFormat/>
    <w:uiPriority w:val="0"/>
    <w:pPr>
      <w:adjustRightInd w:val="0"/>
      <w:spacing w:line="312" w:lineRule="atLeast"/>
      <w:jc w:val="center"/>
      <w:textAlignment w:val="baseline"/>
    </w:pPr>
    <w:rPr>
      <w:b/>
      <w:kern w:val="0"/>
      <w:sz w:val="36"/>
      <w:szCs w:val="36"/>
    </w:rPr>
  </w:style>
  <w:style w:type="character" w:customStyle="1" w:styleId="165">
    <w:name w:val="_Style 164"/>
    <w:unhideWhenUsed/>
    <w:qFormat/>
    <w:uiPriority w:val="99"/>
    <w:rPr>
      <w:color w:val="605E5C"/>
      <w:shd w:val="clear" w:color="auto" w:fill="E1DFDD"/>
    </w:rPr>
  </w:style>
  <w:style w:type="character" w:customStyle="1" w:styleId="166">
    <w:name w:val="批注文字 字符1"/>
    <w:qFormat/>
    <w:uiPriority w:val="0"/>
    <w:rPr>
      <w:kern w:val="2"/>
      <w:sz w:val="21"/>
      <w:szCs w:val="24"/>
    </w:rPr>
  </w:style>
  <w:style w:type="character" w:customStyle="1" w:styleId="167">
    <w:name w:val="纯文本 字符1"/>
    <w:qFormat/>
    <w:uiPriority w:val="99"/>
    <w:rPr>
      <w:rFonts w:ascii="宋体" w:hAnsi="Courier New" w:eastAsia="宋体" w:cs="Courier New"/>
      <w:kern w:val="2"/>
      <w:sz w:val="21"/>
      <w:szCs w:val="21"/>
      <w:lang w:val="en-US" w:eastAsia="zh-CN" w:bidi="ar-SA"/>
    </w:rPr>
  </w:style>
  <w:style w:type="character" w:customStyle="1" w:styleId="168">
    <w:name w:val="正文文本 字符1"/>
    <w:qFormat/>
    <w:uiPriority w:val="99"/>
    <w:rPr>
      <w:kern w:val="2"/>
      <w:sz w:val="24"/>
      <w:szCs w:val="24"/>
    </w:rPr>
  </w:style>
  <w:style w:type="paragraph" w:customStyle="1" w:styleId="169">
    <w:name w:val="正文-2字符首行缩进"/>
    <w:basedOn w:val="1"/>
    <w:link w:val="170"/>
    <w:qFormat/>
    <w:uiPriority w:val="0"/>
    <w:pPr>
      <w:widowControl/>
      <w:spacing w:line="360" w:lineRule="auto"/>
      <w:ind w:firstLine="200" w:firstLineChars="200"/>
    </w:pPr>
    <w:rPr>
      <w:rFonts w:ascii="仿宋_GB2312" w:hAnsi="Calibri" w:eastAsia="仿宋_GB2312"/>
      <w:kern w:val="0"/>
      <w:sz w:val="28"/>
      <w:szCs w:val="22"/>
    </w:rPr>
  </w:style>
  <w:style w:type="character" w:customStyle="1" w:styleId="170">
    <w:name w:val="正文-2字符首行缩进 Char"/>
    <w:link w:val="169"/>
    <w:qFormat/>
    <w:uiPriority w:val="0"/>
    <w:rPr>
      <w:rFonts w:ascii="仿宋_GB2312" w:hAnsi="Calibri" w:eastAsia="仿宋_GB2312"/>
      <w:sz w:val="28"/>
      <w:szCs w:val="22"/>
    </w:rPr>
  </w:style>
  <w:style w:type="character" w:customStyle="1" w:styleId="171">
    <w:name w:val="标题 5 字符"/>
    <w:semiHidden/>
    <w:qFormat/>
    <w:uiPriority w:val="9"/>
    <w:rPr>
      <w:b/>
      <w:bCs/>
      <w:kern w:val="2"/>
      <w:sz w:val="28"/>
      <w:szCs w:val="28"/>
    </w:rPr>
  </w:style>
  <w:style w:type="paragraph" w:customStyle="1" w:styleId="172">
    <w:name w:val="列出段落1"/>
    <w:basedOn w:val="1"/>
    <w:qFormat/>
    <w:uiPriority w:val="99"/>
    <w:pPr>
      <w:ind w:firstLine="420" w:firstLineChars="200"/>
    </w:pPr>
    <w:rPr>
      <w:rFonts w:ascii="等线" w:hAnsi="等线" w:eastAsia="等线" w:cs="Times New Roman"/>
    </w:rPr>
  </w:style>
  <w:style w:type="character" w:customStyle="1" w:styleId="173">
    <w:name w:val="批注文字 字符"/>
    <w:qFormat/>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2.png"/><Relationship Id="rId17" Type="http://schemas.openxmlformats.org/officeDocument/2006/relationships/image" Target="media/image1.emf"/><Relationship Id="rId16" Type="http://schemas.openxmlformats.org/officeDocument/2006/relationships/theme" Target="theme/theme1.xml"/><Relationship Id="rId15" Type="http://schemas.openxmlformats.org/officeDocument/2006/relationships/header" Target="header8.xml"/><Relationship Id="rId14" Type="http://schemas.openxmlformats.org/officeDocument/2006/relationships/footer" Target="footer5.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69</Pages>
  <Words>12603</Words>
  <Characters>14953</Characters>
  <Lines>388</Lines>
  <Paragraphs>109</Paragraphs>
  <TotalTime>28</TotalTime>
  <ScaleCrop>false</ScaleCrop>
  <LinksUpToDate>false</LinksUpToDate>
  <CharactersWithSpaces>15224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2020-09-14T09:21:00Z</dcterms:created>
  <dc:creator>微软用户</dc:creator>
  <cp:lastModifiedBy>admin</cp:lastModifiedBy>
  <cp:lastPrinted>2016-03-22T07:52:00Z</cp:lastPrinted>
  <dcterms:modified xsi:type="dcterms:W3CDTF">2025-11-11T10:06:34Z</dcterms:modified>
  <dc:title>桂财采〔2009〕 号</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Subject">
    <vt:lpwstr/>
  </property>
  <property fmtid="{D5CDD505-2E9C-101B-9397-08002B2CF9AE}" pid="4" name="Keywords">
    <vt:lpwstr/>
  </property>
  <property fmtid="{D5CDD505-2E9C-101B-9397-08002B2CF9AE}" pid="5" name="_Author">
    <vt:lpwstr>微软用户</vt:lpwstr>
  </property>
  <property fmtid="{D5CDD505-2E9C-101B-9397-08002B2CF9AE}" pid="6" name="_Category">
    <vt:lpwstr/>
  </property>
  <property fmtid="{D5CDD505-2E9C-101B-9397-08002B2CF9AE}" pid="7" name="Slides">
    <vt:lpwstr>0</vt:lpwstr>
  </property>
  <property fmtid="{D5CDD505-2E9C-101B-9397-08002B2CF9AE}" pid="8" name="Categories">
    <vt:lpwstr/>
  </property>
  <property fmtid="{D5CDD505-2E9C-101B-9397-08002B2CF9AE}" pid="9" name="Approval Level">
    <vt:lpwstr/>
  </property>
  <property fmtid="{D5CDD505-2E9C-101B-9397-08002B2CF9AE}" pid="10" name="_Comments">
    <vt:lpwstr/>
  </property>
  <property fmtid="{D5CDD505-2E9C-101B-9397-08002B2CF9AE}" pid="11" name="Assigned To">
    <vt:lpwstr/>
  </property>
  <property fmtid="{D5CDD505-2E9C-101B-9397-08002B2CF9AE}" pid="12" name="ICV">
    <vt:lpwstr>2E3A0D4FD3344D4480A7F4A8CFB4B107_13</vt:lpwstr>
  </property>
  <property fmtid="{D5CDD505-2E9C-101B-9397-08002B2CF9AE}" pid="13" name="KSOTemplateDocerSaveRecord">
    <vt:lpwstr>eyJoZGlkIjoiNTZlMzdlMTY3NDA3NDgzMmMwYjVjMDZiNjFlNWI5MTIiLCJ1c2VySWQiOiIxMDg2Nzc2Mzg1In0=</vt:lpwstr>
  </property>
</Properties>
</file>