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FBDA0">
      <w:pPr>
        <w:pStyle w:val="13"/>
        <w:jc w:val="center"/>
        <w:rPr>
          <w:rFonts w:ascii="华文新魏" w:eastAsia="华文新魏"/>
          <w:b/>
          <w:bCs/>
          <w:color w:val="auto"/>
          <w:spacing w:val="80"/>
          <w:sz w:val="60"/>
          <w:szCs w:val="60"/>
          <w:highlight w:val="none"/>
        </w:rPr>
      </w:pPr>
      <w:bookmarkStart w:id="107" w:name="_GoBack"/>
    </w:p>
    <w:p w14:paraId="79B15032">
      <w:pPr>
        <w:pStyle w:val="13"/>
        <w:jc w:val="center"/>
        <w:rPr>
          <w:rFonts w:hint="eastAsia" w:ascii="楷体_GB2312" w:eastAsia="楷体_GB2312"/>
          <w:b/>
          <w:bCs/>
          <w:color w:val="auto"/>
          <w:sz w:val="48"/>
          <w:szCs w:val="15"/>
          <w:highlight w:val="none"/>
          <w:lang w:eastAsia="zh-CN"/>
        </w:rPr>
      </w:pPr>
      <w:r>
        <w:rPr>
          <w:rFonts w:hint="eastAsia" w:ascii="楷体_GB2312" w:eastAsia="楷体_GB2312"/>
          <w:b/>
          <w:bCs/>
          <w:color w:val="auto"/>
          <w:sz w:val="48"/>
          <w:szCs w:val="15"/>
          <w:highlight w:val="none"/>
          <w:lang w:eastAsia="zh-CN"/>
        </w:rPr>
        <w:t>桂林市秀峰区长海社区卫生服务中心建设项目</w:t>
      </w:r>
    </w:p>
    <w:p w14:paraId="32C88AAD">
      <w:pPr>
        <w:pStyle w:val="13"/>
        <w:jc w:val="center"/>
        <w:rPr>
          <w:color w:val="auto"/>
          <w:highlight w:val="none"/>
        </w:rPr>
      </w:pPr>
    </w:p>
    <w:p w14:paraId="514F6D32">
      <w:pPr>
        <w:rPr>
          <w:color w:val="auto"/>
          <w:highlight w:val="none"/>
        </w:rPr>
      </w:pPr>
    </w:p>
    <w:p w14:paraId="0623AFD2">
      <w:pPr>
        <w:pStyle w:val="27"/>
        <w:rPr>
          <w:color w:val="auto"/>
          <w:highlight w:val="none"/>
        </w:rPr>
      </w:pPr>
    </w:p>
    <w:p w14:paraId="62608B69">
      <w:pPr>
        <w:pStyle w:val="27"/>
        <w:rPr>
          <w:color w:val="auto"/>
          <w:highlight w:val="none"/>
        </w:rPr>
      </w:pPr>
    </w:p>
    <w:p w14:paraId="713E8673">
      <w:pPr>
        <w:pStyle w:val="27"/>
        <w:rPr>
          <w:color w:val="auto"/>
          <w:highlight w:val="none"/>
        </w:rPr>
      </w:pPr>
    </w:p>
    <w:p w14:paraId="73F226A6">
      <w:pPr>
        <w:spacing w:line="1400" w:lineRule="exact"/>
        <w:jc w:val="center"/>
        <w:rPr>
          <w:rFonts w:ascii="楷体_GB2312" w:eastAsia="楷体_GB2312"/>
          <w:b/>
          <w:color w:val="auto"/>
          <w:spacing w:val="60"/>
          <w:sz w:val="60"/>
          <w:szCs w:val="60"/>
          <w:highlight w:val="none"/>
        </w:rPr>
      </w:pPr>
      <w:r>
        <w:rPr>
          <w:rFonts w:hint="eastAsia" w:ascii="楷体_GB2312" w:eastAsia="楷体_GB2312"/>
          <w:b/>
          <w:color w:val="auto"/>
          <w:spacing w:val="60"/>
          <w:sz w:val="60"/>
          <w:szCs w:val="60"/>
          <w:highlight w:val="none"/>
          <w:lang w:val="en-US" w:eastAsia="zh-CN"/>
        </w:rPr>
        <w:t>社会投资人</w:t>
      </w:r>
      <w:r>
        <w:rPr>
          <w:rFonts w:hint="eastAsia" w:ascii="楷体_GB2312" w:eastAsia="楷体_GB2312"/>
          <w:b/>
          <w:color w:val="auto"/>
          <w:spacing w:val="60"/>
          <w:sz w:val="60"/>
          <w:szCs w:val="60"/>
          <w:highlight w:val="none"/>
        </w:rPr>
        <w:t>招标文件</w:t>
      </w:r>
    </w:p>
    <w:p w14:paraId="72445621">
      <w:pPr>
        <w:pStyle w:val="13"/>
        <w:rPr>
          <w:color w:val="auto"/>
          <w:highlight w:val="none"/>
        </w:rPr>
      </w:pPr>
    </w:p>
    <w:p w14:paraId="784FBE94">
      <w:pPr>
        <w:pStyle w:val="13"/>
        <w:rPr>
          <w:color w:val="auto"/>
          <w:highlight w:val="none"/>
        </w:rPr>
      </w:pPr>
    </w:p>
    <w:p w14:paraId="14B19DB5">
      <w:pPr>
        <w:ind w:left="-2" w:leftChars="-1" w:firstLine="1525" w:firstLineChars="400"/>
        <w:rPr>
          <w:rFonts w:ascii="宋体" w:hAnsi="宋体"/>
          <w:b/>
          <w:bCs/>
          <w:color w:val="auto"/>
          <w:spacing w:val="40"/>
          <w:sz w:val="30"/>
          <w:szCs w:val="30"/>
          <w:highlight w:val="none"/>
        </w:rPr>
      </w:pPr>
    </w:p>
    <w:p w14:paraId="765F06BE">
      <w:pPr>
        <w:ind w:firstLine="1204" w:firstLineChars="300"/>
        <w:rPr>
          <w:rFonts w:ascii="宋体" w:hAnsi="宋体"/>
          <w:b/>
          <w:bCs/>
          <w:color w:val="auto"/>
          <w:sz w:val="32"/>
          <w:highlight w:val="none"/>
        </w:rPr>
      </w:pPr>
      <w:r>
        <w:rPr>
          <w:rFonts w:hint="eastAsia" w:ascii="宋体" w:hAnsi="宋体"/>
          <w:b/>
          <w:bCs/>
          <w:color w:val="auto"/>
          <w:spacing w:val="40"/>
          <w:sz w:val="32"/>
          <w:highlight w:val="none"/>
        </w:rPr>
        <w:t>项目编号：</w:t>
      </w:r>
      <w:r>
        <w:rPr>
          <w:rFonts w:hint="eastAsia" w:ascii="宋体" w:hAnsi="宋体" w:cs="宋体"/>
          <w:b/>
          <w:bCs/>
          <w:color w:val="auto"/>
          <w:sz w:val="32"/>
          <w:szCs w:val="32"/>
          <w:highlight w:val="none"/>
          <w:lang w:eastAsia="zh-CN"/>
        </w:rPr>
        <w:t>GLZC2025-G3-990532-JZZB</w:t>
      </w:r>
      <w:r>
        <w:rPr>
          <w:rFonts w:hint="eastAsia" w:ascii="宋体" w:hAnsi="宋体"/>
          <w:b/>
          <w:bCs/>
          <w:color w:val="auto"/>
          <w:sz w:val="32"/>
          <w:highlight w:val="none"/>
        </w:rPr>
        <w:t xml:space="preserve">         </w:t>
      </w:r>
    </w:p>
    <w:p w14:paraId="1E45FC6D">
      <w:pPr>
        <w:ind w:left="-2" w:leftChars="-1" w:firstLine="1446" w:firstLineChars="400"/>
        <w:rPr>
          <w:color w:val="auto"/>
          <w:highlight w:val="none"/>
        </w:rPr>
      </w:pPr>
      <w:r>
        <w:rPr>
          <w:rFonts w:hint="eastAsia" w:ascii="宋体" w:hAnsi="宋体"/>
          <w:b/>
          <w:bCs/>
          <w:color w:val="auto"/>
          <w:sz w:val="36"/>
          <w:highlight w:val="none"/>
        </w:rPr>
        <w:t xml:space="preserve">        </w:t>
      </w:r>
      <w:r>
        <w:rPr>
          <w:rFonts w:hint="eastAsia"/>
          <w:color w:val="auto"/>
          <w:highlight w:val="none"/>
        </w:rPr>
        <w:cr/>
      </w:r>
    </w:p>
    <w:p w14:paraId="4E910698">
      <w:pPr>
        <w:ind w:left="-2" w:leftChars="-1" w:firstLine="840" w:firstLineChars="400"/>
        <w:rPr>
          <w:color w:val="auto"/>
          <w:highlight w:val="none"/>
        </w:rPr>
      </w:pPr>
    </w:p>
    <w:p w14:paraId="30FBFD39">
      <w:pPr>
        <w:pStyle w:val="21"/>
        <w:ind w:firstLine="739"/>
        <w:rPr>
          <w:color w:val="auto"/>
          <w:highlight w:val="none"/>
        </w:rPr>
      </w:pPr>
    </w:p>
    <w:p w14:paraId="249D78D1">
      <w:pPr>
        <w:pStyle w:val="21"/>
        <w:ind w:firstLine="739"/>
        <w:rPr>
          <w:color w:val="auto"/>
          <w:highlight w:val="none"/>
        </w:rPr>
      </w:pPr>
    </w:p>
    <w:p w14:paraId="2AC956D9">
      <w:pPr>
        <w:pStyle w:val="21"/>
        <w:ind w:firstLine="739"/>
        <w:rPr>
          <w:color w:val="auto"/>
          <w:highlight w:val="none"/>
        </w:rPr>
      </w:pPr>
    </w:p>
    <w:p w14:paraId="3C0AB063">
      <w:pPr>
        <w:pStyle w:val="21"/>
        <w:ind w:firstLine="739"/>
        <w:rPr>
          <w:color w:val="auto"/>
          <w:highlight w:val="none"/>
        </w:rPr>
      </w:pPr>
    </w:p>
    <w:p w14:paraId="7FF345D5">
      <w:pPr>
        <w:pStyle w:val="21"/>
        <w:ind w:firstLine="739"/>
        <w:rPr>
          <w:color w:val="auto"/>
          <w:highlight w:val="none"/>
        </w:rPr>
      </w:pPr>
    </w:p>
    <w:p w14:paraId="4756A9AD">
      <w:pPr>
        <w:pStyle w:val="21"/>
        <w:ind w:firstLine="739"/>
        <w:rPr>
          <w:color w:val="auto"/>
          <w:highlight w:val="none"/>
        </w:rPr>
      </w:pPr>
    </w:p>
    <w:p w14:paraId="3748768C">
      <w:pPr>
        <w:ind w:left="-2" w:leftChars="-1" w:firstLine="840" w:firstLineChars="400"/>
        <w:rPr>
          <w:color w:val="auto"/>
          <w:highlight w:val="none"/>
        </w:rPr>
      </w:pPr>
    </w:p>
    <w:p w14:paraId="687F6770">
      <w:pPr>
        <w:ind w:left="-2" w:leftChars="-1" w:firstLine="840" w:firstLineChars="400"/>
        <w:rPr>
          <w:color w:val="auto"/>
          <w:highlight w:val="none"/>
        </w:rPr>
      </w:pPr>
    </w:p>
    <w:p w14:paraId="5794A778">
      <w:pPr>
        <w:jc w:val="center"/>
        <w:rPr>
          <w:rFonts w:hint="eastAsia" w:ascii="宋体" w:hAnsi="宋体" w:eastAsia="宋体"/>
          <w:b/>
          <w:bCs/>
          <w:color w:val="auto"/>
          <w:spacing w:val="40"/>
          <w:sz w:val="32"/>
          <w:highlight w:val="none"/>
          <w:lang w:eastAsia="zh-CN"/>
        </w:rPr>
      </w:pPr>
      <w:r>
        <w:rPr>
          <w:rFonts w:hint="eastAsia" w:ascii="宋体" w:hAnsi="宋体" w:cs="宋体"/>
          <w:b/>
          <w:bCs/>
          <w:color w:val="auto"/>
          <w:sz w:val="30"/>
          <w:szCs w:val="30"/>
          <w:highlight w:val="none"/>
        </w:rPr>
        <w:t>采  购  人：</w:t>
      </w:r>
      <w:r>
        <w:rPr>
          <w:rFonts w:hint="eastAsia" w:ascii="宋体" w:hAnsi="宋体" w:cs="宋体"/>
          <w:b/>
          <w:bCs/>
          <w:color w:val="auto"/>
          <w:sz w:val="30"/>
          <w:szCs w:val="30"/>
          <w:highlight w:val="none"/>
          <w:lang w:eastAsia="zh-CN"/>
        </w:rPr>
        <w:t xml:space="preserve">桂林市秀峰区长海社区卫生服务中心    </w:t>
      </w:r>
      <w:r>
        <w:rPr>
          <w:color w:val="auto"/>
          <w:highlight w:val="none"/>
        </w:rPr>
        <w:cr/>
      </w:r>
      <w:r>
        <w:rPr>
          <w:rFonts w:hint="eastAsia"/>
          <w:color w:val="auto"/>
          <w:highlight w:val="none"/>
        </w:rPr>
        <w:t xml:space="preserve">     </w:t>
      </w:r>
      <w:r>
        <w:rPr>
          <w:rFonts w:hint="eastAsia" w:ascii="宋体" w:hAnsi="宋体"/>
          <w:b/>
          <w:bCs/>
          <w:color w:val="auto"/>
          <w:spacing w:val="40"/>
          <w:sz w:val="32"/>
          <w:highlight w:val="none"/>
        </w:rPr>
        <w:t>采购代理机构：</w:t>
      </w:r>
      <w:r>
        <w:rPr>
          <w:rFonts w:hint="eastAsia" w:ascii="宋体" w:hAnsi="宋体"/>
          <w:b/>
          <w:bCs/>
          <w:color w:val="auto"/>
          <w:spacing w:val="40"/>
          <w:sz w:val="32"/>
          <w:highlight w:val="none"/>
          <w:lang w:eastAsia="zh-CN"/>
        </w:rPr>
        <w:t>广西金证招标代理有限公司</w:t>
      </w:r>
      <w:r>
        <w:rPr>
          <w:rFonts w:hint="eastAsia" w:ascii="宋体" w:hAnsi="宋体"/>
          <w:b/>
          <w:bCs/>
          <w:color w:val="auto"/>
          <w:spacing w:val="40"/>
          <w:sz w:val="32"/>
          <w:highlight w:val="none"/>
        </w:rPr>
        <w:t xml:space="preserve">  </w:t>
      </w:r>
      <w:r>
        <w:rPr>
          <w:rFonts w:hint="eastAsia" w:ascii="宋体" w:hAnsi="宋体" w:cs="宋体"/>
          <w:b/>
          <w:bCs/>
          <w:color w:val="auto"/>
          <w:sz w:val="30"/>
          <w:szCs w:val="30"/>
          <w:highlight w:val="none"/>
          <w:lang w:eastAsia="zh-CN"/>
        </w:rPr>
        <w:t>2025年</w:t>
      </w:r>
      <w:r>
        <w:rPr>
          <w:rFonts w:hint="eastAsia" w:ascii="宋体" w:hAnsi="宋体" w:cs="宋体"/>
          <w:b/>
          <w:bCs/>
          <w:color w:val="auto"/>
          <w:sz w:val="30"/>
          <w:szCs w:val="30"/>
          <w:highlight w:val="none"/>
          <w:lang w:val="en-US" w:eastAsia="zh-CN"/>
        </w:rPr>
        <w:t>10</w:t>
      </w:r>
      <w:r>
        <w:rPr>
          <w:rFonts w:hint="eastAsia" w:ascii="宋体" w:hAnsi="宋体" w:cs="宋体"/>
          <w:b/>
          <w:bCs/>
          <w:color w:val="auto"/>
          <w:sz w:val="30"/>
          <w:szCs w:val="30"/>
          <w:highlight w:val="none"/>
          <w:lang w:eastAsia="zh-CN"/>
        </w:rPr>
        <w:t>月</w:t>
      </w:r>
    </w:p>
    <w:p w14:paraId="5B9BADE3">
      <w:pPr>
        <w:pStyle w:val="13"/>
        <w:spacing w:line="440" w:lineRule="exact"/>
        <w:rPr>
          <w:rFonts w:ascii="隶书" w:eastAsia="隶书"/>
          <w:color w:val="auto"/>
          <w:sz w:val="44"/>
          <w:highlight w:val="none"/>
        </w:rPr>
      </w:pPr>
      <w:r>
        <w:rPr>
          <w:rFonts w:ascii="隶书" w:eastAsia="隶书"/>
          <w:color w:val="auto"/>
          <w:sz w:val="44"/>
          <w:highlight w:val="none"/>
        </w:rPr>
        <w:br w:type="page"/>
      </w:r>
    </w:p>
    <w:p w14:paraId="35E608B6">
      <w:pPr>
        <w:pStyle w:val="13"/>
        <w:spacing w:line="440" w:lineRule="exact"/>
        <w:jc w:val="center"/>
        <w:rPr>
          <w:rFonts w:hint="eastAsia" w:ascii="黑体" w:hAnsi="黑体" w:eastAsia="黑体" w:cs="黑体"/>
          <w:b w:val="0"/>
          <w:bCs w:val="0"/>
          <w:color w:val="auto"/>
          <w:sz w:val="44"/>
          <w:highlight w:val="none"/>
        </w:rPr>
      </w:pPr>
      <w:r>
        <w:rPr>
          <w:rFonts w:hint="eastAsia" w:ascii="黑体" w:hAnsi="黑体" w:eastAsia="黑体" w:cs="黑体"/>
          <w:b w:val="0"/>
          <w:bCs w:val="0"/>
          <w:color w:val="auto"/>
          <w:sz w:val="44"/>
          <w:highlight w:val="none"/>
        </w:rPr>
        <w:t>目     录</w:t>
      </w:r>
    </w:p>
    <w:p w14:paraId="46F86615">
      <w:pPr>
        <w:pStyle w:val="28"/>
        <w:rPr>
          <w:color w:val="auto"/>
          <w:sz w:val="28"/>
          <w:szCs w:val="28"/>
          <w:highlight w:val="none"/>
        </w:rPr>
      </w:pPr>
    </w:p>
    <w:p w14:paraId="54A1C06B">
      <w:pPr>
        <w:pStyle w:val="17"/>
        <w:tabs>
          <w:tab w:val="right" w:leader="dot" w:pos="8787"/>
        </w:tabs>
        <w:rPr>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TOC \o "1-3" \h \z \u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fldChar w:fldCharType="begin"/>
      </w:r>
      <w:r>
        <w:rPr>
          <w:rFonts w:hint="eastAsia" w:ascii="宋体" w:hAnsi="宋体" w:cs="宋体"/>
          <w:sz w:val="28"/>
          <w:szCs w:val="28"/>
          <w:highlight w:val="none"/>
        </w:rPr>
        <w:instrText xml:space="preserve"> HYPERLINK \l _Toc25750 </w:instrText>
      </w:r>
      <w:r>
        <w:rPr>
          <w:rFonts w:hint="eastAsia" w:ascii="宋体" w:hAnsi="宋体" w:cs="宋体"/>
          <w:sz w:val="28"/>
          <w:szCs w:val="28"/>
          <w:highlight w:val="none"/>
        </w:rPr>
        <w:fldChar w:fldCharType="separate"/>
      </w:r>
      <w:r>
        <w:rPr>
          <w:rFonts w:hint="eastAsia" w:ascii="宋体" w:hAnsi="宋体"/>
          <w:sz w:val="28"/>
          <w:szCs w:val="28"/>
          <w:highlight w:val="none"/>
        </w:rPr>
        <w:t>第一章  公开招标公告</w:t>
      </w:r>
      <w:r>
        <w:rPr>
          <w:sz w:val="28"/>
          <w:szCs w:val="28"/>
          <w:highlight w:val="none"/>
        </w:rPr>
        <w:tab/>
      </w:r>
      <w:r>
        <w:rPr>
          <w:sz w:val="28"/>
          <w:szCs w:val="28"/>
          <w:highlight w:val="none"/>
        </w:rPr>
        <w:fldChar w:fldCharType="begin"/>
      </w:r>
      <w:r>
        <w:rPr>
          <w:sz w:val="28"/>
          <w:szCs w:val="28"/>
          <w:highlight w:val="none"/>
        </w:rPr>
        <w:instrText xml:space="preserve"> PAGEREF _Toc25750 \h </w:instrText>
      </w:r>
      <w:r>
        <w:rPr>
          <w:sz w:val="28"/>
          <w:szCs w:val="28"/>
          <w:highlight w:val="none"/>
        </w:rPr>
        <w:fldChar w:fldCharType="separate"/>
      </w:r>
      <w:r>
        <w:rPr>
          <w:sz w:val="28"/>
          <w:szCs w:val="28"/>
          <w:highlight w:val="none"/>
        </w:rPr>
        <w:t>1</w:t>
      </w:r>
      <w:r>
        <w:rPr>
          <w:sz w:val="28"/>
          <w:szCs w:val="28"/>
          <w:highlight w:val="none"/>
        </w:rPr>
        <w:fldChar w:fldCharType="end"/>
      </w:r>
      <w:r>
        <w:rPr>
          <w:rFonts w:hint="eastAsia" w:ascii="宋体" w:hAnsi="宋体" w:cs="宋体"/>
          <w:color w:val="auto"/>
          <w:sz w:val="28"/>
          <w:szCs w:val="28"/>
          <w:highlight w:val="none"/>
        </w:rPr>
        <w:fldChar w:fldCharType="end"/>
      </w:r>
    </w:p>
    <w:p w14:paraId="557D1D6C">
      <w:pPr>
        <w:pStyle w:val="17"/>
        <w:tabs>
          <w:tab w:val="right" w:leader="dot" w:pos="8787"/>
        </w:tabs>
        <w:rPr>
          <w:sz w:val="28"/>
          <w:szCs w:val="28"/>
          <w:highlight w:val="none"/>
        </w:rPr>
      </w:pPr>
      <w:r>
        <w:rPr>
          <w:rFonts w:hint="eastAsia" w:ascii="宋体" w:hAnsi="宋体" w:cs="宋体"/>
          <w:bCs/>
          <w:color w:val="auto"/>
          <w:sz w:val="28"/>
          <w:szCs w:val="28"/>
          <w:highlight w:val="none"/>
          <w:lang w:val="zh-CN"/>
        </w:rPr>
        <w:fldChar w:fldCharType="begin"/>
      </w:r>
      <w:r>
        <w:rPr>
          <w:rFonts w:hint="eastAsia" w:ascii="宋体" w:hAnsi="宋体" w:cs="宋体"/>
          <w:bCs/>
          <w:sz w:val="28"/>
          <w:szCs w:val="28"/>
          <w:highlight w:val="none"/>
          <w:lang w:val="zh-CN"/>
        </w:rPr>
        <w:instrText xml:space="preserve"> HYPERLINK \l _Toc21944 </w:instrText>
      </w:r>
      <w:r>
        <w:rPr>
          <w:rFonts w:hint="eastAsia" w:ascii="宋体" w:hAnsi="宋体" w:cs="宋体"/>
          <w:bCs/>
          <w:sz w:val="28"/>
          <w:szCs w:val="28"/>
          <w:highlight w:val="none"/>
          <w:lang w:val="zh-CN"/>
        </w:rPr>
        <w:fldChar w:fldCharType="separate"/>
      </w:r>
      <w:r>
        <w:rPr>
          <w:rFonts w:hint="eastAsia"/>
          <w:sz w:val="28"/>
          <w:szCs w:val="28"/>
          <w:highlight w:val="none"/>
        </w:rPr>
        <w:t>第二章  投标人须知</w:t>
      </w:r>
      <w:r>
        <w:rPr>
          <w:sz w:val="28"/>
          <w:szCs w:val="28"/>
          <w:highlight w:val="none"/>
        </w:rPr>
        <w:tab/>
      </w:r>
      <w:r>
        <w:rPr>
          <w:sz w:val="28"/>
          <w:szCs w:val="28"/>
          <w:highlight w:val="none"/>
        </w:rPr>
        <w:fldChar w:fldCharType="begin"/>
      </w:r>
      <w:r>
        <w:rPr>
          <w:sz w:val="28"/>
          <w:szCs w:val="28"/>
          <w:highlight w:val="none"/>
        </w:rPr>
        <w:instrText xml:space="preserve"> PAGEREF _Toc21944 \h </w:instrText>
      </w:r>
      <w:r>
        <w:rPr>
          <w:sz w:val="28"/>
          <w:szCs w:val="28"/>
          <w:highlight w:val="none"/>
        </w:rPr>
        <w:fldChar w:fldCharType="separate"/>
      </w:r>
      <w:r>
        <w:rPr>
          <w:sz w:val="28"/>
          <w:szCs w:val="28"/>
          <w:highlight w:val="none"/>
        </w:rPr>
        <w:t>5</w:t>
      </w:r>
      <w:r>
        <w:rPr>
          <w:sz w:val="28"/>
          <w:szCs w:val="28"/>
          <w:highlight w:val="none"/>
        </w:rPr>
        <w:fldChar w:fldCharType="end"/>
      </w:r>
      <w:r>
        <w:rPr>
          <w:rFonts w:hint="eastAsia" w:ascii="宋体" w:hAnsi="宋体" w:cs="宋体"/>
          <w:bCs/>
          <w:color w:val="auto"/>
          <w:sz w:val="28"/>
          <w:szCs w:val="28"/>
          <w:highlight w:val="none"/>
          <w:lang w:val="zh-CN"/>
        </w:rPr>
        <w:fldChar w:fldCharType="end"/>
      </w:r>
    </w:p>
    <w:p w14:paraId="0FBFB81F">
      <w:pPr>
        <w:pStyle w:val="17"/>
        <w:tabs>
          <w:tab w:val="right" w:leader="dot" w:pos="8787"/>
        </w:tabs>
        <w:rPr>
          <w:sz w:val="28"/>
          <w:szCs w:val="28"/>
          <w:highlight w:val="none"/>
        </w:rPr>
      </w:pPr>
      <w:r>
        <w:rPr>
          <w:rFonts w:hint="eastAsia" w:ascii="宋体" w:hAnsi="宋体" w:cs="宋体"/>
          <w:bCs/>
          <w:color w:val="auto"/>
          <w:sz w:val="28"/>
          <w:szCs w:val="28"/>
          <w:highlight w:val="none"/>
          <w:lang w:val="zh-CN"/>
        </w:rPr>
        <w:fldChar w:fldCharType="begin"/>
      </w:r>
      <w:r>
        <w:rPr>
          <w:rFonts w:hint="eastAsia" w:ascii="宋体" w:hAnsi="宋体" w:cs="宋体"/>
          <w:bCs/>
          <w:sz w:val="28"/>
          <w:szCs w:val="28"/>
          <w:highlight w:val="none"/>
          <w:lang w:val="zh-CN"/>
        </w:rPr>
        <w:instrText xml:space="preserve"> HYPERLINK \l _Toc7083 </w:instrText>
      </w:r>
      <w:r>
        <w:rPr>
          <w:rFonts w:hint="eastAsia" w:ascii="宋体" w:hAnsi="宋体" w:cs="宋体"/>
          <w:bCs/>
          <w:sz w:val="28"/>
          <w:szCs w:val="28"/>
          <w:highlight w:val="none"/>
          <w:lang w:val="zh-CN"/>
        </w:rPr>
        <w:fldChar w:fldCharType="separate"/>
      </w:r>
      <w:r>
        <w:rPr>
          <w:rFonts w:hint="eastAsia" w:ascii="宋体" w:hAnsi="宋体"/>
          <w:bCs w:val="0"/>
          <w:sz w:val="28"/>
          <w:szCs w:val="28"/>
          <w:highlight w:val="none"/>
        </w:rPr>
        <w:t>第三章 采购需求</w:t>
      </w:r>
      <w:r>
        <w:rPr>
          <w:sz w:val="28"/>
          <w:szCs w:val="28"/>
          <w:highlight w:val="none"/>
        </w:rPr>
        <w:tab/>
      </w:r>
      <w:r>
        <w:rPr>
          <w:sz w:val="28"/>
          <w:szCs w:val="28"/>
          <w:highlight w:val="none"/>
        </w:rPr>
        <w:fldChar w:fldCharType="begin"/>
      </w:r>
      <w:r>
        <w:rPr>
          <w:sz w:val="28"/>
          <w:szCs w:val="28"/>
          <w:highlight w:val="none"/>
        </w:rPr>
        <w:instrText xml:space="preserve"> PAGEREF _Toc7083 \h </w:instrText>
      </w:r>
      <w:r>
        <w:rPr>
          <w:sz w:val="28"/>
          <w:szCs w:val="28"/>
          <w:highlight w:val="none"/>
        </w:rPr>
        <w:fldChar w:fldCharType="separate"/>
      </w:r>
      <w:r>
        <w:rPr>
          <w:sz w:val="28"/>
          <w:szCs w:val="28"/>
          <w:highlight w:val="none"/>
        </w:rPr>
        <w:t>21</w:t>
      </w:r>
      <w:r>
        <w:rPr>
          <w:sz w:val="28"/>
          <w:szCs w:val="28"/>
          <w:highlight w:val="none"/>
        </w:rPr>
        <w:fldChar w:fldCharType="end"/>
      </w:r>
      <w:r>
        <w:rPr>
          <w:rFonts w:hint="eastAsia" w:ascii="宋体" w:hAnsi="宋体" w:cs="宋体"/>
          <w:bCs/>
          <w:color w:val="auto"/>
          <w:sz w:val="28"/>
          <w:szCs w:val="28"/>
          <w:highlight w:val="none"/>
          <w:lang w:val="zh-CN"/>
        </w:rPr>
        <w:fldChar w:fldCharType="end"/>
      </w:r>
    </w:p>
    <w:p w14:paraId="145390BC">
      <w:pPr>
        <w:pStyle w:val="17"/>
        <w:tabs>
          <w:tab w:val="right" w:leader="dot" w:pos="8787"/>
        </w:tabs>
        <w:rPr>
          <w:sz w:val="28"/>
          <w:szCs w:val="28"/>
          <w:highlight w:val="none"/>
        </w:rPr>
      </w:pPr>
      <w:r>
        <w:rPr>
          <w:rFonts w:hint="eastAsia" w:ascii="宋体" w:hAnsi="宋体" w:cs="宋体"/>
          <w:bCs/>
          <w:color w:val="auto"/>
          <w:sz w:val="28"/>
          <w:szCs w:val="28"/>
          <w:highlight w:val="none"/>
          <w:lang w:val="zh-CN"/>
        </w:rPr>
        <w:fldChar w:fldCharType="begin"/>
      </w:r>
      <w:r>
        <w:rPr>
          <w:rFonts w:hint="eastAsia" w:ascii="宋体" w:hAnsi="宋体" w:cs="宋体"/>
          <w:bCs/>
          <w:sz w:val="28"/>
          <w:szCs w:val="28"/>
          <w:highlight w:val="none"/>
          <w:lang w:val="zh-CN"/>
        </w:rPr>
        <w:instrText xml:space="preserve"> HYPERLINK \l _Toc559 </w:instrText>
      </w:r>
      <w:r>
        <w:rPr>
          <w:rFonts w:hint="eastAsia" w:ascii="宋体" w:hAnsi="宋体" w:cs="宋体"/>
          <w:bCs/>
          <w:sz w:val="28"/>
          <w:szCs w:val="28"/>
          <w:highlight w:val="none"/>
          <w:lang w:val="zh-CN"/>
        </w:rPr>
        <w:fldChar w:fldCharType="separate"/>
      </w:r>
      <w:r>
        <w:rPr>
          <w:rFonts w:hint="eastAsia" w:ascii="Times New Roman" w:hAnsi="Times New Roman" w:eastAsia="宋体" w:cs="Times New Roman"/>
          <w:bCs/>
          <w:kern w:val="2"/>
          <w:sz w:val="28"/>
          <w:szCs w:val="28"/>
          <w:highlight w:val="none"/>
          <w:lang w:val="en-US" w:eastAsia="zh-CN" w:bidi="ar-SA"/>
        </w:rPr>
        <w:t>第四章</w:t>
      </w:r>
      <w:r>
        <w:rPr>
          <w:rFonts w:hint="eastAsia" w:cs="Times New Roman"/>
          <w:bCs/>
          <w:kern w:val="2"/>
          <w:sz w:val="28"/>
          <w:szCs w:val="28"/>
          <w:highlight w:val="none"/>
          <w:lang w:val="en-US" w:eastAsia="zh-CN" w:bidi="ar-SA"/>
        </w:rPr>
        <w:t xml:space="preserve">  </w:t>
      </w:r>
      <w:r>
        <w:rPr>
          <w:rFonts w:hint="eastAsia"/>
          <w:bCs/>
          <w:sz w:val="28"/>
          <w:szCs w:val="28"/>
          <w:highlight w:val="none"/>
        </w:rPr>
        <w:t>评标办法</w:t>
      </w:r>
      <w:r>
        <w:rPr>
          <w:sz w:val="28"/>
          <w:szCs w:val="28"/>
          <w:highlight w:val="none"/>
        </w:rPr>
        <w:tab/>
      </w:r>
      <w:r>
        <w:rPr>
          <w:sz w:val="28"/>
          <w:szCs w:val="28"/>
          <w:highlight w:val="none"/>
        </w:rPr>
        <w:fldChar w:fldCharType="begin"/>
      </w:r>
      <w:r>
        <w:rPr>
          <w:sz w:val="28"/>
          <w:szCs w:val="28"/>
          <w:highlight w:val="none"/>
        </w:rPr>
        <w:instrText xml:space="preserve"> PAGEREF _Toc559 \h </w:instrText>
      </w:r>
      <w:r>
        <w:rPr>
          <w:sz w:val="28"/>
          <w:szCs w:val="28"/>
          <w:highlight w:val="none"/>
        </w:rPr>
        <w:fldChar w:fldCharType="separate"/>
      </w:r>
      <w:r>
        <w:rPr>
          <w:sz w:val="28"/>
          <w:szCs w:val="28"/>
          <w:highlight w:val="none"/>
        </w:rPr>
        <w:t>26</w:t>
      </w:r>
      <w:r>
        <w:rPr>
          <w:sz w:val="28"/>
          <w:szCs w:val="28"/>
          <w:highlight w:val="none"/>
        </w:rPr>
        <w:fldChar w:fldCharType="end"/>
      </w:r>
      <w:r>
        <w:rPr>
          <w:rFonts w:hint="eastAsia" w:ascii="宋体" w:hAnsi="宋体" w:cs="宋体"/>
          <w:bCs/>
          <w:color w:val="auto"/>
          <w:sz w:val="28"/>
          <w:szCs w:val="28"/>
          <w:highlight w:val="none"/>
          <w:lang w:val="zh-CN"/>
        </w:rPr>
        <w:fldChar w:fldCharType="end"/>
      </w:r>
    </w:p>
    <w:p w14:paraId="306AC317">
      <w:pPr>
        <w:pStyle w:val="17"/>
        <w:tabs>
          <w:tab w:val="right" w:leader="dot" w:pos="8787"/>
        </w:tabs>
        <w:rPr>
          <w:sz w:val="28"/>
          <w:szCs w:val="28"/>
          <w:highlight w:val="none"/>
        </w:rPr>
      </w:pPr>
      <w:r>
        <w:rPr>
          <w:rFonts w:hint="eastAsia" w:ascii="宋体" w:hAnsi="宋体" w:cs="宋体"/>
          <w:bCs/>
          <w:color w:val="auto"/>
          <w:sz w:val="28"/>
          <w:szCs w:val="28"/>
          <w:highlight w:val="none"/>
          <w:lang w:val="zh-CN"/>
        </w:rPr>
        <w:fldChar w:fldCharType="begin"/>
      </w:r>
      <w:r>
        <w:rPr>
          <w:rFonts w:hint="eastAsia" w:ascii="宋体" w:hAnsi="宋体" w:cs="宋体"/>
          <w:bCs/>
          <w:sz w:val="28"/>
          <w:szCs w:val="28"/>
          <w:highlight w:val="none"/>
          <w:lang w:val="zh-CN"/>
        </w:rPr>
        <w:instrText xml:space="preserve"> HYPERLINK \l _Toc13773 </w:instrText>
      </w:r>
      <w:r>
        <w:rPr>
          <w:rFonts w:hint="eastAsia" w:ascii="宋体" w:hAnsi="宋体" w:cs="宋体"/>
          <w:bCs/>
          <w:sz w:val="28"/>
          <w:szCs w:val="28"/>
          <w:highlight w:val="none"/>
          <w:lang w:val="zh-CN"/>
        </w:rPr>
        <w:fldChar w:fldCharType="separate"/>
      </w:r>
      <w:r>
        <w:rPr>
          <w:rFonts w:hint="eastAsia" w:hAnsi="宋体"/>
          <w:bCs/>
          <w:sz w:val="28"/>
          <w:szCs w:val="28"/>
          <w:highlight w:val="none"/>
        </w:rPr>
        <w:t>第五章  采购合同草案</w:t>
      </w:r>
      <w:r>
        <w:rPr>
          <w:sz w:val="28"/>
          <w:szCs w:val="28"/>
          <w:highlight w:val="none"/>
        </w:rPr>
        <w:tab/>
      </w:r>
      <w:r>
        <w:rPr>
          <w:sz w:val="28"/>
          <w:szCs w:val="28"/>
          <w:highlight w:val="none"/>
        </w:rPr>
        <w:fldChar w:fldCharType="begin"/>
      </w:r>
      <w:r>
        <w:rPr>
          <w:sz w:val="28"/>
          <w:szCs w:val="28"/>
          <w:highlight w:val="none"/>
        </w:rPr>
        <w:instrText xml:space="preserve"> PAGEREF _Toc13773 \h </w:instrText>
      </w:r>
      <w:r>
        <w:rPr>
          <w:sz w:val="28"/>
          <w:szCs w:val="28"/>
          <w:highlight w:val="none"/>
        </w:rPr>
        <w:fldChar w:fldCharType="separate"/>
      </w:r>
      <w:r>
        <w:rPr>
          <w:sz w:val="28"/>
          <w:szCs w:val="28"/>
          <w:highlight w:val="none"/>
        </w:rPr>
        <w:t>28</w:t>
      </w:r>
      <w:r>
        <w:rPr>
          <w:sz w:val="28"/>
          <w:szCs w:val="28"/>
          <w:highlight w:val="none"/>
        </w:rPr>
        <w:fldChar w:fldCharType="end"/>
      </w:r>
      <w:r>
        <w:rPr>
          <w:rFonts w:hint="eastAsia" w:ascii="宋体" w:hAnsi="宋体" w:cs="宋体"/>
          <w:bCs/>
          <w:color w:val="auto"/>
          <w:sz w:val="28"/>
          <w:szCs w:val="28"/>
          <w:highlight w:val="none"/>
          <w:lang w:val="zh-CN"/>
        </w:rPr>
        <w:fldChar w:fldCharType="end"/>
      </w:r>
    </w:p>
    <w:p w14:paraId="25EF9B22">
      <w:pPr>
        <w:pStyle w:val="17"/>
        <w:tabs>
          <w:tab w:val="right" w:leader="dot" w:pos="8787"/>
        </w:tabs>
        <w:rPr>
          <w:sz w:val="28"/>
          <w:szCs w:val="28"/>
          <w:highlight w:val="none"/>
        </w:rPr>
      </w:pPr>
      <w:r>
        <w:rPr>
          <w:rFonts w:hint="eastAsia" w:ascii="宋体" w:hAnsi="宋体" w:cs="宋体"/>
          <w:bCs/>
          <w:color w:val="auto"/>
          <w:sz w:val="28"/>
          <w:szCs w:val="28"/>
          <w:highlight w:val="none"/>
          <w:lang w:val="zh-CN"/>
        </w:rPr>
        <w:fldChar w:fldCharType="begin"/>
      </w:r>
      <w:r>
        <w:rPr>
          <w:rFonts w:hint="eastAsia" w:ascii="宋体" w:hAnsi="宋体" w:cs="宋体"/>
          <w:bCs/>
          <w:sz w:val="28"/>
          <w:szCs w:val="28"/>
          <w:highlight w:val="none"/>
          <w:lang w:val="zh-CN"/>
        </w:rPr>
        <w:instrText xml:space="preserve"> HYPERLINK \l _Toc4479 </w:instrText>
      </w:r>
      <w:r>
        <w:rPr>
          <w:rFonts w:hint="eastAsia" w:ascii="宋体" w:hAnsi="宋体" w:cs="宋体"/>
          <w:bCs/>
          <w:sz w:val="28"/>
          <w:szCs w:val="28"/>
          <w:highlight w:val="none"/>
          <w:lang w:val="zh-CN"/>
        </w:rPr>
        <w:fldChar w:fldCharType="separate"/>
      </w:r>
      <w:r>
        <w:rPr>
          <w:rFonts w:hint="eastAsia" w:ascii="宋体" w:hAnsi="宋体"/>
          <w:bCs w:val="0"/>
          <w:sz w:val="28"/>
          <w:szCs w:val="28"/>
          <w:highlight w:val="none"/>
        </w:rPr>
        <w:t>第六章 投标文件（格式）</w:t>
      </w:r>
      <w:r>
        <w:rPr>
          <w:sz w:val="28"/>
          <w:szCs w:val="28"/>
          <w:highlight w:val="none"/>
        </w:rPr>
        <w:tab/>
      </w:r>
      <w:r>
        <w:rPr>
          <w:sz w:val="28"/>
          <w:szCs w:val="28"/>
          <w:highlight w:val="none"/>
        </w:rPr>
        <w:fldChar w:fldCharType="begin"/>
      </w:r>
      <w:r>
        <w:rPr>
          <w:sz w:val="28"/>
          <w:szCs w:val="28"/>
          <w:highlight w:val="none"/>
        </w:rPr>
        <w:instrText xml:space="preserve"> PAGEREF _Toc4479 \h </w:instrText>
      </w:r>
      <w:r>
        <w:rPr>
          <w:sz w:val="28"/>
          <w:szCs w:val="28"/>
          <w:highlight w:val="none"/>
        </w:rPr>
        <w:fldChar w:fldCharType="separate"/>
      </w:r>
      <w:r>
        <w:rPr>
          <w:sz w:val="28"/>
          <w:szCs w:val="28"/>
          <w:highlight w:val="none"/>
        </w:rPr>
        <w:t>29</w:t>
      </w:r>
      <w:r>
        <w:rPr>
          <w:sz w:val="28"/>
          <w:szCs w:val="28"/>
          <w:highlight w:val="none"/>
        </w:rPr>
        <w:fldChar w:fldCharType="end"/>
      </w:r>
      <w:r>
        <w:rPr>
          <w:rFonts w:hint="eastAsia" w:ascii="宋体" w:hAnsi="宋体" w:cs="宋体"/>
          <w:bCs/>
          <w:color w:val="auto"/>
          <w:sz w:val="28"/>
          <w:szCs w:val="28"/>
          <w:highlight w:val="none"/>
          <w:lang w:val="zh-CN"/>
        </w:rPr>
        <w:fldChar w:fldCharType="end"/>
      </w:r>
    </w:p>
    <w:p w14:paraId="4E072A54">
      <w:pPr>
        <w:rPr>
          <w:color w:val="auto"/>
          <w:highlight w:val="none"/>
        </w:rPr>
      </w:pPr>
      <w:r>
        <w:rPr>
          <w:rFonts w:hint="eastAsia" w:ascii="宋体" w:hAnsi="宋体" w:cs="宋体"/>
          <w:bCs/>
          <w:color w:val="auto"/>
          <w:sz w:val="28"/>
          <w:szCs w:val="28"/>
          <w:highlight w:val="none"/>
          <w:lang w:val="zh-CN"/>
        </w:rPr>
        <w:fldChar w:fldCharType="end"/>
      </w:r>
    </w:p>
    <w:p w14:paraId="72AFA22E">
      <w:pPr>
        <w:pStyle w:val="13"/>
        <w:jc w:val="center"/>
        <w:rPr>
          <w:rFonts w:ascii="隶书" w:eastAsia="隶书"/>
          <w:color w:val="auto"/>
          <w:highlight w:val="none"/>
        </w:rPr>
      </w:pPr>
    </w:p>
    <w:p w14:paraId="2B8DDFC5">
      <w:pPr>
        <w:pStyle w:val="2"/>
        <w:rPr>
          <w:rFonts w:ascii="宋体" w:hAnsi="宋体"/>
          <w:b w:val="0"/>
          <w:color w:val="auto"/>
          <w:highlight w:val="none"/>
        </w:rPr>
      </w:pPr>
    </w:p>
    <w:p w14:paraId="53EBCF60">
      <w:pPr>
        <w:tabs>
          <w:tab w:val="left" w:pos="5259"/>
        </w:tabs>
        <w:jc w:val="left"/>
        <w:rPr>
          <w:color w:val="auto"/>
          <w:highlight w:val="none"/>
        </w:rPr>
        <w:sectPr>
          <w:headerReference r:id="rId4" w:type="first"/>
          <w:headerReference r:id="rId3" w:type="default"/>
          <w:footerReference r:id="rId5" w:type="default"/>
          <w:pgSz w:w="11905" w:h="16838"/>
          <w:pgMar w:top="1417" w:right="1417" w:bottom="0" w:left="1701" w:header="720" w:footer="720" w:gutter="0"/>
          <w:pgNumType w:fmt="decimal"/>
          <w:cols w:space="0" w:num="1"/>
          <w:docGrid w:type="lines" w:linePitch="328" w:charSpace="0"/>
        </w:sectPr>
      </w:pPr>
      <w:r>
        <w:rPr>
          <w:rFonts w:hint="eastAsia"/>
          <w:color w:val="auto"/>
          <w:highlight w:val="none"/>
        </w:rPr>
        <w:tab/>
      </w:r>
    </w:p>
    <w:p w14:paraId="6A9DFBD4">
      <w:pPr>
        <w:pStyle w:val="2"/>
        <w:rPr>
          <w:color w:val="auto"/>
          <w:sz w:val="21"/>
          <w:szCs w:val="21"/>
          <w:highlight w:val="none"/>
        </w:rPr>
      </w:pPr>
      <w:bookmarkStart w:id="0" w:name="_Toc25750"/>
      <w:r>
        <w:rPr>
          <w:rFonts w:hint="eastAsia" w:ascii="宋体" w:hAnsi="宋体"/>
          <w:b w:val="0"/>
          <w:color w:val="auto"/>
          <w:highlight w:val="none"/>
        </w:rPr>
        <w:t>第一章  公开招标公告</w:t>
      </w:r>
      <w:bookmarkEnd w:id="0"/>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77FC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tcPr>
          <w:p w14:paraId="2739546E">
            <w:pPr>
              <w:spacing w:line="390" w:lineRule="exact"/>
              <w:ind w:firstLine="420" w:firstLineChars="200"/>
              <w:rPr>
                <w:color w:val="auto"/>
                <w:szCs w:val="21"/>
                <w:highlight w:val="none"/>
              </w:rPr>
            </w:pPr>
            <w:bookmarkStart w:id="1" w:name="OLE_LINK2"/>
            <w:r>
              <w:rPr>
                <w:rFonts w:hint="eastAsia"/>
                <w:color w:val="auto"/>
                <w:szCs w:val="21"/>
                <w:highlight w:val="none"/>
              </w:rPr>
              <w:t>项目概况</w:t>
            </w:r>
          </w:p>
          <w:p w14:paraId="413AA299">
            <w:pPr>
              <w:spacing w:line="390" w:lineRule="exact"/>
              <w:ind w:firstLine="420" w:firstLineChars="200"/>
              <w:rPr>
                <w:color w:val="auto"/>
                <w:szCs w:val="21"/>
                <w:highlight w:val="none"/>
              </w:rPr>
            </w:pPr>
            <w:r>
              <w:rPr>
                <w:rFonts w:hint="eastAsia" w:ascii="宋体" w:hAnsi="宋体" w:cs="宋体"/>
                <w:color w:val="auto"/>
                <w:szCs w:val="21"/>
                <w:highlight w:val="none"/>
                <w:u w:val="single"/>
                <w:lang w:eastAsia="zh-CN"/>
              </w:rPr>
              <w:t>桂林市秀峰区长海社区卫生服务中心建设项目</w:t>
            </w:r>
            <w:r>
              <w:rPr>
                <w:rFonts w:hint="eastAsia"/>
                <w:color w:val="auto"/>
                <w:szCs w:val="21"/>
                <w:highlight w:val="none"/>
              </w:rPr>
              <w:t>的潜在投标人应在“</w:t>
            </w:r>
            <w:r>
              <w:rPr>
                <w:rFonts w:hint="eastAsia"/>
                <w:color w:val="auto"/>
                <w:szCs w:val="21"/>
                <w:highlight w:val="none"/>
                <w:lang w:eastAsia="zh-CN"/>
              </w:rPr>
              <w:t>广西政府采购云平台</w:t>
            </w:r>
            <w:r>
              <w:rPr>
                <w:rFonts w:hint="eastAsia"/>
                <w:color w:val="auto"/>
                <w:szCs w:val="21"/>
                <w:highlight w:val="none"/>
              </w:rPr>
              <w:t>”（（</w:t>
            </w:r>
            <w:r>
              <w:rPr>
                <w:rFonts w:hint="eastAsia"/>
                <w:color w:val="auto"/>
                <w:szCs w:val="21"/>
                <w:highlight w:val="none"/>
              </w:rPr>
              <w:fldChar w:fldCharType="begin"/>
            </w:r>
            <w:r>
              <w:rPr>
                <w:rFonts w:hint="eastAsia"/>
                <w:color w:val="auto"/>
                <w:szCs w:val="21"/>
                <w:highlight w:val="none"/>
              </w:rPr>
              <w:instrText xml:space="preserve"> HYPERLINK "https://www.gcy.zfcg.gxzf.gov.cn）" </w:instrText>
            </w:r>
            <w:r>
              <w:rPr>
                <w:rFonts w:hint="eastAsia"/>
                <w:color w:val="auto"/>
                <w:szCs w:val="21"/>
                <w:highlight w:val="none"/>
              </w:rPr>
              <w:fldChar w:fldCharType="separate"/>
            </w:r>
            <w:r>
              <w:rPr>
                <w:rFonts w:hint="eastAsia"/>
                <w:color w:val="auto"/>
                <w:szCs w:val="21"/>
                <w:highlight w:val="none"/>
              </w:rPr>
              <w:t>https://www.gcy.zfcg.gxzf.gov.cn）</w:t>
            </w:r>
            <w:r>
              <w:rPr>
                <w:rFonts w:hint="eastAsia"/>
                <w:color w:val="auto"/>
                <w:szCs w:val="21"/>
                <w:highlight w:val="none"/>
              </w:rPr>
              <w:fldChar w:fldCharType="end"/>
            </w:r>
            <w:r>
              <w:rPr>
                <w:rFonts w:hint="eastAsia"/>
                <w:color w:val="auto"/>
                <w:szCs w:val="21"/>
                <w:highlight w:val="none"/>
              </w:rPr>
              <w:t>）</w:t>
            </w:r>
            <w:r>
              <w:rPr>
                <w:rFonts w:hint="eastAsia" w:ascii="宋体" w:hAnsi="宋体" w:cs="宋体"/>
                <w:color w:val="auto"/>
                <w:szCs w:val="21"/>
                <w:highlight w:val="none"/>
              </w:rPr>
              <w:t>获取</w:t>
            </w:r>
            <w:r>
              <w:rPr>
                <w:rFonts w:hint="eastAsia"/>
                <w:color w:val="auto"/>
                <w:szCs w:val="21"/>
                <w:highlight w:val="none"/>
              </w:rPr>
              <w:t>招标文件，</w:t>
            </w:r>
            <w:r>
              <w:rPr>
                <w:rFonts w:hint="eastAsia"/>
                <w:color w:val="auto"/>
                <w:szCs w:val="21"/>
                <w:highlight w:val="none"/>
              </w:rPr>
              <w:t>并于</w:t>
            </w:r>
            <w:r>
              <w:rPr>
                <w:rFonts w:hint="eastAsia"/>
                <w:color w:val="auto"/>
                <w:szCs w:val="21"/>
                <w:highlight w:val="none"/>
                <w:lang w:eastAsia="zh-CN"/>
              </w:rPr>
              <w:t>2025年</w:t>
            </w:r>
            <w:r>
              <w:rPr>
                <w:rFonts w:hint="eastAsia"/>
                <w:color w:val="auto"/>
                <w:szCs w:val="21"/>
                <w:highlight w:val="none"/>
                <w:lang w:val="en-US" w:eastAsia="zh-CN"/>
              </w:rPr>
              <w:t>11</w:t>
            </w:r>
            <w:r>
              <w:rPr>
                <w:rFonts w:hint="eastAsia"/>
                <w:color w:val="auto"/>
                <w:szCs w:val="21"/>
                <w:highlight w:val="none"/>
                <w:lang w:eastAsia="zh-CN"/>
              </w:rPr>
              <w:t>月</w:t>
            </w:r>
            <w:r>
              <w:rPr>
                <w:rFonts w:hint="eastAsia"/>
                <w:color w:val="auto"/>
                <w:szCs w:val="21"/>
                <w:highlight w:val="none"/>
              </w:rPr>
              <w:t xml:space="preserve"> </w:t>
            </w:r>
            <w:r>
              <w:rPr>
                <w:rFonts w:hint="eastAsia"/>
                <w:color w:val="auto"/>
                <w:szCs w:val="21"/>
                <w:highlight w:val="none"/>
                <w:lang w:val="en-US" w:eastAsia="zh-CN"/>
              </w:rPr>
              <w:t>4</w:t>
            </w:r>
            <w:r>
              <w:rPr>
                <w:rFonts w:hint="eastAsia"/>
                <w:color w:val="auto"/>
                <w:szCs w:val="21"/>
                <w:highlight w:val="none"/>
              </w:rPr>
              <w:t xml:space="preserve"> 日9点30分</w:t>
            </w:r>
            <w:r>
              <w:rPr>
                <w:rFonts w:hint="eastAsia"/>
                <w:color w:val="auto"/>
                <w:szCs w:val="21"/>
                <w:highlight w:val="none"/>
              </w:rPr>
              <w:t>（北京时间）前递交投标文件。</w:t>
            </w:r>
          </w:p>
        </w:tc>
      </w:tr>
    </w:tbl>
    <w:p w14:paraId="5BDB88CD">
      <w:pPr>
        <w:pStyle w:val="3"/>
        <w:spacing w:before="0" w:after="0" w:line="390" w:lineRule="exact"/>
        <w:ind w:firstLine="422" w:firstLineChars="200"/>
        <w:rPr>
          <w:rFonts w:ascii="宋体" w:hAnsi="宋体" w:eastAsia="宋体" w:cs="宋体"/>
          <w:bCs w:val="0"/>
          <w:color w:val="auto"/>
          <w:sz w:val="21"/>
          <w:szCs w:val="21"/>
          <w:highlight w:val="none"/>
        </w:rPr>
      </w:pPr>
      <w:bookmarkStart w:id="2" w:name="_Toc28359079"/>
      <w:bookmarkStart w:id="3" w:name="_Toc28359002"/>
      <w:bookmarkStart w:id="4" w:name="_Toc35393621"/>
      <w:bookmarkStart w:id="5" w:name="_Toc21898"/>
      <w:bookmarkStart w:id="6" w:name="_Toc35393790"/>
      <w:bookmarkStart w:id="7" w:name="_Toc82445270"/>
      <w:bookmarkStart w:id="8" w:name="_Hlk24379207"/>
      <w:r>
        <w:rPr>
          <w:rFonts w:hint="eastAsia" w:ascii="宋体" w:hAnsi="宋体" w:eastAsia="宋体" w:cs="宋体"/>
          <w:bCs w:val="0"/>
          <w:color w:val="auto"/>
          <w:sz w:val="21"/>
          <w:szCs w:val="21"/>
          <w:highlight w:val="none"/>
        </w:rPr>
        <w:t>一、项目基本情况</w:t>
      </w:r>
      <w:bookmarkEnd w:id="2"/>
      <w:bookmarkEnd w:id="3"/>
      <w:bookmarkEnd w:id="4"/>
      <w:bookmarkEnd w:id="5"/>
      <w:bookmarkEnd w:id="6"/>
      <w:bookmarkEnd w:id="7"/>
    </w:p>
    <w:p w14:paraId="71C6208A">
      <w:pPr>
        <w:spacing w:line="390" w:lineRule="exact"/>
        <w:ind w:firstLine="420" w:firstLineChars="200"/>
        <w:rPr>
          <w:rFonts w:hint="eastAsia" w:eastAsia="宋体"/>
          <w:color w:val="auto"/>
          <w:szCs w:val="21"/>
          <w:highlight w:val="none"/>
          <w:lang w:eastAsia="zh-CN"/>
        </w:rPr>
      </w:pPr>
      <w:r>
        <w:rPr>
          <w:rFonts w:hint="eastAsia"/>
          <w:color w:val="auto"/>
          <w:szCs w:val="21"/>
          <w:highlight w:val="none"/>
        </w:rPr>
        <w:t>项目编号：</w:t>
      </w:r>
      <w:r>
        <w:rPr>
          <w:rFonts w:hint="eastAsia"/>
          <w:color w:val="auto"/>
          <w:szCs w:val="21"/>
          <w:highlight w:val="none"/>
          <w:lang w:eastAsia="zh-CN"/>
        </w:rPr>
        <w:t>GLZC2025-G3-990532-JZZB</w:t>
      </w:r>
    </w:p>
    <w:p w14:paraId="032A38D6">
      <w:pPr>
        <w:pStyle w:val="21"/>
        <w:spacing w:line="390" w:lineRule="exact"/>
        <w:ind w:firstLineChars="200"/>
        <w:rPr>
          <w:rFonts w:hint="eastAsia" w:eastAsia="宋体"/>
          <w:color w:val="auto"/>
          <w:szCs w:val="21"/>
          <w:highlight w:val="none"/>
          <w:lang w:eastAsia="zh-CN"/>
        </w:rPr>
      </w:pPr>
      <w:r>
        <w:rPr>
          <w:rFonts w:hint="eastAsia"/>
          <w:color w:val="auto"/>
          <w:szCs w:val="21"/>
          <w:highlight w:val="none"/>
        </w:rPr>
        <w:t>项目名称：</w:t>
      </w:r>
      <w:bookmarkEnd w:id="8"/>
      <w:r>
        <w:rPr>
          <w:rFonts w:hint="eastAsia"/>
          <w:color w:val="auto"/>
          <w:szCs w:val="21"/>
          <w:highlight w:val="none"/>
          <w:lang w:eastAsia="zh-CN"/>
        </w:rPr>
        <w:t>桂林市秀峰区长海社区卫生服务中心建设项目</w:t>
      </w:r>
    </w:p>
    <w:p w14:paraId="5E443E2D">
      <w:pPr>
        <w:pStyle w:val="21"/>
        <w:spacing w:line="390" w:lineRule="exact"/>
        <w:ind w:firstLineChars="200"/>
        <w:rPr>
          <w:color w:val="auto"/>
          <w:highlight w:val="none"/>
        </w:rPr>
      </w:pPr>
      <w:r>
        <w:rPr>
          <w:rFonts w:hint="eastAsia"/>
          <w:color w:val="auto"/>
          <w:highlight w:val="none"/>
        </w:rPr>
        <w:t>预算金额： 4110.55万元</w:t>
      </w:r>
    </w:p>
    <w:p w14:paraId="7891CC4F">
      <w:pPr>
        <w:spacing w:line="390" w:lineRule="exact"/>
        <w:ind w:firstLine="420" w:firstLineChars="200"/>
        <w:rPr>
          <w:color w:val="auto"/>
          <w:szCs w:val="21"/>
          <w:highlight w:val="none"/>
        </w:rPr>
      </w:pPr>
      <w:r>
        <w:rPr>
          <w:rFonts w:hint="eastAsia"/>
          <w:color w:val="auto"/>
          <w:szCs w:val="21"/>
          <w:highlight w:val="none"/>
        </w:rPr>
        <w:t>采购需求：</w:t>
      </w:r>
    </w:p>
    <w:p w14:paraId="6B52C933">
      <w:pPr>
        <w:keepNext/>
        <w:keepLines/>
        <w:spacing w:line="390" w:lineRule="exact"/>
        <w:ind w:firstLine="422" w:firstLineChars="200"/>
        <w:rPr>
          <w:rFonts w:ascii="宋体" w:hAnsi="宋体" w:cs="宋体"/>
          <w:b/>
          <w:bCs/>
          <w:color w:val="auto"/>
          <w:szCs w:val="21"/>
          <w:highlight w:val="none"/>
        </w:rPr>
      </w:pPr>
      <w:bookmarkStart w:id="9" w:name="_Toc482173652"/>
      <w:r>
        <w:rPr>
          <w:rFonts w:hint="eastAsia" w:ascii="宋体" w:hAnsi="宋体" w:cs="宋体"/>
          <w:b/>
          <w:bCs/>
          <w:color w:val="auto"/>
          <w:szCs w:val="21"/>
          <w:highlight w:val="none"/>
        </w:rPr>
        <w:t>1.采购条件</w:t>
      </w:r>
      <w:bookmarkEnd w:id="9"/>
    </w:p>
    <w:p w14:paraId="1BDB4FDE">
      <w:pPr>
        <w:spacing w:line="390" w:lineRule="exact"/>
        <w:ind w:firstLine="420" w:firstLineChars="200"/>
        <w:rPr>
          <w:rFonts w:hint="eastAsia" w:ascii="Times New Roman" w:hAnsi="宋体" w:eastAsia="宋体" w:cs="Times New Roman"/>
          <w:color w:val="auto"/>
          <w:kern w:val="2"/>
          <w:sz w:val="21"/>
          <w:szCs w:val="21"/>
          <w:highlight w:val="none"/>
          <w:lang w:val="en-US" w:eastAsia="zh-CN" w:bidi="ar-SA"/>
        </w:rPr>
      </w:pPr>
      <w:r>
        <w:rPr>
          <w:rFonts w:hint="eastAsia" w:ascii="Times New Roman" w:hAnsi="宋体" w:eastAsia="宋体" w:cs="Times New Roman"/>
          <w:color w:val="auto"/>
          <w:kern w:val="2"/>
          <w:sz w:val="21"/>
          <w:szCs w:val="21"/>
          <w:highlight w:val="none"/>
          <w:lang w:val="en-US" w:eastAsia="zh-CN" w:bidi="ar-SA"/>
        </w:rPr>
        <w:t>本项目通过了桂林市秀峰区发展和改革局备案，并获得投资项目备案证明，项目代码：2408-450302-04-01-897231，并由桂林市秀峰区人民政府批准采用BOT模式实施。采购人为桂林市秀峰区人民政府授权的项目实施机构桂林市秀峰区长海区卫生服务社中心。</w:t>
      </w:r>
    </w:p>
    <w:p w14:paraId="2E414643">
      <w:pPr>
        <w:spacing w:line="390" w:lineRule="exact"/>
        <w:ind w:firstLine="422" w:firstLineChars="200"/>
        <w:rPr>
          <w:b/>
          <w:bCs/>
          <w:color w:val="auto"/>
          <w:szCs w:val="21"/>
          <w:highlight w:val="none"/>
        </w:rPr>
      </w:pPr>
      <w:r>
        <w:rPr>
          <w:rFonts w:hint="eastAsia"/>
          <w:b/>
          <w:bCs/>
          <w:color w:val="auto"/>
          <w:szCs w:val="21"/>
          <w:highlight w:val="none"/>
        </w:rPr>
        <w:t>本项目已于202</w:t>
      </w:r>
      <w:r>
        <w:rPr>
          <w:rFonts w:hint="eastAsia"/>
          <w:b/>
          <w:bCs/>
          <w:color w:val="auto"/>
          <w:szCs w:val="21"/>
          <w:highlight w:val="none"/>
          <w:lang w:val="en-US" w:eastAsia="zh-CN"/>
        </w:rPr>
        <w:t>5</w:t>
      </w:r>
      <w:r>
        <w:rPr>
          <w:rFonts w:hint="eastAsia"/>
          <w:b/>
          <w:bCs/>
          <w:color w:val="auto"/>
          <w:szCs w:val="21"/>
          <w:highlight w:val="none"/>
        </w:rPr>
        <w:t>年</w:t>
      </w:r>
      <w:r>
        <w:rPr>
          <w:rFonts w:hint="eastAsia"/>
          <w:b/>
          <w:bCs/>
          <w:color w:val="auto"/>
          <w:szCs w:val="21"/>
          <w:highlight w:val="none"/>
          <w:lang w:val="en-US" w:eastAsia="zh-CN"/>
        </w:rPr>
        <w:t>7</w:t>
      </w:r>
      <w:r>
        <w:rPr>
          <w:rFonts w:hint="eastAsia"/>
          <w:b/>
          <w:bCs/>
          <w:color w:val="auto"/>
          <w:szCs w:val="21"/>
          <w:highlight w:val="none"/>
        </w:rPr>
        <w:t>月</w:t>
      </w:r>
      <w:r>
        <w:rPr>
          <w:rFonts w:hint="eastAsia"/>
          <w:b/>
          <w:bCs/>
          <w:color w:val="auto"/>
          <w:szCs w:val="21"/>
          <w:highlight w:val="none"/>
          <w:lang w:val="en-US" w:eastAsia="zh-CN"/>
        </w:rPr>
        <w:t>3</w:t>
      </w:r>
      <w:r>
        <w:rPr>
          <w:rFonts w:hint="eastAsia"/>
          <w:b/>
          <w:bCs/>
          <w:color w:val="auto"/>
          <w:szCs w:val="21"/>
          <w:highlight w:val="none"/>
        </w:rPr>
        <w:t>日发布资格预审公告，</w:t>
      </w:r>
      <w:r>
        <w:rPr>
          <w:rFonts w:hint="eastAsia"/>
          <w:b/>
          <w:bCs/>
          <w:color w:val="auto"/>
          <w:szCs w:val="21"/>
          <w:highlight w:val="none"/>
          <w:lang w:eastAsia="zh-CN"/>
        </w:rPr>
        <w:t>2025年</w:t>
      </w:r>
      <w:r>
        <w:rPr>
          <w:rFonts w:hint="eastAsia"/>
          <w:b/>
          <w:bCs/>
          <w:color w:val="auto"/>
          <w:szCs w:val="21"/>
          <w:highlight w:val="none"/>
          <w:lang w:val="en-US" w:eastAsia="zh-CN"/>
        </w:rPr>
        <w:t>7</w:t>
      </w:r>
      <w:r>
        <w:rPr>
          <w:rFonts w:hint="eastAsia"/>
          <w:b/>
          <w:bCs/>
          <w:color w:val="auto"/>
          <w:szCs w:val="21"/>
          <w:highlight w:val="none"/>
          <w:lang w:eastAsia="zh-CN"/>
        </w:rPr>
        <w:t>月</w:t>
      </w:r>
      <w:r>
        <w:rPr>
          <w:rFonts w:hint="eastAsia"/>
          <w:b/>
          <w:bCs/>
          <w:color w:val="auto"/>
          <w:szCs w:val="21"/>
          <w:highlight w:val="none"/>
          <w:lang w:val="en-US" w:eastAsia="zh-CN"/>
        </w:rPr>
        <w:t>28</w:t>
      </w:r>
      <w:r>
        <w:rPr>
          <w:rFonts w:hint="eastAsia"/>
          <w:b/>
          <w:bCs/>
          <w:color w:val="auto"/>
          <w:szCs w:val="21"/>
          <w:highlight w:val="none"/>
        </w:rPr>
        <w:t>日在</w:t>
      </w:r>
      <w:r>
        <w:rPr>
          <w:rFonts w:hint="eastAsia" w:ascii="宋体" w:hAnsi="宋体" w:cs="宋体"/>
          <w:b/>
          <w:bCs/>
          <w:color w:val="auto"/>
          <w:szCs w:val="21"/>
          <w:highlight w:val="none"/>
        </w:rPr>
        <w:t>桂林市公共资源交易中心开评标室</w:t>
      </w:r>
      <w:r>
        <w:rPr>
          <w:rFonts w:ascii="宋体" w:hAnsi="宋体" w:cs="宋体"/>
          <w:b/>
          <w:bCs/>
          <w:color w:val="auto"/>
          <w:szCs w:val="21"/>
          <w:highlight w:val="none"/>
        </w:rPr>
        <w:t>（桂林市临桂区西城中路69号创业大厦西辅楼4楼北区）</w:t>
      </w:r>
      <w:r>
        <w:rPr>
          <w:rFonts w:hint="eastAsia"/>
          <w:b/>
          <w:bCs/>
          <w:color w:val="auto"/>
          <w:szCs w:val="21"/>
          <w:highlight w:val="none"/>
        </w:rPr>
        <w:t>进行资格预审，经评审小组评审共有4家单位通过资格预审，资格预审结果于</w:t>
      </w:r>
      <w:r>
        <w:rPr>
          <w:rFonts w:hint="eastAsia"/>
          <w:b/>
          <w:bCs/>
          <w:color w:val="auto"/>
          <w:szCs w:val="21"/>
          <w:highlight w:val="none"/>
          <w:lang w:eastAsia="zh-CN"/>
        </w:rPr>
        <w:t>2025年</w:t>
      </w:r>
      <w:r>
        <w:rPr>
          <w:rFonts w:hint="eastAsia"/>
          <w:b/>
          <w:bCs/>
          <w:color w:val="auto"/>
          <w:szCs w:val="21"/>
          <w:highlight w:val="none"/>
          <w:lang w:val="en-US" w:eastAsia="zh-CN"/>
        </w:rPr>
        <w:t>7</w:t>
      </w:r>
      <w:r>
        <w:rPr>
          <w:rFonts w:hint="eastAsia"/>
          <w:b/>
          <w:bCs/>
          <w:color w:val="auto"/>
          <w:szCs w:val="21"/>
          <w:highlight w:val="none"/>
          <w:lang w:eastAsia="zh-CN"/>
        </w:rPr>
        <w:t>月</w:t>
      </w:r>
      <w:r>
        <w:rPr>
          <w:rFonts w:hint="eastAsia"/>
          <w:b/>
          <w:bCs/>
          <w:color w:val="auto"/>
          <w:szCs w:val="21"/>
          <w:highlight w:val="none"/>
          <w:lang w:val="en-US" w:eastAsia="zh-CN"/>
        </w:rPr>
        <w:t>29</w:t>
      </w:r>
      <w:r>
        <w:rPr>
          <w:rFonts w:hint="eastAsia"/>
          <w:b/>
          <w:bCs/>
          <w:color w:val="auto"/>
          <w:szCs w:val="21"/>
          <w:highlight w:val="none"/>
        </w:rPr>
        <w:t>日在相关网站进行了公示。</w:t>
      </w:r>
    </w:p>
    <w:p w14:paraId="0352E863">
      <w:pPr>
        <w:spacing w:line="390" w:lineRule="exact"/>
        <w:ind w:firstLine="422" w:firstLineChars="200"/>
        <w:rPr>
          <w:b/>
          <w:bCs/>
          <w:color w:val="auto"/>
          <w:szCs w:val="21"/>
          <w:highlight w:val="none"/>
        </w:rPr>
      </w:pPr>
      <w:r>
        <w:rPr>
          <w:rFonts w:hint="eastAsia"/>
          <w:b/>
          <w:bCs/>
          <w:color w:val="auto"/>
          <w:szCs w:val="21"/>
          <w:highlight w:val="none"/>
        </w:rPr>
        <w:t xml:space="preserve">现邀请通过本次资格预审的投标人参加采购活动，本项目不接受未通过资格预审的投标人参与竞争。   </w:t>
      </w:r>
    </w:p>
    <w:p w14:paraId="319ED11D">
      <w:pPr>
        <w:keepNext/>
        <w:keepLines/>
        <w:spacing w:line="390" w:lineRule="exact"/>
        <w:ind w:firstLine="422" w:firstLineChars="200"/>
        <w:rPr>
          <w:rFonts w:ascii="宋体" w:hAnsi="宋体" w:cs="宋体"/>
          <w:b/>
          <w:bCs/>
          <w:color w:val="auto"/>
          <w:szCs w:val="21"/>
          <w:highlight w:val="none"/>
        </w:rPr>
      </w:pPr>
      <w:bookmarkStart w:id="10" w:name="_Toc482173653"/>
      <w:r>
        <w:rPr>
          <w:rFonts w:hint="eastAsia" w:ascii="宋体" w:hAnsi="宋体" w:cs="宋体"/>
          <w:b/>
          <w:bCs/>
          <w:color w:val="auto"/>
          <w:szCs w:val="21"/>
          <w:highlight w:val="none"/>
        </w:rPr>
        <w:t>2.项目概况及采购需求</w:t>
      </w:r>
      <w:bookmarkEnd w:id="10"/>
    </w:p>
    <w:p w14:paraId="08F808BA">
      <w:pPr>
        <w:keepNext/>
        <w:keepLines/>
        <w:spacing w:line="39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2.1项目概况及采购需求</w:t>
      </w:r>
    </w:p>
    <w:p w14:paraId="55C6F42F">
      <w:pPr>
        <w:spacing w:line="390" w:lineRule="exact"/>
        <w:ind w:firstLine="420" w:firstLineChars="200"/>
        <w:rPr>
          <w:color w:val="auto"/>
          <w:szCs w:val="21"/>
          <w:highlight w:val="none"/>
        </w:rPr>
      </w:pPr>
      <w:r>
        <w:rPr>
          <w:rFonts w:hint="eastAsia"/>
          <w:color w:val="auto"/>
          <w:szCs w:val="21"/>
          <w:highlight w:val="none"/>
        </w:rPr>
        <w:t xml:space="preserve">2.1.1 项目区位 </w:t>
      </w:r>
    </w:p>
    <w:p w14:paraId="6D635F9C">
      <w:pPr>
        <w:spacing w:line="390" w:lineRule="exact"/>
        <w:ind w:firstLine="420" w:firstLineChars="200"/>
        <w:rPr>
          <w:rFonts w:hint="eastAsia"/>
          <w:color w:val="auto"/>
          <w:szCs w:val="21"/>
          <w:highlight w:val="none"/>
        </w:rPr>
      </w:pPr>
      <w:r>
        <w:rPr>
          <w:rFonts w:hint="eastAsia"/>
          <w:color w:val="auto"/>
          <w:szCs w:val="21"/>
          <w:highlight w:val="none"/>
        </w:rPr>
        <w:t>项目建设地点位于桂林市秀峰区长海路 3 号长海社区内。</w:t>
      </w:r>
    </w:p>
    <w:p w14:paraId="3ED62C7F">
      <w:pPr>
        <w:spacing w:line="4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2.1.2 合作内容包括</w:t>
      </w:r>
    </w:p>
    <w:p w14:paraId="498A57C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建设规模及内容：项目规划总用地面积 2177m2（约 3.27 亩），拟建设一栋 4 层医养综合 楼，建筑基底面积 950m2 ，总建筑面积 6217m2 ，其中医疗区 2175.95m2，养 老区 4041.05m2 ；总床位共 154 张，其中医疗区54 张，养老区 100 张；机 动车停车位 18 个，非机动车停车位 60 个。购置医疗设备及其他设备一批。</w:t>
      </w:r>
    </w:p>
    <w:p w14:paraId="345F11E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运营内容：</w:t>
      </w:r>
    </w:p>
    <w:p w14:paraId="4A6A0E3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（1）负责提供项目服务范围内的社会化养老服务，做好本项目设施设备运行管理和维修养护工作。</w:t>
      </w:r>
    </w:p>
    <w:p w14:paraId="4EC53AB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（2）负责本项目投融资，确保相应资金或资金来源落实。</w:t>
      </w:r>
    </w:p>
    <w:p w14:paraId="5F1C532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（3）负责本项目建设、管理和运行服务，确保项目顺利实施。</w:t>
      </w:r>
    </w:p>
    <w:p w14:paraId="038641F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（4）在建设方面严格按照审批的设计文件保质保量按期完成项目建设。</w:t>
      </w:r>
    </w:p>
    <w:p w14:paraId="13A7B9F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（5）定期对项目设施进行检修和维护，保证设施运转正常及经营期限届满后资产按规定进行移交。</w:t>
      </w:r>
    </w:p>
    <w:p w14:paraId="274FAE4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（6）制定突发事件应急预案，按规定报有关部门。突发事件发生后，及时启动应急预案，保障公共产品或公共服务的正常提供。</w:t>
      </w:r>
    </w:p>
    <w:p w14:paraId="11187142">
      <w:pPr>
        <w:spacing w:line="400" w:lineRule="exact"/>
        <w:ind w:firstLine="630" w:firstLineChars="300"/>
        <w:rPr>
          <w:color w:val="auto"/>
          <w:sz w:val="21"/>
          <w:szCs w:val="21"/>
          <w:highlight w:val="none"/>
        </w:rPr>
      </w:pPr>
      <w:r>
        <w:rPr>
          <w:rFonts w:hint="eastAsia"/>
          <w:color w:val="auto"/>
          <w:sz w:val="21"/>
          <w:szCs w:val="21"/>
          <w:highlight w:val="none"/>
        </w:rPr>
        <w:t>在合作期内，</w:t>
      </w:r>
      <w:r>
        <w:rPr>
          <w:rFonts w:hint="eastAsia"/>
          <w:color w:val="auto"/>
          <w:sz w:val="21"/>
          <w:szCs w:val="21"/>
          <w:highlight w:val="none"/>
          <w:lang w:eastAsia="zh-CN"/>
        </w:rPr>
        <w:t>社会资本方</w:t>
      </w:r>
      <w:r>
        <w:rPr>
          <w:rFonts w:hint="eastAsia"/>
          <w:color w:val="auto"/>
          <w:sz w:val="21"/>
          <w:szCs w:val="21"/>
          <w:highlight w:val="none"/>
        </w:rPr>
        <w:t>遵照行业运行惯例，本着谨慎、勤勉尽职的原则，负责上述项目设施融资、投资、运营以及维护。合作期满后，</w:t>
      </w:r>
      <w:r>
        <w:rPr>
          <w:rFonts w:hint="eastAsia"/>
          <w:color w:val="auto"/>
          <w:sz w:val="21"/>
          <w:szCs w:val="21"/>
          <w:highlight w:val="none"/>
          <w:lang w:eastAsia="zh-CN"/>
        </w:rPr>
        <w:t>社会资本方</w:t>
      </w:r>
      <w:r>
        <w:rPr>
          <w:rFonts w:hint="eastAsia"/>
          <w:color w:val="auto"/>
          <w:sz w:val="21"/>
          <w:szCs w:val="21"/>
          <w:highlight w:val="none"/>
        </w:rPr>
        <w:t>需将项目范围内全部资产及相关权利等无偿移交给政府或其指定机构。</w:t>
      </w:r>
    </w:p>
    <w:p w14:paraId="7C5C3C98">
      <w:pPr>
        <w:spacing w:line="4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2.1.3 项目投资估算</w:t>
      </w:r>
    </w:p>
    <w:p w14:paraId="680766C9">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项目估算总投资为 4110.55 万元，其中建筑及安装 工程费 2560.48 万元，设备购置费 800.00 万元，工程建设其他费 445.58 万 元，预备费 304.49 万元。</w:t>
      </w:r>
    </w:p>
    <w:p w14:paraId="3A292443">
      <w:pPr>
        <w:spacing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2.1.4 合作期限</w:t>
      </w:r>
    </w:p>
    <w:p w14:paraId="23C093DD">
      <w:pPr>
        <w:spacing w:line="400" w:lineRule="exact"/>
        <w:ind w:firstLine="420"/>
        <w:rPr>
          <w:rFonts w:ascii="宋体" w:hAnsi="宋体" w:eastAsia="宋体" w:cs="宋体"/>
          <w:color w:val="auto"/>
          <w:sz w:val="21"/>
          <w:szCs w:val="21"/>
          <w:highlight w:val="none"/>
        </w:rPr>
      </w:pPr>
      <w:r>
        <w:rPr>
          <w:rFonts w:ascii="宋体" w:hAnsi="宋体" w:eastAsia="宋体" w:cs="宋体"/>
          <w:color w:val="auto"/>
          <w:sz w:val="21"/>
          <w:szCs w:val="21"/>
          <w:highlight w:val="none"/>
        </w:rPr>
        <w:t>本项目特许经营期暂定为40年，其中建设期1.5年（18 个月），运营期38.5年</w:t>
      </w:r>
    </w:p>
    <w:p w14:paraId="69652E3A">
      <w:pPr>
        <w:spacing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2.1.5 项目回报机制</w:t>
      </w:r>
    </w:p>
    <w:p w14:paraId="16CDEDD5">
      <w:pPr>
        <w:spacing w:line="400" w:lineRule="exact"/>
        <w:ind w:firstLine="420" w:firstLineChars="200"/>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t>通过提供养老服务，向有养老服务需求的老年入收取养老服务费。</w:t>
      </w:r>
    </w:p>
    <w:p w14:paraId="597AAC82">
      <w:pPr>
        <w:keepNext/>
        <w:keepLines/>
        <w:adjustRightInd w:val="0"/>
        <w:snapToGrid w:val="0"/>
        <w:spacing w:line="39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2．2 采购范围</w:t>
      </w:r>
    </w:p>
    <w:p w14:paraId="71E5ED66">
      <w:pPr>
        <w:spacing w:line="400" w:lineRule="exact"/>
        <w:ind w:firstLine="420"/>
        <w:jc w:val="both"/>
        <w:rPr>
          <w:rFonts w:ascii="宋体" w:hAnsi="宋体" w:eastAsia="宋体" w:cs="宋体"/>
          <w:color w:val="auto"/>
          <w:sz w:val="21"/>
          <w:szCs w:val="21"/>
          <w:highlight w:val="none"/>
        </w:rPr>
      </w:pPr>
      <w:bookmarkStart w:id="11" w:name="_Toc28359003"/>
      <w:bookmarkStart w:id="12" w:name="_Toc28359080"/>
      <w:bookmarkStart w:id="13" w:name="_Toc82445271"/>
      <w:bookmarkStart w:id="14" w:name="_Toc35393622"/>
      <w:bookmarkStart w:id="15" w:name="_Toc35393791"/>
      <w:r>
        <w:rPr>
          <w:rFonts w:hint="eastAsia" w:ascii="宋体" w:hAnsi="宋体" w:eastAsia="宋体" w:cs="宋体"/>
          <w:color w:val="auto"/>
          <w:sz w:val="21"/>
          <w:szCs w:val="21"/>
          <w:highlight w:val="none"/>
        </w:rPr>
        <w:t>2.2.1 本次采购范围为</w:t>
      </w:r>
      <w:r>
        <w:rPr>
          <w:rFonts w:hint="eastAsia" w:eastAsia="宋体" w:asciiTheme="minorEastAsia" w:hAnsiTheme="minorEastAsia" w:cstheme="minorEastAsia"/>
          <w:color w:val="auto"/>
          <w:sz w:val="21"/>
          <w:szCs w:val="21"/>
          <w:highlight w:val="none"/>
          <w:u w:val="single"/>
          <w:lang w:eastAsia="zh-CN"/>
        </w:rPr>
        <w:t>桂林市秀峰区长海社区卫生服务中心建设项目</w:t>
      </w:r>
      <w:r>
        <w:rPr>
          <w:rFonts w:hint="eastAsia" w:ascii="宋体" w:hAnsi="宋体" w:eastAsia="宋体" w:cs="宋体"/>
          <w:color w:val="auto"/>
          <w:sz w:val="21"/>
          <w:szCs w:val="21"/>
          <w:highlight w:val="none"/>
        </w:rPr>
        <w:t>的社会资本，具体操作模式见本公告2.2.2款。</w:t>
      </w:r>
    </w:p>
    <w:p w14:paraId="553FC27A">
      <w:pPr>
        <w:spacing w:line="400" w:lineRule="exact"/>
        <w:ind w:firstLine="42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2.2.2 本项目采用政府和社会资本合作，具体操作模式为建设—运营—移交（Build-Operate-Transfer,简称“BOT”）模式。申请人中标后，政府将按法律、法规、政策及合同规定授予申请人投融资、建设、运营本项目的权利，包括投资建设权、附属设施经营权等。申请人作为社会资本应按《中华人民共和国公司法》及其他相关法律、法规、政策和合同规定组建</w:t>
      </w:r>
      <w:r>
        <w:rPr>
          <w:rFonts w:hint="eastAsia" w:ascii="宋体" w:hAnsi="宋体" w:eastAsia="宋体" w:cs="宋体"/>
          <w:color w:val="auto"/>
          <w:sz w:val="21"/>
          <w:szCs w:val="21"/>
          <w:highlight w:val="none"/>
          <w:lang w:eastAsia="zh-CN"/>
        </w:rPr>
        <w:t>社会资本方</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社会资本方</w:t>
      </w:r>
      <w:r>
        <w:rPr>
          <w:rFonts w:hint="eastAsia" w:ascii="宋体" w:hAnsi="宋体" w:eastAsia="宋体" w:cs="宋体"/>
          <w:color w:val="auto"/>
          <w:sz w:val="21"/>
          <w:szCs w:val="21"/>
          <w:highlight w:val="none"/>
        </w:rPr>
        <w:t>对项目的投融资、建设实施、运营管理、债务偿还、资产管理和项目移交等全过程负责，并在</w:t>
      </w:r>
      <w:r>
        <w:rPr>
          <w:rFonts w:hint="eastAsia" w:ascii="宋体" w:hAnsi="宋体" w:eastAsia="宋体" w:cs="宋体"/>
          <w:color w:val="auto"/>
          <w:sz w:val="21"/>
          <w:szCs w:val="21"/>
          <w:highlight w:val="none"/>
          <w:lang w:val="en-US" w:eastAsia="zh-CN"/>
        </w:rPr>
        <w:t>BOT</w:t>
      </w:r>
      <w:r>
        <w:rPr>
          <w:rFonts w:hint="eastAsia" w:ascii="宋体" w:hAnsi="宋体" w:eastAsia="宋体" w:cs="宋体"/>
          <w:color w:val="auto"/>
          <w:sz w:val="21"/>
          <w:szCs w:val="21"/>
          <w:highlight w:val="none"/>
        </w:rPr>
        <w:t>项目合同规定的经营期满后，按照</w:t>
      </w:r>
      <w:r>
        <w:rPr>
          <w:rFonts w:hint="eastAsia" w:ascii="宋体" w:hAnsi="宋体" w:eastAsia="宋体" w:cs="宋体"/>
          <w:color w:val="auto"/>
          <w:sz w:val="21"/>
          <w:szCs w:val="21"/>
          <w:highlight w:val="none"/>
          <w:lang w:val="en-US" w:eastAsia="zh-CN"/>
        </w:rPr>
        <w:t>BOT</w:t>
      </w:r>
      <w:r>
        <w:rPr>
          <w:rFonts w:hint="eastAsia" w:ascii="宋体" w:hAnsi="宋体" w:eastAsia="宋体" w:cs="宋体"/>
          <w:color w:val="auto"/>
          <w:sz w:val="21"/>
          <w:szCs w:val="21"/>
          <w:highlight w:val="none"/>
        </w:rPr>
        <w:t>项目合同的约定将</w:t>
      </w:r>
      <w:bookmarkStart w:id="16" w:name="_Hlk16596273"/>
      <w:r>
        <w:rPr>
          <w:rFonts w:hint="eastAsia" w:ascii="宋体" w:hAnsi="宋体" w:eastAsia="宋体" w:cs="宋体"/>
          <w:color w:val="auto"/>
          <w:sz w:val="21"/>
          <w:szCs w:val="21"/>
          <w:highlight w:val="none"/>
        </w:rPr>
        <w:t>项目范围内</w:t>
      </w:r>
      <w:bookmarkEnd w:id="16"/>
      <w:r>
        <w:rPr>
          <w:rFonts w:hint="eastAsia" w:ascii="宋体" w:hAnsi="宋体" w:eastAsia="宋体" w:cs="宋体"/>
          <w:color w:val="auto"/>
          <w:sz w:val="21"/>
          <w:szCs w:val="21"/>
          <w:highlight w:val="none"/>
        </w:rPr>
        <w:t>资产及相关权利等按合同规定无偿移交给</w:t>
      </w:r>
      <w:r>
        <w:rPr>
          <w:rFonts w:hint="eastAsia" w:ascii="宋体" w:hAnsi="宋体" w:eastAsia="宋体" w:cs="宋体"/>
          <w:color w:val="auto"/>
          <w:sz w:val="21"/>
          <w:szCs w:val="21"/>
          <w:highlight w:val="none"/>
          <w:lang w:eastAsia="zh-CN"/>
        </w:rPr>
        <w:t>桂林市秀峰区人民政府</w:t>
      </w:r>
      <w:r>
        <w:rPr>
          <w:rFonts w:hint="eastAsia" w:ascii="宋体" w:hAnsi="宋体" w:eastAsia="宋体" w:cs="宋体"/>
          <w:color w:val="auto"/>
          <w:sz w:val="21"/>
          <w:szCs w:val="21"/>
          <w:highlight w:val="none"/>
        </w:rPr>
        <w:t>或其指定机构。</w:t>
      </w:r>
    </w:p>
    <w:p w14:paraId="778E53E7">
      <w:pPr>
        <w:spacing w:line="4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2.2.3本项目资本金由社会资本负责融资筹得。项目建设资金在建设期内根据工程进度要求投入，政府、实施机构以及政府方代表不为社会资本方的项目融资提供直接或间接的担保或增信。</w:t>
      </w:r>
    </w:p>
    <w:p w14:paraId="19495569">
      <w:pPr>
        <w:pStyle w:val="3"/>
        <w:spacing w:before="0" w:after="0" w:line="390" w:lineRule="exact"/>
        <w:ind w:firstLine="422" w:firstLineChars="200"/>
        <w:rPr>
          <w:rFonts w:ascii="宋体" w:hAnsi="宋体" w:eastAsia="宋体" w:cs="宋体"/>
          <w:bCs w:val="0"/>
          <w:color w:val="auto"/>
          <w:sz w:val="21"/>
          <w:szCs w:val="21"/>
          <w:highlight w:val="none"/>
        </w:rPr>
      </w:pPr>
      <w:bookmarkStart w:id="17" w:name="_Toc13443"/>
      <w:r>
        <w:rPr>
          <w:rFonts w:hint="eastAsia" w:ascii="宋体" w:hAnsi="宋体" w:eastAsia="宋体" w:cs="宋体"/>
          <w:bCs w:val="0"/>
          <w:color w:val="auto"/>
          <w:sz w:val="21"/>
          <w:szCs w:val="21"/>
          <w:highlight w:val="none"/>
        </w:rPr>
        <w:t>二、申请人的资格要求：</w:t>
      </w:r>
      <w:bookmarkEnd w:id="11"/>
      <w:bookmarkEnd w:id="12"/>
      <w:bookmarkEnd w:id="13"/>
      <w:bookmarkEnd w:id="14"/>
      <w:bookmarkEnd w:id="15"/>
      <w:bookmarkEnd w:id="17"/>
    </w:p>
    <w:p w14:paraId="48582F54">
      <w:pPr>
        <w:pStyle w:val="14"/>
        <w:spacing w:line="390" w:lineRule="exact"/>
        <w:ind w:firstLine="420" w:firstLineChars="200"/>
        <w:rPr>
          <w:rFonts w:hint="eastAsia" w:ascii="宋体" w:hAnsi="宋体" w:cs="宋体"/>
          <w:color w:val="auto"/>
          <w:sz w:val="21"/>
          <w:szCs w:val="21"/>
          <w:highlight w:val="none"/>
        </w:rPr>
      </w:pPr>
      <w:bookmarkStart w:id="18" w:name="_Toc28359081"/>
      <w:bookmarkStart w:id="19" w:name="_Toc35393792"/>
      <w:bookmarkStart w:id="20" w:name="_Toc35393623"/>
      <w:bookmarkStart w:id="21" w:name="_Toc28359004"/>
      <w:r>
        <w:rPr>
          <w:rFonts w:hint="eastAsia" w:ascii="宋体" w:hAnsi="宋体" w:cs="宋体"/>
          <w:color w:val="auto"/>
          <w:sz w:val="21"/>
          <w:szCs w:val="21"/>
          <w:highlight w:val="none"/>
        </w:rPr>
        <w:t>1.仅限于已经通过</w:t>
      </w:r>
      <w:r>
        <w:rPr>
          <w:rFonts w:hint="eastAsia" w:ascii="宋体" w:hAnsi="宋体" w:cs="宋体"/>
          <w:color w:val="auto"/>
          <w:sz w:val="21"/>
          <w:szCs w:val="21"/>
          <w:highlight w:val="none"/>
          <w:lang w:eastAsia="zh-CN"/>
        </w:rPr>
        <w:t>桂林市秀峰区长海社区卫生服务中心建设项目</w:t>
      </w:r>
      <w:r>
        <w:rPr>
          <w:rFonts w:hint="eastAsia" w:ascii="宋体" w:hAnsi="宋体" w:cs="宋体"/>
          <w:color w:val="auto"/>
          <w:sz w:val="21"/>
          <w:szCs w:val="21"/>
          <w:highlight w:val="none"/>
        </w:rPr>
        <w:t>资格预审的投标人。</w:t>
      </w:r>
    </w:p>
    <w:p w14:paraId="4F735CA7">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.满足</w:t>
      </w:r>
      <w:r>
        <w:rPr>
          <w:rFonts w:hint="eastAsia" w:ascii="宋体" w:hAnsi="宋体" w:cs="宋体"/>
          <w:color w:val="000000"/>
          <w:highlight w:val="none"/>
        </w:rPr>
        <w:t>《中华人民共和国政府采购法》第二十二条规定</w:t>
      </w:r>
      <w:r>
        <w:rPr>
          <w:rFonts w:hint="eastAsia" w:ascii="宋体" w:hAnsi="宋体" w:cs="宋体"/>
          <w:color w:val="000000"/>
          <w:szCs w:val="21"/>
          <w:highlight w:val="none"/>
        </w:rPr>
        <w:t>；</w:t>
      </w:r>
    </w:p>
    <w:p w14:paraId="33001774">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.对在“信用中国”网站（www.creditchina.gov.cn）渠道列入失信被执行人、重大税收违法案件当事人名单、政府采购严重违法失信行为记录名单的供应商，不得参与本项目采购活动。</w:t>
      </w:r>
    </w:p>
    <w:p w14:paraId="725D4605">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.单位负责人为同一人或者存在直接控股、管理关系的不同供应商，不得参加同一合同项下的采购活动。</w:t>
      </w:r>
    </w:p>
    <w:p w14:paraId="09334F69">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.本项目的特定资格要求：无</w:t>
      </w:r>
    </w:p>
    <w:p w14:paraId="4E44121D">
      <w:pPr>
        <w:pStyle w:val="3"/>
        <w:spacing w:before="0" w:after="0" w:line="390" w:lineRule="exact"/>
        <w:ind w:firstLine="422" w:firstLineChars="200"/>
        <w:rPr>
          <w:rFonts w:ascii="宋体" w:hAnsi="宋体" w:eastAsia="宋体" w:cs="宋体"/>
          <w:bCs w:val="0"/>
          <w:color w:val="auto"/>
          <w:sz w:val="21"/>
          <w:szCs w:val="21"/>
          <w:highlight w:val="none"/>
        </w:rPr>
      </w:pPr>
      <w:bookmarkStart w:id="22" w:name="_Toc27722"/>
      <w:bookmarkStart w:id="23" w:name="_Toc82445272"/>
      <w:r>
        <w:rPr>
          <w:rFonts w:hint="eastAsia" w:ascii="宋体" w:hAnsi="宋体" w:eastAsia="宋体" w:cs="宋体"/>
          <w:bCs w:val="0"/>
          <w:color w:val="auto"/>
          <w:sz w:val="21"/>
          <w:szCs w:val="21"/>
          <w:highlight w:val="none"/>
        </w:rPr>
        <w:t>三、获取采购文件</w:t>
      </w:r>
      <w:bookmarkEnd w:id="18"/>
      <w:bookmarkEnd w:id="19"/>
      <w:bookmarkEnd w:id="20"/>
      <w:bookmarkEnd w:id="21"/>
      <w:bookmarkEnd w:id="22"/>
      <w:bookmarkEnd w:id="23"/>
    </w:p>
    <w:p w14:paraId="3C93F012">
      <w:pPr>
        <w:pStyle w:val="3"/>
        <w:spacing w:before="0" w:after="0" w:line="390" w:lineRule="exact"/>
        <w:ind w:firstLine="420" w:firstLineChars="200"/>
        <w:rPr>
          <w:rFonts w:hint="eastAsia" w:ascii="宋体" w:hAnsi="宋体" w:eastAsia="宋体" w:cs="宋体"/>
          <w:b w:val="0"/>
          <w:bCs/>
          <w:color w:val="auto"/>
          <w:sz w:val="21"/>
          <w:szCs w:val="21"/>
          <w:highlight w:val="none"/>
        </w:rPr>
      </w:pPr>
      <w:bookmarkStart w:id="24" w:name="_Toc18512"/>
      <w:bookmarkStart w:id="25" w:name="_Toc28359005"/>
      <w:bookmarkStart w:id="26" w:name="_Toc28359082"/>
      <w:bookmarkStart w:id="27" w:name="_Toc35393793"/>
      <w:bookmarkStart w:id="28" w:name="_Toc35393624"/>
      <w:bookmarkStart w:id="29" w:name="_Toc82445273"/>
      <w:r>
        <w:rPr>
          <w:rFonts w:hint="eastAsia" w:ascii="宋体" w:hAnsi="宋体" w:eastAsia="宋体" w:cs="宋体"/>
          <w:b w:val="0"/>
          <w:bCs/>
          <w:color w:val="auto"/>
          <w:sz w:val="21"/>
          <w:szCs w:val="21"/>
          <w:highlight w:val="none"/>
        </w:rPr>
        <w:t>时间</w:t>
      </w:r>
      <w:r>
        <w:rPr>
          <w:rFonts w:hint="eastAsia" w:ascii="宋体" w:hAnsi="宋体" w:eastAsia="宋体" w:cs="宋体"/>
          <w:b w:val="0"/>
          <w:bCs/>
          <w:color w:val="auto"/>
          <w:sz w:val="21"/>
          <w:szCs w:val="21"/>
          <w:highlight w:val="none"/>
        </w:rPr>
        <w:t>：2025年</w:t>
      </w:r>
      <w:r>
        <w:rPr>
          <w:rFonts w:hint="eastAsia" w:ascii="宋体" w:hAnsi="宋体" w:eastAsia="宋体" w:cs="宋体"/>
          <w:b w:val="0"/>
          <w:bCs/>
          <w:color w:val="auto"/>
          <w:sz w:val="21"/>
          <w:szCs w:val="21"/>
          <w:highlight w:val="none"/>
          <w:lang w:val="en-US" w:eastAsia="zh-CN"/>
        </w:rPr>
        <w:t xml:space="preserve"> 10 </w:t>
      </w:r>
      <w:r>
        <w:rPr>
          <w:rFonts w:hint="eastAsia" w:ascii="宋体" w:hAnsi="宋体" w:eastAsia="宋体" w:cs="宋体"/>
          <w:b w:val="0"/>
          <w:bCs/>
          <w:color w:val="auto"/>
          <w:sz w:val="21"/>
          <w:szCs w:val="21"/>
          <w:highlight w:val="none"/>
        </w:rPr>
        <w:t>月</w:t>
      </w:r>
      <w:r>
        <w:rPr>
          <w:rFonts w:hint="eastAsia" w:ascii="宋体" w:hAnsi="宋体" w:eastAsia="宋体" w:cs="宋体"/>
          <w:b w:val="0"/>
          <w:bCs/>
          <w:color w:val="auto"/>
          <w:sz w:val="21"/>
          <w:szCs w:val="21"/>
          <w:highlight w:val="none"/>
          <w:lang w:val="en-US" w:eastAsia="zh-CN"/>
        </w:rPr>
        <w:t xml:space="preserve"> 11 </w:t>
      </w:r>
      <w:r>
        <w:rPr>
          <w:rFonts w:hint="eastAsia" w:ascii="宋体" w:hAnsi="宋体" w:eastAsia="宋体" w:cs="宋体"/>
          <w:b w:val="0"/>
          <w:bCs/>
          <w:color w:val="auto"/>
          <w:sz w:val="21"/>
          <w:szCs w:val="21"/>
          <w:highlight w:val="none"/>
        </w:rPr>
        <w:t>日至2025年</w:t>
      </w:r>
      <w:r>
        <w:rPr>
          <w:rFonts w:hint="eastAsia" w:ascii="宋体" w:hAnsi="宋体" w:eastAsia="宋体" w:cs="宋体"/>
          <w:b w:val="0"/>
          <w:bCs/>
          <w:color w:val="auto"/>
          <w:sz w:val="21"/>
          <w:szCs w:val="21"/>
          <w:highlight w:val="none"/>
          <w:lang w:val="en-US" w:eastAsia="zh-CN"/>
        </w:rPr>
        <w:t xml:space="preserve"> 11 </w:t>
      </w:r>
      <w:r>
        <w:rPr>
          <w:rFonts w:hint="eastAsia" w:ascii="宋体" w:hAnsi="宋体" w:eastAsia="宋体" w:cs="宋体"/>
          <w:b w:val="0"/>
          <w:bCs/>
          <w:color w:val="auto"/>
          <w:sz w:val="21"/>
          <w:szCs w:val="21"/>
          <w:highlight w:val="none"/>
        </w:rPr>
        <w:t>月</w:t>
      </w:r>
      <w:r>
        <w:rPr>
          <w:rFonts w:hint="eastAsia" w:ascii="宋体" w:hAnsi="宋体" w:eastAsia="宋体" w:cs="宋体"/>
          <w:b w:val="0"/>
          <w:bCs/>
          <w:color w:val="auto"/>
          <w:sz w:val="21"/>
          <w:szCs w:val="21"/>
          <w:highlight w:val="none"/>
          <w:lang w:val="en-US" w:eastAsia="zh-CN"/>
        </w:rPr>
        <w:t xml:space="preserve"> 4 </w:t>
      </w:r>
      <w:r>
        <w:rPr>
          <w:rFonts w:hint="eastAsia" w:ascii="宋体" w:hAnsi="宋体" w:eastAsia="宋体" w:cs="宋体"/>
          <w:b w:val="0"/>
          <w:bCs/>
          <w:color w:val="auto"/>
          <w:sz w:val="21"/>
          <w:szCs w:val="21"/>
          <w:highlight w:val="none"/>
        </w:rPr>
        <w:t>日</w:t>
      </w:r>
      <w:r>
        <w:rPr>
          <w:rFonts w:hint="eastAsia" w:ascii="宋体" w:hAnsi="宋体" w:eastAsia="宋体" w:cs="宋体"/>
          <w:b w:val="0"/>
          <w:bCs/>
          <w:color w:val="auto"/>
          <w:sz w:val="21"/>
          <w:szCs w:val="21"/>
          <w:highlight w:val="none"/>
        </w:rPr>
        <w:t xml:space="preserve"> ，每天上午00：00至12：00 ，下午12：00至23：59（北京时间，法定节假日除外）；</w:t>
      </w:r>
      <w:bookmarkEnd w:id="24"/>
    </w:p>
    <w:p w14:paraId="06F785EA">
      <w:pPr>
        <w:pStyle w:val="3"/>
        <w:spacing w:before="0" w:after="0" w:line="390" w:lineRule="exact"/>
        <w:ind w:firstLine="420" w:firstLineChars="200"/>
        <w:rPr>
          <w:rFonts w:hint="eastAsia" w:ascii="宋体" w:hAnsi="宋体" w:eastAsia="宋体" w:cs="宋体"/>
          <w:b w:val="0"/>
          <w:bCs/>
          <w:color w:val="auto"/>
          <w:sz w:val="21"/>
          <w:szCs w:val="21"/>
          <w:highlight w:val="none"/>
        </w:rPr>
      </w:pPr>
      <w:bookmarkStart w:id="30" w:name="_Toc26075"/>
      <w:r>
        <w:rPr>
          <w:rFonts w:hint="eastAsia" w:ascii="宋体" w:hAnsi="宋体" w:eastAsia="宋体" w:cs="宋体"/>
          <w:b w:val="0"/>
          <w:bCs/>
          <w:color w:val="auto"/>
          <w:sz w:val="21"/>
          <w:szCs w:val="21"/>
          <w:highlight w:val="none"/>
        </w:rPr>
        <w:t>地点（网址）：广西政府采购云平台（</w:t>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HYPERLINK "https://www.gcy.zfcg.gxzf.gov.cn）"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https://www.gcy.zfcg.gxzf.gov.cn）</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olor w:val="auto"/>
          <w:sz w:val="21"/>
          <w:szCs w:val="21"/>
          <w:highlight w:val="none"/>
        </w:rPr>
        <w:t>；</w:t>
      </w:r>
      <w:bookmarkEnd w:id="30"/>
    </w:p>
    <w:p w14:paraId="2FB1A2D7">
      <w:pPr>
        <w:pStyle w:val="3"/>
        <w:spacing w:before="0" w:after="0" w:line="390" w:lineRule="exact"/>
        <w:ind w:firstLine="420" w:firstLineChars="200"/>
        <w:rPr>
          <w:rFonts w:hint="eastAsia" w:ascii="宋体" w:hAnsi="宋体" w:eastAsia="宋体" w:cs="宋体"/>
          <w:b w:val="0"/>
          <w:bCs/>
          <w:color w:val="auto"/>
          <w:sz w:val="21"/>
          <w:szCs w:val="21"/>
          <w:highlight w:val="none"/>
        </w:rPr>
      </w:pPr>
      <w:bookmarkStart w:id="31" w:name="_Toc1359"/>
      <w:r>
        <w:rPr>
          <w:rFonts w:hint="eastAsia" w:ascii="宋体" w:hAnsi="宋体" w:eastAsia="宋体" w:cs="宋体"/>
          <w:b w:val="0"/>
          <w:bCs/>
          <w:color w:val="auto"/>
          <w:sz w:val="21"/>
          <w:szCs w:val="21"/>
          <w:highlight w:val="none"/>
        </w:rPr>
        <w:t>方式：投标人登录广西政府采购云平台（https://www.gcy.zfcg.gxzf.gov.cn）在线申请获取采购文件（进入“项目采购”应用，在获取采购文件菜单中选择项目，申请获取采购文件） ；</w:t>
      </w:r>
      <w:bookmarkEnd w:id="31"/>
    </w:p>
    <w:p w14:paraId="2F9A66E2">
      <w:pPr>
        <w:pStyle w:val="3"/>
        <w:spacing w:before="0" w:after="0" w:line="390" w:lineRule="exact"/>
        <w:ind w:firstLine="420" w:firstLineChars="200"/>
        <w:rPr>
          <w:rFonts w:hint="eastAsia" w:ascii="宋体" w:hAnsi="宋体" w:eastAsia="宋体" w:cs="宋体"/>
          <w:b w:val="0"/>
          <w:bCs/>
          <w:color w:val="auto"/>
          <w:sz w:val="21"/>
          <w:szCs w:val="21"/>
          <w:highlight w:val="none"/>
        </w:rPr>
      </w:pPr>
      <w:bookmarkStart w:id="32" w:name="_Toc22503"/>
      <w:r>
        <w:rPr>
          <w:rFonts w:hint="eastAsia" w:ascii="宋体" w:hAnsi="宋体" w:eastAsia="宋体" w:cs="宋体"/>
          <w:b w:val="0"/>
          <w:bCs/>
          <w:color w:val="auto"/>
          <w:sz w:val="21"/>
          <w:szCs w:val="21"/>
          <w:highlight w:val="none"/>
        </w:rPr>
        <w:t>售价（元）：0</w:t>
      </w:r>
      <w:bookmarkEnd w:id="32"/>
      <w:r>
        <w:rPr>
          <w:rFonts w:hint="eastAsia" w:ascii="宋体" w:hAnsi="宋体" w:eastAsia="宋体" w:cs="宋体"/>
          <w:b w:val="0"/>
          <w:bCs/>
          <w:color w:val="auto"/>
          <w:sz w:val="21"/>
          <w:szCs w:val="21"/>
          <w:highlight w:val="none"/>
        </w:rPr>
        <w:t xml:space="preserve"> </w:t>
      </w:r>
    </w:p>
    <w:p w14:paraId="14E90F7A">
      <w:pPr>
        <w:pStyle w:val="3"/>
        <w:spacing w:before="0" w:after="0" w:line="390" w:lineRule="exact"/>
        <w:ind w:firstLine="422" w:firstLineChars="200"/>
        <w:rPr>
          <w:rFonts w:ascii="宋体" w:hAnsi="宋体" w:eastAsia="宋体" w:cs="宋体"/>
          <w:bCs w:val="0"/>
          <w:color w:val="auto"/>
          <w:sz w:val="21"/>
          <w:szCs w:val="21"/>
          <w:highlight w:val="none"/>
        </w:rPr>
      </w:pPr>
      <w:bookmarkStart w:id="33" w:name="_Toc16824"/>
      <w:r>
        <w:rPr>
          <w:rFonts w:hint="eastAsia" w:ascii="宋体" w:hAnsi="宋体" w:eastAsia="宋体" w:cs="宋体"/>
          <w:bCs w:val="0"/>
          <w:color w:val="auto"/>
          <w:sz w:val="21"/>
          <w:szCs w:val="21"/>
          <w:highlight w:val="none"/>
        </w:rPr>
        <w:t>四、提交投标文件</w:t>
      </w:r>
      <w:bookmarkEnd w:id="25"/>
      <w:bookmarkEnd w:id="26"/>
      <w:r>
        <w:rPr>
          <w:rFonts w:hint="eastAsia" w:ascii="宋体" w:hAnsi="宋体" w:eastAsia="宋体" w:cs="宋体"/>
          <w:bCs w:val="0"/>
          <w:color w:val="auto"/>
          <w:sz w:val="21"/>
          <w:szCs w:val="21"/>
          <w:highlight w:val="none"/>
        </w:rPr>
        <w:t>截止时间、开标时间和地点</w:t>
      </w:r>
      <w:bookmarkEnd w:id="27"/>
      <w:bookmarkEnd w:id="28"/>
      <w:bookmarkEnd w:id="29"/>
      <w:bookmarkEnd w:id="33"/>
    </w:p>
    <w:p w14:paraId="71B55188">
      <w:pPr>
        <w:pStyle w:val="3"/>
        <w:spacing w:before="0" w:after="0" w:line="390" w:lineRule="exact"/>
        <w:ind w:firstLine="420" w:firstLineChars="200"/>
        <w:rPr>
          <w:rFonts w:hint="eastAsia" w:ascii="宋体" w:hAnsi="宋体" w:eastAsia="宋体" w:cs="宋体"/>
          <w:b w:val="0"/>
          <w:bCs/>
          <w:color w:val="auto"/>
          <w:sz w:val="21"/>
          <w:szCs w:val="21"/>
          <w:highlight w:val="none"/>
        </w:rPr>
      </w:pPr>
      <w:bookmarkStart w:id="34" w:name="_Toc16937"/>
      <w:bookmarkStart w:id="35" w:name="_Toc35393794"/>
      <w:bookmarkStart w:id="36" w:name="_Toc28359084"/>
      <w:bookmarkStart w:id="37" w:name="_Toc28359007"/>
      <w:bookmarkStart w:id="38" w:name="_Toc82445274"/>
      <w:bookmarkStart w:id="39" w:name="_Toc35393625"/>
      <w:r>
        <w:rPr>
          <w:rFonts w:hint="eastAsia" w:ascii="宋体" w:hAnsi="宋体" w:eastAsia="宋体" w:cs="宋体"/>
          <w:b w:val="0"/>
          <w:bCs/>
          <w:color w:val="auto"/>
          <w:sz w:val="21"/>
          <w:szCs w:val="21"/>
          <w:highlight w:val="none"/>
        </w:rPr>
        <w:t>提交投标文件截止时间：</w:t>
      </w:r>
      <w:r>
        <w:rPr>
          <w:rFonts w:hint="eastAsia" w:ascii="宋体" w:hAnsi="宋体" w:eastAsia="宋体" w:cs="宋体"/>
          <w:b w:val="0"/>
          <w:bCs/>
          <w:color w:val="auto"/>
          <w:sz w:val="21"/>
          <w:szCs w:val="21"/>
          <w:highlight w:val="none"/>
        </w:rPr>
        <w:t>2025年</w:t>
      </w:r>
      <w:r>
        <w:rPr>
          <w:rFonts w:hint="eastAsia" w:ascii="宋体" w:hAnsi="宋体" w:eastAsia="宋体" w:cs="宋体"/>
          <w:b w:val="0"/>
          <w:bCs/>
          <w:color w:val="auto"/>
          <w:sz w:val="21"/>
          <w:szCs w:val="21"/>
          <w:highlight w:val="none"/>
          <w:lang w:val="en-US" w:eastAsia="zh-CN"/>
        </w:rPr>
        <w:t xml:space="preserve"> 11 </w:t>
      </w:r>
      <w:r>
        <w:rPr>
          <w:rFonts w:hint="eastAsia" w:ascii="宋体" w:hAnsi="宋体" w:eastAsia="宋体" w:cs="宋体"/>
          <w:b w:val="0"/>
          <w:bCs/>
          <w:color w:val="auto"/>
          <w:sz w:val="21"/>
          <w:szCs w:val="21"/>
          <w:highlight w:val="none"/>
        </w:rPr>
        <w:t>月</w:t>
      </w:r>
      <w:r>
        <w:rPr>
          <w:rFonts w:hint="eastAsia" w:ascii="宋体" w:hAnsi="宋体" w:eastAsia="宋体" w:cs="宋体"/>
          <w:b w:val="0"/>
          <w:bCs/>
          <w:color w:val="auto"/>
          <w:sz w:val="21"/>
          <w:szCs w:val="21"/>
          <w:highlight w:val="none"/>
          <w:lang w:val="en-US" w:eastAsia="zh-CN"/>
        </w:rPr>
        <w:t xml:space="preserve"> 4 </w:t>
      </w:r>
      <w:r>
        <w:rPr>
          <w:rFonts w:hint="eastAsia" w:ascii="宋体" w:hAnsi="宋体" w:eastAsia="宋体" w:cs="宋体"/>
          <w:b w:val="0"/>
          <w:bCs/>
          <w:color w:val="auto"/>
          <w:sz w:val="21"/>
          <w:szCs w:val="21"/>
          <w:highlight w:val="none"/>
        </w:rPr>
        <w:t>日上午9时30分</w:t>
      </w:r>
      <w:r>
        <w:rPr>
          <w:rFonts w:hint="eastAsia" w:ascii="宋体" w:hAnsi="宋体" w:eastAsia="宋体" w:cs="宋体"/>
          <w:b w:val="0"/>
          <w:bCs/>
          <w:color w:val="auto"/>
          <w:sz w:val="21"/>
          <w:szCs w:val="21"/>
          <w:highlight w:val="none"/>
        </w:rPr>
        <w:t>（北京时间）。</w:t>
      </w:r>
      <w:bookmarkEnd w:id="34"/>
    </w:p>
    <w:p w14:paraId="2241EB28">
      <w:pPr>
        <w:pStyle w:val="3"/>
        <w:spacing w:before="0" w:after="0" w:line="390" w:lineRule="exact"/>
        <w:ind w:firstLine="420" w:firstLineChars="200"/>
        <w:rPr>
          <w:rFonts w:hint="eastAsia" w:ascii="宋体" w:hAnsi="宋体" w:eastAsia="宋体" w:cs="宋体"/>
          <w:b w:val="0"/>
          <w:bCs/>
          <w:color w:val="auto"/>
          <w:sz w:val="21"/>
          <w:szCs w:val="21"/>
          <w:highlight w:val="none"/>
        </w:rPr>
      </w:pPr>
      <w:bookmarkStart w:id="40" w:name="_Toc7958"/>
      <w:r>
        <w:rPr>
          <w:rFonts w:hint="eastAsia" w:ascii="宋体" w:hAnsi="宋体" w:eastAsia="宋体" w:cs="宋体"/>
          <w:b w:val="0"/>
          <w:bCs/>
          <w:color w:val="auto"/>
          <w:sz w:val="21"/>
          <w:szCs w:val="21"/>
          <w:highlight w:val="none"/>
        </w:rPr>
        <w:t>投标地点（网址）：请登录广西政府采购云平台投标客户端投标。</w:t>
      </w:r>
      <w:bookmarkEnd w:id="40"/>
    </w:p>
    <w:p w14:paraId="56C934F5">
      <w:pPr>
        <w:pStyle w:val="3"/>
        <w:spacing w:before="0" w:after="0" w:line="390" w:lineRule="exact"/>
        <w:ind w:firstLine="420" w:firstLineChars="200"/>
        <w:rPr>
          <w:rFonts w:hint="eastAsia" w:ascii="宋体" w:hAnsi="宋体" w:eastAsia="宋体" w:cs="宋体"/>
          <w:b w:val="0"/>
          <w:bCs/>
          <w:color w:val="auto"/>
          <w:sz w:val="21"/>
          <w:szCs w:val="21"/>
          <w:highlight w:val="none"/>
        </w:rPr>
      </w:pPr>
      <w:bookmarkStart w:id="41" w:name="_Toc26046"/>
      <w:r>
        <w:rPr>
          <w:rFonts w:hint="eastAsia" w:ascii="宋体" w:hAnsi="宋体" w:eastAsia="宋体" w:cs="宋体"/>
          <w:b w:val="0"/>
          <w:bCs/>
          <w:color w:val="auto"/>
          <w:sz w:val="21"/>
          <w:szCs w:val="21"/>
          <w:highlight w:val="none"/>
        </w:rPr>
        <w:t>开标时间：</w:t>
      </w:r>
      <w:r>
        <w:rPr>
          <w:rFonts w:hint="eastAsia" w:ascii="宋体" w:hAnsi="宋体" w:eastAsia="宋体" w:cs="宋体"/>
          <w:b w:val="0"/>
          <w:bCs/>
          <w:color w:val="auto"/>
          <w:sz w:val="21"/>
          <w:szCs w:val="21"/>
          <w:highlight w:val="none"/>
        </w:rPr>
        <w:t>2025年</w:t>
      </w:r>
      <w:r>
        <w:rPr>
          <w:rFonts w:hint="eastAsia" w:ascii="宋体" w:hAnsi="宋体" w:eastAsia="宋体" w:cs="宋体"/>
          <w:b w:val="0"/>
          <w:bCs/>
          <w:color w:val="auto"/>
          <w:sz w:val="21"/>
          <w:szCs w:val="21"/>
          <w:highlight w:val="none"/>
          <w:lang w:val="en-US" w:eastAsia="zh-CN"/>
        </w:rPr>
        <w:t xml:space="preserve"> 11</w:t>
      </w:r>
      <w:r>
        <w:rPr>
          <w:rFonts w:hint="eastAsia" w:ascii="宋体" w:hAnsi="宋体" w:eastAsia="宋体" w:cs="宋体"/>
          <w:b w:val="0"/>
          <w:bCs/>
          <w:color w:val="auto"/>
          <w:sz w:val="21"/>
          <w:szCs w:val="21"/>
          <w:highlight w:val="none"/>
        </w:rPr>
        <w:t>月</w:t>
      </w:r>
      <w:r>
        <w:rPr>
          <w:rFonts w:hint="eastAsia" w:ascii="宋体" w:hAnsi="宋体" w:eastAsia="宋体" w:cs="宋体"/>
          <w:b w:val="0"/>
          <w:bCs/>
          <w:color w:val="auto"/>
          <w:sz w:val="21"/>
          <w:szCs w:val="21"/>
          <w:highlight w:val="none"/>
          <w:lang w:val="en-US" w:eastAsia="zh-CN"/>
        </w:rPr>
        <w:t xml:space="preserve"> 4 </w:t>
      </w:r>
      <w:r>
        <w:rPr>
          <w:rFonts w:hint="eastAsia" w:ascii="宋体" w:hAnsi="宋体" w:eastAsia="宋体" w:cs="宋体"/>
          <w:b w:val="0"/>
          <w:bCs/>
          <w:color w:val="auto"/>
          <w:sz w:val="21"/>
          <w:szCs w:val="21"/>
          <w:highlight w:val="none"/>
        </w:rPr>
        <w:t>日午9时30分</w:t>
      </w:r>
      <w:r>
        <w:rPr>
          <w:rFonts w:hint="eastAsia" w:ascii="宋体" w:hAnsi="宋体" w:eastAsia="宋体" w:cs="宋体"/>
          <w:b w:val="0"/>
          <w:bCs/>
          <w:color w:val="auto"/>
          <w:sz w:val="21"/>
          <w:szCs w:val="21"/>
          <w:highlight w:val="none"/>
        </w:rPr>
        <w:t>（北京时间）。</w:t>
      </w:r>
      <w:bookmarkEnd w:id="41"/>
    </w:p>
    <w:p w14:paraId="585DD323">
      <w:pPr>
        <w:pStyle w:val="3"/>
        <w:spacing w:before="0" w:after="0" w:line="390" w:lineRule="exact"/>
        <w:ind w:firstLine="420" w:firstLineChars="200"/>
        <w:rPr>
          <w:rFonts w:hint="eastAsia" w:ascii="宋体" w:hAnsi="宋体" w:eastAsia="宋体" w:cs="宋体"/>
          <w:b w:val="0"/>
          <w:bCs/>
          <w:color w:val="auto"/>
          <w:sz w:val="21"/>
          <w:szCs w:val="21"/>
          <w:highlight w:val="none"/>
        </w:rPr>
      </w:pPr>
      <w:bookmarkStart w:id="42" w:name="_Toc20713"/>
      <w:r>
        <w:rPr>
          <w:rFonts w:hint="eastAsia" w:ascii="宋体" w:hAnsi="宋体" w:eastAsia="宋体" w:cs="宋体"/>
          <w:b w:val="0"/>
          <w:bCs/>
          <w:color w:val="auto"/>
          <w:sz w:val="21"/>
          <w:szCs w:val="21"/>
          <w:highlight w:val="none"/>
        </w:rPr>
        <w:t>开标地点（网址）：在桂林市公共资源交易中心政府采购开标仓通过广西政府采购云平台在线解密开启。</w:t>
      </w:r>
      <w:bookmarkEnd w:id="42"/>
    </w:p>
    <w:p w14:paraId="3397909C">
      <w:pPr>
        <w:pStyle w:val="3"/>
        <w:spacing w:before="0" w:after="0" w:line="390" w:lineRule="exact"/>
        <w:ind w:firstLine="422" w:firstLineChars="200"/>
        <w:rPr>
          <w:rFonts w:ascii="宋体" w:hAnsi="宋体" w:eastAsia="宋体" w:cs="宋体"/>
          <w:bCs w:val="0"/>
          <w:color w:val="auto"/>
          <w:sz w:val="21"/>
          <w:szCs w:val="21"/>
          <w:highlight w:val="none"/>
        </w:rPr>
      </w:pPr>
      <w:bookmarkStart w:id="43" w:name="_Toc2994"/>
      <w:r>
        <w:rPr>
          <w:rFonts w:hint="eastAsia" w:ascii="宋体" w:hAnsi="宋体" w:eastAsia="宋体" w:cs="宋体"/>
          <w:bCs w:val="0"/>
          <w:color w:val="auto"/>
          <w:sz w:val="21"/>
          <w:szCs w:val="21"/>
          <w:highlight w:val="none"/>
        </w:rPr>
        <w:t>五、公告期限</w:t>
      </w:r>
      <w:bookmarkEnd w:id="35"/>
      <w:bookmarkEnd w:id="36"/>
      <w:bookmarkEnd w:id="37"/>
      <w:bookmarkEnd w:id="38"/>
      <w:bookmarkEnd w:id="39"/>
      <w:bookmarkEnd w:id="43"/>
    </w:p>
    <w:p w14:paraId="76A83EF8">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663D6E56">
      <w:pPr>
        <w:pStyle w:val="3"/>
        <w:spacing w:before="0" w:after="0" w:line="390" w:lineRule="exact"/>
        <w:ind w:firstLine="422" w:firstLineChars="200"/>
        <w:rPr>
          <w:rFonts w:ascii="宋体" w:hAnsi="宋体" w:eastAsia="宋体" w:cs="宋体"/>
          <w:bCs w:val="0"/>
          <w:color w:val="auto"/>
          <w:sz w:val="21"/>
          <w:szCs w:val="21"/>
          <w:highlight w:val="none"/>
        </w:rPr>
      </w:pPr>
      <w:bookmarkStart w:id="44" w:name="_Toc35393626"/>
      <w:bookmarkStart w:id="45" w:name="_Toc82445275"/>
      <w:bookmarkStart w:id="46" w:name="_Toc35393795"/>
      <w:bookmarkStart w:id="47" w:name="_Toc31085"/>
      <w:r>
        <w:rPr>
          <w:rFonts w:hint="eastAsia" w:ascii="宋体" w:hAnsi="宋体" w:eastAsia="宋体" w:cs="宋体"/>
          <w:bCs w:val="0"/>
          <w:color w:val="auto"/>
          <w:sz w:val="21"/>
          <w:szCs w:val="21"/>
          <w:highlight w:val="none"/>
        </w:rPr>
        <w:t>六、其他补充事宜</w:t>
      </w:r>
      <w:bookmarkEnd w:id="44"/>
      <w:bookmarkEnd w:id="45"/>
      <w:bookmarkEnd w:id="46"/>
      <w:bookmarkEnd w:id="47"/>
    </w:p>
    <w:p w14:paraId="3BF04F51">
      <w:pPr>
        <w:pStyle w:val="44"/>
        <w:spacing w:line="320" w:lineRule="exact"/>
        <w:ind w:firstLine="420"/>
        <w:rPr>
          <w:rFonts w:ascii="宋体" w:hAnsi="宋体"/>
          <w:color w:val="auto"/>
          <w:szCs w:val="21"/>
          <w:highlight w:val="none"/>
        </w:rPr>
      </w:pPr>
      <w:bookmarkStart w:id="48" w:name="_Toc28359008"/>
      <w:bookmarkStart w:id="49" w:name="_Toc82445276"/>
      <w:bookmarkStart w:id="50" w:name="_Toc35393627"/>
      <w:bookmarkStart w:id="51" w:name="_Toc28359085"/>
      <w:bookmarkStart w:id="52" w:name="_Toc35393796"/>
      <w:r>
        <w:rPr>
          <w:rFonts w:hint="eastAsia" w:ascii="宋体" w:hAnsi="宋体"/>
          <w:color w:val="auto"/>
          <w:szCs w:val="21"/>
          <w:highlight w:val="none"/>
        </w:rPr>
        <w:t>1.对在“信用中国”网站（www.creditchina.gov.cn）、中国政府采购网（www.ccgp.gov.cn）等渠道列入失信被执行人、重大税收违法失信主体、政府采购严重违法失信行为记录名单及其他不符合《中华人民共和国政府采购法》第二十二条规定条件的投标人，不得参与政府采购活动。</w:t>
      </w:r>
    </w:p>
    <w:p w14:paraId="4311BCCE">
      <w:pPr>
        <w:pStyle w:val="44"/>
        <w:spacing w:line="320" w:lineRule="exact"/>
        <w:ind w:firstLine="420"/>
        <w:rPr>
          <w:rFonts w:ascii="宋体" w:hAnsi="宋体"/>
          <w:color w:val="auto"/>
          <w:szCs w:val="21"/>
          <w:highlight w:val="none"/>
        </w:rPr>
      </w:pPr>
      <w:r>
        <w:rPr>
          <w:rFonts w:hint="eastAsia" w:ascii="宋体" w:hAnsi="宋体"/>
          <w:color w:val="auto"/>
          <w:szCs w:val="21"/>
          <w:highlight w:val="none"/>
        </w:rPr>
        <w:t>2.单位负责人为同一人或者存在直接控股、管理关系的不同投标人，不得参加</w:t>
      </w:r>
      <w:r>
        <w:rPr>
          <w:rFonts w:hint="eastAsia" w:hAnsi="宋体"/>
          <w:color w:val="auto"/>
          <w:szCs w:val="21"/>
          <w:highlight w:val="none"/>
        </w:rPr>
        <w:t>同一分标或未划分分标的同一合同</w:t>
      </w:r>
      <w:r>
        <w:rPr>
          <w:rFonts w:hint="eastAsia" w:ascii="宋体" w:hAnsi="宋体"/>
          <w:color w:val="auto"/>
          <w:szCs w:val="21"/>
          <w:highlight w:val="none"/>
        </w:rPr>
        <w:t>项下的政府采购活动。除单一来源采购项目外，为本采购项目提供整体设计、规范编制或者项目管理、监理、检测等服务的投标人，不得再参加该采购项目的其他采购活动。</w:t>
      </w:r>
    </w:p>
    <w:p w14:paraId="56FAD574">
      <w:pPr>
        <w:pStyle w:val="44"/>
        <w:spacing w:line="320" w:lineRule="exact"/>
        <w:ind w:firstLine="420"/>
        <w:rPr>
          <w:rFonts w:ascii="宋体" w:hAnsi="宋体"/>
          <w:color w:val="auto"/>
          <w:szCs w:val="21"/>
          <w:highlight w:val="none"/>
        </w:rPr>
      </w:pPr>
      <w:r>
        <w:rPr>
          <w:rFonts w:hint="eastAsia" w:ascii="宋体" w:hAnsi="宋体"/>
          <w:color w:val="auto"/>
          <w:szCs w:val="21"/>
          <w:highlight w:val="none"/>
        </w:rPr>
        <w:t>3.本项目需要落实的政府采购政策：</w:t>
      </w:r>
    </w:p>
    <w:p w14:paraId="6051561A">
      <w:pPr>
        <w:pStyle w:val="44"/>
        <w:spacing w:line="340" w:lineRule="exact"/>
        <w:ind w:firstLine="420"/>
        <w:rPr>
          <w:rFonts w:ascii="宋体" w:hAnsi="宋体"/>
          <w:color w:val="auto"/>
          <w:szCs w:val="21"/>
          <w:highlight w:val="none"/>
        </w:rPr>
      </w:pPr>
      <w:r>
        <w:rPr>
          <w:rFonts w:hint="eastAsia" w:ascii="宋体" w:hAnsi="宋体"/>
          <w:color w:val="auto"/>
          <w:szCs w:val="21"/>
          <w:highlight w:val="none"/>
        </w:rPr>
        <w:t>3.1本项目非专门面向中小微企业采购，《政府采购促进中小企业发展管理办法》（财库[2020]46号）。</w:t>
      </w:r>
    </w:p>
    <w:p w14:paraId="70B3B3B0">
      <w:pPr>
        <w:pStyle w:val="44"/>
        <w:spacing w:line="320" w:lineRule="exact"/>
        <w:ind w:firstLine="420"/>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2</w:t>
      </w:r>
      <w:r>
        <w:rPr>
          <w:rFonts w:hint="eastAsia" w:ascii="宋体" w:hAnsi="宋体"/>
          <w:color w:val="auto"/>
          <w:szCs w:val="21"/>
          <w:highlight w:val="none"/>
        </w:rPr>
        <w:t>《关于促进残疾人就业政府采购政策的通知》（财库[2017]141号）。</w:t>
      </w:r>
    </w:p>
    <w:p w14:paraId="3F739106">
      <w:pPr>
        <w:pStyle w:val="44"/>
        <w:spacing w:line="320" w:lineRule="exact"/>
        <w:ind w:firstLine="420"/>
        <w:rPr>
          <w:rFonts w:ascii="宋体" w:hAnsi="宋体" w:cs="宋体"/>
          <w:color w:val="auto"/>
          <w:szCs w:val="21"/>
          <w:highlight w:val="none"/>
        </w:rPr>
      </w:pPr>
      <w:r>
        <w:rPr>
          <w:rFonts w:hint="eastAsia" w:ascii="宋体" w:hAnsi="宋体" w:cs="宋体"/>
          <w:color w:val="auto"/>
          <w:szCs w:val="21"/>
          <w:highlight w:val="none"/>
        </w:rPr>
        <w:t>4.信息公告发布媒体：http://www.ccgp.gov.cn（中国政府采购网）、http://zfcg.gxzf.gov.cn（广西壮族自治区政府采购网）、http://gl.zfcg.zcygov.cn/（桂林政府采购网）、</w:t>
      </w:r>
      <w:r>
        <w:rPr>
          <w:rFonts w:hint="eastAsia" w:ascii="宋体" w:hAnsi="宋体"/>
          <w:color w:val="auto"/>
          <w:szCs w:val="21"/>
          <w:highlight w:val="none"/>
        </w:rPr>
        <w:t>http://www.glfybj.cn/</w:t>
      </w:r>
      <w:r>
        <w:rPr>
          <w:rFonts w:hint="eastAsia" w:ascii="宋体" w:hAnsi="宋体" w:cs="宋体"/>
          <w:color w:val="auto"/>
          <w:szCs w:val="21"/>
          <w:highlight w:val="none"/>
        </w:rPr>
        <w:t>（桂林市妇幼保健院网）。</w:t>
      </w:r>
    </w:p>
    <w:p w14:paraId="21D596DC">
      <w:pPr>
        <w:spacing w:line="320" w:lineRule="exact"/>
        <w:ind w:firstLine="422" w:firstLineChars="200"/>
        <w:rPr>
          <w:color w:val="auto"/>
          <w:szCs w:val="21"/>
          <w:highlight w:val="none"/>
        </w:rPr>
      </w:pPr>
      <w:r>
        <w:rPr>
          <w:rFonts w:hint="eastAsia" w:ascii="宋体" w:hAnsi="宋体" w:cs="宋体"/>
          <w:b/>
          <w:bCs/>
          <w:color w:val="auto"/>
          <w:szCs w:val="21"/>
          <w:highlight w:val="none"/>
        </w:rPr>
        <w:t>5.投标文件解密时间</w:t>
      </w:r>
      <w:r>
        <w:rPr>
          <w:rFonts w:hint="eastAsia" w:ascii="宋体" w:hAnsi="宋体" w:cs="宋体"/>
          <w:color w:val="auto"/>
          <w:szCs w:val="21"/>
          <w:highlight w:val="none"/>
        </w:rPr>
        <w:t>：投标截止时间后30分钟内（2025年</w:t>
      </w:r>
      <w:r>
        <w:rPr>
          <w:rFonts w:hint="eastAsia" w:ascii="宋体" w:hAnsi="宋体" w:cs="宋体"/>
          <w:color w:val="auto"/>
          <w:szCs w:val="21"/>
          <w:highlight w:val="none"/>
          <w:lang w:val="en-US" w:eastAsia="zh-CN"/>
        </w:rPr>
        <w:t xml:space="preserve"> 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4 </w:t>
      </w:r>
      <w:r>
        <w:rPr>
          <w:rFonts w:hint="eastAsia" w:ascii="宋体" w:hAnsi="宋体" w:cs="宋体"/>
          <w:color w:val="auto"/>
          <w:szCs w:val="21"/>
          <w:highlight w:val="none"/>
        </w:rPr>
        <w:t>日上午9时30分至10时00分）投标人可以登录</w:t>
      </w:r>
      <w:r>
        <w:rPr>
          <w:rFonts w:hint="eastAsia" w:ascii="宋体" w:hAnsi="宋体"/>
          <w:color w:val="auto"/>
          <w:szCs w:val="21"/>
          <w:highlight w:val="none"/>
        </w:rPr>
        <w:t>广西政府采购云平台</w:t>
      </w:r>
      <w:r>
        <w:rPr>
          <w:rFonts w:hint="eastAsia" w:ascii="宋体" w:hAnsi="宋体" w:cs="宋体"/>
          <w:color w:val="auto"/>
          <w:szCs w:val="21"/>
          <w:highlight w:val="none"/>
        </w:rPr>
        <w:t>平台，用“项目采购-开标评标”功能进行解密投标文件。</w:t>
      </w:r>
      <w:r>
        <w:rPr>
          <w:rFonts w:hint="eastAsia" w:ascii="宋体" w:hAnsi="宋体" w:cs="宋体"/>
          <w:bCs/>
          <w:color w:val="auto"/>
          <w:szCs w:val="21"/>
          <w:highlight w:val="none"/>
        </w:rPr>
        <w:t>若投标人在规定时间内无法解密或解密失败或超时解密的，系统默认自动放弃，投标文件按无效处理。</w:t>
      </w:r>
    </w:p>
    <w:p w14:paraId="0C16BEC2">
      <w:pPr>
        <w:overflowPunct w:val="0"/>
        <w:topLinePunct/>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6.若对项目采购电子交易系统操作有疑问，可登录广西政府采购云平台（ https://www.gcy.zfcg.gxzf.gov.cn），点击右侧咨询小采，获取采小蜜智能服务管家帮助，或拨打广西政府采购云平台服务热线95763获取热线服务帮助。</w:t>
      </w:r>
    </w:p>
    <w:p w14:paraId="5CA1C52A">
      <w:pPr>
        <w:pStyle w:val="44"/>
        <w:spacing w:line="32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7.各投标人通过广西政府采购云平台参与政府采购项目投标需下载使用新版客户端，新版客户端下载路径：广西政府采购网（访问地址http://zfcg.gxzf.gov.cn/）—办事服务—下载专区。</w:t>
      </w:r>
    </w:p>
    <w:p w14:paraId="78E1A6EF">
      <w:pPr>
        <w:pStyle w:val="44"/>
        <w:spacing w:line="320" w:lineRule="exact"/>
        <w:ind w:firstLine="420"/>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8、本项目需缴纳投标保证金人民币50万元（￥：伍拾万元）。缴纳方式：保函（投标人使用银行保函、保证保险保函、工程担保保函时，需将保函原件扫描件作为投标文件的组成部分）</w:t>
      </w:r>
    </w:p>
    <w:p w14:paraId="64C733F8">
      <w:pPr>
        <w:pStyle w:val="3"/>
        <w:spacing w:before="0" w:after="0" w:line="390" w:lineRule="exact"/>
        <w:ind w:firstLine="422" w:firstLineChars="200"/>
        <w:rPr>
          <w:rFonts w:ascii="宋体" w:hAnsi="宋体" w:eastAsia="宋体" w:cs="宋体"/>
          <w:bCs w:val="0"/>
          <w:color w:val="auto"/>
          <w:sz w:val="21"/>
          <w:szCs w:val="21"/>
          <w:highlight w:val="none"/>
        </w:rPr>
      </w:pPr>
      <w:bookmarkStart w:id="53" w:name="_Toc23844"/>
      <w:r>
        <w:rPr>
          <w:rFonts w:hint="eastAsia" w:ascii="宋体" w:hAnsi="宋体" w:eastAsia="宋体" w:cs="宋体"/>
          <w:bCs w:val="0"/>
          <w:color w:val="auto"/>
          <w:sz w:val="21"/>
          <w:szCs w:val="21"/>
          <w:highlight w:val="none"/>
        </w:rPr>
        <w:t>七、对本次招标提出询问，请按以下方式联系。</w:t>
      </w:r>
      <w:bookmarkEnd w:id="48"/>
      <w:bookmarkEnd w:id="49"/>
      <w:bookmarkEnd w:id="50"/>
      <w:bookmarkEnd w:id="51"/>
      <w:bookmarkEnd w:id="52"/>
      <w:bookmarkEnd w:id="53"/>
    </w:p>
    <w:p w14:paraId="5857CA1F">
      <w:pPr>
        <w:widowControl/>
        <w:spacing w:line="39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1.采购人信息</w:t>
      </w:r>
    </w:p>
    <w:p w14:paraId="22E1A2BC">
      <w:pPr>
        <w:widowControl/>
        <w:spacing w:line="39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 xml:space="preserve">桂林市秀峰区长海社区卫生服务中心    </w:t>
      </w:r>
      <w:r>
        <w:rPr>
          <w:rFonts w:hint="eastAsia" w:ascii="宋体" w:hAnsi="宋体" w:cs="宋体"/>
          <w:color w:val="auto"/>
          <w:szCs w:val="21"/>
          <w:highlight w:val="none"/>
        </w:rPr>
        <w:t xml:space="preserve">  </w:t>
      </w:r>
    </w:p>
    <w:p w14:paraId="110316DF">
      <w:pPr>
        <w:spacing w:line="390" w:lineRule="exact"/>
        <w:ind w:firstLine="420" w:firstLineChars="200"/>
        <w:rPr>
          <w:rFonts w:ascii="宋体" w:hAnsi="宋体" w:cs="宋体"/>
          <w:color w:val="auto"/>
          <w:szCs w:val="21"/>
          <w:highlight w:val="none"/>
        </w:rPr>
      </w:pPr>
      <w:r>
        <w:rPr>
          <w:rFonts w:hint="eastAsia" w:ascii="宋体" w:hAnsi="宋体"/>
          <w:color w:val="auto"/>
          <w:highlight w:val="none"/>
        </w:rPr>
        <w:t>地址：</w:t>
      </w:r>
      <w:r>
        <w:rPr>
          <w:rFonts w:hint="eastAsia" w:ascii="宋体" w:hAnsi="宋体"/>
          <w:color w:val="auto"/>
          <w:highlight w:val="none"/>
          <w:lang w:eastAsia="zh-CN"/>
        </w:rPr>
        <w:t>桂林市长海路3号</w:t>
      </w:r>
    </w:p>
    <w:p w14:paraId="79466FE0">
      <w:pPr>
        <w:spacing w:line="390" w:lineRule="exact"/>
        <w:ind w:firstLine="420" w:firstLineChars="200"/>
        <w:rPr>
          <w:rFonts w:ascii="宋体" w:hAnsi="宋体"/>
          <w:color w:val="auto"/>
          <w:highlight w:val="none"/>
        </w:rPr>
      </w:pPr>
      <w:r>
        <w:rPr>
          <w:rFonts w:hint="eastAsia" w:ascii="宋体" w:hAnsi="宋体"/>
          <w:color w:val="auto"/>
          <w:highlight w:val="none"/>
        </w:rPr>
        <w:t>联系人：</w:t>
      </w:r>
      <w:r>
        <w:rPr>
          <w:rFonts w:hint="eastAsia" w:ascii="宋体" w:hAnsi="宋体"/>
          <w:color w:val="auto"/>
          <w:highlight w:val="none"/>
          <w:lang w:val="en-US" w:eastAsia="zh-CN"/>
        </w:rPr>
        <w:t xml:space="preserve">阳主任   </w:t>
      </w:r>
      <w:r>
        <w:rPr>
          <w:rFonts w:hint="eastAsia" w:ascii="宋体" w:hAnsi="宋体" w:cs="宋体"/>
          <w:color w:val="auto"/>
          <w:szCs w:val="21"/>
          <w:highlight w:val="none"/>
        </w:rPr>
        <w:t xml:space="preserve"> </w:t>
      </w:r>
      <w:r>
        <w:rPr>
          <w:rFonts w:hint="eastAsia" w:ascii="宋体" w:hAnsi="宋体"/>
          <w:color w:val="auto"/>
          <w:highlight w:val="none"/>
        </w:rPr>
        <w:t xml:space="preserve">                 </w:t>
      </w:r>
    </w:p>
    <w:p w14:paraId="6F325B8E">
      <w:pPr>
        <w:spacing w:line="390" w:lineRule="exact"/>
        <w:ind w:firstLine="420" w:firstLineChars="200"/>
        <w:rPr>
          <w:rFonts w:hint="eastAsia" w:ascii="宋体" w:hAnsi="宋体"/>
          <w:color w:val="auto"/>
          <w:highlight w:val="none"/>
        </w:rPr>
      </w:pPr>
      <w:r>
        <w:rPr>
          <w:rFonts w:hint="eastAsia" w:ascii="宋体" w:hAnsi="宋体"/>
          <w:color w:val="auto"/>
          <w:highlight w:val="none"/>
        </w:rPr>
        <w:t>电话：</w:t>
      </w:r>
      <w:r>
        <w:rPr>
          <w:rFonts w:hint="eastAsia" w:ascii="宋体" w:hAnsi="宋体"/>
          <w:color w:val="auto"/>
          <w:highlight w:val="none"/>
          <w:lang w:val="en-US" w:eastAsia="zh-CN"/>
        </w:rPr>
        <w:t>18169665211</w:t>
      </w:r>
    </w:p>
    <w:p w14:paraId="0FF6B797">
      <w:pPr>
        <w:spacing w:line="390" w:lineRule="exact"/>
        <w:ind w:firstLine="420" w:firstLineChars="200"/>
        <w:rPr>
          <w:rFonts w:hint="eastAsia" w:ascii="宋体" w:hAnsi="宋体" w:eastAsia="宋体"/>
          <w:color w:val="auto"/>
          <w:highlight w:val="none"/>
          <w:lang w:eastAsia="zh-CN"/>
        </w:rPr>
      </w:pPr>
      <w:r>
        <w:rPr>
          <w:rFonts w:hint="eastAsia" w:ascii="宋体" w:hAnsi="宋体"/>
          <w:color w:val="auto"/>
          <w:highlight w:val="none"/>
        </w:rPr>
        <w:t>2.采购代理机构：</w:t>
      </w:r>
      <w:r>
        <w:rPr>
          <w:rFonts w:hint="eastAsia" w:ascii="宋体" w:hAnsi="宋体"/>
          <w:color w:val="auto"/>
          <w:highlight w:val="none"/>
          <w:lang w:eastAsia="zh-CN"/>
        </w:rPr>
        <w:t xml:space="preserve">广西金证招标代理有限公司 </w:t>
      </w:r>
    </w:p>
    <w:p w14:paraId="3264EFB5">
      <w:pPr>
        <w:spacing w:line="390" w:lineRule="exact"/>
        <w:ind w:firstLine="420" w:firstLineChars="200"/>
        <w:rPr>
          <w:rFonts w:hint="eastAsia" w:ascii="宋体" w:hAnsi="宋体" w:eastAsia="宋体"/>
          <w:color w:val="auto"/>
          <w:highlight w:val="none"/>
          <w:lang w:eastAsia="zh-CN"/>
        </w:rPr>
      </w:pPr>
      <w:r>
        <w:rPr>
          <w:rFonts w:hint="eastAsia" w:ascii="宋体" w:hAnsi="宋体"/>
          <w:color w:val="auto"/>
          <w:highlight w:val="none"/>
        </w:rPr>
        <w:t>地址：</w:t>
      </w:r>
      <w:r>
        <w:rPr>
          <w:rFonts w:hint="eastAsia" w:ascii="宋体" w:hAnsi="宋体"/>
          <w:color w:val="auto"/>
          <w:highlight w:val="none"/>
          <w:lang w:eastAsia="zh-CN"/>
        </w:rPr>
        <w:t>南宁市青秀区东葛路118号青秀万达广场甲2栋2501</w:t>
      </w:r>
    </w:p>
    <w:p w14:paraId="48D776C4">
      <w:pPr>
        <w:spacing w:line="390" w:lineRule="exact"/>
        <w:ind w:firstLine="420" w:firstLineChars="200"/>
        <w:rPr>
          <w:rFonts w:ascii="宋体" w:hAnsi="宋体"/>
          <w:color w:val="auto"/>
          <w:highlight w:val="none"/>
        </w:rPr>
      </w:pPr>
      <w:r>
        <w:rPr>
          <w:rFonts w:hint="eastAsia" w:ascii="宋体" w:hAnsi="宋体"/>
          <w:color w:val="auto"/>
          <w:highlight w:val="none"/>
        </w:rPr>
        <w:t xml:space="preserve">联系人：黄工           </w:t>
      </w:r>
    </w:p>
    <w:p w14:paraId="662B22F9">
      <w:pPr>
        <w:spacing w:line="390" w:lineRule="exact"/>
        <w:ind w:firstLine="420" w:firstLineChars="200"/>
        <w:rPr>
          <w:rFonts w:ascii="宋体" w:hAnsi="宋体"/>
          <w:color w:val="auto"/>
          <w:highlight w:val="none"/>
        </w:rPr>
      </w:pPr>
      <w:r>
        <w:rPr>
          <w:rFonts w:hint="eastAsia" w:ascii="宋体" w:hAnsi="宋体"/>
          <w:color w:val="auto"/>
          <w:highlight w:val="none"/>
        </w:rPr>
        <w:t>电话：</w:t>
      </w:r>
      <w:r>
        <w:rPr>
          <w:rFonts w:hint="eastAsia" w:ascii="宋体" w:hAnsi="宋体"/>
          <w:color w:val="auto"/>
          <w:highlight w:val="none"/>
          <w:lang w:val="en-US" w:eastAsia="zh-CN"/>
        </w:rPr>
        <w:t>0773-2221123</w:t>
      </w:r>
      <w:r>
        <w:rPr>
          <w:rFonts w:hint="eastAsia" w:ascii="宋体" w:hAnsi="宋体"/>
          <w:color w:val="auto"/>
          <w:highlight w:val="none"/>
        </w:rPr>
        <w:t xml:space="preserve">   </w:t>
      </w:r>
      <w:r>
        <w:rPr>
          <w:rFonts w:hint="eastAsia" w:ascii="宋体" w:hAnsi="宋体" w:cs="宋体"/>
          <w:color w:val="auto"/>
          <w:szCs w:val="21"/>
          <w:highlight w:val="none"/>
        </w:rPr>
        <w:t xml:space="preserve">  </w:t>
      </w:r>
      <w:r>
        <w:rPr>
          <w:rFonts w:hint="eastAsia" w:ascii="宋体" w:hAnsi="宋体"/>
          <w:color w:val="auto"/>
          <w:highlight w:val="none"/>
        </w:rPr>
        <w:t xml:space="preserve">    </w:t>
      </w:r>
    </w:p>
    <w:p w14:paraId="6F1569BB">
      <w:pPr>
        <w:spacing w:line="390" w:lineRule="exact"/>
        <w:ind w:firstLine="420" w:firstLineChars="200"/>
        <w:rPr>
          <w:rFonts w:hint="eastAsia" w:ascii="宋体" w:hAnsi="宋体" w:cs="宋体"/>
          <w:color w:val="auto"/>
          <w:szCs w:val="21"/>
          <w:highlight w:val="none"/>
          <w:lang w:val="en-US" w:eastAsia="zh-CN"/>
        </w:rPr>
      </w:pPr>
      <w:r>
        <w:rPr>
          <w:rFonts w:hint="eastAsia" w:ascii="宋体" w:hAnsi="宋体"/>
          <w:color w:val="auto"/>
          <w:highlight w:val="none"/>
        </w:rPr>
        <w:t>传真：</w:t>
      </w:r>
      <w:r>
        <w:rPr>
          <w:rFonts w:hint="eastAsia" w:ascii="宋体" w:hAnsi="宋体"/>
          <w:color w:val="auto"/>
          <w:highlight w:val="none"/>
          <w:lang w:val="en-US" w:eastAsia="zh-CN"/>
        </w:rPr>
        <w:t>0773-2221123</w:t>
      </w:r>
      <w:r>
        <w:rPr>
          <w:rFonts w:hint="eastAsia" w:ascii="宋体" w:hAnsi="宋体"/>
          <w:color w:val="auto"/>
          <w:highlight w:val="non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14:paraId="6CC5898A">
      <w:pPr>
        <w:spacing w:line="390" w:lineRule="exact"/>
        <w:ind w:firstLine="420" w:firstLineChars="200"/>
        <w:rPr>
          <w:rFonts w:hint="eastAsia" w:ascii="宋体" w:hAnsi="宋体"/>
          <w:color w:val="auto"/>
          <w:highlight w:val="none"/>
          <w:lang w:eastAsia="zh-CN"/>
        </w:rPr>
      </w:pPr>
      <w:r>
        <w:rPr>
          <w:rFonts w:hint="eastAsia" w:ascii="宋体" w:hAnsi="宋体"/>
          <w:color w:val="auto"/>
          <w:highlight w:val="none"/>
          <w:lang w:val="en-US" w:eastAsia="zh-CN"/>
        </w:rPr>
        <w:t>3、</w:t>
      </w:r>
      <w:r>
        <w:rPr>
          <w:rFonts w:hint="eastAsia" w:ascii="宋体" w:hAnsi="宋体"/>
          <w:color w:val="auto"/>
          <w:highlight w:val="none"/>
        </w:rPr>
        <w:t>政府采购监督管理机构：</w:t>
      </w:r>
      <w:bookmarkStart w:id="54" w:name="_Hlk82525221"/>
      <w:r>
        <w:rPr>
          <w:rFonts w:hint="eastAsia" w:ascii="宋体" w:hAnsi="宋体"/>
          <w:color w:val="auto"/>
          <w:highlight w:val="none"/>
          <w:lang w:eastAsia="zh-CN"/>
        </w:rPr>
        <w:t>桂林市秀峰区政府采购管理办公室</w:t>
      </w:r>
    </w:p>
    <w:p w14:paraId="44FC6D91">
      <w:pPr>
        <w:numPr>
          <w:ilvl w:val="0"/>
          <w:numId w:val="0"/>
        </w:numPr>
        <w:spacing w:line="240" w:lineRule="auto"/>
        <w:ind w:firstLine="630" w:firstLineChars="300"/>
        <w:rPr>
          <w:rFonts w:ascii="宋体" w:hAnsi="宋体"/>
          <w:color w:val="auto"/>
          <w:highlight w:val="none"/>
        </w:rPr>
      </w:pPr>
      <w:r>
        <w:rPr>
          <w:rFonts w:hint="eastAsia" w:ascii="宋体" w:hAnsi="宋体"/>
          <w:color w:val="auto"/>
          <w:highlight w:val="none"/>
        </w:rPr>
        <w:t>联系电话： 电话：</w:t>
      </w:r>
      <w:r>
        <w:rPr>
          <w:rFonts w:hint="eastAsia" w:ascii="宋体" w:hAnsi="宋体"/>
          <w:color w:val="auto"/>
          <w:highlight w:val="none"/>
          <w:lang w:eastAsia="zh-CN"/>
        </w:rPr>
        <w:t>0773-2831930</w:t>
      </w:r>
    </w:p>
    <w:bookmarkEnd w:id="54"/>
    <w:p w14:paraId="73AA9EEE">
      <w:pPr>
        <w:spacing w:line="390" w:lineRule="exact"/>
        <w:ind w:firstLine="420" w:firstLineChars="200"/>
        <w:rPr>
          <w:rFonts w:ascii="宋体" w:hAnsi="宋体"/>
          <w:color w:val="auto"/>
          <w:highlight w:val="none"/>
        </w:rPr>
      </w:pPr>
    </w:p>
    <w:p w14:paraId="07AC5BCD">
      <w:pPr>
        <w:spacing w:line="390" w:lineRule="exact"/>
        <w:ind w:firstLine="420" w:firstLineChars="200"/>
        <w:rPr>
          <w:rFonts w:ascii="宋体" w:hAnsi="宋体"/>
          <w:color w:val="auto"/>
          <w:szCs w:val="21"/>
          <w:highlight w:val="none"/>
        </w:rPr>
      </w:pPr>
    </w:p>
    <w:p w14:paraId="629196BF">
      <w:pPr>
        <w:spacing w:line="390" w:lineRule="exact"/>
        <w:ind w:firstLine="420" w:firstLineChars="200"/>
        <w:jc w:val="right"/>
        <w:rPr>
          <w:rFonts w:hint="eastAsia" w:ascii="宋体" w:hAnsi="宋体" w:eastAsia="宋体"/>
          <w:color w:val="auto"/>
          <w:highlight w:val="none"/>
          <w:lang w:eastAsia="zh-CN"/>
        </w:rPr>
      </w:pPr>
      <w:r>
        <w:rPr>
          <w:rFonts w:hint="eastAsia" w:ascii="宋体" w:hAnsi="宋体"/>
          <w:color w:val="auto"/>
          <w:highlight w:val="none"/>
          <w:lang w:eastAsia="zh-CN"/>
        </w:rPr>
        <w:t xml:space="preserve">广西金证招标代理有限公司 </w:t>
      </w:r>
    </w:p>
    <w:p w14:paraId="445B1D6F">
      <w:pPr>
        <w:spacing w:line="390" w:lineRule="exact"/>
        <w:ind w:firstLine="420" w:firstLineChars="200"/>
        <w:jc w:val="right"/>
        <w:rPr>
          <w:rFonts w:ascii="宋体" w:hAnsi="宋体"/>
          <w:color w:val="auto"/>
          <w:szCs w:val="21"/>
          <w:highlight w:val="none"/>
        </w:rPr>
      </w:pPr>
      <w:r>
        <w:rPr>
          <w:rFonts w:hint="eastAsia" w:ascii="宋体" w:hAnsi="宋体"/>
          <w:color w:val="auto"/>
          <w:szCs w:val="21"/>
          <w:highlight w:val="none"/>
          <w:lang w:eastAsia="zh-CN"/>
        </w:rPr>
        <w:t>2025年</w:t>
      </w:r>
      <w:r>
        <w:rPr>
          <w:rFonts w:hint="eastAsia" w:ascii="宋体" w:hAnsi="宋体"/>
          <w:color w:val="auto"/>
          <w:szCs w:val="21"/>
          <w:highlight w:val="none"/>
          <w:lang w:val="en-US" w:eastAsia="zh-CN"/>
        </w:rPr>
        <w:t xml:space="preserve"> 10 </w:t>
      </w:r>
      <w:r>
        <w:rPr>
          <w:rFonts w:hint="eastAsia" w:ascii="宋体" w:hAnsi="宋体"/>
          <w:color w:val="auto"/>
          <w:szCs w:val="21"/>
          <w:highlight w:val="none"/>
          <w:lang w:eastAsia="zh-CN"/>
        </w:rPr>
        <w:t>月</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11</w:t>
      </w:r>
      <w:r>
        <w:rPr>
          <w:rFonts w:hint="eastAsia" w:ascii="宋体" w:hAnsi="宋体"/>
          <w:color w:val="auto"/>
          <w:szCs w:val="21"/>
          <w:highlight w:val="none"/>
        </w:rPr>
        <w:t>日</w:t>
      </w:r>
    </w:p>
    <w:bookmarkEnd w:id="1"/>
    <w:p w14:paraId="2CEB37FB">
      <w:pPr>
        <w:ind w:firstLine="2741" w:firstLineChars="1300"/>
        <w:rPr>
          <w:rStyle w:val="29"/>
          <w:color w:val="auto"/>
          <w:highlight w:val="none"/>
        </w:rPr>
      </w:pPr>
      <w:r>
        <w:rPr>
          <w:rFonts w:ascii="宋体" w:hAnsi="宋体"/>
          <w:b/>
          <w:color w:val="auto"/>
          <w:highlight w:val="none"/>
        </w:rPr>
        <w:br w:type="page"/>
      </w:r>
      <w:bookmarkStart w:id="55" w:name="_Toc21944"/>
      <w:r>
        <w:rPr>
          <w:rStyle w:val="29"/>
          <w:rFonts w:hint="eastAsia"/>
          <w:color w:val="auto"/>
          <w:highlight w:val="none"/>
        </w:rPr>
        <w:t>第二章  投标人须知</w:t>
      </w:r>
    </w:p>
    <w:bookmarkEnd w:id="55"/>
    <w:p w14:paraId="3D95F27E">
      <w:pPr>
        <w:pStyle w:val="3"/>
        <w:jc w:val="center"/>
        <w:rPr>
          <w:rFonts w:ascii="宋体" w:hAnsi="宋体" w:eastAsia="宋体" w:cs="宋体"/>
          <w:bCs w:val="0"/>
          <w:color w:val="auto"/>
          <w:sz w:val="24"/>
          <w:highlight w:val="none"/>
        </w:rPr>
      </w:pPr>
      <w:bookmarkStart w:id="56" w:name="_Toc82445278"/>
      <w:bookmarkStart w:id="57" w:name="_Toc16771"/>
      <w:r>
        <w:rPr>
          <w:rFonts w:hint="eastAsia" w:ascii="宋体" w:hAnsi="宋体" w:eastAsia="宋体" w:cs="宋体"/>
          <w:bCs w:val="0"/>
          <w:color w:val="auto"/>
          <w:sz w:val="24"/>
          <w:highlight w:val="none"/>
        </w:rPr>
        <w:t>投标人须知前附表</w:t>
      </w:r>
      <w:bookmarkEnd w:id="56"/>
      <w:bookmarkEnd w:id="57"/>
    </w:p>
    <w:tbl>
      <w:tblPr>
        <w:tblStyle w:val="22"/>
        <w:tblW w:w="9270"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750"/>
        <w:gridCol w:w="1666"/>
        <w:gridCol w:w="6284"/>
      </w:tblGrid>
      <w:tr w14:paraId="21E3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570" w:type="dxa"/>
            <w:vAlign w:val="center"/>
          </w:tcPr>
          <w:p w14:paraId="7737F42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750" w:type="dxa"/>
            <w:vAlign w:val="center"/>
          </w:tcPr>
          <w:p w14:paraId="0856C05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条款号</w:t>
            </w:r>
          </w:p>
        </w:tc>
        <w:tc>
          <w:tcPr>
            <w:tcW w:w="1666" w:type="dxa"/>
            <w:vAlign w:val="center"/>
          </w:tcPr>
          <w:p w14:paraId="080DE67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条款名称</w:t>
            </w:r>
          </w:p>
        </w:tc>
        <w:tc>
          <w:tcPr>
            <w:tcW w:w="6284" w:type="dxa"/>
            <w:vAlign w:val="center"/>
          </w:tcPr>
          <w:p w14:paraId="3F12470A">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内容、要求</w:t>
            </w:r>
          </w:p>
        </w:tc>
      </w:tr>
      <w:tr w14:paraId="11F3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570" w:type="dxa"/>
            <w:vAlign w:val="center"/>
          </w:tcPr>
          <w:p w14:paraId="6F0E574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750" w:type="dxa"/>
            <w:vAlign w:val="center"/>
          </w:tcPr>
          <w:p w14:paraId="282ECBF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666" w:type="dxa"/>
            <w:vAlign w:val="center"/>
          </w:tcPr>
          <w:p w14:paraId="308CB87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项目名称及项目编号</w:t>
            </w:r>
          </w:p>
        </w:tc>
        <w:tc>
          <w:tcPr>
            <w:tcW w:w="6284" w:type="dxa"/>
            <w:vAlign w:val="center"/>
          </w:tcPr>
          <w:p w14:paraId="6699079D">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桂林市秀峰区长海社区卫生服务中心建设项目</w:t>
            </w:r>
          </w:p>
          <w:p w14:paraId="13091675">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GLZC2025-G3-990532-JZZB</w:t>
            </w:r>
          </w:p>
        </w:tc>
      </w:tr>
      <w:tr w14:paraId="4411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70" w:type="dxa"/>
            <w:vAlign w:val="center"/>
          </w:tcPr>
          <w:p w14:paraId="0E18CC9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750" w:type="dxa"/>
            <w:vAlign w:val="center"/>
          </w:tcPr>
          <w:p w14:paraId="482F5D0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1666" w:type="dxa"/>
            <w:vAlign w:val="center"/>
          </w:tcPr>
          <w:p w14:paraId="45B9FF6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投标人资格</w:t>
            </w:r>
          </w:p>
        </w:tc>
        <w:tc>
          <w:tcPr>
            <w:tcW w:w="6284" w:type="dxa"/>
            <w:vAlign w:val="center"/>
          </w:tcPr>
          <w:p w14:paraId="5F82A33B">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 w:val="21"/>
                <w:szCs w:val="21"/>
                <w:highlight w:val="none"/>
              </w:rPr>
              <w:t>5.1仅限于已经通过</w:t>
            </w:r>
            <w:r>
              <w:rPr>
                <w:rFonts w:hint="eastAsia" w:ascii="宋体" w:hAnsi="宋体" w:cs="宋体"/>
                <w:color w:val="auto"/>
                <w:szCs w:val="21"/>
                <w:highlight w:val="none"/>
                <w:lang w:eastAsia="zh-CN"/>
              </w:rPr>
              <w:t>桂林市秀峰区长海社区卫生服务中心建设项目</w:t>
            </w:r>
          </w:p>
          <w:p w14:paraId="7363F867">
            <w:pPr>
              <w:pStyle w:val="14"/>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rPr>
              <w:t>资格预审的投标人。</w:t>
            </w:r>
          </w:p>
          <w:p w14:paraId="60BC0D86">
            <w:pPr>
              <w:adjustRightInd w:val="0"/>
              <w:snapToGrid w:val="0"/>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5.</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 xml:space="preserve"> 满足《中华人民共和国政府采购法》第二十二条规定；</w:t>
            </w:r>
          </w:p>
          <w:p w14:paraId="238D2C19">
            <w:pPr>
              <w:adjustRightInd w:val="0"/>
              <w:snapToGrid w:val="0"/>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5.3</w:t>
            </w:r>
            <w:r>
              <w:rPr>
                <w:rFonts w:hint="eastAsia" w:ascii="宋体" w:hAnsi="宋体" w:cs="宋体"/>
                <w:color w:val="auto"/>
                <w:sz w:val="21"/>
                <w:szCs w:val="21"/>
                <w:highlight w:val="none"/>
              </w:rPr>
              <w:t>.对在“信用中国”网站（www.creditchina.gov.cn）渠道列入失信被执行人、重大税收违法案件当事人名单、政府采购严重违法失信行为记录名单的供应商，不得参与本项目采购活动。</w:t>
            </w:r>
          </w:p>
          <w:p w14:paraId="691B1C79">
            <w:pPr>
              <w:adjustRightInd w:val="0"/>
              <w:snapToGrid w:val="0"/>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5.4</w:t>
            </w:r>
            <w:r>
              <w:rPr>
                <w:rFonts w:hint="eastAsia" w:ascii="宋体" w:hAnsi="宋体" w:cs="宋体"/>
                <w:color w:val="auto"/>
                <w:sz w:val="21"/>
                <w:szCs w:val="21"/>
                <w:highlight w:val="none"/>
              </w:rPr>
              <w:t>.单位负责人为同一人或者存在直接控股、管理关系的不同供应商，不得参加同一合同项下的采购活动。</w:t>
            </w:r>
          </w:p>
          <w:p w14:paraId="49091225">
            <w:pPr>
              <w:adjustRightInd w:val="0"/>
              <w:snapToGrid w:val="0"/>
              <w:spacing w:line="400" w:lineRule="exact"/>
              <w:rPr>
                <w:rFonts w:ascii="宋体" w:hAnsi="宋体" w:cs="宋体"/>
                <w:color w:val="auto"/>
                <w:szCs w:val="21"/>
                <w:highlight w:val="none"/>
              </w:rPr>
            </w:pPr>
            <w:r>
              <w:rPr>
                <w:rFonts w:hint="eastAsia" w:ascii="宋体" w:hAnsi="宋体" w:cs="宋体"/>
                <w:color w:val="auto"/>
                <w:sz w:val="21"/>
                <w:szCs w:val="21"/>
                <w:highlight w:val="none"/>
                <w:lang w:val="en-US" w:eastAsia="zh-CN"/>
              </w:rPr>
              <w:t>5.5</w:t>
            </w:r>
            <w:r>
              <w:rPr>
                <w:rFonts w:hint="eastAsia" w:ascii="宋体" w:hAnsi="宋体" w:cs="宋体"/>
                <w:color w:val="auto"/>
                <w:sz w:val="21"/>
                <w:szCs w:val="21"/>
                <w:highlight w:val="none"/>
              </w:rPr>
              <w:t>.本项目的特定资格要求：无</w:t>
            </w:r>
          </w:p>
        </w:tc>
      </w:tr>
      <w:tr w14:paraId="6B93E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70" w:type="dxa"/>
            <w:vAlign w:val="center"/>
          </w:tcPr>
          <w:p w14:paraId="414C30E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750" w:type="dxa"/>
            <w:vAlign w:val="center"/>
          </w:tcPr>
          <w:p w14:paraId="47285C3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1666" w:type="dxa"/>
            <w:vAlign w:val="center"/>
          </w:tcPr>
          <w:p w14:paraId="2432BA68">
            <w:pPr>
              <w:spacing w:line="400" w:lineRule="exact"/>
              <w:jc w:val="center"/>
              <w:rPr>
                <w:rFonts w:ascii="宋体" w:hAnsi="宋体" w:cs="宋体"/>
                <w:color w:val="auto"/>
                <w:position w:val="-2"/>
                <w:szCs w:val="21"/>
                <w:highlight w:val="none"/>
              </w:rPr>
            </w:pPr>
            <w:r>
              <w:rPr>
                <w:rFonts w:hint="eastAsia" w:ascii="宋体" w:hAnsi="宋体" w:cs="宋体"/>
                <w:color w:val="auto"/>
                <w:szCs w:val="21"/>
                <w:highlight w:val="none"/>
              </w:rPr>
              <w:t>投标费用</w:t>
            </w:r>
          </w:p>
        </w:tc>
        <w:tc>
          <w:tcPr>
            <w:tcW w:w="6284" w:type="dxa"/>
            <w:vAlign w:val="center"/>
          </w:tcPr>
          <w:p w14:paraId="52E5F0CA">
            <w:pPr>
              <w:spacing w:line="400" w:lineRule="exact"/>
              <w:rPr>
                <w:rFonts w:ascii="宋体" w:hAnsi="宋体" w:cs="宋体"/>
                <w:color w:val="auto"/>
                <w:szCs w:val="21"/>
                <w:highlight w:val="none"/>
              </w:rPr>
            </w:pPr>
            <w:r>
              <w:rPr>
                <w:rFonts w:hint="eastAsia" w:ascii="宋体" w:hAnsi="宋体" w:cs="宋体"/>
                <w:color w:val="auto"/>
                <w:szCs w:val="21"/>
                <w:highlight w:val="none"/>
              </w:rPr>
              <w:t>本项目实行网上评标，采用电子投标文件；若投标人参与项目投标的，不论投标结果如何，均应自行承担所有与投标有关的全部费用。</w:t>
            </w:r>
          </w:p>
        </w:tc>
      </w:tr>
      <w:tr w14:paraId="5636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570" w:type="dxa"/>
            <w:vAlign w:val="center"/>
          </w:tcPr>
          <w:p w14:paraId="3C746CE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750" w:type="dxa"/>
            <w:vAlign w:val="center"/>
          </w:tcPr>
          <w:p w14:paraId="590B1BED">
            <w:pPr>
              <w:spacing w:line="400" w:lineRule="exact"/>
              <w:jc w:val="center"/>
              <w:rPr>
                <w:rFonts w:ascii="宋体" w:hAnsi="宋体" w:cs="宋体"/>
                <w:color w:val="auto"/>
                <w:position w:val="-2"/>
                <w:szCs w:val="21"/>
                <w:highlight w:val="none"/>
              </w:rPr>
            </w:pPr>
            <w:r>
              <w:rPr>
                <w:rFonts w:hint="eastAsia" w:ascii="宋体" w:hAnsi="宋体" w:cs="宋体"/>
                <w:color w:val="auto"/>
                <w:position w:val="-2"/>
                <w:szCs w:val="21"/>
                <w:highlight w:val="none"/>
              </w:rPr>
              <w:t>15</w:t>
            </w:r>
          </w:p>
        </w:tc>
        <w:tc>
          <w:tcPr>
            <w:tcW w:w="1666" w:type="dxa"/>
            <w:vAlign w:val="center"/>
          </w:tcPr>
          <w:p w14:paraId="3261A9E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采购预算金额及投标报价</w:t>
            </w:r>
          </w:p>
        </w:tc>
        <w:tc>
          <w:tcPr>
            <w:tcW w:w="6284" w:type="dxa"/>
            <w:vAlign w:val="center"/>
          </w:tcPr>
          <w:p w14:paraId="05A071E8">
            <w:pPr>
              <w:spacing w:line="400" w:lineRule="exact"/>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15.1</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本项目预算金额：</w:t>
            </w:r>
            <w:r>
              <w:rPr>
                <w:rFonts w:hint="eastAsia" w:ascii="宋体" w:hAnsi="宋体" w:eastAsia="宋体" w:cs="宋体"/>
                <w:color w:val="auto"/>
                <w:sz w:val="21"/>
                <w:szCs w:val="21"/>
                <w:highlight w:val="none"/>
              </w:rPr>
              <w:t xml:space="preserve"> 4110.55 </w:t>
            </w:r>
            <w:r>
              <w:rPr>
                <w:rFonts w:hint="eastAsia" w:ascii="宋体" w:hAnsi="宋体" w:eastAsia="宋体" w:cs="宋体"/>
                <w:color w:val="auto"/>
                <w:sz w:val="21"/>
                <w:szCs w:val="21"/>
                <w:highlight w:val="none"/>
                <w:lang w:val="en-US" w:eastAsia="zh-CN"/>
              </w:rPr>
              <w:t>万元，</w:t>
            </w:r>
          </w:p>
          <w:p w14:paraId="5C5E44DB">
            <w:pPr>
              <w:spacing w:line="400" w:lineRule="exact"/>
              <w:rPr>
                <w:rFonts w:ascii="宋体" w:hAnsi="宋体" w:cs="宋体"/>
                <w:color w:val="auto"/>
                <w:szCs w:val="21"/>
                <w:highlight w:val="none"/>
              </w:rPr>
            </w:pPr>
            <w:r>
              <w:rPr>
                <w:rFonts w:hint="eastAsia" w:ascii="宋体" w:hAnsi="宋体" w:cs="宋体"/>
                <w:color w:val="auto"/>
                <w:szCs w:val="21"/>
                <w:highlight w:val="none"/>
              </w:rPr>
              <w:t>15.2</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lang w:val="en-US" w:eastAsia="zh-CN"/>
              </w:rPr>
              <w:t>招标控制价为：</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4110.55 </w:t>
            </w:r>
            <w:r>
              <w:rPr>
                <w:rFonts w:hint="eastAsia" w:ascii="宋体" w:hAnsi="宋体" w:eastAsia="宋体" w:cs="宋体"/>
                <w:color w:val="auto"/>
                <w:sz w:val="21"/>
                <w:szCs w:val="21"/>
                <w:highlight w:val="none"/>
                <w:lang w:val="en-US" w:eastAsia="zh-CN"/>
              </w:rPr>
              <w:t>万元，</w:t>
            </w:r>
            <w:r>
              <w:rPr>
                <w:rFonts w:hint="eastAsia" w:ascii="宋体" w:hAnsi="宋体" w:cs="宋体"/>
                <w:color w:val="auto"/>
                <w:szCs w:val="21"/>
                <w:highlight w:val="none"/>
              </w:rPr>
              <w:t>投标报价应按招标文件中第六章“投标文件格式”填写，投标报价</w:t>
            </w:r>
            <w:r>
              <w:rPr>
                <w:rFonts w:hint="eastAsia" w:ascii="宋体" w:hAnsi="宋体" w:cs="宋体"/>
                <w:color w:val="auto"/>
                <w:szCs w:val="21"/>
                <w:highlight w:val="none"/>
                <w:lang w:val="en-US" w:eastAsia="zh-CN"/>
              </w:rPr>
              <w:t>低于</w:t>
            </w:r>
            <w:r>
              <w:rPr>
                <w:rFonts w:hint="eastAsia" w:ascii="宋体" w:hAnsi="宋体" w:eastAsia="宋体" w:cs="宋体"/>
                <w:color w:val="auto"/>
                <w:sz w:val="21"/>
                <w:szCs w:val="21"/>
                <w:highlight w:val="none"/>
                <w:lang w:val="en-US" w:eastAsia="zh-CN"/>
              </w:rPr>
              <w:t>招标控制价</w:t>
            </w:r>
            <w:r>
              <w:rPr>
                <w:rFonts w:hint="eastAsia" w:ascii="宋体" w:hAnsi="宋体" w:cs="宋体"/>
                <w:color w:val="auto"/>
                <w:szCs w:val="21"/>
                <w:highlight w:val="none"/>
              </w:rPr>
              <w:t>的，投标文件按无效处理。</w:t>
            </w:r>
          </w:p>
          <w:p w14:paraId="26FC0285">
            <w:pPr>
              <w:spacing w:line="400" w:lineRule="exact"/>
              <w:rPr>
                <w:rFonts w:ascii="宋体" w:hAnsi="宋体" w:cs="宋体"/>
                <w:bCs/>
                <w:color w:val="auto"/>
                <w:szCs w:val="21"/>
                <w:highlight w:val="none"/>
              </w:rPr>
            </w:pPr>
            <w:r>
              <w:rPr>
                <w:rFonts w:hint="eastAsia" w:ascii="宋体" w:hAnsi="宋体" w:cs="宋体"/>
                <w:color w:val="auto"/>
                <w:szCs w:val="21"/>
                <w:highlight w:val="none"/>
              </w:rPr>
              <w:t>15.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投标人必须就“采购需求”中所投标的所有内容作完整唯一报价，否则，其投标将被拒绝。投标文件只允许有一个报价。</w:t>
            </w:r>
          </w:p>
        </w:tc>
      </w:tr>
      <w:tr w14:paraId="7677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570" w:type="dxa"/>
            <w:vAlign w:val="center"/>
          </w:tcPr>
          <w:p w14:paraId="131E06F6">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750" w:type="dxa"/>
            <w:vAlign w:val="center"/>
          </w:tcPr>
          <w:p w14:paraId="3A36F85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16</w:t>
            </w:r>
          </w:p>
        </w:tc>
        <w:tc>
          <w:tcPr>
            <w:tcW w:w="1666" w:type="dxa"/>
            <w:vAlign w:val="center"/>
          </w:tcPr>
          <w:p w14:paraId="08A98B9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6284" w:type="dxa"/>
            <w:vAlign w:val="center"/>
          </w:tcPr>
          <w:p w14:paraId="4F01614D">
            <w:pPr>
              <w:spacing w:line="400" w:lineRule="exact"/>
              <w:rPr>
                <w:rFonts w:ascii="宋体" w:hAnsi="宋体" w:cs="宋体"/>
                <w:color w:val="auto"/>
                <w:szCs w:val="21"/>
                <w:highlight w:val="none"/>
              </w:rPr>
            </w:pPr>
            <w:r>
              <w:rPr>
                <w:rFonts w:hint="eastAsia" w:ascii="宋体" w:hAnsi="宋体" w:cs="宋体"/>
                <w:color w:val="auto"/>
                <w:szCs w:val="21"/>
                <w:highlight w:val="none"/>
              </w:rPr>
              <w:t>投标截止时间之日起90天。</w:t>
            </w:r>
          </w:p>
        </w:tc>
      </w:tr>
      <w:tr w14:paraId="122A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570" w:type="dxa"/>
            <w:vAlign w:val="center"/>
          </w:tcPr>
          <w:p w14:paraId="15D4261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750" w:type="dxa"/>
            <w:vAlign w:val="center"/>
          </w:tcPr>
          <w:p w14:paraId="33902852">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17</w:t>
            </w:r>
          </w:p>
        </w:tc>
        <w:tc>
          <w:tcPr>
            <w:tcW w:w="1666" w:type="dxa"/>
            <w:vAlign w:val="center"/>
          </w:tcPr>
          <w:p w14:paraId="537F5EB2">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6284" w:type="dxa"/>
          </w:tcPr>
          <w:p w14:paraId="50407CAB">
            <w:pPr>
              <w:pStyle w:val="44"/>
              <w:spacing w:line="320" w:lineRule="exact"/>
              <w:ind w:left="0" w:leftChars="0" w:firstLine="0" w:firstLineChars="0"/>
              <w:rPr>
                <w:rFonts w:ascii="宋体" w:hAnsi="宋体" w:cs="宋体"/>
                <w:color w:val="auto"/>
                <w:szCs w:val="21"/>
                <w:highlight w:val="none"/>
              </w:rPr>
            </w:pPr>
            <w:r>
              <w:rPr>
                <w:rFonts w:hint="eastAsia" w:ascii="宋体" w:hAnsi="宋体" w:cs="宋体"/>
                <w:b/>
                <w:bCs/>
                <w:color w:val="auto"/>
                <w:szCs w:val="21"/>
                <w:highlight w:val="none"/>
                <w:lang w:val="en-US" w:eastAsia="zh-CN"/>
              </w:rPr>
              <w:t>本项目需缴纳投标保证金人民币50万元（￥：伍拾万元）。缴纳方式：保函（投标人使用银行保函、保证保险保函、工程担保保函时，需将保函原件扫描件作为投标文件的组成部分）</w:t>
            </w:r>
          </w:p>
        </w:tc>
      </w:tr>
      <w:tr w14:paraId="0F98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570" w:type="dxa"/>
            <w:vAlign w:val="center"/>
          </w:tcPr>
          <w:p w14:paraId="71C3F78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7</w:t>
            </w:r>
          </w:p>
        </w:tc>
        <w:tc>
          <w:tcPr>
            <w:tcW w:w="750" w:type="dxa"/>
            <w:vAlign w:val="center"/>
          </w:tcPr>
          <w:p w14:paraId="1A4338FC">
            <w:pPr>
              <w:spacing w:line="400" w:lineRule="exact"/>
              <w:jc w:val="center"/>
              <w:rPr>
                <w:rFonts w:ascii="宋体" w:hAnsi="宋体" w:cs="宋体"/>
                <w:color w:val="auto"/>
                <w:szCs w:val="21"/>
                <w:highlight w:val="none"/>
              </w:rPr>
            </w:pPr>
          </w:p>
          <w:p w14:paraId="036E946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18</w:t>
            </w:r>
          </w:p>
          <w:p w14:paraId="58110560">
            <w:pPr>
              <w:spacing w:line="400" w:lineRule="exact"/>
              <w:rPr>
                <w:rFonts w:ascii="宋体" w:hAnsi="宋体" w:cs="宋体"/>
                <w:color w:val="auto"/>
                <w:position w:val="10"/>
                <w:szCs w:val="21"/>
                <w:highlight w:val="none"/>
              </w:rPr>
            </w:pPr>
          </w:p>
        </w:tc>
        <w:tc>
          <w:tcPr>
            <w:tcW w:w="1666" w:type="dxa"/>
            <w:vAlign w:val="center"/>
          </w:tcPr>
          <w:p w14:paraId="6191CAE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电子投标文件的制作、加密</w:t>
            </w:r>
          </w:p>
        </w:tc>
        <w:tc>
          <w:tcPr>
            <w:tcW w:w="6284" w:type="dxa"/>
            <w:vAlign w:val="center"/>
          </w:tcPr>
          <w:p w14:paraId="055950C9">
            <w:pPr>
              <w:overflowPunct w:val="0"/>
              <w:topLinePunct/>
              <w:snapToGrid w:val="0"/>
              <w:spacing w:line="400" w:lineRule="exact"/>
              <w:rPr>
                <w:rFonts w:ascii="宋体" w:hAnsi="宋体" w:cs="宋体"/>
                <w:bCs/>
                <w:color w:val="auto"/>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w:t>
            </w:r>
            <w:r>
              <w:rPr>
                <w:rFonts w:hint="eastAsia" w:ascii="宋体" w:hAnsi="宋体" w:cs="宋体"/>
                <w:bCs/>
                <w:color w:val="auto"/>
                <w:szCs w:val="21"/>
                <w:highlight w:val="none"/>
              </w:rPr>
              <w:t>投标人制作电子投标文件前，必须登录“广西政府采购云”平台进行招标文件的获取操作。</w:t>
            </w:r>
          </w:p>
          <w:p w14:paraId="4CF09F57">
            <w:pPr>
              <w:overflowPunct w:val="0"/>
              <w:topLinePunct/>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lang w:val="en-US" w:eastAsia="zh-CN"/>
              </w:rPr>
              <w:t>8</w:t>
            </w:r>
            <w:r>
              <w:rPr>
                <w:rFonts w:hint="eastAsia" w:ascii="宋体" w:hAnsi="宋体" w:cs="宋体"/>
                <w:color w:val="auto"/>
                <w:kern w:val="0"/>
                <w:szCs w:val="21"/>
                <w:highlight w:val="none"/>
              </w:rPr>
              <w:t>.</w:t>
            </w:r>
            <w:r>
              <w:rPr>
                <w:rFonts w:hint="eastAsia" w:ascii="宋体" w:hAnsi="宋体" w:cs="宋体"/>
                <w:bCs/>
                <w:color w:val="auto"/>
                <w:szCs w:val="21"/>
                <w:highlight w:val="none"/>
              </w:rPr>
              <w:t>2投标人下载或获取招标文件后，登录“广西政府采购云平台电子投标客户端”，按照本招标文件</w:t>
            </w:r>
            <w:r>
              <w:rPr>
                <w:rFonts w:hint="eastAsia" w:ascii="宋体" w:hAnsi="宋体" w:cs="宋体"/>
                <w:color w:val="auto"/>
                <w:szCs w:val="21"/>
                <w:highlight w:val="none"/>
              </w:rPr>
              <w:t>规定的投标文件格式、顺序</w:t>
            </w:r>
            <w:r>
              <w:rPr>
                <w:rFonts w:hint="eastAsia" w:ascii="宋体" w:hAnsi="宋体" w:cs="宋体"/>
                <w:bCs/>
                <w:color w:val="auto"/>
                <w:szCs w:val="21"/>
                <w:highlight w:val="none"/>
              </w:rPr>
              <w:t>以及“广西政府采购云”平台的要求，通过“广西政府采购云平台电子投标客户端”编制电子投标文件。</w:t>
            </w:r>
          </w:p>
          <w:p w14:paraId="2F55C8BB">
            <w:pPr>
              <w:overflowPunct w:val="0"/>
              <w:topLinePunct/>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8</w:t>
            </w:r>
            <w:r>
              <w:rPr>
                <w:rFonts w:hint="eastAsia" w:ascii="宋体" w:hAnsi="宋体" w:cs="宋体"/>
                <w:color w:val="auto"/>
                <w:kern w:val="0"/>
                <w:szCs w:val="21"/>
                <w:highlight w:val="none"/>
              </w:rPr>
              <w:t>.</w:t>
            </w:r>
            <w:r>
              <w:rPr>
                <w:rFonts w:hint="eastAsia" w:ascii="宋体" w:hAnsi="宋体" w:cs="宋体"/>
                <w:color w:val="auto"/>
                <w:szCs w:val="21"/>
                <w:highlight w:val="none"/>
              </w:rPr>
              <w:t>3投标人应按“广西政府采购云平台电子投标客户端”载明的“标书关联”功能进行电子投标文件相应内容的关联定位，以便评标委员会在评标时点击相应评标项可直接定位到该评标内容；如投标人的电子投标文件未能关联定位相应内容，或者关联定位的内容与该评标项不符，导致评标委员会无法查询并做出对投标人不利的评标，相关后果由投标人自行承担。</w:t>
            </w:r>
          </w:p>
          <w:p w14:paraId="5FCB3C79">
            <w:pPr>
              <w:overflowPunct w:val="0"/>
              <w:topLinePunct/>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8</w:t>
            </w:r>
            <w:r>
              <w:rPr>
                <w:rFonts w:hint="eastAsia" w:ascii="宋体" w:hAnsi="宋体" w:cs="宋体"/>
                <w:color w:val="auto"/>
                <w:kern w:val="0"/>
                <w:szCs w:val="21"/>
                <w:highlight w:val="none"/>
              </w:rPr>
              <w:t>.</w:t>
            </w:r>
            <w:r>
              <w:rPr>
                <w:rFonts w:hint="eastAsia" w:ascii="宋体" w:hAnsi="宋体" w:cs="宋体"/>
                <w:color w:val="auto"/>
                <w:szCs w:val="21"/>
                <w:highlight w:val="none"/>
              </w:rPr>
              <w:t>4电子投标文件不得涂改，若有修改错漏处，须由法定代表人或授权委托代理人通过“广西政府采购云平台电子投标客户端”采用广西政府采购云平台个人CA证书签章，没有办理广西政府采购云平台个人CA证书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的格式上传。因投标文件字迹潦草、表达不清、内容不完整、编排混乱导致投标文件被误读、漏读，或者在按招标文件规定的部位查找不到相关内容的，其不利后果由投标人自行承担。</w:t>
            </w:r>
          </w:p>
          <w:p w14:paraId="34F76B96">
            <w:pPr>
              <w:spacing w:line="40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8</w:t>
            </w:r>
            <w:r>
              <w:rPr>
                <w:rFonts w:hint="eastAsia" w:ascii="宋体" w:hAnsi="宋体" w:cs="宋体"/>
                <w:color w:val="auto"/>
                <w:kern w:val="0"/>
                <w:szCs w:val="21"/>
                <w:highlight w:val="none"/>
              </w:rPr>
              <w:t>.</w:t>
            </w:r>
            <w:r>
              <w:rPr>
                <w:rFonts w:hint="eastAsia" w:ascii="宋体" w:hAnsi="宋体" w:cs="宋体"/>
                <w:color w:val="auto"/>
                <w:szCs w:val="21"/>
                <w:highlight w:val="none"/>
              </w:rPr>
              <w:t>5投标人编制、生成电子投标文件后应当</w:t>
            </w:r>
            <w:r>
              <w:rPr>
                <w:rFonts w:hint="eastAsia" w:ascii="宋体" w:hAnsi="宋体" w:cs="宋体"/>
                <w:bCs/>
                <w:color w:val="auto"/>
                <w:szCs w:val="21"/>
                <w:highlight w:val="none"/>
              </w:rPr>
              <w:t>加密投标文件。</w:t>
            </w:r>
            <w:r>
              <w:rPr>
                <w:rFonts w:hint="eastAsia" w:ascii="宋体" w:hAnsi="宋体" w:cs="宋体"/>
                <w:color w:val="auto"/>
                <w:szCs w:val="21"/>
                <w:highlight w:val="none"/>
              </w:rPr>
              <w:t>投标人</w:t>
            </w:r>
            <w:r>
              <w:rPr>
                <w:rFonts w:hint="eastAsia" w:ascii="宋体" w:hAnsi="宋体" w:cs="宋体"/>
                <w:bCs/>
                <w:color w:val="auto"/>
                <w:szCs w:val="21"/>
                <w:highlight w:val="none"/>
              </w:rPr>
              <w:t>未按规定编制并加密的投标文件，“广西政府采购云”平台将予以拒收。</w:t>
            </w:r>
          </w:p>
        </w:tc>
      </w:tr>
      <w:tr w14:paraId="2E7F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570" w:type="dxa"/>
            <w:vAlign w:val="center"/>
          </w:tcPr>
          <w:p w14:paraId="7927BE2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750" w:type="dxa"/>
            <w:vAlign w:val="center"/>
          </w:tcPr>
          <w:p w14:paraId="3B05734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19</w:t>
            </w:r>
          </w:p>
        </w:tc>
        <w:tc>
          <w:tcPr>
            <w:tcW w:w="1666" w:type="dxa"/>
            <w:vAlign w:val="center"/>
          </w:tcPr>
          <w:p w14:paraId="688C8B2A">
            <w:pPr>
              <w:spacing w:line="400" w:lineRule="exact"/>
              <w:rPr>
                <w:rFonts w:ascii="宋体" w:hAnsi="宋体" w:cs="宋体"/>
                <w:color w:val="auto"/>
                <w:szCs w:val="21"/>
                <w:highlight w:val="none"/>
              </w:rPr>
            </w:pPr>
            <w:r>
              <w:rPr>
                <w:rFonts w:hint="eastAsia" w:ascii="宋体" w:hAnsi="宋体" w:cs="宋体"/>
                <w:color w:val="auto"/>
                <w:szCs w:val="21"/>
                <w:highlight w:val="none"/>
              </w:rPr>
              <w:t>投标文件的补充、修改和撤回</w:t>
            </w:r>
          </w:p>
        </w:tc>
        <w:tc>
          <w:tcPr>
            <w:tcW w:w="6284" w:type="dxa"/>
            <w:vAlign w:val="center"/>
          </w:tcPr>
          <w:p w14:paraId="24F19A93">
            <w:pPr>
              <w:spacing w:line="400" w:lineRule="exact"/>
              <w:rPr>
                <w:rFonts w:ascii="宋体" w:hAnsi="宋体" w:cs="宋体"/>
                <w:color w:val="auto"/>
                <w:szCs w:val="21"/>
                <w:highlight w:val="none"/>
              </w:rPr>
            </w:pPr>
            <w:r>
              <w:rPr>
                <w:rFonts w:hint="eastAsia" w:ascii="宋体" w:hAnsi="宋体" w:cs="宋体"/>
                <w:color w:val="auto"/>
                <w:szCs w:val="21"/>
                <w:highlight w:val="none"/>
              </w:rPr>
              <w:t>19.1投标文件递交截止时间前可以撤回电子投标文件。补充或者修改电子投标文件的，应当先行撤回原文件，补充、修改后重新上传递交，在投标文件递交截止时间前未完成传输的，视为撤回投标文件。</w:t>
            </w:r>
          </w:p>
        </w:tc>
      </w:tr>
      <w:tr w14:paraId="447D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570" w:type="dxa"/>
            <w:vAlign w:val="center"/>
          </w:tcPr>
          <w:p w14:paraId="33F00886">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12</w:t>
            </w:r>
          </w:p>
        </w:tc>
        <w:tc>
          <w:tcPr>
            <w:tcW w:w="750" w:type="dxa"/>
            <w:vAlign w:val="center"/>
          </w:tcPr>
          <w:p w14:paraId="2A509508">
            <w:pPr>
              <w:spacing w:line="400" w:lineRule="exact"/>
              <w:jc w:val="center"/>
              <w:rPr>
                <w:rFonts w:ascii="宋体" w:hAnsi="宋体" w:cs="宋体"/>
                <w:color w:val="auto"/>
                <w:position w:val="-2"/>
                <w:szCs w:val="21"/>
                <w:highlight w:val="none"/>
              </w:rPr>
            </w:pPr>
            <w:r>
              <w:rPr>
                <w:rFonts w:hint="eastAsia" w:ascii="宋体" w:hAnsi="宋体" w:cs="宋体"/>
                <w:color w:val="auto"/>
                <w:szCs w:val="21"/>
                <w:highlight w:val="none"/>
              </w:rPr>
              <w:t>20</w:t>
            </w:r>
          </w:p>
        </w:tc>
        <w:tc>
          <w:tcPr>
            <w:tcW w:w="1666" w:type="dxa"/>
            <w:vAlign w:val="center"/>
          </w:tcPr>
          <w:p w14:paraId="4E567B72">
            <w:pPr>
              <w:spacing w:line="400" w:lineRule="exact"/>
              <w:jc w:val="center"/>
              <w:rPr>
                <w:rFonts w:ascii="宋体" w:hAnsi="宋体" w:cs="宋体"/>
                <w:color w:val="auto"/>
                <w:position w:val="-2"/>
                <w:szCs w:val="21"/>
                <w:highlight w:val="none"/>
              </w:rPr>
            </w:pPr>
            <w:r>
              <w:rPr>
                <w:rFonts w:hint="eastAsia" w:ascii="宋体" w:hAnsi="宋体" w:cs="宋体"/>
                <w:color w:val="auto"/>
                <w:szCs w:val="21"/>
                <w:highlight w:val="none"/>
              </w:rPr>
              <w:t>投标文件递交</w:t>
            </w:r>
          </w:p>
        </w:tc>
        <w:tc>
          <w:tcPr>
            <w:tcW w:w="6284" w:type="dxa"/>
            <w:vAlign w:val="center"/>
          </w:tcPr>
          <w:p w14:paraId="183A1356">
            <w:pPr>
              <w:spacing w:line="400" w:lineRule="exact"/>
              <w:rPr>
                <w:rFonts w:ascii="宋体" w:hAnsi="宋体" w:cs="宋体"/>
                <w:color w:val="auto"/>
                <w:szCs w:val="21"/>
                <w:highlight w:val="none"/>
              </w:rPr>
            </w:pPr>
            <w:r>
              <w:rPr>
                <w:rFonts w:hint="eastAsia" w:ascii="宋体" w:hAnsi="宋体" w:cs="宋体"/>
                <w:color w:val="auto"/>
                <w:szCs w:val="21"/>
                <w:highlight w:val="none"/>
              </w:rPr>
              <w:t>20.1提交投标文件截止时间：</w:t>
            </w: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 xml:space="preserve"> 11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4</w:t>
            </w:r>
            <w:r>
              <w:rPr>
                <w:rFonts w:hint="eastAsia" w:ascii="宋体" w:hAnsi="宋体" w:cs="宋体"/>
                <w:color w:val="auto"/>
                <w:szCs w:val="21"/>
                <w:highlight w:val="none"/>
              </w:rPr>
              <w:t>日上午9时30分</w:t>
            </w:r>
            <w:r>
              <w:rPr>
                <w:rFonts w:hint="eastAsia" w:ascii="宋体" w:hAnsi="宋体" w:cs="宋体"/>
                <w:color w:val="auto"/>
                <w:szCs w:val="21"/>
                <w:highlight w:val="none"/>
              </w:rPr>
              <w:t>（北京时间）。</w:t>
            </w:r>
          </w:p>
          <w:p w14:paraId="40D37E29">
            <w:pPr>
              <w:spacing w:line="400" w:lineRule="exact"/>
              <w:rPr>
                <w:rFonts w:ascii="宋体" w:hAnsi="宋体" w:cs="宋体"/>
                <w:color w:val="auto"/>
                <w:szCs w:val="21"/>
                <w:highlight w:val="none"/>
              </w:rPr>
            </w:pPr>
            <w:r>
              <w:rPr>
                <w:rFonts w:hint="eastAsia" w:ascii="宋体" w:hAnsi="宋体" w:cs="宋体"/>
                <w:color w:val="auto"/>
                <w:szCs w:val="21"/>
                <w:highlight w:val="none"/>
              </w:rPr>
              <w:t>20.2投标地点（网址）：请登录广西政府采购云平台投标客户端投标。</w:t>
            </w:r>
          </w:p>
        </w:tc>
      </w:tr>
      <w:tr w14:paraId="50E5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70" w:type="dxa"/>
            <w:vAlign w:val="center"/>
          </w:tcPr>
          <w:p w14:paraId="33BF282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13</w:t>
            </w:r>
          </w:p>
        </w:tc>
        <w:tc>
          <w:tcPr>
            <w:tcW w:w="750" w:type="dxa"/>
            <w:vAlign w:val="center"/>
          </w:tcPr>
          <w:p w14:paraId="29D86A5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1666" w:type="dxa"/>
            <w:vAlign w:val="center"/>
          </w:tcPr>
          <w:p w14:paraId="5B96EEB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投标文件解密</w:t>
            </w:r>
          </w:p>
        </w:tc>
        <w:tc>
          <w:tcPr>
            <w:tcW w:w="6284" w:type="dxa"/>
          </w:tcPr>
          <w:p w14:paraId="6458A47B">
            <w:pPr>
              <w:spacing w:line="400" w:lineRule="exact"/>
              <w:rPr>
                <w:rFonts w:hint="eastAsia" w:ascii="宋体" w:hAnsi="宋体" w:eastAsia="宋体" w:cs="宋体"/>
                <w:color w:val="auto"/>
                <w:szCs w:val="21"/>
                <w:highlight w:val="none"/>
                <w:lang w:val="en-US" w:eastAsia="zh-CN"/>
              </w:rPr>
            </w:pPr>
            <w:r>
              <w:rPr>
                <w:rFonts w:hint="eastAsia" w:ascii="宋体" w:hAnsi="宋体"/>
                <w:color w:val="auto"/>
                <w:szCs w:val="21"/>
                <w:highlight w:val="none"/>
              </w:rPr>
              <w:t>投标截止时间后30分钟内</w:t>
            </w:r>
            <w:r>
              <w:rPr>
                <w:rFonts w:hint="eastAsia" w:ascii="宋体" w:hAnsi="宋体"/>
                <w:color w:val="auto"/>
                <w:szCs w:val="21"/>
                <w:highlight w:val="none"/>
              </w:rPr>
              <w:t>（</w:t>
            </w: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 xml:space="preserve"> 11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4 </w:t>
            </w:r>
            <w:r>
              <w:rPr>
                <w:rFonts w:hint="eastAsia" w:ascii="宋体" w:hAnsi="宋体" w:cs="宋体"/>
                <w:color w:val="auto"/>
                <w:szCs w:val="21"/>
                <w:highlight w:val="none"/>
              </w:rPr>
              <w:t>日</w:t>
            </w:r>
            <w:r>
              <w:rPr>
                <w:rFonts w:hint="eastAsia" w:ascii="宋体" w:hAnsi="宋体"/>
                <w:color w:val="auto"/>
                <w:szCs w:val="21"/>
                <w:highlight w:val="none"/>
              </w:rPr>
              <w:t>上午9时30分</w:t>
            </w:r>
            <w:r>
              <w:rPr>
                <w:rFonts w:hint="eastAsia" w:ascii="宋体" w:hAnsi="宋体"/>
                <w:color w:val="auto"/>
                <w:szCs w:val="21"/>
                <w:highlight w:val="none"/>
              </w:rPr>
              <w:t>至10时00分）投标人可以登录广西政府采购云平台，用“项目采购-开标评标”功能进行解密投标文件。若投标人在规定时间内无法解密或解密失败或超时解密的，系统默认自动放弃，投标文件按无效处理。</w:t>
            </w:r>
            <w:r>
              <w:rPr>
                <w:rFonts w:hint="eastAsia" w:ascii="宋体" w:hAnsi="宋体"/>
                <w:color w:val="auto"/>
                <w:szCs w:val="21"/>
                <w:highlight w:val="none"/>
                <w:lang w:val="en-US" w:eastAsia="zh-CN"/>
              </w:rPr>
              <w:t xml:space="preserve"> </w:t>
            </w:r>
          </w:p>
        </w:tc>
      </w:tr>
      <w:tr w14:paraId="6AD5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70" w:type="dxa"/>
            <w:vAlign w:val="center"/>
          </w:tcPr>
          <w:p w14:paraId="5830698F">
            <w:pPr>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750" w:type="dxa"/>
            <w:vAlign w:val="center"/>
          </w:tcPr>
          <w:p w14:paraId="12F91D26">
            <w:pPr>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22</w:t>
            </w:r>
          </w:p>
        </w:tc>
        <w:tc>
          <w:tcPr>
            <w:tcW w:w="1666" w:type="dxa"/>
            <w:vAlign w:val="center"/>
          </w:tcPr>
          <w:p w14:paraId="7786E9E0">
            <w:pPr>
              <w:spacing w:line="400" w:lineRule="exact"/>
              <w:jc w:val="center"/>
              <w:rPr>
                <w:rFonts w:hint="eastAsia" w:ascii="宋体" w:hAnsi="宋体" w:cs="宋体"/>
                <w:color w:val="auto"/>
                <w:szCs w:val="21"/>
                <w:highlight w:val="none"/>
              </w:rPr>
            </w:pPr>
            <w:r>
              <w:rPr>
                <w:rFonts w:hint="eastAsia" w:ascii="宋体" w:hAnsi="宋体"/>
                <w:color w:val="auto"/>
                <w:szCs w:val="21"/>
                <w:highlight w:val="none"/>
              </w:rPr>
              <w:t>投标人公章及签字</w:t>
            </w:r>
          </w:p>
        </w:tc>
        <w:tc>
          <w:tcPr>
            <w:tcW w:w="6284" w:type="dxa"/>
          </w:tcPr>
          <w:p w14:paraId="47CC9B08">
            <w:pPr>
              <w:overflowPunct w:val="0"/>
              <w:topLinePunct/>
              <w:snapToGrid w:val="0"/>
              <w:spacing w:line="400" w:lineRule="exact"/>
              <w:jc w:val="left"/>
              <w:rPr>
                <w:rFonts w:ascii="宋体" w:hAnsi="宋体" w:cs="宋体"/>
                <w:color w:val="auto"/>
                <w:highlight w:val="none"/>
              </w:rPr>
            </w:pPr>
            <w:r>
              <w:rPr>
                <w:rFonts w:hint="eastAsia" w:ascii="宋体" w:hAnsi="宋体" w:cs="宋体"/>
                <w:color w:val="auto"/>
                <w:highlight w:val="none"/>
                <w:lang w:val="en-US" w:eastAsia="zh-CN"/>
              </w:rPr>
              <w:t>22</w:t>
            </w:r>
            <w:r>
              <w:rPr>
                <w:rFonts w:hint="eastAsia" w:ascii="宋体" w:hAnsi="宋体" w:cs="宋体"/>
                <w:color w:val="auto"/>
                <w:highlight w:val="none"/>
              </w:rPr>
              <w:t>.1本招标文件中描述投标人的“公章”是指投标人通过指定电子化政府采购平台办理数字证书（CA认证证书）获得的以法定主体行为名称制作的电子印章。</w:t>
            </w:r>
          </w:p>
          <w:p w14:paraId="43E96D19">
            <w:pPr>
              <w:overflowPunct w:val="0"/>
              <w:topLinePunct/>
              <w:snapToGrid w:val="0"/>
              <w:spacing w:line="400" w:lineRule="exact"/>
              <w:jc w:val="left"/>
              <w:rPr>
                <w:rFonts w:ascii="宋体" w:hAnsi="宋体" w:cs="宋体"/>
                <w:color w:val="auto"/>
                <w:highlight w:val="none"/>
              </w:rPr>
            </w:pPr>
            <w:r>
              <w:rPr>
                <w:rFonts w:hint="eastAsia" w:ascii="宋体" w:hAnsi="宋体" w:cs="宋体"/>
                <w:color w:val="auto"/>
                <w:highlight w:val="none"/>
                <w:lang w:val="en-US" w:eastAsia="zh-CN"/>
              </w:rPr>
              <w:t>22</w:t>
            </w:r>
            <w:r>
              <w:rPr>
                <w:rFonts w:hint="eastAsia" w:ascii="宋体" w:hAnsi="宋体" w:cs="宋体"/>
                <w:color w:val="auto"/>
                <w:highlight w:val="none"/>
              </w:rPr>
              <w:t>.2本招标文件中要求投标人对其电子投标文件的相关内容加盖公章的，均指采用CA证书签章。</w:t>
            </w:r>
          </w:p>
          <w:p w14:paraId="5ED6B942">
            <w:pPr>
              <w:spacing w:line="400" w:lineRule="exact"/>
              <w:rPr>
                <w:rFonts w:hint="eastAsia" w:ascii="宋体" w:hAnsi="宋体"/>
                <w:color w:val="auto"/>
                <w:szCs w:val="21"/>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2.3本招标文件中描述投标人的“签字”是指投标人通过指定电子化政府采购平台办理数字证书（CA认证证书）获得的以投标人法定代表人或者委托代理人姓名制作的个人电子印章或手写签字。没有办理个人CA证书的，可以为手写签字的形式。</w:t>
            </w:r>
          </w:p>
        </w:tc>
      </w:tr>
      <w:tr w14:paraId="4FE1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70" w:type="dxa"/>
            <w:vAlign w:val="center"/>
          </w:tcPr>
          <w:p w14:paraId="6152D2EF">
            <w:pPr>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750" w:type="dxa"/>
            <w:vAlign w:val="center"/>
          </w:tcPr>
          <w:p w14:paraId="6C2DF62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24</w:t>
            </w:r>
          </w:p>
        </w:tc>
        <w:tc>
          <w:tcPr>
            <w:tcW w:w="1666" w:type="dxa"/>
            <w:vAlign w:val="center"/>
          </w:tcPr>
          <w:p w14:paraId="072D7532">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评标委员会组成</w:t>
            </w:r>
          </w:p>
        </w:tc>
        <w:tc>
          <w:tcPr>
            <w:tcW w:w="6284" w:type="dxa"/>
            <w:vAlign w:val="center"/>
          </w:tcPr>
          <w:p w14:paraId="04A800E2">
            <w:pPr>
              <w:spacing w:line="36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评审小组由项目实施机构代表</w:t>
            </w:r>
            <w:r>
              <w:rPr>
                <w:rFonts w:hint="eastAsia"/>
                <w:color w:val="auto"/>
                <w:highlight w:val="none"/>
              </w:rPr>
              <w:t>（采购人）</w:t>
            </w:r>
            <w:r>
              <w:rPr>
                <w:rFonts w:hint="eastAsia" w:ascii="宋体" w:hAnsi="宋体" w:eastAsia="宋体" w:cs="宋体"/>
                <w:color w:val="auto"/>
                <w:sz w:val="21"/>
                <w:szCs w:val="21"/>
                <w:highlight w:val="none"/>
              </w:rPr>
              <w:t>和评审专家组成，成员人数为</w:t>
            </w:r>
            <w:r>
              <w:rPr>
                <w:rFonts w:hint="eastAsia" w:ascii="宋体" w:hAnsi="宋体" w:eastAsia="宋体" w:cs="宋体"/>
                <w:color w:val="auto"/>
                <w:sz w:val="21"/>
                <w:szCs w:val="21"/>
                <w:highlight w:val="none"/>
                <w:u w:val="single"/>
                <w:lang w:val="en-US" w:eastAsia="zh-CN"/>
              </w:rPr>
              <w:t>7</w:t>
            </w:r>
            <w:r>
              <w:rPr>
                <w:rFonts w:hint="eastAsia" w:ascii="宋体" w:hAnsi="宋体" w:eastAsia="宋体" w:cs="宋体"/>
                <w:color w:val="auto"/>
                <w:sz w:val="21"/>
                <w:szCs w:val="21"/>
                <w:highlight w:val="none"/>
              </w:rPr>
              <w:t>人，其中</w:t>
            </w:r>
            <w:r>
              <w:rPr>
                <w:rFonts w:hint="eastAsia" w:ascii="宋体" w:hAnsi="宋体" w:eastAsia="宋体" w:cs="宋体"/>
                <w:color w:val="auto"/>
                <w:sz w:val="21"/>
                <w:szCs w:val="21"/>
                <w:highlight w:val="none"/>
                <w:lang w:val="en-US" w:eastAsia="zh-CN"/>
              </w:rPr>
              <w:t>采购人代表</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评审专家</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评审专家至少应当包含财务专家：</w:t>
            </w:r>
            <w:r>
              <w:rPr>
                <w:rFonts w:hint="eastAsia" w:ascii="宋体" w:hAnsi="宋体" w:eastAsia="宋体" w:cs="宋体"/>
                <w:color w:val="auto"/>
                <w:sz w:val="21"/>
                <w:szCs w:val="21"/>
                <w:highlight w:val="none"/>
                <w:u w:val="single"/>
              </w:rPr>
              <w:t>1名</w:t>
            </w:r>
            <w:r>
              <w:rPr>
                <w:rFonts w:hint="eastAsia" w:ascii="宋体" w:hAnsi="宋体" w:eastAsia="宋体" w:cs="宋体"/>
                <w:color w:val="auto"/>
                <w:sz w:val="21"/>
                <w:szCs w:val="21"/>
                <w:highlight w:val="none"/>
              </w:rPr>
              <w:t>和法律专家：</w:t>
            </w:r>
            <w:r>
              <w:rPr>
                <w:rFonts w:hint="eastAsia" w:ascii="宋体" w:hAnsi="宋体" w:eastAsia="宋体" w:cs="宋体"/>
                <w:color w:val="auto"/>
                <w:sz w:val="21"/>
                <w:szCs w:val="21"/>
                <w:highlight w:val="none"/>
                <w:u w:val="single"/>
              </w:rPr>
              <w:t>1名</w:t>
            </w:r>
            <w:r>
              <w:rPr>
                <w:rFonts w:hint="eastAsia" w:ascii="宋体" w:hAnsi="宋体" w:eastAsia="宋体" w:cs="宋体"/>
                <w:color w:val="auto"/>
                <w:sz w:val="21"/>
                <w:szCs w:val="21"/>
                <w:highlight w:val="none"/>
              </w:rPr>
              <w:t>。</w:t>
            </w:r>
          </w:p>
          <w:p w14:paraId="7E5C8985">
            <w:pPr>
              <w:pStyle w:val="27"/>
              <w:rPr>
                <w:rFonts w:hint="eastAsia" w:eastAsia="宋体"/>
                <w:color w:val="auto"/>
                <w:highlight w:val="none"/>
                <w:lang w:eastAsia="zh-CN"/>
              </w:rPr>
            </w:pPr>
            <w:r>
              <w:rPr>
                <w:rFonts w:hint="eastAsia" w:ascii="宋体" w:hAnsi="宋体" w:eastAsia="宋体" w:cs="宋体"/>
                <w:color w:val="auto"/>
                <w:sz w:val="21"/>
                <w:szCs w:val="21"/>
                <w:highlight w:val="none"/>
              </w:rPr>
              <w:t>评审专家确定方式：从政采云专家库中随机抽取。通过随机方式难以确定合适评审专家的，经主管预算单位同意，采购人可以自行选定相应专业领域的评审专家</w:t>
            </w:r>
            <w:r>
              <w:rPr>
                <w:rFonts w:hint="eastAsia" w:ascii="宋体" w:hAnsi="宋体" w:eastAsia="宋体" w:cs="宋体"/>
                <w:color w:val="auto"/>
                <w:sz w:val="21"/>
                <w:szCs w:val="21"/>
                <w:highlight w:val="none"/>
                <w:lang w:eastAsia="zh-CN"/>
              </w:rPr>
              <w:t>。</w:t>
            </w:r>
          </w:p>
        </w:tc>
      </w:tr>
      <w:tr w14:paraId="645C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70" w:type="dxa"/>
            <w:vAlign w:val="center"/>
          </w:tcPr>
          <w:p w14:paraId="168FD99A">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750" w:type="dxa"/>
            <w:vAlign w:val="center"/>
          </w:tcPr>
          <w:p w14:paraId="2AF7DCC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25</w:t>
            </w:r>
          </w:p>
        </w:tc>
        <w:tc>
          <w:tcPr>
            <w:tcW w:w="1666" w:type="dxa"/>
            <w:vAlign w:val="center"/>
          </w:tcPr>
          <w:p w14:paraId="0A86483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评标办法</w:t>
            </w:r>
          </w:p>
        </w:tc>
        <w:tc>
          <w:tcPr>
            <w:tcW w:w="6284" w:type="dxa"/>
            <w:vAlign w:val="center"/>
          </w:tcPr>
          <w:p w14:paraId="1C8D8EBF">
            <w:pPr>
              <w:spacing w:line="400" w:lineRule="exact"/>
              <w:rPr>
                <w:rFonts w:ascii="宋体" w:hAnsi="宋体" w:cs="宋体"/>
                <w:color w:val="auto"/>
                <w:szCs w:val="21"/>
                <w:highlight w:val="none"/>
              </w:rPr>
            </w:pPr>
            <w:r>
              <w:rPr>
                <w:rFonts w:hint="eastAsia" w:ascii="宋体" w:hAnsi="宋体" w:cs="宋体"/>
                <w:color w:val="auto"/>
                <w:szCs w:val="21"/>
                <w:highlight w:val="none"/>
              </w:rPr>
              <w:t>综合评分法，具体评标内容及标准详见第四章。</w:t>
            </w:r>
          </w:p>
        </w:tc>
      </w:tr>
      <w:tr w14:paraId="7A3A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70" w:type="dxa"/>
            <w:vAlign w:val="center"/>
          </w:tcPr>
          <w:p w14:paraId="19C8616A">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16</w:t>
            </w:r>
          </w:p>
        </w:tc>
        <w:tc>
          <w:tcPr>
            <w:tcW w:w="750" w:type="dxa"/>
            <w:vAlign w:val="center"/>
          </w:tcPr>
          <w:p w14:paraId="0EC9450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32</w:t>
            </w:r>
          </w:p>
        </w:tc>
        <w:tc>
          <w:tcPr>
            <w:tcW w:w="1666" w:type="dxa"/>
            <w:vAlign w:val="center"/>
          </w:tcPr>
          <w:p w14:paraId="1A0D01D1">
            <w:pPr>
              <w:tabs>
                <w:tab w:val="left" w:pos="1140"/>
              </w:tabs>
              <w:spacing w:line="400" w:lineRule="exact"/>
              <w:jc w:val="center"/>
              <w:rPr>
                <w:rFonts w:ascii="宋体" w:hAnsi="宋体" w:cs="宋体"/>
                <w:color w:val="auto"/>
                <w:szCs w:val="21"/>
                <w:highlight w:val="none"/>
              </w:rPr>
            </w:pPr>
            <w:r>
              <w:rPr>
                <w:rFonts w:hint="eastAsia" w:ascii="宋体" w:hAnsi="宋体"/>
                <w:color w:val="auto"/>
                <w:szCs w:val="21"/>
                <w:highlight w:val="none"/>
              </w:rPr>
              <w:t>中标人信用信息查询</w:t>
            </w:r>
          </w:p>
        </w:tc>
        <w:tc>
          <w:tcPr>
            <w:tcW w:w="6284" w:type="dxa"/>
            <w:vAlign w:val="center"/>
          </w:tcPr>
          <w:p w14:paraId="5F66F36D">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根据《关于做好政府采购有关信用主体标识码登记及在政府采购活动中查询使用信用记录有关问题的通知》桂财采〔2016〕37号的通知，采购代理机构对中标人进行信用查询：</w:t>
            </w:r>
          </w:p>
          <w:p w14:paraId="65F5B168">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（1）查询渠道：“信用中国”网站（www.creditchina.gov.cn）、中国政府采购网（www.ccgp.gov.cn）等；</w:t>
            </w:r>
          </w:p>
          <w:p w14:paraId="37CDF5FB">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（2）查询截止时点：中标通知书发出前；</w:t>
            </w:r>
          </w:p>
          <w:p w14:paraId="3A2364C4">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（3）信用信息查询记录和证据留存方式：在查询网站中直接打印查询记录，打印材料作为采购活动资料保存。</w:t>
            </w:r>
          </w:p>
          <w:p w14:paraId="0349C15D">
            <w:pPr>
              <w:spacing w:line="400" w:lineRule="exact"/>
              <w:rPr>
                <w:rFonts w:ascii="宋体" w:hAnsi="宋体" w:cs="宋体"/>
                <w:color w:val="auto"/>
                <w:szCs w:val="21"/>
                <w:highlight w:val="none"/>
              </w:rPr>
            </w:pPr>
            <w:r>
              <w:rPr>
                <w:rFonts w:hint="eastAsia" w:ascii="宋体" w:hAnsi="宋体"/>
                <w:color w:val="auto"/>
                <w:szCs w:val="21"/>
                <w:highlight w:val="none"/>
              </w:rPr>
              <w:t>（4）信用信息使用规则：在“信用中国”网站（www.creditchina.gov.cn）、中国政府采购网（www.ccgp.gov.cn）等渠道列入失信被执行人、</w:t>
            </w:r>
            <w:r>
              <w:rPr>
                <w:rFonts w:hint="eastAsia" w:ascii="宋体" w:hAnsi="宋体"/>
                <w:color w:val="auto"/>
                <w:szCs w:val="21"/>
                <w:highlight w:val="none"/>
                <w:lang w:eastAsia="zh-CN"/>
              </w:rPr>
              <w:t>重大税收违法失信主体</w:t>
            </w:r>
            <w:r>
              <w:rPr>
                <w:rFonts w:hint="eastAsia" w:ascii="宋体" w:hAnsi="宋体"/>
                <w:color w:val="auto"/>
                <w:szCs w:val="21"/>
                <w:highlight w:val="none"/>
              </w:rPr>
              <w:t>、政府采购严重违法失信行为记录名单及其他不符合《中华人民共和国政府采购法》第二十二条规定条件的投标人，不得参与政府采购活动，取消其中标候选人资格。采购人依法按照评标报告中评标委员会推荐中标候选人排序表确定排名第二的中标候选人为中标供应商或者重新组织采购。</w:t>
            </w:r>
          </w:p>
        </w:tc>
      </w:tr>
      <w:tr w14:paraId="7EBB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70" w:type="dxa"/>
            <w:vAlign w:val="center"/>
          </w:tcPr>
          <w:p w14:paraId="081440F6">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17</w:t>
            </w:r>
          </w:p>
        </w:tc>
        <w:tc>
          <w:tcPr>
            <w:tcW w:w="750" w:type="dxa"/>
            <w:vAlign w:val="center"/>
          </w:tcPr>
          <w:p w14:paraId="3849445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33.1</w:t>
            </w:r>
          </w:p>
        </w:tc>
        <w:tc>
          <w:tcPr>
            <w:tcW w:w="1666" w:type="dxa"/>
            <w:vAlign w:val="center"/>
          </w:tcPr>
          <w:p w14:paraId="343934B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采购结果确认谈判</w:t>
            </w:r>
          </w:p>
        </w:tc>
        <w:tc>
          <w:tcPr>
            <w:tcW w:w="6284" w:type="dxa"/>
            <w:vAlign w:val="center"/>
          </w:tcPr>
          <w:p w14:paraId="20485813">
            <w:pPr>
              <w:pStyle w:val="13"/>
              <w:spacing w:line="400" w:lineRule="exact"/>
              <w:rPr>
                <w:rFonts w:hAnsi="宋体" w:cs="宋体"/>
                <w:color w:val="auto"/>
                <w:szCs w:val="21"/>
                <w:highlight w:val="none"/>
              </w:rPr>
            </w:pPr>
            <w:r>
              <w:rPr>
                <w:rFonts w:hint="eastAsia" w:hAnsi="宋体" w:cs="宋体"/>
                <w:color w:val="auto"/>
                <w:szCs w:val="21"/>
                <w:highlight w:val="none"/>
              </w:rPr>
              <w:t>（1）采购代理机构于评标结束后2个工作日内将评审报告送交项目实施机构，项目实施机构应当自收到评审报告5个工作日内成立专门的采购结果确认谈判工作组，负责采购结果确认前的谈判和最终的采购结果确认工作。采购结果确认谈判工作组成员及数量由项目实施机构确定，但应当至少包括财政预算管理部门、行业主管部门代表，以及财务、法律等方面的专家。本项目涉及价格管理、环境保护，谈判工作组还应当包括价格管理、环境保护行政执法机关代表。评审小组成员可以作为采购结果确认谈判工作组成员参与采购结果确认谈判。采购结果确认谈判工作组成立后，应当按照评审报告推荐的中标候选人排名向中标候选投标人发出采购结果确认谈判邀请函。中标候选投标人应当按照邀请函所约定的时间参与谈判，或在接获邀请函5个工作日内与项目实施机构协商确定谈判时间，并按照该时间参与谈判。若逾期未参与谈判，视为谈判未达成一致。</w:t>
            </w:r>
          </w:p>
          <w:p w14:paraId="02ABD6BD">
            <w:pPr>
              <w:pStyle w:val="13"/>
              <w:spacing w:line="400" w:lineRule="exact"/>
              <w:rPr>
                <w:rFonts w:hAnsi="宋体" w:cs="宋体"/>
                <w:color w:val="auto"/>
                <w:szCs w:val="21"/>
                <w:highlight w:val="none"/>
              </w:rPr>
            </w:pPr>
            <w:r>
              <w:rPr>
                <w:rFonts w:hint="eastAsia" w:hAnsi="宋体" w:cs="宋体"/>
                <w:color w:val="auto"/>
                <w:szCs w:val="21"/>
                <w:highlight w:val="none"/>
              </w:rPr>
              <w:t>（2）采购结果确认谈判工作组应当按照评审报告推荐的中标候选投标人排名，依次与中标候选投标人就采购合同中可变的细节问题进行采购合同签署前的确认谈判，率先达成一致的中标候选投标人即为预中标投标人。确认谈判不得涉及项目合同中不可谈判的核心条款，不得与排序在前但已终止谈判的中标候选投标人进行重复谈判。</w:t>
            </w:r>
          </w:p>
        </w:tc>
      </w:tr>
      <w:tr w14:paraId="510E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1" w:hRule="atLeast"/>
        </w:trPr>
        <w:tc>
          <w:tcPr>
            <w:tcW w:w="570" w:type="dxa"/>
            <w:vAlign w:val="center"/>
          </w:tcPr>
          <w:p w14:paraId="5BFA242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18</w:t>
            </w:r>
          </w:p>
        </w:tc>
        <w:tc>
          <w:tcPr>
            <w:tcW w:w="750" w:type="dxa"/>
            <w:vAlign w:val="center"/>
          </w:tcPr>
          <w:p w14:paraId="3982A17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33</w:t>
            </w:r>
          </w:p>
        </w:tc>
        <w:tc>
          <w:tcPr>
            <w:tcW w:w="1666" w:type="dxa"/>
            <w:vAlign w:val="center"/>
          </w:tcPr>
          <w:p w14:paraId="58C27D0A">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中标公告及中标通知书</w:t>
            </w:r>
          </w:p>
        </w:tc>
        <w:tc>
          <w:tcPr>
            <w:tcW w:w="6284" w:type="dxa"/>
            <w:vAlign w:val="center"/>
          </w:tcPr>
          <w:p w14:paraId="0D0C39EB">
            <w:pPr>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33</w:t>
            </w:r>
            <w:r>
              <w:rPr>
                <w:rFonts w:hint="eastAsia" w:ascii="宋体" w:hAnsi="宋体" w:cs="宋体"/>
                <w:color w:val="auto"/>
                <w:szCs w:val="21"/>
                <w:highlight w:val="none"/>
              </w:rPr>
              <w:t>.1采购代理机构于评标结束后两个工作日内将评标报告送交采购人，采购人应当自收到评标报告五个工作日内在评标报告推荐的中标候选人中按顺序确定中标供应商，采购代理机构在中标供应商确定之日起两个工作日内发出中标通知书，并在指定媒体上公告中标信息，</w:t>
            </w:r>
            <w:r>
              <w:rPr>
                <w:rFonts w:ascii="宋体" w:hAnsi="宋体" w:cs="宋体"/>
                <w:color w:val="auto"/>
                <w:szCs w:val="21"/>
                <w:highlight w:val="none"/>
              </w:rPr>
              <w:t>中标公告期限为1个工作日</w:t>
            </w:r>
            <w:r>
              <w:rPr>
                <w:rFonts w:hint="eastAsia" w:ascii="宋体" w:hAnsi="宋体" w:cs="宋体"/>
                <w:color w:val="auto"/>
                <w:szCs w:val="21"/>
                <w:highlight w:val="none"/>
              </w:rPr>
              <w:t>。</w:t>
            </w:r>
          </w:p>
          <w:p w14:paraId="7FF657C1">
            <w:pPr>
              <w:spacing w:line="400" w:lineRule="exac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.2中</w:t>
            </w:r>
            <w:r>
              <w:rPr>
                <w:rFonts w:ascii="宋体" w:hAnsi="宋体" w:cs="宋体"/>
                <w:color w:val="auto"/>
                <w:szCs w:val="21"/>
                <w:highlight w:val="none"/>
              </w:rPr>
              <w:t>标公告</w:t>
            </w:r>
            <w:r>
              <w:rPr>
                <w:rFonts w:hint="eastAsia" w:ascii="宋体" w:hAnsi="宋体" w:cs="宋体"/>
                <w:color w:val="auto"/>
                <w:szCs w:val="21"/>
                <w:highlight w:val="none"/>
              </w:rPr>
              <w:t>同时采购代理机构向中标供应商发出中标通知书。</w:t>
            </w:r>
          </w:p>
        </w:tc>
      </w:tr>
      <w:tr w14:paraId="4CCD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70" w:type="dxa"/>
            <w:vAlign w:val="center"/>
          </w:tcPr>
          <w:p w14:paraId="2D90B45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19</w:t>
            </w:r>
          </w:p>
        </w:tc>
        <w:tc>
          <w:tcPr>
            <w:tcW w:w="750" w:type="dxa"/>
            <w:vAlign w:val="center"/>
          </w:tcPr>
          <w:p w14:paraId="3E0BC04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34</w:t>
            </w:r>
          </w:p>
        </w:tc>
        <w:tc>
          <w:tcPr>
            <w:tcW w:w="1666" w:type="dxa"/>
            <w:vAlign w:val="center"/>
          </w:tcPr>
          <w:p w14:paraId="0B9A42A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284" w:type="dxa"/>
            <w:vAlign w:val="center"/>
          </w:tcPr>
          <w:p w14:paraId="59C924CD">
            <w:pPr>
              <w:spacing w:line="400" w:lineRule="exact"/>
              <w:rPr>
                <w:rFonts w:ascii="宋体" w:hAnsi="宋体" w:cs="宋体"/>
                <w:color w:val="auto"/>
                <w:szCs w:val="21"/>
                <w:highlight w:val="none"/>
              </w:rPr>
            </w:pPr>
            <w:r>
              <w:rPr>
                <w:rFonts w:hint="eastAsia" w:ascii="宋体" w:hAnsi="宋体" w:cs="宋体"/>
                <w:color w:val="auto"/>
                <w:szCs w:val="21"/>
                <w:highlight w:val="none"/>
              </w:rPr>
              <w:t>34.</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建设期履约担保：</w:t>
            </w:r>
          </w:p>
          <w:p w14:paraId="44B5FF45">
            <w:pPr>
              <w:spacing w:line="400" w:lineRule="exact"/>
              <w:rPr>
                <w:rFonts w:ascii="宋体" w:hAnsi="宋体" w:cs="宋体"/>
                <w:color w:val="auto"/>
                <w:szCs w:val="21"/>
                <w:highlight w:val="none"/>
              </w:rPr>
            </w:pPr>
            <w:r>
              <w:rPr>
                <w:rFonts w:hint="eastAsia" w:ascii="宋体" w:hAnsi="宋体" w:cs="宋体"/>
                <w:color w:val="auto"/>
                <w:szCs w:val="21"/>
                <w:highlight w:val="none"/>
              </w:rPr>
              <w:t>建设期履约担保金金额：不高于投资总额</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%（具体金额在采购结果确认谈判中谈判确定）</w:t>
            </w:r>
          </w:p>
          <w:p w14:paraId="5F5CAF5B">
            <w:pPr>
              <w:spacing w:line="400" w:lineRule="exact"/>
              <w:rPr>
                <w:rFonts w:ascii="宋体" w:hAnsi="宋体" w:cs="宋体"/>
                <w:color w:val="auto"/>
                <w:szCs w:val="21"/>
                <w:highlight w:val="none"/>
              </w:rPr>
            </w:pPr>
            <w:r>
              <w:rPr>
                <w:rFonts w:hint="eastAsia" w:ascii="宋体" w:hAnsi="宋体" w:cs="宋体"/>
                <w:color w:val="auto"/>
                <w:szCs w:val="21"/>
                <w:highlight w:val="none"/>
              </w:rPr>
              <w:t>34.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运营期履约担保：运营期履约担保金额：不高于投资总额</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%（具体金额在采购结果确认谈判中谈判确定）。</w:t>
            </w:r>
          </w:p>
          <w:p w14:paraId="03E3A5FE">
            <w:pPr>
              <w:spacing w:line="400" w:lineRule="exact"/>
              <w:rPr>
                <w:rFonts w:ascii="宋体" w:hAnsi="宋体" w:cs="宋体"/>
                <w:color w:val="auto"/>
                <w:szCs w:val="21"/>
                <w:highlight w:val="none"/>
              </w:rPr>
            </w:pPr>
            <w:r>
              <w:rPr>
                <w:rFonts w:hint="eastAsia" w:ascii="宋体" w:hAnsi="宋体" w:cs="宋体"/>
                <w:color w:val="auto"/>
                <w:szCs w:val="21"/>
                <w:highlight w:val="none"/>
              </w:rPr>
              <w:t>34.</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移交期期履约担保：移交期履约担保金额：不高于投资总额</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%（具体金额在采购结果确认谈判中谈判确定）。</w:t>
            </w:r>
          </w:p>
          <w:p w14:paraId="44E87AD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担保形式：</w:t>
            </w:r>
          </w:p>
          <w:p w14:paraId="0B710A5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履约担保的形式为银行保函或甲方认可的金融机构出具的保函，由政策性银行、国有商业银行、股份制商业银行、城市商业银行、农村信用社等经中国银行业监督管理委员会批准成立的银行机构或经甲方认可的金融机构出具；为见索即付保函。</w:t>
            </w:r>
          </w:p>
        </w:tc>
      </w:tr>
      <w:tr w14:paraId="0B60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70" w:type="dxa"/>
            <w:vAlign w:val="center"/>
          </w:tcPr>
          <w:p w14:paraId="4DC3B1DA">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20</w:t>
            </w:r>
          </w:p>
        </w:tc>
        <w:tc>
          <w:tcPr>
            <w:tcW w:w="750" w:type="dxa"/>
            <w:vAlign w:val="center"/>
          </w:tcPr>
          <w:p w14:paraId="3A938DC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35.1</w:t>
            </w:r>
          </w:p>
        </w:tc>
        <w:tc>
          <w:tcPr>
            <w:tcW w:w="1666" w:type="dxa"/>
            <w:vAlign w:val="center"/>
          </w:tcPr>
          <w:p w14:paraId="0034734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签订合同时间</w:t>
            </w:r>
          </w:p>
        </w:tc>
        <w:tc>
          <w:tcPr>
            <w:tcW w:w="6284" w:type="dxa"/>
            <w:vAlign w:val="center"/>
          </w:tcPr>
          <w:p w14:paraId="2380D21B">
            <w:pPr>
              <w:spacing w:line="400" w:lineRule="exact"/>
              <w:rPr>
                <w:rFonts w:ascii="宋体" w:hAnsi="宋体" w:cs="宋体"/>
                <w:color w:val="auto"/>
                <w:szCs w:val="21"/>
                <w:highlight w:val="none"/>
              </w:rPr>
            </w:pPr>
            <w:r>
              <w:rPr>
                <w:rFonts w:hint="eastAsia" w:ascii="宋体" w:hAnsi="宋体"/>
                <w:color w:val="auto"/>
                <w:szCs w:val="21"/>
                <w:highlight w:val="none"/>
              </w:rPr>
              <w:t>中标通知书发出之日起</w:t>
            </w:r>
            <w:r>
              <w:rPr>
                <w:rFonts w:hint="eastAsia" w:ascii="宋体" w:hAnsi="宋体"/>
                <w:color w:val="auto"/>
                <w:szCs w:val="21"/>
                <w:highlight w:val="none"/>
                <w:lang w:val="en-US" w:eastAsia="zh-CN"/>
              </w:rPr>
              <w:t>30</w:t>
            </w:r>
            <w:r>
              <w:rPr>
                <w:rFonts w:hint="eastAsia" w:ascii="宋体" w:hAnsi="宋体"/>
                <w:color w:val="auto"/>
                <w:szCs w:val="21"/>
                <w:highlight w:val="none"/>
              </w:rPr>
              <w:t>个工作日内。中标供应商领取中标通知书后，应按规定与采购人签订合同。</w:t>
            </w:r>
          </w:p>
        </w:tc>
      </w:tr>
      <w:tr w14:paraId="632E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70" w:type="dxa"/>
            <w:vAlign w:val="center"/>
          </w:tcPr>
          <w:p w14:paraId="42185FE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750" w:type="dxa"/>
            <w:vAlign w:val="center"/>
          </w:tcPr>
          <w:p w14:paraId="7C1EC45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35.4</w:t>
            </w:r>
          </w:p>
        </w:tc>
        <w:tc>
          <w:tcPr>
            <w:tcW w:w="1666" w:type="dxa"/>
            <w:vAlign w:val="center"/>
          </w:tcPr>
          <w:p w14:paraId="30FFEAF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合同备案存档</w:t>
            </w:r>
          </w:p>
        </w:tc>
        <w:tc>
          <w:tcPr>
            <w:tcW w:w="6284" w:type="dxa"/>
            <w:vAlign w:val="center"/>
          </w:tcPr>
          <w:p w14:paraId="0F5D87EC">
            <w:pPr>
              <w:spacing w:line="400" w:lineRule="exact"/>
              <w:rPr>
                <w:rFonts w:ascii="宋体" w:hAnsi="宋体" w:cs="宋体"/>
                <w:color w:val="auto"/>
                <w:szCs w:val="21"/>
                <w:highlight w:val="none"/>
              </w:rPr>
            </w:pPr>
            <w:r>
              <w:rPr>
                <w:rFonts w:hint="eastAsia" w:ascii="宋体" w:hAnsi="宋体"/>
                <w:color w:val="auto"/>
                <w:szCs w:val="21"/>
                <w:highlight w:val="none"/>
              </w:rPr>
              <w:t>政府采购合同双方自签订之日起1个工作日内将合同原件两份交采购代理机构。采购代理机构将政府采购合同在省级以上人民政府财政部门指定媒体上公告并于合同签订之日起7个工作日内将一份合同原件送</w:t>
            </w:r>
            <w:r>
              <w:rPr>
                <w:rFonts w:hint="eastAsia" w:ascii="宋体" w:hAnsi="宋体"/>
                <w:color w:val="auto"/>
                <w:highlight w:val="none"/>
                <w:lang w:eastAsia="zh-CN"/>
              </w:rPr>
              <w:t>桂林市秀峰区政府采购管理办公室</w:t>
            </w:r>
            <w:r>
              <w:rPr>
                <w:rFonts w:hint="eastAsia" w:ascii="宋体" w:hAnsi="宋体"/>
                <w:color w:val="auto"/>
                <w:szCs w:val="21"/>
                <w:highlight w:val="none"/>
              </w:rPr>
              <w:t>备案，一份由采购代理机构存档。</w:t>
            </w:r>
          </w:p>
        </w:tc>
      </w:tr>
      <w:tr w14:paraId="61F1C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70" w:type="dxa"/>
            <w:vAlign w:val="center"/>
          </w:tcPr>
          <w:p w14:paraId="2C3F1A1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22</w:t>
            </w:r>
          </w:p>
        </w:tc>
        <w:tc>
          <w:tcPr>
            <w:tcW w:w="750" w:type="dxa"/>
            <w:vAlign w:val="center"/>
          </w:tcPr>
          <w:p w14:paraId="425C0F4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36</w:t>
            </w:r>
          </w:p>
        </w:tc>
        <w:tc>
          <w:tcPr>
            <w:tcW w:w="1666" w:type="dxa"/>
            <w:vAlign w:val="center"/>
          </w:tcPr>
          <w:p w14:paraId="2E9584FD">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招标代理服务费</w:t>
            </w:r>
          </w:p>
        </w:tc>
        <w:tc>
          <w:tcPr>
            <w:tcW w:w="6284" w:type="dxa"/>
            <w:vAlign w:val="center"/>
          </w:tcPr>
          <w:p w14:paraId="4D5FE0E6">
            <w:pPr>
              <w:pStyle w:val="31"/>
              <w:spacing w:line="400" w:lineRule="exact"/>
              <w:rPr>
                <w:color w:val="auto"/>
                <w:szCs w:val="21"/>
                <w:highlight w:val="none"/>
              </w:rPr>
            </w:pPr>
            <w:r>
              <w:rPr>
                <w:rFonts w:hint="eastAsia" w:hAnsi="宋体" w:cs="宋体"/>
                <w:color w:val="auto"/>
                <w:szCs w:val="21"/>
                <w:highlight w:val="none"/>
              </w:rPr>
              <w:t>本项目招标代理服务费由中标人支付，收费标准为</w:t>
            </w:r>
            <w:r>
              <w:rPr>
                <w:rFonts w:hint="eastAsia" w:hAnsi="宋体" w:cs="宋体"/>
                <w:color w:val="auto"/>
                <w:szCs w:val="21"/>
                <w:highlight w:val="none"/>
                <w:lang w:eastAsia="zh-CN"/>
              </w:rPr>
              <w:t>：</w:t>
            </w:r>
            <w:r>
              <w:rPr>
                <w:rFonts w:hint="eastAsia" w:hAnsi="宋体" w:cs="宋体"/>
                <w:color w:val="auto"/>
                <w:szCs w:val="21"/>
                <w:highlight w:val="none"/>
              </w:rPr>
              <w:t>以</w:t>
            </w:r>
            <w:r>
              <w:rPr>
                <w:rFonts w:hint="eastAsia" w:hAnsi="宋体" w:cs="宋体"/>
                <w:color w:val="auto"/>
                <w:szCs w:val="21"/>
                <w:highlight w:val="none"/>
                <w:lang w:val="en-US" w:eastAsia="zh-CN"/>
              </w:rPr>
              <w:t>中标</w:t>
            </w:r>
            <w:r>
              <w:rPr>
                <w:rFonts w:hint="eastAsia" w:hAnsi="宋体" w:cs="宋体"/>
                <w:color w:val="auto"/>
                <w:szCs w:val="21"/>
                <w:highlight w:val="none"/>
              </w:rPr>
              <w:t>金额为基数，参照计价格[2002]1980号《招标代理服务收费管理暂行办法》</w:t>
            </w:r>
            <w:r>
              <w:rPr>
                <w:rFonts w:hint="eastAsia" w:hAnsi="宋体" w:cs="宋体"/>
                <w:color w:val="auto"/>
                <w:szCs w:val="21"/>
                <w:highlight w:val="none"/>
                <w:lang w:val="en-US" w:eastAsia="zh-CN"/>
              </w:rPr>
              <w:t>服务类</w:t>
            </w:r>
            <w:r>
              <w:rPr>
                <w:rFonts w:hint="eastAsia" w:hAnsi="宋体" w:cs="宋体"/>
                <w:color w:val="auto"/>
                <w:szCs w:val="21"/>
                <w:highlight w:val="none"/>
              </w:rPr>
              <w:t>收费标准。</w:t>
            </w:r>
          </w:p>
        </w:tc>
      </w:tr>
      <w:tr w14:paraId="594F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570" w:type="dxa"/>
            <w:vAlign w:val="center"/>
          </w:tcPr>
          <w:p w14:paraId="268EC57D">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23</w:t>
            </w:r>
          </w:p>
        </w:tc>
        <w:tc>
          <w:tcPr>
            <w:tcW w:w="750" w:type="dxa"/>
            <w:vAlign w:val="center"/>
          </w:tcPr>
          <w:p w14:paraId="58470B4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38</w:t>
            </w:r>
          </w:p>
        </w:tc>
        <w:tc>
          <w:tcPr>
            <w:tcW w:w="1666" w:type="dxa"/>
            <w:vAlign w:val="center"/>
          </w:tcPr>
          <w:p w14:paraId="3E6892F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解释权</w:t>
            </w:r>
          </w:p>
        </w:tc>
        <w:tc>
          <w:tcPr>
            <w:tcW w:w="6284" w:type="dxa"/>
            <w:vAlign w:val="center"/>
          </w:tcPr>
          <w:p w14:paraId="610753D8">
            <w:pPr>
              <w:spacing w:line="400" w:lineRule="exact"/>
              <w:rPr>
                <w:rFonts w:ascii="宋体" w:hAnsi="宋体" w:cs="宋体"/>
                <w:color w:val="auto"/>
                <w:szCs w:val="21"/>
                <w:highlight w:val="none"/>
              </w:rPr>
            </w:pPr>
            <w:r>
              <w:rPr>
                <w:rFonts w:hint="eastAsia" w:ascii="宋体" w:hAnsi="宋体" w:cs="宋体"/>
                <w:color w:val="auto"/>
                <w:szCs w:val="21"/>
                <w:highlight w:val="none"/>
              </w:rPr>
              <w:t>本招标文件是根据《中华人民共和国政府采购法》、《中华人民共和国政府采购法实施条例》及</w:t>
            </w:r>
            <w:r>
              <w:rPr>
                <w:rFonts w:hint="eastAsia" w:ascii="宋体" w:hAnsi="宋体" w:cs="宋体"/>
                <w:bCs/>
                <w:color w:val="auto"/>
                <w:szCs w:val="21"/>
                <w:highlight w:val="none"/>
              </w:rPr>
              <w:t>财政部令第87号</w:t>
            </w:r>
            <w:r>
              <w:rPr>
                <w:rFonts w:hint="eastAsia" w:ascii="宋体" w:hAnsi="宋体" w:cs="宋体"/>
                <w:color w:val="auto"/>
                <w:szCs w:val="21"/>
                <w:highlight w:val="none"/>
              </w:rPr>
              <w:t>《政府采购货物和服务招标投标管理办法》等相关规定编制，本招标文件的解释权属于采购代理机构。</w:t>
            </w:r>
          </w:p>
        </w:tc>
      </w:tr>
      <w:tr w14:paraId="34F7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70" w:type="dxa"/>
            <w:vAlign w:val="center"/>
          </w:tcPr>
          <w:p w14:paraId="68BD9665">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24</w:t>
            </w:r>
          </w:p>
        </w:tc>
        <w:tc>
          <w:tcPr>
            <w:tcW w:w="750" w:type="dxa"/>
            <w:vAlign w:val="center"/>
          </w:tcPr>
          <w:p w14:paraId="5294F55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39</w:t>
            </w:r>
          </w:p>
        </w:tc>
        <w:tc>
          <w:tcPr>
            <w:tcW w:w="1666" w:type="dxa"/>
            <w:vAlign w:val="center"/>
          </w:tcPr>
          <w:p w14:paraId="3E6CF6AD">
            <w:pPr>
              <w:spacing w:line="400" w:lineRule="exact"/>
              <w:jc w:val="center"/>
              <w:rPr>
                <w:rFonts w:ascii="宋体" w:hAnsi="宋体" w:cs="宋体"/>
                <w:color w:val="auto"/>
                <w:position w:val="10"/>
                <w:szCs w:val="21"/>
                <w:highlight w:val="none"/>
              </w:rPr>
            </w:pPr>
            <w:r>
              <w:rPr>
                <w:rFonts w:hint="eastAsia" w:ascii="宋体" w:hAnsi="宋体" w:cs="宋体"/>
                <w:color w:val="auto"/>
                <w:szCs w:val="21"/>
                <w:highlight w:val="none"/>
              </w:rPr>
              <w:t>监督管理机构</w:t>
            </w:r>
          </w:p>
        </w:tc>
        <w:tc>
          <w:tcPr>
            <w:tcW w:w="6284" w:type="dxa"/>
            <w:vAlign w:val="center"/>
          </w:tcPr>
          <w:p w14:paraId="1E242C35">
            <w:pPr>
              <w:spacing w:line="400" w:lineRule="exact"/>
              <w:rPr>
                <w:rFonts w:ascii="宋体" w:hAnsi="宋体" w:cs="宋体"/>
                <w:color w:val="auto"/>
                <w:szCs w:val="21"/>
                <w:highlight w:val="none"/>
              </w:rPr>
            </w:pPr>
            <w:r>
              <w:rPr>
                <w:rFonts w:hint="eastAsia" w:ascii="宋体" w:hAnsi="宋体" w:cs="宋体"/>
                <w:color w:val="auto"/>
                <w:szCs w:val="21"/>
                <w:highlight w:val="none"/>
                <w:lang w:eastAsia="zh-CN"/>
              </w:rPr>
              <w:t>桂林市秀峰区政府采购管理办公室</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0773-2831930</w:t>
            </w:r>
          </w:p>
        </w:tc>
      </w:tr>
    </w:tbl>
    <w:p w14:paraId="1E2BB74E">
      <w:pPr>
        <w:spacing w:line="400" w:lineRule="exact"/>
        <w:ind w:firstLine="551" w:firstLineChars="196"/>
        <w:jc w:val="center"/>
        <w:rPr>
          <w:rFonts w:ascii="宋体" w:hAnsi="宋体"/>
          <w:b/>
          <w:color w:val="auto"/>
          <w:sz w:val="28"/>
          <w:szCs w:val="28"/>
          <w:highlight w:val="none"/>
        </w:rPr>
      </w:pPr>
    </w:p>
    <w:p w14:paraId="554DDCC4">
      <w:pPr>
        <w:spacing w:line="400" w:lineRule="exact"/>
        <w:ind w:firstLine="551" w:firstLineChars="196"/>
        <w:jc w:val="center"/>
        <w:rPr>
          <w:rFonts w:ascii="宋体" w:hAnsi="宋体"/>
          <w:b/>
          <w:color w:val="auto"/>
          <w:sz w:val="28"/>
          <w:szCs w:val="28"/>
          <w:highlight w:val="none"/>
        </w:rPr>
      </w:pPr>
      <w:r>
        <w:rPr>
          <w:rFonts w:hint="eastAsia" w:ascii="宋体" w:hAnsi="宋体"/>
          <w:b/>
          <w:color w:val="auto"/>
          <w:sz w:val="28"/>
          <w:szCs w:val="28"/>
          <w:highlight w:val="none"/>
        </w:rPr>
        <w:br w:type="page"/>
      </w:r>
      <w:r>
        <w:rPr>
          <w:rFonts w:hint="eastAsia" w:ascii="宋体" w:hAnsi="宋体"/>
          <w:b/>
          <w:color w:val="auto"/>
          <w:sz w:val="28"/>
          <w:szCs w:val="28"/>
          <w:highlight w:val="none"/>
        </w:rPr>
        <w:t>一、总则</w:t>
      </w:r>
    </w:p>
    <w:p w14:paraId="6333BC63">
      <w:pPr>
        <w:spacing w:line="400" w:lineRule="exact"/>
        <w:ind w:firstLine="413" w:firstLineChars="196"/>
        <w:rPr>
          <w:rFonts w:ascii="宋体" w:hAnsi="宋体" w:cs="宋体"/>
          <w:b/>
          <w:color w:val="auto"/>
          <w:szCs w:val="21"/>
          <w:highlight w:val="none"/>
        </w:rPr>
      </w:pPr>
      <w:r>
        <w:rPr>
          <w:rFonts w:hint="eastAsia" w:ascii="宋体" w:hAnsi="宋体" w:cs="宋体"/>
          <w:b/>
          <w:color w:val="auto"/>
          <w:szCs w:val="21"/>
          <w:highlight w:val="none"/>
        </w:rPr>
        <w:t>1. 项目名称及项目编号</w:t>
      </w:r>
    </w:p>
    <w:p w14:paraId="27957517">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桂林市秀峰区长海社区卫生服务中心建设项目</w:t>
      </w:r>
    </w:p>
    <w:p w14:paraId="25064E93">
      <w:pPr>
        <w:spacing w:line="400" w:lineRule="exact"/>
        <w:ind w:firstLine="411" w:firstLineChars="196"/>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GLZC2025-G3-990532-JZZB</w:t>
      </w:r>
    </w:p>
    <w:p w14:paraId="396A10F9">
      <w:pPr>
        <w:spacing w:line="400" w:lineRule="exact"/>
        <w:ind w:firstLine="413" w:firstLineChars="196"/>
        <w:rPr>
          <w:rFonts w:ascii="宋体" w:hAnsi="宋体" w:cs="宋体"/>
          <w:b/>
          <w:color w:val="auto"/>
          <w:szCs w:val="21"/>
          <w:highlight w:val="none"/>
        </w:rPr>
      </w:pPr>
      <w:r>
        <w:rPr>
          <w:rFonts w:hint="eastAsia" w:ascii="宋体" w:hAnsi="宋体" w:cs="宋体"/>
          <w:b/>
          <w:color w:val="auto"/>
          <w:szCs w:val="21"/>
          <w:highlight w:val="none"/>
        </w:rPr>
        <w:t>2. 适应范围</w:t>
      </w:r>
    </w:p>
    <w:p w14:paraId="04BACC0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本招标文件适用本招标采购项目的招标、投标、评标、合同履约、验收、付款等行为（法律、法规另有规定的，从其规定）。</w:t>
      </w:r>
    </w:p>
    <w:p w14:paraId="240DBAEB">
      <w:pPr>
        <w:spacing w:line="400" w:lineRule="exact"/>
        <w:ind w:firstLine="435"/>
        <w:rPr>
          <w:rFonts w:ascii="宋体" w:hAnsi="宋体" w:cs="宋体"/>
          <w:b/>
          <w:color w:val="auto"/>
          <w:szCs w:val="21"/>
          <w:highlight w:val="none"/>
        </w:rPr>
      </w:pPr>
      <w:r>
        <w:rPr>
          <w:rFonts w:hint="eastAsia" w:ascii="宋体" w:hAnsi="宋体" w:cs="宋体"/>
          <w:b/>
          <w:color w:val="auto"/>
          <w:szCs w:val="21"/>
          <w:highlight w:val="none"/>
        </w:rPr>
        <w:t>3. 定义</w:t>
      </w:r>
    </w:p>
    <w:p w14:paraId="02379E96">
      <w:pPr>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3.1“项目实施机构”是指组织本次招标的项目实施机构（采购人）。</w:t>
      </w:r>
    </w:p>
    <w:p w14:paraId="691278E6">
      <w:pPr>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3.2“投标人”是指向招标方提交投标文件的投标人。</w:t>
      </w:r>
    </w:p>
    <w:p w14:paraId="1C92D902">
      <w:pPr>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3.3“货物”系指按招标文件规定，投标人须向项目实施机构提供的一切设备、保险、税金、备品备件、工具、手册及其它有关技术资料和材料。</w:t>
      </w:r>
    </w:p>
    <w:p w14:paraId="32D44C84">
      <w:pPr>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3.4“服务”系指招标文件规定，投标人须承担的安装、调试、技术协助、校准、培训、技术指导以及其他类似的义务。</w:t>
      </w:r>
    </w:p>
    <w:p w14:paraId="22F646DA">
      <w:pPr>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3.5“项目”系指投标人按招标文件规定向项目实施机构提供的货物和服务。</w:t>
      </w:r>
    </w:p>
    <w:p w14:paraId="13A60032">
      <w:pPr>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3.6“书面形式”包括信函、传真、电报。</w:t>
      </w:r>
    </w:p>
    <w:p w14:paraId="3D7CB7FD">
      <w:pPr>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3.7“中标候选投标人”系指评审小组所出具的评审报告推荐的投标人。</w:t>
      </w:r>
    </w:p>
    <w:p w14:paraId="1C101FFD">
      <w:pPr>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3.8“预中标投标人”系指采购结果确认谈判工作中率先与采购结果确认谈判工作组谈判达成一致的投标人。</w:t>
      </w:r>
    </w:p>
    <w:p w14:paraId="42881CBD">
      <w:pPr>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3.9“中标投标人”是指预中标结果公示无异议，获得本项目采购合同签订资格的投标人。</w:t>
      </w:r>
    </w:p>
    <w:p w14:paraId="272C5B8C">
      <w:pPr>
        <w:spacing w:line="400" w:lineRule="exact"/>
        <w:ind w:firstLine="435"/>
        <w:rPr>
          <w:rFonts w:ascii="宋体" w:hAnsi="宋体" w:cs="宋体"/>
          <w:b/>
          <w:color w:val="auto"/>
          <w:szCs w:val="21"/>
          <w:highlight w:val="none"/>
        </w:rPr>
      </w:pPr>
      <w:r>
        <w:rPr>
          <w:rFonts w:hint="eastAsia" w:ascii="宋体" w:hAnsi="宋体" w:cs="宋体"/>
          <w:b/>
          <w:color w:val="auto"/>
          <w:szCs w:val="21"/>
          <w:highlight w:val="none"/>
        </w:rPr>
        <w:t>4. 招标方式、评分办法</w:t>
      </w:r>
    </w:p>
    <w:p w14:paraId="547834D5">
      <w:pPr>
        <w:spacing w:line="400" w:lineRule="exact"/>
        <w:ind w:firstLine="749" w:firstLineChars="357"/>
        <w:rPr>
          <w:rFonts w:ascii="宋体" w:hAnsi="宋体" w:cs="宋体"/>
          <w:color w:val="auto"/>
          <w:szCs w:val="21"/>
          <w:highlight w:val="none"/>
        </w:rPr>
      </w:pPr>
      <w:r>
        <w:rPr>
          <w:rFonts w:hint="eastAsia" w:ascii="宋体" w:hAnsi="宋体" w:cs="宋体"/>
          <w:color w:val="auto"/>
          <w:szCs w:val="21"/>
          <w:highlight w:val="none"/>
        </w:rPr>
        <w:t>公开招标、综合评分法</w:t>
      </w:r>
    </w:p>
    <w:p w14:paraId="624A0C38">
      <w:pPr>
        <w:spacing w:line="400" w:lineRule="exact"/>
        <w:ind w:firstLine="435"/>
        <w:rPr>
          <w:rFonts w:ascii="宋体" w:hAnsi="宋体" w:cs="宋体"/>
          <w:b/>
          <w:color w:val="auto"/>
          <w:szCs w:val="21"/>
          <w:highlight w:val="none"/>
        </w:rPr>
      </w:pPr>
      <w:r>
        <w:rPr>
          <w:rFonts w:hint="eastAsia" w:ascii="宋体" w:hAnsi="宋体" w:cs="宋体"/>
          <w:b/>
          <w:color w:val="auto"/>
          <w:szCs w:val="21"/>
          <w:highlight w:val="none"/>
        </w:rPr>
        <w:t>5. 投标人资格</w:t>
      </w:r>
    </w:p>
    <w:p w14:paraId="5AB1D642">
      <w:pPr>
        <w:spacing w:line="400" w:lineRule="exact"/>
        <w:rPr>
          <w:rFonts w:hint="eastAsia" w:ascii="宋体" w:hAnsi="宋体" w:cs="宋体"/>
          <w:b w:val="0"/>
          <w:bCs/>
          <w:color w:val="auto"/>
          <w:szCs w:val="21"/>
          <w:highlight w:val="none"/>
        </w:rPr>
      </w:pPr>
      <w:r>
        <w:rPr>
          <w:rFonts w:hint="eastAsia" w:ascii="宋体" w:hAnsi="宋体" w:cs="宋体"/>
          <w:b w:val="0"/>
          <w:bCs/>
          <w:color w:val="auto"/>
          <w:szCs w:val="21"/>
          <w:highlight w:val="none"/>
        </w:rPr>
        <w:t>5.1仅限于已经通过</w:t>
      </w:r>
      <w:r>
        <w:rPr>
          <w:rFonts w:hint="eastAsia" w:ascii="宋体" w:hAnsi="宋体" w:cs="宋体"/>
          <w:color w:val="auto"/>
          <w:szCs w:val="21"/>
          <w:highlight w:val="none"/>
          <w:lang w:eastAsia="zh-CN"/>
        </w:rPr>
        <w:t>桂林市秀峰区长海社区卫生服务中心建设项目</w:t>
      </w:r>
      <w:r>
        <w:rPr>
          <w:rFonts w:hint="eastAsia" w:ascii="宋体" w:hAnsi="宋体" w:cs="宋体"/>
          <w:b w:val="0"/>
          <w:bCs/>
          <w:color w:val="auto"/>
          <w:szCs w:val="21"/>
          <w:highlight w:val="none"/>
        </w:rPr>
        <w:t>资格预审的投标人。</w:t>
      </w:r>
    </w:p>
    <w:p w14:paraId="1F8D4F03">
      <w:pPr>
        <w:spacing w:line="400" w:lineRule="exact"/>
        <w:ind w:firstLine="435"/>
        <w:rPr>
          <w:rFonts w:hint="eastAsia" w:ascii="宋体" w:hAnsi="宋体" w:cs="宋体"/>
          <w:b w:val="0"/>
          <w:bCs/>
          <w:color w:val="auto"/>
          <w:szCs w:val="21"/>
          <w:highlight w:val="none"/>
        </w:rPr>
      </w:pPr>
      <w:r>
        <w:rPr>
          <w:rFonts w:hint="eastAsia" w:ascii="宋体" w:hAnsi="宋体" w:cs="宋体"/>
          <w:b w:val="0"/>
          <w:bCs/>
          <w:color w:val="auto"/>
          <w:szCs w:val="21"/>
          <w:highlight w:val="none"/>
        </w:rPr>
        <w:t>5.</w:t>
      </w:r>
      <w:r>
        <w:rPr>
          <w:rFonts w:hint="eastAsia" w:ascii="宋体" w:hAnsi="宋体" w:cs="宋体"/>
          <w:b w:val="0"/>
          <w:bCs/>
          <w:color w:val="auto"/>
          <w:szCs w:val="21"/>
          <w:highlight w:val="none"/>
          <w:lang w:val="en-US" w:eastAsia="zh-CN"/>
        </w:rPr>
        <w:t>2</w:t>
      </w:r>
      <w:r>
        <w:rPr>
          <w:rFonts w:hint="eastAsia" w:ascii="宋体" w:hAnsi="宋体" w:cs="宋体"/>
          <w:b w:val="0"/>
          <w:bCs/>
          <w:color w:val="auto"/>
          <w:szCs w:val="21"/>
          <w:highlight w:val="none"/>
        </w:rPr>
        <w:t xml:space="preserve"> 满足《中华人民共和国政府采购法》第二十二条规定；</w:t>
      </w:r>
    </w:p>
    <w:p w14:paraId="7F7B7A4B">
      <w:pPr>
        <w:spacing w:line="400" w:lineRule="exact"/>
        <w:ind w:firstLine="435"/>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5.3</w:t>
      </w:r>
      <w:r>
        <w:rPr>
          <w:rFonts w:hint="eastAsia" w:ascii="宋体" w:hAnsi="宋体" w:cs="宋体"/>
          <w:b w:val="0"/>
          <w:bCs/>
          <w:color w:val="auto"/>
          <w:szCs w:val="21"/>
          <w:highlight w:val="none"/>
        </w:rPr>
        <w:t>.对在“信用中国”网站（www.creditchina.gov.cn）渠道列入失信被执行人、重大税收违法案件当事人名单、政府采购严重违法失信行为记录名单的供应商，不得参与本项目采购活动。</w:t>
      </w:r>
    </w:p>
    <w:p w14:paraId="2BA43F53">
      <w:pPr>
        <w:spacing w:line="400" w:lineRule="exact"/>
        <w:ind w:firstLine="435"/>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5.4</w:t>
      </w:r>
      <w:r>
        <w:rPr>
          <w:rFonts w:hint="eastAsia" w:ascii="宋体" w:hAnsi="宋体" w:cs="宋体"/>
          <w:b w:val="0"/>
          <w:bCs/>
          <w:color w:val="auto"/>
          <w:szCs w:val="21"/>
          <w:highlight w:val="none"/>
        </w:rPr>
        <w:t>.单位负责人为同一人或者存在直接控股、管理关系的不同供应商，不得参加同一合同项下的采购活动。</w:t>
      </w:r>
    </w:p>
    <w:p w14:paraId="3051C735">
      <w:pPr>
        <w:spacing w:line="400" w:lineRule="exact"/>
        <w:ind w:firstLine="435"/>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5.5</w:t>
      </w:r>
      <w:r>
        <w:rPr>
          <w:rFonts w:hint="eastAsia" w:ascii="宋体" w:hAnsi="宋体" w:cs="宋体"/>
          <w:b w:val="0"/>
          <w:bCs/>
          <w:color w:val="auto"/>
          <w:szCs w:val="21"/>
          <w:highlight w:val="none"/>
        </w:rPr>
        <w:t>.本项目的特定资格要求：无</w:t>
      </w:r>
    </w:p>
    <w:p w14:paraId="0E26469A">
      <w:pPr>
        <w:spacing w:line="400" w:lineRule="exact"/>
        <w:ind w:firstLine="435"/>
        <w:rPr>
          <w:rFonts w:ascii="宋体" w:hAnsi="宋体" w:cs="宋体"/>
          <w:b/>
          <w:color w:val="auto"/>
          <w:szCs w:val="21"/>
          <w:highlight w:val="none"/>
        </w:rPr>
      </w:pPr>
      <w:r>
        <w:rPr>
          <w:rFonts w:hint="eastAsia" w:ascii="宋体" w:hAnsi="宋体" w:cs="宋体"/>
          <w:b/>
          <w:color w:val="auto"/>
          <w:szCs w:val="21"/>
          <w:highlight w:val="none"/>
        </w:rPr>
        <w:t>6. 投标费用</w:t>
      </w:r>
    </w:p>
    <w:p w14:paraId="5CB856F0">
      <w:pPr>
        <w:spacing w:line="400" w:lineRule="exact"/>
        <w:ind w:firstLine="435"/>
        <w:rPr>
          <w:rFonts w:ascii="宋体" w:hAnsi="宋体" w:cs="宋体"/>
          <w:b/>
          <w:color w:val="auto"/>
          <w:szCs w:val="21"/>
          <w:highlight w:val="none"/>
        </w:rPr>
      </w:pPr>
      <w:r>
        <w:rPr>
          <w:rFonts w:hint="eastAsia" w:ascii="宋体" w:hAnsi="宋体" w:cs="宋体"/>
          <w:color w:val="auto"/>
          <w:szCs w:val="21"/>
          <w:highlight w:val="none"/>
        </w:rPr>
        <w:t>不论投标结果如何，投标人均应自行承担所有与投标有关的全部费用。</w:t>
      </w:r>
    </w:p>
    <w:p w14:paraId="24B9C9C1">
      <w:pPr>
        <w:tabs>
          <w:tab w:val="left" w:pos="1635"/>
        </w:tabs>
        <w:spacing w:line="400" w:lineRule="exact"/>
        <w:ind w:firstLine="435"/>
        <w:rPr>
          <w:rFonts w:ascii="宋体" w:hAnsi="宋体" w:cs="宋体"/>
          <w:b/>
          <w:color w:val="auto"/>
          <w:szCs w:val="21"/>
          <w:highlight w:val="none"/>
        </w:rPr>
      </w:pPr>
      <w:r>
        <w:rPr>
          <w:rFonts w:hint="eastAsia" w:ascii="宋体" w:hAnsi="宋体" w:cs="宋体"/>
          <w:b/>
          <w:color w:val="auto"/>
          <w:szCs w:val="21"/>
          <w:highlight w:val="none"/>
        </w:rPr>
        <w:t>7. 联合体投标要求</w:t>
      </w:r>
    </w:p>
    <w:p w14:paraId="29FF82AF">
      <w:pPr>
        <w:tabs>
          <w:tab w:val="left" w:pos="1635"/>
        </w:tabs>
        <w:spacing w:line="400" w:lineRule="exact"/>
        <w:ind w:firstLine="435"/>
        <w:rPr>
          <w:rFonts w:hint="eastAsia" w:ascii="宋体" w:hAnsi="宋体"/>
          <w:color w:val="auto"/>
          <w:szCs w:val="21"/>
          <w:highlight w:val="none"/>
        </w:rPr>
      </w:pPr>
      <w:r>
        <w:rPr>
          <w:rFonts w:hint="eastAsia" w:ascii="宋体" w:hAnsi="宋体"/>
          <w:color w:val="auto"/>
          <w:szCs w:val="21"/>
          <w:highlight w:val="none"/>
        </w:rPr>
        <w:t>本项目不接受联合体投标。</w:t>
      </w:r>
    </w:p>
    <w:p w14:paraId="34558B21">
      <w:pPr>
        <w:tabs>
          <w:tab w:val="left" w:pos="1635"/>
        </w:tabs>
        <w:spacing w:line="400" w:lineRule="exact"/>
        <w:ind w:firstLine="435"/>
        <w:rPr>
          <w:rFonts w:ascii="宋体" w:hAnsi="宋体" w:cs="宋体"/>
          <w:b/>
          <w:color w:val="auto"/>
          <w:szCs w:val="21"/>
          <w:highlight w:val="none"/>
        </w:rPr>
      </w:pPr>
      <w:r>
        <w:rPr>
          <w:rFonts w:hint="eastAsia" w:ascii="宋体" w:hAnsi="宋体" w:cs="宋体"/>
          <w:b/>
          <w:color w:val="auto"/>
          <w:szCs w:val="21"/>
          <w:highlight w:val="none"/>
        </w:rPr>
        <w:t>8. 转包与分包</w:t>
      </w:r>
    </w:p>
    <w:p w14:paraId="396A6781">
      <w:pPr>
        <w:tabs>
          <w:tab w:val="left" w:pos="1635"/>
        </w:tabs>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8.1本项目不允许转包。</w:t>
      </w:r>
    </w:p>
    <w:p w14:paraId="06951265">
      <w:pPr>
        <w:tabs>
          <w:tab w:val="left" w:pos="1635"/>
        </w:tabs>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8.2本项目不允许分包。</w:t>
      </w:r>
    </w:p>
    <w:p w14:paraId="2E1A5E29">
      <w:pPr>
        <w:tabs>
          <w:tab w:val="left" w:pos="1635"/>
        </w:tabs>
        <w:spacing w:line="400" w:lineRule="exact"/>
        <w:ind w:firstLine="435"/>
        <w:rPr>
          <w:rFonts w:ascii="宋体" w:hAnsi="宋体" w:cs="宋体"/>
          <w:b/>
          <w:color w:val="auto"/>
          <w:szCs w:val="21"/>
          <w:highlight w:val="none"/>
        </w:rPr>
      </w:pPr>
      <w:r>
        <w:rPr>
          <w:rFonts w:hint="eastAsia" w:ascii="宋体" w:hAnsi="宋体" w:cs="宋体"/>
          <w:b/>
          <w:color w:val="auto"/>
          <w:szCs w:val="21"/>
          <w:highlight w:val="none"/>
        </w:rPr>
        <w:t>9. 特别说明</w:t>
      </w:r>
    </w:p>
    <w:p w14:paraId="146DD150">
      <w:pPr>
        <w:tabs>
          <w:tab w:val="left" w:pos="1635"/>
        </w:tabs>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9.1关联投标人不得参加同一合同项下政府采购活动，否则投标文件将被视为无效：</w:t>
      </w:r>
    </w:p>
    <w:p w14:paraId="6495E379">
      <w:pPr>
        <w:tabs>
          <w:tab w:val="left" w:pos="1635"/>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（1）单位负责人为同一人或者存在直接控股、管理关系的不同投标人，不得参加同一合同项下的政府采购活动。</w:t>
      </w:r>
    </w:p>
    <w:p w14:paraId="75BF5DF8">
      <w:pPr>
        <w:tabs>
          <w:tab w:val="left" w:pos="1635"/>
        </w:tabs>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（2）为本采购项目提供整体设计、规范编制或者项目管理、监理、检测等服务的投标人，不得再参加本次采购活动。</w:t>
      </w:r>
    </w:p>
    <w:p w14:paraId="37F80A5B">
      <w:pPr>
        <w:tabs>
          <w:tab w:val="left" w:pos="1635"/>
        </w:tabs>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9.2投标人应仔细阅读招标文件的所有内容，按照招标文件的要求提交投标文件，并对所提供的全部资料的真实性承担法律责任。</w:t>
      </w:r>
    </w:p>
    <w:p w14:paraId="67E9B807">
      <w:pPr>
        <w:tabs>
          <w:tab w:val="left" w:pos="1635"/>
        </w:tabs>
        <w:spacing w:line="400" w:lineRule="exact"/>
        <w:ind w:firstLine="435"/>
        <w:rPr>
          <w:rFonts w:ascii="宋体" w:hAnsi="宋体" w:cs="宋体"/>
          <w:b/>
          <w:color w:val="auto"/>
          <w:szCs w:val="21"/>
          <w:highlight w:val="none"/>
        </w:rPr>
      </w:pPr>
      <w:r>
        <w:rPr>
          <w:rFonts w:hint="eastAsia" w:ascii="宋体" w:hAnsi="宋体" w:cs="宋体"/>
          <w:color w:val="auto"/>
          <w:szCs w:val="21"/>
          <w:highlight w:val="none"/>
        </w:rPr>
        <w:t>9.3投标人在投标活动中提供任何虚假材料，其投标无效，并报监管部门查处；中标后发现的，中标人须依照《中华人民共和国消费者权益保护法》赔偿招标人，且民事赔偿并不免除违法投标人的行政与刑事责任。</w:t>
      </w:r>
    </w:p>
    <w:p w14:paraId="69414751">
      <w:pPr>
        <w:tabs>
          <w:tab w:val="left" w:pos="2190"/>
        </w:tabs>
        <w:spacing w:line="400" w:lineRule="exact"/>
        <w:ind w:firstLine="413" w:firstLineChars="196"/>
        <w:rPr>
          <w:rFonts w:ascii="宋体" w:hAnsi="宋体" w:cs="宋体"/>
          <w:b/>
          <w:color w:val="auto"/>
          <w:szCs w:val="21"/>
          <w:highlight w:val="none"/>
        </w:rPr>
      </w:pPr>
      <w:r>
        <w:rPr>
          <w:rFonts w:hint="eastAsia" w:ascii="宋体" w:hAnsi="宋体" w:cs="宋体"/>
          <w:b/>
          <w:color w:val="auto"/>
          <w:szCs w:val="21"/>
          <w:highlight w:val="none"/>
        </w:rPr>
        <w:t>10. 质疑和投诉</w:t>
      </w:r>
      <w:r>
        <w:rPr>
          <w:rFonts w:hint="eastAsia" w:ascii="宋体" w:hAnsi="宋体" w:cs="宋体"/>
          <w:b/>
          <w:color w:val="auto"/>
          <w:szCs w:val="21"/>
          <w:highlight w:val="none"/>
        </w:rPr>
        <w:tab/>
      </w:r>
    </w:p>
    <w:p w14:paraId="6E127200">
      <w:pPr>
        <w:tabs>
          <w:tab w:val="left" w:pos="2190"/>
        </w:tabs>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10.1投标人认为招标文件使自己的合法权益受到损害的，应当在本项目招标公告期限届满之日起7个工作日内以书面形式向采购代理机构提出质疑。投标人认为招标过程或中标结果使自己的合法权益受到损害的，应当在采购程序环节结束之日或中标公告期限届满之日起七个工作日内，以书面形式向采购代理机构提出质疑。采购代理机构应认真做好质疑处理工作。</w:t>
      </w:r>
    </w:p>
    <w:p w14:paraId="2F56EB05">
      <w:pPr>
        <w:tabs>
          <w:tab w:val="left" w:pos="2190"/>
        </w:tabs>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10.2投标人对采购代理机构的答复不满意或者采购代理机构未在规定的时间内作出答复的，可以在答复期满后十五个工作日内向</w:t>
      </w:r>
      <w:r>
        <w:rPr>
          <w:rFonts w:hint="eastAsia" w:ascii="宋体" w:hAnsi="宋体" w:cs="宋体"/>
          <w:color w:val="auto"/>
          <w:szCs w:val="21"/>
          <w:highlight w:val="none"/>
          <w:u w:val="single"/>
          <w:lang w:eastAsia="zh-CN"/>
        </w:rPr>
        <w:t>桂林市秀峰区政府采购管理办公室</w:t>
      </w:r>
      <w:r>
        <w:rPr>
          <w:rFonts w:hint="eastAsia" w:ascii="宋体" w:hAnsi="宋体" w:cs="宋体"/>
          <w:color w:val="auto"/>
          <w:szCs w:val="21"/>
          <w:highlight w:val="none"/>
        </w:rPr>
        <w:t>投诉。</w:t>
      </w:r>
    </w:p>
    <w:p w14:paraId="6F6EBC64">
      <w:pPr>
        <w:tabs>
          <w:tab w:val="left" w:pos="2190"/>
        </w:tabs>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10.3质疑、投诉应当采用书面形式，质疑书、投诉书实行实名制，均应明确阐述招标文件、招标过程或中标结果中使自己合法权益受到损害的实质性内容，并提供必要的证明材料。</w:t>
      </w:r>
    </w:p>
    <w:p w14:paraId="26BF7ACA">
      <w:pPr>
        <w:tabs>
          <w:tab w:val="left" w:pos="2190"/>
        </w:tabs>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供应商提出质疑应当提交质疑函和必要的证明材料，针对同一采购程序环节的质疑必须在法定质疑期内一次性提出。质疑函应当包括下列内容：</w:t>
      </w:r>
    </w:p>
    <w:p w14:paraId="17451978">
      <w:pPr>
        <w:tabs>
          <w:tab w:val="left" w:pos="2190"/>
        </w:tabs>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（1）供应商的姓名或者名称、地址、邮编、联系人及联系电话；</w:t>
      </w:r>
    </w:p>
    <w:p w14:paraId="5B57F39F">
      <w:pPr>
        <w:tabs>
          <w:tab w:val="left" w:pos="2190"/>
        </w:tabs>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（2）质疑项目的名称、编号；</w:t>
      </w:r>
    </w:p>
    <w:p w14:paraId="4810FEB6">
      <w:pPr>
        <w:tabs>
          <w:tab w:val="left" w:pos="2190"/>
        </w:tabs>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（3）具体、明确的质疑事项和与质疑事项相关的请求；</w:t>
      </w:r>
    </w:p>
    <w:p w14:paraId="034BA742">
      <w:pPr>
        <w:tabs>
          <w:tab w:val="left" w:pos="2190"/>
        </w:tabs>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（4）事实依据；</w:t>
      </w:r>
    </w:p>
    <w:p w14:paraId="2F27278A">
      <w:pPr>
        <w:tabs>
          <w:tab w:val="left" w:pos="2190"/>
        </w:tabs>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（5）必要的法律依据；</w:t>
      </w:r>
    </w:p>
    <w:p w14:paraId="705A47B8">
      <w:pPr>
        <w:tabs>
          <w:tab w:val="left" w:pos="2190"/>
        </w:tabs>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（6）提出质疑的日期。</w:t>
      </w:r>
    </w:p>
    <w:p w14:paraId="3F0E98AF">
      <w:pPr>
        <w:tabs>
          <w:tab w:val="left" w:pos="2190"/>
        </w:tabs>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供应商为自然人的，应当由本人签字；供应商为法人或者其他组织的，应当由法定代表人、主要负责人，或者其授权代表签字或者盖章，并加盖公章。</w:t>
      </w:r>
    </w:p>
    <w:p w14:paraId="5F0F085F">
      <w:pPr>
        <w:tabs>
          <w:tab w:val="left" w:pos="2190"/>
        </w:tabs>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2CEC9C93">
      <w:pPr>
        <w:tabs>
          <w:tab w:val="left" w:pos="2190"/>
        </w:tabs>
        <w:spacing w:line="400" w:lineRule="exact"/>
        <w:ind w:left="420" w:leftChars="200" w:firstLine="14" w:firstLineChars="7"/>
        <w:rPr>
          <w:rFonts w:hint="eastAsia" w:ascii="宋体" w:hAnsi="宋体" w:cs="宋体"/>
          <w:color w:val="auto"/>
          <w:szCs w:val="21"/>
          <w:highlight w:val="none"/>
        </w:rPr>
      </w:pPr>
      <w:r>
        <w:rPr>
          <w:rFonts w:hint="eastAsia" w:ascii="宋体" w:hAnsi="宋体" w:cs="宋体"/>
          <w:color w:val="auto"/>
          <w:szCs w:val="21"/>
          <w:highlight w:val="none"/>
        </w:rPr>
        <w:t>质疑联系部门及联系方式：</w:t>
      </w:r>
      <w:r>
        <w:rPr>
          <w:rFonts w:hint="eastAsia" w:ascii="宋体" w:hAnsi="宋体" w:cs="宋体"/>
          <w:color w:val="auto"/>
          <w:szCs w:val="21"/>
          <w:highlight w:val="none"/>
          <w:lang w:eastAsia="zh-CN"/>
        </w:rPr>
        <w:t>广西金证招标代理有限公司</w:t>
      </w:r>
    </w:p>
    <w:p w14:paraId="2B670659">
      <w:pPr>
        <w:tabs>
          <w:tab w:val="left" w:pos="2190"/>
        </w:tabs>
        <w:spacing w:line="400" w:lineRule="exact"/>
        <w:ind w:left="420" w:leftChars="200" w:firstLine="14" w:firstLineChars="7"/>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lang w:eastAsia="zh-CN"/>
        </w:rPr>
        <w:t>黄工</w:t>
      </w:r>
      <w:r>
        <w:rPr>
          <w:rFonts w:hint="eastAsia" w:ascii="宋体" w:hAnsi="宋体" w:cs="宋体"/>
          <w:color w:val="auto"/>
          <w:szCs w:val="21"/>
          <w:highlight w:val="none"/>
        </w:rPr>
        <w:t>，联系电话：</w:t>
      </w:r>
      <w:r>
        <w:rPr>
          <w:rFonts w:hint="eastAsia" w:ascii="宋体" w:hAnsi="宋体" w:cs="宋体"/>
          <w:color w:val="auto"/>
          <w:szCs w:val="21"/>
          <w:highlight w:val="none"/>
          <w:lang w:val="en-US" w:eastAsia="zh-CN"/>
        </w:rPr>
        <w:t>0773-2221123</w:t>
      </w:r>
      <w:r>
        <w:rPr>
          <w:rFonts w:hint="eastAsia" w:ascii="宋体" w:hAnsi="宋体" w:cs="宋体"/>
          <w:color w:val="auto"/>
          <w:szCs w:val="21"/>
          <w:highlight w:val="none"/>
        </w:rPr>
        <w:t>。</w:t>
      </w:r>
    </w:p>
    <w:p w14:paraId="19D3ECE6">
      <w:pPr>
        <w:tabs>
          <w:tab w:val="left" w:pos="2190"/>
        </w:tabs>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lang w:eastAsia="zh-CN"/>
        </w:rPr>
        <w:t>南宁市青秀区东葛路118号青秀万达广场甲2栋2501</w:t>
      </w:r>
      <w:r>
        <w:rPr>
          <w:rFonts w:hint="eastAsia" w:ascii="宋体" w:hAnsi="宋体" w:cs="宋体"/>
          <w:color w:val="auto"/>
          <w:szCs w:val="21"/>
          <w:highlight w:val="none"/>
        </w:rPr>
        <w:t>。</w:t>
      </w:r>
    </w:p>
    <w:p w14:paraId="6E66DFED">
      <w:pPr>
        <w:pStyle w:val="9"/>
        <w:spacing w:line="400" w:lineRule="exact"/>
        <w:rPr>
          <w:rFonts w:ascii="宋体" w:hAnsi="宋体" w:cs="宋体"/>
          <w:color w:val="auto"/>
          <w:szCs w:val="21"/>
          <w:highlight w:val="none"/>
        </w:rPr>
      </w:pPr>
    </w:p>
    <w:p w14:paraId="675DA402">
      <w:pPr>
        <w:tabs>
          <w:tab w:val="left" w:pos="2190"/>
        </w:tabs>
        <w:spacing w:line="400" w:lineRule="exact"/>
        <w:ind w:firstLine="435"/>
        <w:jc w:val="center"/>
        <w:rPr>
          <w:rFonts w:ascii="宋体" w:hAnsi="宋体" w:cs="宋体"/>
          <w:b/>
          <w:color w:val="auto"/>
          <w:szCs w:val="21"/>
          <w:highlight w:val="none"/>
        </w:rPr>
      </w:pPr>
      <w:r>
        <w:rPr>
          <w:rFonts w:hint="eastAsia" w:ascii="宋体" w:hAnsi="宋体" w:cs="宋体"/>
          <w:b/>
          <w:color w:val="auto"/>
          <w:szCs w:val="21"/>
          <w:highlight w:val="none"/>
        </w:rPr>
        <w:t>二、招标文件</w:t>
      </w:r>
    </w:p>
    <w:p w14:paraId="3E94746A">
      <w:pPr>
        <w:tabs>
          <w:tab w:val="left" w:pos="2190"/>
        </w:tabs>
        <w:spacing w:line="400" w:lineRule="exact"/>
        <w:ind w:firstLine="437"/>
        <w:rPr>
          <w:rFonts w:ascii="宋体" w:hAnsi="宋体" w:cs="宋体"/>
          <w:b/>
          <w:color w:val="auto"/>
          <w:szCs w:val="21"/>
          <w:highlight w:val="none"/>
        </w:rPr>
      </w:pPr>
    </w:p>
    <w:p w14:paraId="7F54BF17">
      <w:pPr>
        <w:tabs>
          <w:tab w:val="left" w:pos="2190"/>
        </w:tabs>
        <w:spacing w:line="400" w:lineRule="exact"/>
        <w:ind w:firstLine="437"/>
        <w:rPr>
          <w:rFonts w:ascii="宋体" w:hAnsi="宋体" w:cs="宋体"/>
          <w:b/>
          <w:color w:val="auto"/>
          <w:szCs w:val="21"/>
          <w:highlight w:val="none"/>
        </w:rPr>
      </w:pPr>
      <w:r>
        <w:rPr>
          <w:rFonts w:hint="eastAsia" w:ascii="宋体" w:hAnsi="宋体" w:cs="宋体"/>
          <w:b/>
          <w:color w:val="auto"/>
          <w:szCs w:val="21"/>
          <w:highlight w:val="none"/>
        </w:rPr>
        <w:t>11. 招标文件的构成</w:t>
      </w:r>
    </w:p>
    <w:p w14:paraId="3D55DBDB">
      <w:pPr>
        <w:tabs>
          <w:tab w:val="left" w:pos="2190"/>
        </w:tabs>
        <w:spacing w:line="400" w:lineRule="exact"/>
        <w:ind w:firstLine="437"/>
        <w:rPr>
          <w:rFonts w:ascii="宋体" w:hAnsi="宋体" w:cs="宋体"/>
          <w:color w:val="auto"/>
          <w:szCs w:val="21"/>
          <w:highlight w:val="none"/>
        </w:rPr>
      </w:pPr>
      <w:r>
        <w:rPr>
          <w:rFonts w:hint="eastAsia" w:ascii="宋体" w:hAnsi="宋体" w:cs="宋体"/>
          <w:color w:val="auto"/>
          <w:szCs w:val="21"/>
          <w:highlight w:val="none"/>
        </w:rPr>
        <w:t>（1）招标公告；</w:t>
      </w:r>
    </w:p>
    <w:p w14:paraId="688B37D8">
      <w:pPr>
        <w:tabs>
          <w:tab w:val="left" w:pos="2190"/>
        </w:tabs>
        <w:spacing w:line="400" w:lineRule="exact"/>
        <w:ind w:firstLine="437"/>
        <w:rPr>
          <w:rFonts w:ascii="宋体" w:hAnsi="宋体" w:cs="宋体"/>
          <w:color w:val="auto"/>
          <w:szCs w:val="21"/>
          <w:highlight w:val="none"/>
        </w:rPr>
      </w:pPr>
      <w:r>
        <w:rPr>
          <w:rFonts w:hint="eastAsia" w:ascii="宋体" w:hAnsi="宋体" w:cs="宋体"/>
          <w:color w:val="auto"/>
          <w:szCs w:val="21"/>
          <w:highlight w:val="none"/>
        </w:rPr>
        <w:t>（2）投标人须知；</w:t>
      </w:r>
    </w:p>
    <w:p w14:paraId="4B08F4A5">
      <w:pPr>
        <w:tabs>
          <w:tab w:val="left" w:pos="2190"/>
        </w:tabs>
        <w:spacing w:line="400" w:lineRule="exact"/>
        <w:ind w:firstLine="437"/>
        <w:rPr>
          <w:rFonts w:ascii="宋体" w:hAnsi="宋体" w:cs="宋体"/>
          <w:color w:val="auto"/>
          <w:szCs w:val="21"/>
          <w:highlight w:val="none"/>
        </w:rPr>
      </w:pPr>
      <w:r>
        <w:rPr>
          <w:rFonts w:hint="eastAsia" w:ascii="宋体" w:hAnsi="宋体" w:cs="宋体"/>
          <w:color w:val="auto"/>
          <w:szCs w:val="21"/>
          <w:highlight w:val="none"/>
        </w:rPr>
        <w:t>（3）采购需求；</w:t>
      </w:r>
    </w:p>
    <w:p w14:paraId="163F2829">
      <w:pPr>
        <w:tabs>
          <w:tab w:val="left" w:pos="2190"/>
        </w:tabs>
        <w:spacing w:line="400" w:lineRule="exact"/>
        <w:ind w:firstLine="437"/>
        <w:rPr>
          <w:rFonts w:ascii="宋体" w:hAnsi="宋体" w:cs="宋体"/>
          <w:color w:val="auto"/>
          <w:szCs w:val="21"/>
          <w:highlight w:val="none"/>
        </w:rPr>
      </w:pPr>
      <w:r>
        <w:rPr>
          <w:rFonts w:hint="eastAsia" w:ascii="宋体" w:hAnsi="宋体" w:cs="宋体"/>
          <w:color w:val="auto"/>
          <w:szCs w:val="21"/>
          <w:highlight w:val="none"/>
        </w:rPr>
        <w:t>（4）评标办法；</w:t>
      </w:r>
    </w:p>
    <w:p w14:paraId="2780B6BC">
      <w:pPr>
        <w:tabs>
          <w:tab w:val="left" w:pos="2190"/>
        </w:tabs>
        <w:spacing w:line="400" w:lineRule="exact"/>
        <w:ind w:firstLine="437"/>
        <w:rPr>
          <w:rFonts w:ascii="宋体" w:hAnsi="宋体" w:cs="宋体"/>
          <w:color w:val="auto"/>
          <w:szCs w:val="21"/>
          <w:highlight w:val="none"/>
        </w:rPr>
      </w:pPr>
      <w:r>
        <w:rPr>
          <w:rFonts w:hint="eastAsia" w:ascii="宋体" w:hAnsi="宋体" w:cs="宋体"/>
          <w:color w:val="auto"/>
          <w:szCs w:val="21"/>
          <w:highlight w:val="none"/>
        </w:rPr>
        <w:t>（5）采购合同（合同主要条款及格式）；</w:t>
      </w:r>
    </w:p>
    <w:p w14:paraId="35C4B943">
      <w:pPr>
        <w:tabs>
          <w:tab w:val="left" w:pos="2190"/>
        </w:tabs>
        <w:spacing w:line="400" w:lineRule="exact"/>
        <w:ind w:firstLine="437"/>
        <w:rPr>
          <w:rFonts w:ascii="宋体" w:hAnsi="宋体" w:cs="宋体"/>
          <w:color w:val="auto"/>
          <w:szCs w:val="21"/>
          <w:highlight w:val="none"/>
        </w:rPr>
      </w:pPr>
      <w:r>
        <w:rPr>
          <w:rFonts w:hint="eastAsia" w:ascii="宋体" w:hAnsi="宋体" w:cs="宋体"/>
          <w:color w:val="auto"/>
          <w:szCs w:val="21"/>
          <w:highlight w:val="none"/>
        </w:rPr>
        <w:t>（6）投标文件（格式）。</w:t>
      </w:r>
    </w:p>
    <w:p w14:paraId="60DD666C">
      <w:pPr>
        <w:tabs>
          <w:tab w:val="left" w:pos="2190"/>
        </w:tabs>
        <w:spacing w:line="400" w:lineRule="exact"/>
        <w:ind w:firstLine="437"/>
        <w:rPr>
          <w:rFonts w:ascii="宋体" w:hAnsi="宋体" w:cs="宋体"/>
          <w:b/>
          <w:color w:val="auto"/>
          <w:szCs w:val="21"/>
          <w:highlight w:val="none"/>
        </w:rPr>
      </w:pPr>
      <w:r>
        <w:rPr>
          <w:rFonts w:hint="eastAsia" w:ascii="宋体" w:hAnsi="宋体" w:cs="宋体"/>
          <w:b/>
          <w:color w:val="auto"/>
          <w:szCs w:val="21"/>
          <w:highlight w:val="none"/>
        </w:rPr>
        <w:t>12. 招标文件的澄清与修改</w:t>
      </w:r>
    </w:p>
    <w:p w14:paraId="3DAC0E78">
      <w:pPr>
        <w:tabs>
          <w:tab w:val="left" w:pos="2190"/>
        </w:tabs>
        <w:spacing w:line="400" w:lineRule="exact"/>
        <w:ind w:firstLine="437"/>
        <w:rPr>
          <w:rFonts w:ascii="宋体" w:hAnsi="宋体" w:cs="宋体"/>
          <w:color w:val="auto"/>
          <w:szCs w:val="21"/>
          <w:highlight w:val="none"/>
        </w:rPr>
      </w:pPr>
      <w:r>
        <w:rPr>
          <w:rFonts w:hint="eastAsia" w:ascii="宋体" w:hAnsi="宋体" w:cs="宋体"/>
          <w:color w:val="auto"/>
          <w:szCs w:val="21"/>
          <w:highlight w:val="none"/>
        </w:rPr>
        <w:t>12.1投标人应认真阅读招标文件，发现其中有误或有不合理要求的，投标人必须在招标公告期限届满之日起7个工作日内以书面形式要求采购代理机构澄清。</w:t>
      </w:r>
    </w:p>
    <w:p w14:paraId="157B814F">
      <w:pPr>
        <w:tabs>
          <w:tab w:val="left" w:pos="2190"/>
        </w:tabs>
        <w:spacing w:line="400" w:lineRule="exact"/>
        <w:ind w:firstLine="437"/>
        <w:rPr>
          <w:rFonts w:ascii="宋体" w:hAnsi="宋体"/>
          <w:color w:val="auto"/>
          <w:szCs w:val="21"/>
          <w:highlight w:val="none"/>
        </w:rPr>
      </w:pPr>
      <w:r>
        <w:rPr>
          <w:rFonts w:hint="eastAsia" w:ascii="宋体" w:hAnsi="宋体" w:cs="宋体"/>
          <w:color w:val="auto"/>
          <w:szCs w:val="21"/>
          <w:highlight w:val="none"/>
        </w:rPr>
        <w:t>12.2</w:t>
      </w:r>
      <w:r>
        <w:rPr>
          <w:rFonts w:hint="eastAsia" w:ascii="宋体" w:hAnsi="宋体"/>
          <w:color w:val="auto"/>
          <w:szCs w:val="21"/>
          <w:highlight w:val="none"/>
        </w:rPr>
        <w:t>采购代理机构可以对已发出的招标文件进行必要澄清、修改。澄清或者修改的内容可能影响投标文件编制的，代理机构应当在投标截止时间至少十五日前在本招标项目招标公告发布的同一媒体上发布更正公告，投标人应自行登录招标公告发布的相关网站【http://www.ccgp.gov.cn（中国政府采购网）、http://zfcg.gxzf.gov.cn/（广西壮族自治区政府采购网）、http://gl.zfcg.zcygov.cn/（桂林市政府采购网）查询，不足十五日的，应当顺延首次投标文件递交截止时间。</w:t>
      </w:r>
    </w:p>
    <w:p w14:paraId="53FF8A5E">
      <w:pPr>
        <w:tabs>
          <w:tab w:val="left" w:pos="2190"/>
        </w:tabs>
        <w:spacing w:line="400" w:lineRule="exact"/>
        <w:ind w:firstLine="437"/>
        <w:rPr>
          <w:rFonts w:ascii="宋体" w:hAnsi="宋体" w:cs="宋体"/>
          <w:color w:val="auto"/>
          <w:szCs w:val="21"/>
          <w:highlight w:val="none"/>
        </w:rPr>
      </w:pPr>
      <w:r>
        <w:rPr>
          <w:rFonts w:hint="eastAsia" w:ascii="宋体" w:hAnsi="宋体" w:cs="宋体"/>
          <w:color w:val="auto"/>
          <w:szCs w:val="21"/>
          <w:highlight w:val="none"/>
        </w:rPr>
        <w:t>12.3</w:t>
      </w:r>
      <w:r>
        <w:rPr>
          <w:rFonts w:hint="eastAsia" w:ascii="宋体" w:hAnsi="宋体"/>
          <w:color w:val="auto"/>
          <w:szCs w:val="21"/>
          <w:highlight w:val="none"/>
        </w:rPr>
        <w:t>采</w:t>
      </w:r>
      <w:r>
        <w:rPr>
          <w:rFonts w:hint="eastAsia" w:ascii="宋体" w:hAnsi="宋体"/>
          <w:b/>
          <w:bCs/>
          <w:color w:val="auto"/>
          <w:szCs w:val="21"/>
          <w:highlight w:val="none"/>
        </w:rPr>
        <w:t>购代理机构在招标公告发布的相关网站发布更正公告的同时，视同投标人已知晓招标文件的澄清或者修改，投标人应将澄清或者修改的内容考虑在投标文件中。投标人在投标文件递交截止前未登录招标公告发布的相关网站查看澄清或者修改的，造成投标人的投标文件不符合招标文件要求或废标的，由投标人自行承担责任。</w:t>
      </w:r>
    </w:p>
    <w:p w14:paraId="3A6BF638">
      <w:pPr>
        <w:tabs>
          <w:tab w:val="left" w:pos="2190"/>
        </w:tabs>
        <w:spacing w:line="400" w:lineRule="exact"/>
        <w:ind w:firstLine="437"/>
        <w:rPr>
          <w:rFonts w:ascii="宋体" w:hAnsi="宋体" w:cs="宋体"/>
          <w:color w:val="auto"/>
          <w:szCs w:val="21"/>
          <w:highlight w:val="none"/>
        </w:rPr>
      </w:pPr>
      <w:r>
        <w:rPr>
          <w:rFonts w:hint="eastAsia" w:ascii="宋体" w:hAnsi="宋体" w:cs="宋体"/>
          <w:color w:val="auto"/>
          <w:szCs w:val="21"/>
          <w:highlight w:val="none"/>
        </w:rPr>
        <w:t>12.4必要的澄清、修改的内容为招标文件的组成部分。当澄清、修改通知就同一内容的表述不一致时，以最后发出的书面文件为准。</w:t>
      </w:r>
    </w:p>
    <w:p w14:paraId="2564679F">
      <w:pPr>
        <w:tabs>
          <w:tab w:val="left" w:pos="2190"/>
        </w:tabs>
        <w:spacing w:line="400" w:lineRule="exact"/>
        <w:ind w:firstLine="437"/>
        <w:rPr>
          <w:rFonts w:ascii="宋体" w:hAnsi="宋体" w:cs="宋体"/>
          <w:color w:val="auto"/>
          <w:szCs w:val="21"/>
          <w:highlight w:val="none"/>
        </w:rPr>
      </w:pPr>
      <w:r>
        <w:rPr>
          <w:rFonts w:hint="eastAsia" w:ascii="宋体" w:hAnsi="宋体" w:cs="宋体"/>
          <w:color w:val="auto"/>
          <w:szCs w:val="21"/>
          <w:highlight w:val="none"/>
        </w:rPr>
        <w:t>12.5招标文件的澄清、修改都应该通过采购代理机构以法定形式发布，招标人非通过本机构，不得擅自澄清、修改招标文件。</w:t>
      </w:r>
    </w:p>
    <w:p w14:paraId="243971A0">
      <w:pPr>
        <w:tabs>
          <w:tab w:val="left" w:pos="2190"/>
        </w:tabs>
        <w:spacing w:line="400" w:lineRule="exact"/>
        <w:ind w:firstLine="435"/>
        <w:rPr>
          <w:rFonts w:ascii="宋体" w:hAnsi="宋体" w:cs="宋体"/>
          <w:color w:val="auto"/>
          <w:szCs w:val="21"/>
          <w:highlight w:val="none"/>
        </w:rPr>
      </w:pPr>
    </w:p>
    <w:p w14:paraId="37A6CD95">
      <w:pPr>
        <w:tabs>
          <w:tab w:val="left" w:pos="2190"/>
        </w:tabs>
        <w:spacing w:line="400" w:lineRule="exact"/>
        <w:ind w:firstLine="435"/>
        <w:jc w:val="center"/>
        <w:rPr>
          <w:rFonts w:ascii="宋体" w:hAnsi="宋体" w:cs="宋体"/>
          <w:b/>
          <w:color w:val="auto"/>
          <w:szCs w:val="21"/>
          <w:highlight w:val="none"/>
        </w:rPr>
      </w:pPr>
      <w:r>
        <w:rPr>
          <w:rFonts w:hint="eastAsia" w:ascii="宋体" w:hAnsi="宋体" w:cs="宋体"/>
          <w:b/>
          <w:color w:val="auto"/>
          <w:szCs w:val="21"/>
          <w:highlight w:val="none"/>
        </w:rPr>
        <w:t>三、投标文件的编制</w:t>
      </w:r>
    </w:p>
    <w:p w14:paraId="31BD22FC">
      <w:pPr>
        <w:tabs>
          <w:tab w:val="left" w:pos="1305"/>
        </w:tabs>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13. 投标文件的组成及要求</w:t>
      </w:r>
    </w:p>
    <w:p w14:paraId="29475BD6">
      <w:pPr>
        <w:spacing w:line="400" w:lineRule="exact"/>
        <w:ind w:left="420" w:leftChars="200" w:firstLine="0" w:firstLineChars="0"/>
        <w:rPr>
          <w:rFonts w:ascii="宋体" w:hAnsi="宋体" w:cs="宋体"/>
          <w:color w:val="auto"/>
          <w:szCs w:val="21"/>
          <w:highlight w:val="none"/>
        </w:rPr>
      </w:pPr>
      <w:r>
        <w:rPr>
          <w:rFonts w:hint="eastAsia" w:ascii="宋体" w:hAnsi="宋体" w:cs="宋体"/>
          <w:b/>
          <w:bCs/>
          <w:color w:val="auto"/>
          <w:szCs w:val="21"/>
          <w:highlight w:val="none"/>
        </w:rPr>
        <w:t xml:space="preserve">13.1 </w:t>
      </w:r>
      <w:r>
        <w:rPr>
          <w:rFonts w:hint="eastAsia" w:ascii="宋体" w:hAnsi="宋体" w:cs="宋体"/>
          <w:b/>
          <w:bCs/>
          <w:color w:val="auto"/>
          <w:szCs w:val="21"/>
          <w:highlight w:val="none"/>
        </w:rPr>
        <w:t>本项目实行电子投标，投标人应提交电子投标文件；电子投标文件应按照本招标文件要求及广西政府采购云平台要求编辑、制作、加密并递交。</w:t>
      </w:r>
    </w:p>
    <w:p w14:paraId="412C6959">
      <w:pPr>
        <w:tabs>
          <w:tab w:val="left" w:pos="2190"/>
        </w:tabs>
        <w:spacing w:line="400" w:lineRule="exact"/>
        <w:ind w:firstLine="435"/>
        <w:rPr>
          <w:rFonts w:ascii="宋体" w:hAnsi="宋体" w:cs="宋体"/>
          <w:b/>
          <w:color w:val="auto"/>
          <w:szCs w:val="21"/>
          <w:highlight w:val="none"/>
        </w:rPr>
      </w:pPr>
      <w:r>
        <w:rPr>
          <w:rFonts w:hint="eastAsia" w:ascii="宋体" w:hAnsi="宋体" w:cs="宋体"/>
          <w:b/>
          <w:bCs/>
          <w:color w:val="auto"/>
          <w:szCs w:val="21"/>
          <w:highlight w:val="none"/>
        </w:rPr>
        <w:t>13.2</w:t>
      </w:r>
      <w:r>
        <w:rPr>
          <w:rFonts w:hint="eastAsia" w:ascii="宋体" w:hAnsi="宋体" w:cs="宋体"/>
          <w:b/>
          <w:color w:val="auto"/>
          <w:szCs w:val="21"/>
          <w:highlight w:val="none"/>
        </w:rPr>
        <w:t>投标文件组成【格式见第六章“投标文件（格式）”】</w:t>
      </w:r>
    </w:p>
    <w:p w14:paraId="5215465C">
      <w:pPr>
        <w:pStyle w:val="27"/>
        <w:spacing w:line="400" w:lineRule="exact"/>
        <w:rPr>
          <w:rFonts w:ascii="宋体" w:hAnsi="宋体" w:cs="宋体"/>
          <w:color w:val="auto"/>
          <w:sz w:val="21"/>
          <w:szCs w:val="21"/>
          <w:highlight w:val="none"/>
        </w:rPr>
      </w:pPr>
      <w:r>
        <w:rPr>
          <w:rFonts w:hint="eastAsia" w:ascii="宋体" w:hAnsi="宋体" w:cs="宋体"/>
          <w:b/>
          <w:color w:val="auto"/>
          <w:sz w:val="21"/>
          <w:szCs w:val="21"/>
          <w:highlight w:val="none"/>
        </w:rPr>
        <w:t xml:space="preserve"> </w:t>
      </w:r>
      <w:r>
        <w:rPr>
          <w:rFonts w:hint="eastAsia" w:ascii="宋体" w:hAnsi="宋体" w:cs="宋体"/>
          <w:b/>
          <w:bCs w:val="0"/>
          <w:color w:val="auto"/>
          <w:spacing w:val="0"/>
          <w:kern w:val="2"/>
          <w:sz w:val="21"/>
          <w:szCs w:val="21"/>
          <w:highlight w:val="none"/>
        </w:rPr>
        <w:t xml:space="preserve">   13.2.1第一部分 报价及商务文件</w:t>
      </w:r>
    </w:p>
    <w:p w14:paraId="615757BD">
      <w:pPr>
        <w:tabs>
          <w:tab w:val="left" w:pos="1305"/>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）投标报价表</w:t>
      </w:r>
      <w:r>
        <w:rPr>
          <w:rFonts w:hint="eastAsia" w:ascii="宋体" w:hAnsi="宋体" w:cs="宋体"/>
          <w:b/>
          <w:color w:val="auto"/>
          <w:szCs w:val="21"/>
          <w:highlight w:val="none"/>
        </w:rPr>
        <w:t>（必须提供）</w:t>
      </w:r>
      <w:r>
        <w:rPr>
          <w:rFonts w:hint="eastAsia" w:ascii="宋体" w:hAnsi="宋体" w:cs="宋体"/>
          <w:color w:val="auto"/>
          <w:szCs w:val="21"/>
          <w:highlight w:val="none"/>
        </w:rPr>
        <w:t>；</w:t>
      </w:r>
    </w:p>
    <w:p w14:paraId="2233FD42">
      <w:pPr>
        <w:tabs>
          <w:tab w:val="left" w:pos="1305"/>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）投标人相应的法定代表人、负责人身份证正反面复印件（</w:t>
      </w:r>
      <w:r>
        <w:rPr>
          <w:rFonts w:hint="eastAsia" w:ascii="宋体" w:hAnsi="宋体" w:cs="宋体"/>
          <w:b/>
          <w:color w:val="auto"/>
          <w:szCs w:val="21"/>
          <w:highlight w:val="none"/>
        </w:rPr>
        <w:t>必须提供</w:t>
      </w:r>
      <w:r>
        <w:rPr>
          <w:rFonts w:hint="eastAsia" w:ascii="宋体" w:hAnsi="宋体" w:cs="宋体"/>
          <w:color w:val="auto"/>
          <w:szCs w:val="21"/>
          <w:highlight w:val="none"/>
        </w:rPr>
        <w:t>）；</w:t>
      </w:r>
    </w:p>
    <w:p w14:paraId="31510A47">
      <w:pPr>
        <w:tabs>
          <w:tab w:val="left" w:pos="1305"/>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）投标人的授权委托书原件、委托代理人身份证正反面复印件</w:t>
      </w:r>
      <w:r>
        <w:rPr>
          <w:rFonts w:hint="eastAsia" w:ascii="宋体" w:hAnsi="宋体" w:cs="宋体"/>
          <w:b/>
          <w:color w:val="auto"/>
          <w:szCs w:val="21"/>
          <w:highlight w:val="none"/>
        </w:rPr>
        <w:t>（委托代理时必须提供）</w:t>
      </w:r>
      <w:r>
        <w:rPr>
          <w:rFonts w:hint="eastAsia" w:ascii="宋体" w:hAnsi="宋体" w:cs="宋体"/>
          <w:color w:val="auto"/>
          <w:szCs w:val="21"/>
          <w:highlight w:val="none"/>
        </w:rPr>
        <w:t>；</w:t>
      </w:r>
    </w:p>
    <w:p w14:paraId="7D0D5F1B">
      <w:pPr>
        <w:tabs>
          <w:tab w:val="left" w:pos="1305"/>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）投标人营业执照副本复印件</w:t>
      </w:r>
      <w:r>
        <w:rPr>
          <w:rFonts w:hint="eastAsia" w:ascii="宋体" w:hAnsi="宋体" w:cs="宋体"/>
          <w:b/>
          <w:color w:val="auto"/>
          <w:szCs w:val="21"/>
          <w:highlight w:val="none"/>
        </w:rPr>
        <w:t>（必须提供）</w:t>
      </w:r>
      <w:r>
        <w:rPr>
          <w:rFonts w:hint="eastAsia" w:ascii="宋体" w:hAnsi="宋体" w:cs="宋体"/>
          <w:color w:val="auto"/>
          <w:szCs w:val="21"/>
          <w:highlight w:val="none"/>
        </w:rPr>
        <w:t>；</w:t>
      </w:r>
    </w:p>
    <w:p w14:paraId="61FCE08E">
      <w:pPr>
        <w:tabs>
          <w:tab w:val="left" w:pos="1305"/>
        </w:tabs>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）投标人的服务承诺书</w:t>
      </w:r>
      <w:r>
        <w:rPr>
          <w:rFonts w:hint="eastAsia" w:ascii="宋体" w:hAnsi="宋体" w:cs="宋体"/>
          <w:b/>
          <w:bCs/>
          <w:color w:val="auto"/>
          <w:szCs w:val="21"/>
          <w:highlight w:val="none"/>
        </w:rPr>
        <w:t>（必须提供）；</w:t>
      </w:r>
    </w:p>
    <w:p w14:paraId="7841BF94">
      <w:pPr>
        <w:tabs>
          <w:tab w:val="left" w:pos="1305"/>
        </w:tabs>
        <w:spacing w:line="400" w:lineRule="exact"/>
        <w:ind w:firstLine="422" w:firstLineChars="200"/>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（6）</w:t>
      </w:r>
      <w:r>
        <w:rPr>
          <w:rFonts w:hint="eastAsia" w:ascii="宋体" w:hAnsi="宋体" w:cs="宋体"/>
          <w:b w:val="0"/>
          <w:bCs w:val="0"/>
          <w:color w:val="auto"/>
          <w:szCs w:val="21"/>
          <w:highlight w:val="none"/>
          <w:lang w:val="en-US" w:eastAsia="zh-CN"/>
        </w:rPr>
        <w:t>投标保证金（必须提供）</w:t>
      </w:r>
    </w:p>
    <w:p w14:paraId="07946031">
      <w:pPr>
        <w:pStyle w:val="27"/>
        <w:spacing w:line="400" w:lineRule="exact"/>
        <w:ind w:firstLine="46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）投标人可结合本项目的评标办法视自身情况自行提交相关证明材料</w:t>
      </w:r>
      <w:r>
        <w:rPr>
          <w:rFonts w:hint="eastAsia" w:ascii="宋体" w:hAnsi="宋体" w:cs="宋体"/>
          <w:b/>
          <w:color w:val="auto"/>
          <w:sz w:val="21"/>
          <w:szCs w:val="21"/>
          <w:highlight w:val="none"/>
        </w:rPr>
        <w:t>（</w:t>
      </w:r>
      <w:r>
        <w:rPr>
          <w:rFonts w:hint="eastAsia" w:ascii="宋体" w:hAnsi="宋体" w:cs="宋体"/>
          <w:b/>
          <w:bCs w:val="0"/>
          <w:color w:val="auto"/>
          <w:spacing w:val="0"/>
          <w:kern w:val="2"/>
          <w:sz w:val="21"/>
          <w:szCs w:val="21"/>
          <w:highlight w:val="none"/>
        </w:rPr>
        <w:t>如有，请提供</w:t>
      </w:r>
      <w:r>
        <w:rPr>
          <w:rFonts w:hint="eastAsia" w:ascii="宋体" w:hAnsi="宋体" w:cs="宋体"/>
          <w:b/>
          <w:color w:val="auto"/>
          <w:sz w:val="21"/>
          <w:szCs w:val="21"/>
          <w:highlight w:val="none"/>
        </w:rPr>
        <w:t>）。</w:t>
      </w:r>
    </w:p>
    <w:p w14:paraId="548D6857">
      <w:pPr>
        <w:pStyle w:val="13"/>
        <w:spacing w:line="400" w:lineRule="exact"/>
        <w:ind w:firstLine="422" w:firstLineChars="200"/>
        <w:rPr>
          <w:rFonts w:hAnsi="宋体" w:cs="宋体"/>
          <w:color w:val="auto"/>
          <w:szCs w:val="21"/>
          <w:highlight w:val="none"/>
        </w:rPr>
      </w:pPr>
      <w:r>
        <w:rPr>
          <w:rFonts w:hint="eastAsia" w:hAnsi="宋体" w:cs="宋体"/>
          <w:b/>
          <w:color w:val="auto"/>
          <w:szCs w:val="21"/>
          <w:highlight w:val="none"/>
        </w:rPr>
        <w:t>13.2.2 第二部分 技术文件</w:t>
      </w:r>
    </w:p>
    <w:p w14:paraId="516FAB2B">
      <w:pPr>
        <w:pStyle w:val="13"/>
        <w:spacing w:line="400" w:lineRule="exact"/>
        <w:ind w:firstLine="420" w:firstLineChars="200"/>
        <w:rPr>
          <w:rFonts w:hint="eastAsia" w:hAnsi="宋体" w:cs="宋体"/>
          <w:color w:val="auto"/>
          <w:szCs w:val="21"/>
          <w:highlight w:val="none"/>
        </w:rPr>
      </w:pPr>
      <w:r>
        <w:rPr>
          <w:rFonts w:hint="eastAsia" w:hAnsi="宋体" w:cs="宋体"/>
          <w:color w:val="auto"/>
          <w:szCs w:val="21"/>
          <w:highlight w:val="none"/>
        </w:rPr>
        <w:t>（1） 融资方案（如有，请提供,格式自拟）；</w:t>
      </w:r>
    </w:p>
    <w:p w14:paraId="168B8839">
      <w:pPr>
        <w:pStyle w:val="13"/>
        <w:spacing w:line="400" w:lineRule="exact"/>
        <w:ind w:firstLine="420" w:firstLineChars="200"/>
        <w:rPr>
          <w:rFonts w:hint="eastAsia" w:hAnsi="宋体" w:cs="宋体"/>
          <w:color w:val="auto"/>
          <w:szCs w:val="21"/>
          <w:highlight w:val="none"/>
        </w:rPr>
      </w:pPr>
      <w:r>
        <w:rPr>
          <w:rFonts w:hint="eastAsia" w:hAnsi="宋体" w:cs="宋体"/>
          <w:color w:val="auto"/>
          <w:szCs w:val="21"/>
          <w:highlight w:val="none"/>
        </w:rPr>
        <w:t>（2）运营维护方案（如有，请提供,格式自拟）；</w:t>
      </w:r>
    </w:p>
    <w:p w14:paraId="79220C0B">
      <w:pPr>
        <w:pStyle w:val="13"/>
        <w:spacing w:line="400" w:lineRule="exact"/>
        <w:ind w:firstLine="420" w:firstLineChars="200"/>
        <w:rPr>
          <w:rFonts w:hint="eastAsia" w:hAnsi="宋体" w:cs="宋体"/>
          <w:color w:val="auto"/>
          <w:szCs w:val="21"/>
          <w:highlight w:val="none"/>
        </w:rPr>
      </w:pPr>
      <w:r>
        <w:rPr>
          <w:rFonts w:hint="eastAsia" w:hAnsi="宋体" w:cs="宋体"/>
          <w:color w:val="auto"/>
          <w:szCs w:val="21"/>
          <w:highlight w:val="none"/>
        </w:rPr>
        <w:t>（3）移交实施方案（如有，请提供,格式自拟）</w:t>
      </w:r>
    </w:p>
    <w:p w14:paraId="2846D991">
      <w:pPr>
        <w:pStyle w:val="13"/>
        <w:spacing w:line="400" w:lineRule="exact"/>
        <w:ind w:firstLine="420" w:firstLineChars="200"/>
        <w:rPr>
          <w:rFonts w:hint="eastAsia" w:hAnsi="宋体" w:cs="宋体"/>
          <w:color w:val="auto"/>
          <w:szCs w:val="21"/>
          <w:highlight w:val="none"/>
        </w:rPr>
      </w:pPr>
      <w:r>
        <w:rPr>
          <w:rFonts w:hint="eastAsia" w:hAnsi="宋体" w:cs="宋体"/>
          <w:color w:val="auto"/>
          <w:szCs w:val="21"/>
          <w:highlight w:val="none"/>
        </w:rPr>
        <w:t>（</w:t>
      </w:r>
      <w:r>
        <w:rPr>
          <w:rFonts w:hint="eastAsia" w:hAnsi="宋体" w:cs="宋体"/>
          <w:color w:val="auto"/>
          <w:szCs w:val="21"/>
          <w:highlight w:val="none"/>
          <w:lang w:val="en-US" w:eastAsia="zh-CN"/>
        </w:rPr>
        <w:t>4</w:t>
      </w:r>
      <w:r>
        <w:rPr>
          <w:rFonts w:hint="eastAsia" w:hAnsi="宋体" w:cs="宋体"/>
          <w:color w:val="auto"/>
          <w:szCs w:val="21"/>
          <w:highlight w:val="none"/>
        </w:rPr>
        <w:t>）投标人可结合本项目的评标办法技术方案视自身情况自行提交相关证明材料</w:t>
      </w:r>
      <w:r>
        <w:rPr>
          <w:rFonts w:hint="eastAsia" w:hAnsi="宋体" w:cs="宋体"/>
          <w:b/>
          <w:color w:val="auto"/>
          <w:szCs w:val="21"/>
          <w:highlight w:val="none"/>
        </w:rPr>
        <w:t>（如有，请提供）</w:t>
      </w:r>
      <w:r>
        <w:rPr>
          <w:rFonts w:hint="eastAsia" w:hAnsi="宋体" w:cs="宋体"/>
          <w:color w:val="auto"/>
          <w:szCs w:val="21"/>
          <w:highlight w:val="none"/>
        </w:rPr>
        <w:t>。</w:t>
      </w:r>
    </w:p>
    <w:p w14:paraId="0242C2B8">
      <w:pPr>
        <w:pStyle w:val="6"/>
        <w:ind w:left="0" w:leftChars="0" w:firstLine="0" w:firstLineChars="0"/>
        <w:rPr>
          <w:rFonts w:hint="eastAsia" w:hAnsi="宋体" w:cs="宋体"/>
          <w:color w:val="auto"/>
          <w:szCs w:val="21"/>
          <w:highlight w:val="none"/>
          <w:lang w:val="en-US" w:eastAsia="zh-CN"/>
        </w:rPr>
      </w:pPr>
      <w:r>
        <w:rPr>
          <w:rFonts w:hint="eastAsia" w:hAnsi="宋体" w:cs="宋体"/>
          <w:color w:val="auto"/>
          <w:szCs w:val="21"/>
          <w:highlight w:val="none"/>
          <w:lang w:val="en-US" w:eastAsia="zh-CN"/>
        </w:rPr>
        <w:t xml:space="preserve">     13.2.3其他材料：</w:t>
      </w:r>
    </w:p>
    <w:p w14:paraId="53925249">
      <w:pPr>
        <w:ind w:firstLine="420" w:firstLineChars="200"/>
        <w:rPr>
          <w:rFonts w:hint="eastAsia"/>
          <w:highlight w:val="none"/>
          <w:lang w:val="en-US" w:eastAsia="zh-CN"/>
        </w:rPr>
      </w:pPr>
      <w:r>
        <w:rPr>
          <w:rFonts w:hint="eastAsia" w:ascii="宋体" w:hAnsi="宋体" w:cs="宋体"/>
          <w:color w:val="000000"/>
          <w:szCs w:val="21"/>
          <w:highlight w:val="none"/>
        </w:rPr>
        <w:t>（1）投标人可结合本项目的评标办法视自身情况自行提交相关证明材料</w:t>
      </w:r>
      <w:r>
        <w:rPr>
          <w:rFonts w:hint="eastAsia" w:ascii="宋体" w:hAnsi="宋体" w:cs="宋体"/>
          <w:b/>
          <w:color w:val="000000"/>
          <w:szCs w:val="21"/>
          <w:highlight w:val="none"/>
        </w:rPr>
        <w:t>（如有，请提供）</w:t>
      </w:r>
      <w:r>
        <w:rPr>
          <w:rFonts w:hint="eastAsia" w:ascii="宋体" w:hAnsi="宋体" w:cs="宋体"/>
          <w:color w:val="000000"/>
          <w:szCs w:val="21"/>
          <w:highlight w:val="none"/>
        </w:rPr>
        <w:t>。</w:t>
      </w:r>
    </w:p>
    <w:p w14:paraId="7B8631C4">
      <w:pPr>
        <w:tabs>
          <w:tab w:val="left" w:pos="1305"/>
        </w:tabs>
        <w:spacing w:line="400" w:lineRule="exact"/>
        <w:ind w:firstLine="422" w:firstLineChars="200"/>
        <w:rPr>
          <w:rFonts w:ascii="宋体" w:hAnsi="宋体" w:cs="宋体"/>
          <w:bCs/>
          <w:color w:val="auto"/>
          <w:szCs w:val="21"/>
          <w:highlight w:val="none"/>
        </w:rPr>
      </w:pPr>
      <w:r>
        <w:rPr>
          <w:rFonts w:hint="eastAsia" w:ascii="宋体" w:hAnsi="宋体" w:cs="宋体"/>
          <w:b/>
          <w:color w:val="auto"/>
          <w:szCs w:val="21"/>
          <w:highlight w:val="none"/>
        </w:rPr>
        <w:t>投标人提供的相关材料应真实有效，属于“必须提供”的文件应加盖投标人公章（CA签章）</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否则投标无效。</w:t>
      </w:r>
    </w:p>
    <w:p w14:paraId="3983FB03">
      <w:pPr>
        <w:pStyle w:val="13"/>
        <w:spacing w:line="400" w:lineRule="exact"/>
        <w:ind w:firstLine="420"/>
        <w:rPr>
          <w:rFonts w:hAnsi="宋体" w:cs="宋体"/>
          <w:color w:val="auto"/>
          <w:szCs w:val="21"/>
          <w:highlight w:val="none"/>
        </w:rPr>
      </w:pPr>
      <w:r>
        <w:rPr>
          <w:rFonts w:hint="eastAsia" w:hAnsi="宋体" w:cs="宋体"/>
          <w:color w:val="auto"/>
          <w:szCs w:val="21"/>
          <w:highlight w:val="none"/>
        </w:rPr>
        <w:t>13.2投标人应按招标文件第六章“投标文件（格式）”编制投标文件。</w:t>
      </w:r>
    </w:p>
    <w:p w14:paraId="6113F1C0">
      <w:pPr>
        <w:pStyle w:val="13"/>
        <w:spacing w:line="400" w:lineRule="exact"/>
        <w:ind w:firstLine="420"/>
        <w:rPr>
          <w:rFonts w:hAnsi="宋体" w:cs="宋体"/>
          <w:color w:val="auto"/>
          <w:szCs w:val="21"/>
          <w:highlight w:val="none"/>
        </w:rPr>
      </w:pPr>
      <w:r>
        <w:rPr>
          <w:rFonts w:hint="eastAsia" w:hAnsi="宋体" w:cs="宋体"/>
          <w:color w:val="auto"/>
          <w:szCs w:val="21"/>
          <w:highlight w:val="none"/>
        </w:rPr>
        <w:t>13.3投标文件应当对招标文件提出的要求和条件作出明确响应。</w:t>
      </w:r>
    </w:p>
    <w:p w14:paraId="6182158D">
      <w:pPr>
        <w:spacing w:line="400" w:lineRule="exact"/>
        <w:ind w:firstLine="420"/>
        <w:rPr>
          <w:rFonts w:ascii="宋体" w:hAnsi="宋体" w:cs="宋体"/>
          <w:b/>
          <w:bCs/>
          <w:color w:val="auto"/>
          <w:szCs w:val="21"/>
          <w:highlight w:val="none"/>
        </w:rPr>
      </w:pPr>
      <w:r>
        <w:rPr>
          <w:rFonts w:hint="eastAsia" w:ascii="宋体" w:hAnsi="宋体" w:cs="宋体"/>
          <w:b/>
          <w:bCs/>
          <w:color w:val="auto"/>
          <w:szCs w:val="21"/>
          <w:highlight w:val="none"/>
        </w:rPr>
        <w:t>特别说明：</w:t>
      </w:r>
    </w:p>
    <w:p w14:paraId="6EF4C525">
      <w:pPr>
        <w:tabs>
          <w:tab w:val="left" w:pos="1305"/>
        </w:tabs>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投标文件（电子投标文件），其中电子投标文件中所须加盖公章部分均采用CA签章。若投标文件中有专门标注的某关联点，并要求供应商在电子投标系统中作出投标响应的，如供应商未对关联点进行响应或者在投标文件其它内容中进行描述，造成电子评审不能查询的责任由供应商自行承担。</w:t>
      </w:r>
    </w:p>
    <w:p w14:paraId="66100990">
      <w:pPr>
        <w:tabs>
          <w:tab w:val="left" w:pos="1305"/>
        </w:tabs>
        <w:spacing w:line="400" w:lineRule="exact"/>
        <w:ind w:firstLine="422" w:firstLineChars="200"/>
        <w:rPr>
          <w:rFonts w:hAnsi="宋体" w:cs="宋体"/>
          <w:b/>
          <w:bCs/>
          <w:color w:val="auto"/>
          <w:szCs w:val="21"/>
          <w:highlight w:val="none"/>
        </w:rPr>
      </w:pPr>
      <w:r>
        <w:rPr>
          <w:rFonts w:hint="eastAsia" w:ascii="宋体" w:hAnsi="宋体" w:cs="宋体"/>
          <w:b/>
          <w:bCs/>
          <w:color w:val="auto"/>
          <w:szCs w:val="21"/>
          <w:highlight w:val="none"/>
        </w:rPr>
        <w:t>（2）招标文件要求法定代表人（负责人）或委托代理人签字的部分必须签字然后扫描或者拍照做成 pdf 格式上传（或加盖个人CA签章），无签字的视为投标无效。</w:t>
      </w:r>
    </w:p>
    <w:p w14:paraId="533F9824">
      <w:pPr>
        <w:tabs>
          <w:tab w:val="left" w:pos="1305"/>
        </w:tabs>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14. 投标文件的语言及计量</w:t>
      </w:r>
    </w:p>
    <w:p w14:paraId="6907A7C5">
      <w:pPr>
        <w:tabs>
          <w:tab w:val="left" w:pos="1305"/>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14.1投标文件以及投标人与招标人或者采购代理机构就有关投标事宜的所有来往函电，均应以中文汉语书写。投标人提交的支持文件和印刷的文献可以使用别的语言，但其相应内容必须附有中文翻译文本，在解释投标文件时以中文翻译文本为主。</w:t>
      </w:r>
    </w:p>
    <w:p w14:paraId="3D999DEE">
      <w:pPr>
        <w:tabs>
          <w:tab w:val="left" w:pos="1305"/>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14.2投标计量单位，招标文件已有明确规定的，使用招标文件规定的计量单位；招标文件没有规定的，应采用中华人民共和国法定计量单位（货币单位：元人民币），否则视同未响应。</w:t>
      </w:r>
    </w:p>
    <w:p w14:paraId="2E3C8E82">
      <w:pPr>
        <w:tabs>
          <w:tab w:val="left" w:pos="1305"/>
        </w:tabs>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15.投标报价</w:t>
      </w:r>
    </w:p>
    <w:p w14:paraId="6E135B9E">
      <w:pPr>
        <w:spacing w:line="40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15.1投标报价应按招标文件中第六章“投标文件格式”填写，</w:t>
      </w:r>
      <w:r>
        <w:rPr>
          <w:rFonts w:hint="eastAsia" w:ascii="宋体" w:hAnsi="宋体" w:cs="宋体"/>
          <w:b/>
          <w:bCs/>
          <w:color w:val="auto"/>
          <w:szCs w:val="21"/>
          <w:highlight w:val="none"/>
        </w:rPr>
        <w:t>投标报价</w:t>
      </w:r>
      <w:r>
        <w:rPr>
          <w:rFonts w:hint="eastAsia" w:ascii="宋体" w:hAnsi="宋体" w:cs="宋体"/>
          <w:b/>
          <w:bCs/>
          <w:color w:val="auto"/>
          <w:szCs w:val="21"/>
          <w:highlight w:val="none"/>
          <w:lang w:val="en-US" w:eastAsia="zh-CN"/>
        </w:rPr>
        <w:t>低于招标控制价</w:t>
      </w:r>
      <w:r>
        <w:rPr>
          <w:rFonts w:hint="eastAsia" w:ascii="宋体" w:hAnsi="宋体" w:cs="宋体"/>
          <w:b/>
          <w:bCs/>
          <w:color w:val="auto"/>
          <w:szCs w:val="21"/>
          <w:highlight w:val="none"/>
        </w:rPr>
        <w:t>的，投标文件按无效处理。</w:t>
      </w:r>
    </w:p>
    <w:p w14:paraId="25C1B05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15.2投标人必须就“采购需求”中所投标的所有内容作完整唯一报价，否则，其投标将被拒绝；投标文件只允许有一个报价，有选择的或有条件的报价将不予接受。</w:t>
      </w:r>
    </w:p>
    <w:p w14:paraId="5627AC1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15.3本项目报价项及报价上限详见投标人须知前附表。</w:t>
      </w:r>
    </w:p>
    <w:p w14:paraId="0504EF71">
      <w:pPr>
        <w:spacing w:line="400" w:lineRule="exact"/>
        <w:ind w:left="420" w:hanging="420"/>
        <w:rPr>
          <w:rFonts w:ascii="宋体" w:hAnsi="宋体" w:cs="宋体"/>
          <w:b/>
          <w:color w:val="auto"/>
          <w:szCs w:val="21"/>
          <w:highlight w:val="none"/>
        </w:rPr>
      </w:pPr>
      <w:r>
        <w:rPr>
          <w:rFonts w:hint="eastAsia" w:ascii="宋体" w:hAnsi="宋体" w:cs="宋体"/>
          <w:color w:val="auto"/>
          <w:szCs w:val="21"/>
          <w:highlight w:val="none"/>
        </w:rPr>
        <w:t xml:space="preserve">   </w:t>
      </w:r>
      <w:r>
        <w:rPr>
          <w:rFonts w:hint="eastAsia" w:ascii="宋体" w:hAnsi="宋体" w:cs="宋体"/>
          <w:b/>
          <w:color w:val="auto"/>
          <w:szCs w:val="21"/>
          <w:highlight w:val="none"/>
        </w:rPr>
        <w:t>16. 投标有效期</w:t>
      </w:r>
    </w:p>
    <w:p w14:paraId="334DF09A">
      <w:pPr>
        <w:tabs>
          <w:tab w:val="left" w:pos="1305"/>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16.1投标有效期：投标截止时间之日起90天。</w:t>
      </w:r>
    </w:p>
    <w:p w14:paraId="510E709B">
      <w:pPr>
        <w:tabs>
          <w:tab w:val="left" w:pos="1305"/>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16.2</w:t>
      </w:r>
      <w:r>
        <w:rPr>
          <w:rFonts w:hint="eastAsia" w:ascii="宋体" w:hAnsi="宋体"/>
          <w:color w:val="auto"/>
          <w:szCs w:val="21"/>
          <w:highlight w:val="none"/>
        </w:rPr>
        <w:t>出现特殊情况下，需要延长投标有效期的，采购代理机构以书面形式通知所有投标人延长投标有效期。投标人同意延长的，投标文件为有效文件，但不能修改投标文件。投标人拒绝延长的，其投标无效。</w:t>
      </w:r>
    </w:p>
    <w:p w14:paraId="180A34D8">
      <w:pPr>
        <w:numPr>
          <w:ilvl w:val="0"/>
          <w:numId w:val="2"/>
        </w:numPr>
        <w:spacing w:line="400" w:lineRule="exact"/>
        <w:ind w:firstLine="413" w:firstLineChars="196"/>
        <w:rPr>
          <w:rFonts w:ascii="宋体" w:hAnsi="宋体" w:cs="宋体"/>
          <w:b/>
          <w:color w:val="auto"/>
          <w:szCs w:val="21"/>
          <w:highlight w:val="none"/>
        </w:rPr>
      </w:pPr>
      <w:r>
        <w:rPr>
          <w:rFonts w:hint="eastAsia" w:ascii="宋体" w:hAnsi="宋体" w:cs="宋体"/>
          <w:b/>
          <w:color w:val="auto"/>
          <w:szCs w:val="21"/>
          <w:highlight w:val="none"/>
        </w:rPr>
        <w:t>投标保证金</w:t>
      </w:r>
    </w:p>
    <w:p w14:paraId="330E5BBE">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本项目需缴纳投标保函人民币50万元（￥：伍拾万元）</w:t>
      </w:r>
    </w:p>
    <w:p w14:paraId="1982192F">
      <w:pPr>
        <w:numPr>
          <w:ilvl w:val="0"/>
          <w:numId w:val="2"/>
        </w:numPr>
        <w:tabs>
          <w:tab w:val="left" w:pos="1305"/>
        </w:tabs>
        <w:spacing w:line="400" w:lineRule="exact"/>
        <w:ind w:left="0" w:leftChars="0"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投标文件的</w:t>
      </w:r>
      <w:r>
        <w:rPr>
          <w:rFonts w:hint="eastAsia" w:ascii="宋体" w:hAnsi="宋体"/>
          <w:b/>
          <w:color w:val="auto"/>
          <w:szCs w:val="21"/>
          <w:highlight w:val="none"/>
        </w:rPr>
        <w:t>投标文件的制作、加密</w:t>
      </w:r>
      <w:r>
        <w:rPr>
          <w:rFonts w:hint="eastAsia" w:ascii="宋体" w:hAnsi="宋体" w:cs="宋体"/>
          <w:b/>
          <w:color w:val="auto"/>
          <w:szCs w:val="21"/>
          <w:highlight w:val="none"/>
        </w:rPr>
        <w:t>、</w:t>
      </w:r>
      <w:r>
        <w:rPr>
          <w:rFonts w:hint="eastAsia" w:ascii="宋体" w:hAnsi="宋体"/>
          <w:b/>
          <w:color w:val="auto"/>
          <w:szCs w:val="21"/>
          <w:highlight w:val="none"/>
        </w:rPr>
        <w:t>公章及签字</w:t>
      </w:r>
    </w:p>
    <w:p w14:paraId="5F6BD61F">
      <w:pPr>
        <w:tabs>
          <w:tab w:val="left" w:pos="1305"/>
        </w:tabs>
        <w:spacing w:line="400" w:lineRule="exact"/>
        <w:ind w:firstLine="422" w:firstLineChars="200"/>
        <w:rPr>
          <w:rFonts w:ascii="宋体" w:hAnsi="宋体"/>
          <w:color w:val="auto"/>
          <w:szCs w:val="21"/>
          <w:highlight w:val="none"/>
        </w:rPr>
      </w:pPr>
      <w:r>
        <w:rPr>
          <w:rFonts w:hint="eastAsia" w:ascii="宋体" w:hAnsi="宋体"/>
          <w:b/>
          <w:color w:val="auto"/>
          <w:szCs w:val="21"/>
          <w:highlight w:val="none"/>
          <w:lang w:val="en-US" w:eastAsia="zh-CN"/>
        </w:rPr>
        <w:t>18.1</w:t>
      </w:r>
      <w:r>
        <w:rPr>
          <w:rFonts w:hint="eastAsia" w:ascii="宋体" w:hAnsi="宋体"/>
          <w:b/>
          <w:color w:val="auto"/>
          <w:szCs w:val="21"/>
          <w:highlight w:val="none"/>
        </w:rPr>
        <w:t>、电子投标文件的制作、加密</w:t>
      </w:r>
      <w:r>
        <w:rPr>
          <w:rFonts w:hint="eastAsia" w:ascii="宋体" w:hAnsi="宋体"/>
          <w:color w:val="auto"/>
          <w:szCs w:val="21"/>
          <w:highlight w:val="none"/>
        </w:rPr>
        <w:t>：详见《投标人须知前附表》。</w:t>
      </w:r>
    </w:p>
    <w:p w14:paraId="644B55CE">
      <w:pPr>
        <w:tabs>
          <w:tab w:val="left" w:pos="1305"/>
        </w:tabs>
        <w:spacing w:line="380" w:lineRule="exact"/>
        <w:ind w:firstLine="422" w:firstLineChars="200"/>
        <w:rPr>
          <w:rFonts w:hint="eastAsia" w:ascii="宋体" w:hAnsi="宋体" w:cs="宋体"/>
          <w:b/>
          <w:color w:val="auto"/>
          <w:szCs w:val="21"/>
          <w:highlight w:val="none"/>
        </w:rPr>
      </w:pPr>
      <w:r>
        <w:rPr>
          <w:rFonts w:hint="eastAsia" w:ascii="宋体" w:hAnsi="宋体"/>
          <w:b/>
          <w:color w:val="auto"/>
          <w:szCs w:val="21"/>
          <w:highlight w:val="none"/>
        </w:rPr>
        <w:t>18</w:t>
      </w:r>
      <w:r>
        <w:rPr>
          <w:rFonts w:hint="eastAsia" w:ascii="宋体" w:hAnsi="宋体"/>
          <w:b/>
          <w:color w:val="auto"/>
          <w:szCs w:val="21"/>
          <w:highlight w:val="none"/>
          <w:lang w:val="en-US" w:eastAsia="zh-CN"/>
        </w:rPr>
        <w:t>.2</w:t>
      </w:r>
      <w:r>
        <w:rPr>
          <w:rFonts w:hint="eastAsia" w:ascii="宋体" w:hAnsi="宋体"/>
          <w:b/>
          <w:color w:val="auto"/>
          <w:szCs w:val="21"/>
          <w:highlight w:val="none"/>
        </w:rPr>
        <w:t>、投标人公章及签字</w:t>
      </w:r>
      <w:r>
        <w:rPr>
          <w:rFonts w:hint="eastAsia" w:ascii="宋体" w:hAnsi="宋体"/>
          <w:color w:val="auto"/>
          <w:szCs w:val="21"/>
          <w:highlight w:val="none"/>
        </w:rPr>
        <w:t>：详见《投标人须知前附表》。</w:t>
      </w:r>
    </w:p>
    <w:p w14:paraId="5D100BC7">
      <w:pPr>
        <w:tabs>
          <w:tab w:val="left" w:pos="1305"/>
        </w:tabs>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19. 投标文件的补充、修改和撤回</w:t>
      </w:r>
    </w:p>
    <w:p w14:paraId="347FC19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19.1投标文件递交截止时间前可以撤回电子投标文件。补充或者修改电子投标文件的，应当先行撤回原文件，补充、修改后重新传输递交，投标文件递交截止时间前未完成传输的，视为撤回投标文件。</w:t>
      </w:r>
    </w:p>
    <w:p w14:paraId="0E2AE18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19.2 在投标文件递交截止时间后的投标文件有效期内，供应商不得撤回其投标文件。</w:t>
      </w:r>
    </w:p>
    <w:p w14:paraId="7AE006B1">
      <w:pPr>
        <w:tabs>
          <w:tab w:val="left" w:pos="1305"/>
        </w:tabs>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20. 投标文件的递交</w:t>
      </w:r>
    </w:p>
    <w:p w14:paraId="533E6E85">
      <w:pPr>
        <w:spacing w:line="40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rPr>
        <w:t>20.1投标文件递交截止时间：</w:t>
      </w:r>
      <w:r>
        <w:rPr>
          <w:rFonts w:hint="eastAsia" w:ascii="宋体" w:hAnsi="宋体"/>
          <w:color w:val="auto"/>
          <w:szCs w:val="21"/>
          <w:highlight w:val="none"/>
        </w:rPr>
        <w:t>详见《投标人须知前附表》</w:t>
      </w:r>
    </w:p>
    <w:p w14:paraId="1CA1324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20.2投标文件解密时间：</w:t>
      </w:r>
      <w:r>
        <w:rPr>
          <w:rFonts w:hint="eastAsia" w:ascii="宋体" w:hAnsi="宋体"/>
          <w:color w:val="auto"/>
          <w:szCs w:val="21"/>
          <w:highlight w:val="none"/>
        </w:rPr>
        <w:t>详见《投标人须知前附表》</w:t>
      </w:r>
    </w:p>
    <w:p w14:paraId="01C27DF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20.3 </w:t>
      </w:r>
      <w:r>
        <w:rPr>
          <w:rFonts w:hint="eastAsia" w:ascii="宋体" w:hAnsi="宋体"/>
          <w:color w:val="auto"/>
          <w:szCs w:val="21"/>
          <w:highlight w:val="none"/>
        </w:rPr>
        <w:t>投标文件递交地点：详见《投标人须知前附表》</w:t>
      </w:r>
    </w:p>
    <w:p w14:paraId="5852980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20.4 除招标文件另有规定外，供应商所递交的投标文件不予退还。</w:t>
      </w:r>
    </w:p>
    <w:p w14:paraId="181BEB8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20.5</w:t>
      </w:r>
      <w:r>
        <w:rPr>
          <w:rFonts w:hint="eastAsia" w:ascii="宋体" w:hAnsi="宋体" w:cs="宋体"/>
          <w:color w:val="auto"/>
          <w:szCs w:val="21"/>
          <w:highlight w:val="none"/>
        </w:rPr>
        <w:t>电子投标文件的相关说明</w:t>
      </w:r>
    </w:p>
    <w:p w14:paraId="71793A0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供应商进行电子投标应安装客户端软件，并按照采购文件和电子交易平台的要求编制并加密投标文件。供应商未按规定加密的投标文件，电子交易平台将拒收。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 </w:t>
      </w:r>
    </w:p>
    <w:p w14:paraId="60794F7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（2）如有特殊情况，采购代理机构延长截止时间和开标时间，采购代理机构和供应商的权利和义务将受到新的截止时间和开标时间的约束。</w:t>
      </w:r>
    </w:p>
    <w:p w14:paraId="6F8E93C8">
      <w:pPr>
        <w:tabs>
          <w:tab w:val="left" w:pos="1305"/>
        </w:tabs>
        <w:spacing w:line="400" w:lineRule="exact"/>
        <w:ind w:firstLine="422" w:firstLineChars="200"/>
        <w:jc w:val="center"/>
        <w:rPr>
          <w:rFonts w:ascii="宋体" w:hAnsi="宋体" w:cs="宋体"/>
          <w:b/>
          <w:color w:val="auto"/>
          <w:szCs w:val="21"/>
          <w:highlight w:val="none"/>
        </w:rPr>
      </w:pPr>
    </w:p>
    <w:p w14:paraId="17B896D5">
      <w:pPr>
        <w:tabs>
          <w:tab w:val="left" w:pos="1305"/>
        </w:tabs>
        <w:spacing w:line="400" w:lineRule="exact"/>
        <w:ind w:firstLine="422" w:firstLineChars="200"/>
        <w:jc w:val="center"/>
        <w:rPr>
          <w:rFonts w:ascii="宋体" w:hAnsi="宋体" w:cs="宋体"/>
          <w:b/>
          <w:color w:val="auto"/>
          <w:szCs w:val="21"/>
          <w:highlight w:val="none"/>
        </w:rPr>
      </w:pPr>
      <w:r>
        <w:rPr>
          <w:rFonts w:hint="eastAsia" w:ascii="宋体" w:hAnsi="宋体" w:cs="宋体"/>
          <w:b/>
          <w:color w:val="auto"/>
          <w:szCs w:val="21"/>
          <w:highlight w:val="none"/>
        </w:rPr>
        <w:t>四、开标</w:t>
      </w:r>
    </w:p>
    <w:p w14:paraId="613E5B73">
      <w:pPr>
        <w:tabs>
          <w:tab w:val="left" w:pos="1305"/>
        </w:tabs>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21. 开标时间及地点</w:t>
      </w:r>
    </w:p>
    <w:p w14:paraId="12AA200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21.1开标时间及地点：</w:t>
      </w:r>
    </w:p>
    <w:p w14:paraId="5AE1CC6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开标时间</w:t>
      </w:r>
      <w:r>
        <w:rPr>
          <w:rFonts w:hint="eastAsia" w:ascii="宋体" w:hAnsi="宋体" w:cs="宋体"/>
          <w:color w:val="auto"/>
          <w:szCs w:val="21"/>
          <w:highlight w:val="none"/>
          <w:lang w:eastAsia="zh-CN"/>
        </w:rPr>
        <w:t xml:space="preserve"> 2025年</w:t>
      </w:r>
      <w:r>
        <w:rPr>
          <w:rFonts w:hint="eastAsia" w:ascii="宋体" w:hAnsi="宋体" w:cs="宋体"/>
          <w:color w:val="auto"/>
          <w:szCs w:val="21"/>
          <w:highlight w:val="none"/>
          <w:lang w:val="en-US" w:eastAsia="zh-CN"/>
        </w:rPr>
        <w:t xml:space="preserve">11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4 </w:t>
      </w:r>
      <w:r>
        <w:rPr>
          <w:rFonts w:hint="eastAsia" w:ascii="宋体" w:hAnsi="宋体" w:cs="宋体"/>
          <w:color w:val="auto"/>
          <w:szCs w:val="21"/>
          <w:highlight w:val="none"/>
        </w:rPr>
        <w:t>日9时30分</w:t>
      </w:r>
      <w:r>
        <w:rPr>
          <w:rFonts w:hint="eastAsia" w:ascii="宋体" w:hAnsi="宋体" w:cs="宋体"/>
          <w:color w:val="auto"/>
          <w:szCs w:val="21"/>
          <w:highlight w:val="none"/>
        </w:rPr>
        <w:t>（北京时间）截标后。</w:t>
      </w:r>
    </w:p>
    <w:p w14:paraId="1C84550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    点：通过广西政府采购云平台实行在线解密开启。</w:t>
      </w:r>
    </w:p>
    <w:p w14:paraId="7210928D">
      <w:pPr>
        <w:tabs>
          <w:tab w:val="left" w:pos="1305"/>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21.2投标人不足3家的，不得开标，招标人或者采购代理机构应当重新组织采购。</w:t>
      </w:r>
    </w:p>
    <w:p w14:paraId="3B4375A3">
      <w:pPr>
        <w:tabs>
          <w:tab w:val="left" w:pos="1305"/>
        </w:tabs>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22. 开标程序</w:t>
      </w:r>
    </w:p>
    <w:p w14:paraId="640BAE4C">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22.1开标准备</w:t>
      </w:r>
    </w:p>
    <w:p w14:paraId="79EA85F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22.1.1.开标的准备工作由采购代理机构负责落实；</w:t>
      </w:r>
    </w:p>
    <w:p w14:paraId="4E16A51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22.1.2.采购代理机构将按照招标文件规定的时间通过“</w:t>
      </w:r>
      <w:r>
        <w:rPr>
          <w:rFonts w:hint="eastAsia" w:ascii="宋体" w:hAnsi="宋体"/>
          <w:color w:val="auto"/>
          <w:szCs w:val="21"/>
          <w:highlight w:val="none"/>
        </w:rPr>
        <w:t>广西政府采购云平台</w:t>
      </w:r>
      <w:r>
        <w:rPr>
          <w:rFonts w:hint="eastAsia" w:ascii="宋体" w:hAnsi="宋体" w:cs="宋体"/>
          <w:color w:val="auto"/>
          <w:szCs w:val="21"/>
          <w:highlight w:val="none"/>
        </w:rPr>
        <w:t>”组织开标、开启投标文件，所有投标人均应当准时在线参加。投标人如不参加开标会的，视同认可开标结果，事后不得对采购相关人员、开标过程和开标结果提出异议，同时投标人因未在线参加开标而导致投标文件无法按时解密等一切后果由投标人自己承担。</w:t>
      </w:r>
    </w:p>
    <w:p w14:paraId="0FF7E87C">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22.2开标程序</w:t>
      </w:r>
    </w:p>
    <w:p w14:paraId="32F1D7F6">
      <w:pPr>
        <w:spacing w:line="400" w:lineRule="exact"/>
        <w:ind w:firstLine="422" w:firstLineChars="200"/>
        <w:rPr>
          <w:rFonts w:hint="eastAsia" w:ascii="宋体" w:hAnsi="宋体"/>
          <w:color w:val="auto"/>
          <w:szCs w:val="21"/>
          <w:highlight w:val="none"/>
        </w:rPr>
      </w:pPr>
      <w:r>
        <w:rPr>
          <w:rFonts w:hint="eastAsia" w:ascii="宋体" w:hAnsi="宋体" w:cs="宋体"/>
          <w:b/>
          <w:bCs/>
          <w:color w:val="auto"/>
          <w:szCs w:val="21"/>
          <w:highlight w:val="none"/>
        </w:rPr>
        <w:t>22.2.1.</w:t>
      </w:r>
      <w:r>
        <w:rPr>
          <w:rFonts w:hint="eastAsia" w:ascii="宋体" w:hAnsi="宋体"/>
          <w:color w:val="auto"/>
          <w:szCs w:val="21"/>
          <w:highlight w:val="none"/>
        </w:rPr>
        <w:t>向各投标人发出电子加密投标文件【开始解密】通知，由投标人按招标文件规定的时间内自行对电子加密投标文件进行解密。投标人在规定的时间内无法完成已递交的“电子加密投标文件”解密的，系统默认自动放弃，在线解密时间为30分钟。</w:t>
      </w:r>
    </w:p>
    <w:p w14:paraId="717D2302">
      <w:pPr>
        <w:spacing w:line="400" w:lineRule="exact"/>
        <w:ind w:firstLine="422" w:firstLineChars="200"/>
        <w:rPr>
          <w:rFonts w:hint="eastAsia" w:ascii="宋体" w:hAnsi="宋体"/>
          <w:color w:val="auto"/>
          <w:szCs w:val="21"/>
          <w:highlight w:val="none"/>
        </w:rPr>
      </w:pPr>
      <w:r>
        <w:rPr>
          <w:rFonts w:hint="eastAsia" w:ascii="宋体" w:hAnsi="宋体" w:cs="宋体"/>
          <w:b/>
          <w:bCs/>
          <w:color w:val="auto"/>
          <w:szCs w:val="21"/>
          <w:highlight w:val="none"/>
        </w:rPr>
        <w:t>22.2.2.</w:t>
      </w:r>
      <w:r>
        <w:rPr>
          <w:rFonts w:hint="eastAsia" w:ascii="宋体" w:hAnsi="宋体"/>
          <w:color w:val="auto"/>
          <w:szCs w:val="21"/>
          <w:highlight w:val="none"/>
        </w:rPr>
        <w:t>投标文件解密结束后，开标活动组织人员在线开启投标文件。</w:t>
      </w:r>
    </w:p>
    <w:p w14:paraId="7EF5878F">
      <w:pPr>
        <w:spacing w:line="3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22.2.3.</w:t>
      </w:r>
      <w:r>
        <w:rPr>
          <w:rFonts w:hint="eastAsia" w:ascii="宋体" w:hAnsi="宋体"/>
          <w:color w:val="auto"/>
          <w:szCs w:val="21"/>
          <w:highlight w:val="none"/>
        </w:rPr>
        <w:t>开启投标人报价文件，投标人代表对各自报价进行确认，如果认为报价有误，可以当场提出异议。</w:t>
      </w:r>
    </w:p>
    <w:p w14:paraId="3C805706">
      <w:pPr>
        <w:spacing w:line="400" w:lineRule="exact"/>
        <w:rPr>
          <w:rFonts w:ascii="宋体" w:hAnsi="宋体" w:cs="宋体"/>
          <w:b/>
          <w:bCs/>
          <w:color w:val="auto"/>
          <w:szCs w:val="21"/>
          <w:highlight w:val="none"/>
        </w:rPr>
      </w:pPr>
      <w:r>
        <w:rPr>
          <w:rFonts w:hint="eastAsia" w:ascii="宋体" w:hAnsi="宋体" w:cs="宋体"/>
          <w:b/>
          <w:bCs/>
          <w:color w:val="auto"/>
          <w:szCs w:val="21"/>
          <w:highlight w:val="none"/>
        </w:rPr>
        <w:t>特别说明：如遇“政府采购云平台”电子化开标或评审程序调整的，按调整后程序执行。</w:t>
      </w:r>
    </w:p>
    <w:p w14:paraId="46C4CBB4">
      <w:pPr>
        <w:tabs>
          <w:tab w:val="left" w:pos="1305"/>
        </w:tabs>
        <w:spacing w:line="400" w:lineRule="exact"/>
        <w:ind w:firstLine="422" w:firstLineChars="200"/>
        <w:jc w:val="center"/>
        <w:rPr>
          <w:rFonts w:hint="eastAsia" w:ascii="宋体" w:hAnsi="宋体" w:cs="宋体"/>
          <w:b/>
          <w:color w:val="auto"/>
          <w:szCs w:val="21"/>
          <w:highlight w:val="none"/>
        </w:rPr>
      </w:pPr>
    </w:p>
    <w:p w14:paraId="2AAF3F2D">
      <w:pPr>
        <w:tabs>
          <w:tab w:val="left" w:pos="1305"/>
        </w:tabs>
        <w:spacing w:line="400" w:lineRule="exact"/>
        <w:ind w:firstLine="422" w:firstLineChars="200"/>
        <w:jc w:val="center"/>
        <w:rPr>
          <w:rFonts w:ascii="宋体" w:hAnsi="宋体" w:cs="宋体"/>
          <w:b/>
          <w:color w:val="auto"/>
          <w:szCs w:val="21"/>
          <w:highlight w:val="none"/>
        </w:rPr>
      </w:pPr>
      <w:r>
        <w:rPr>
          <w:rFonts w:hint="eastAsia" w:ascii="宋体" w:hAnsi="宋体" w:cs="宋体"/>
          <w:b/>
          <w:color w:val="auto"/>
          <w:szCs w:val="21"/>
          <w:highlight w:val="none"/>
        </w:rPr>
        <w:t>五、资格性审查</w:t>
      </w:r>
    </w:p>
    <w:p w14:paraId="119E3EDA">
      <w:pPr>
        <w:tabs>
          <w:tab w:val="left" w:pos="1140"/>
        </w:tabs>
        <w:spacing w:line="360" w:lineRule="exact"/>
        <w:ind w:firstLine="422" w:firstLineChars="200"/>
        <w:rPr>
          <w:rFonts w:ascii="宋体" w:hAnsi="宋体"/>
          <w:color w:val="auto"/>
          <w:szCs w:val="21"/>
          <w:highlight w:val="none"/>
        </w:rPr>
      </w:pPr>
      <w:r>
        <w:rPr>
          <w:rFonts w:hint="eastAsia" w:ascii="宋体" w:hAnsi="宋体" w:cs="宋体"/>
          <w:b/>
          <w:color w:val="auto"/>
          <w:szCs w:val="21"/>
          <w:highlight w:val="none"/>
        </w:rPr>
        <w:t>23. 资格性审查：</w:t>
      </w:r>
      <w:r>
        <w:rPr>
          <w:rFonts w:ascii="宋体" w:hAnsi="宋体"/>
          <w:color w:val="auto"/>
          <w:szCs w:val="21"/>
          <w:highlight w:val="none"/>
        </w:rPr>
        <w:t>评标委员会应当对投标人的投标文件进行</w:t>
      </w:r>
      <w:r>
        <w:rPr>
          <w:rFonts w:hint="eastAsia" w:ascii="宋体" w:hAnsi="宋体"/>
          <w:color w:val="auto"/>
          <w:szCs w:val="21"/>
          <w:highlight w:val="none"/>
          <w:lang w:val="en-US" w:eastAsia="zh-CN"/>
        </w:rPr>
        <w:t>资格性</w:t>
      </w:r>
      <w:r>
        <w:rPr>
          <w:rFonts w:ascii="宋体" w:hAnsi="宋体"/>
          <w:color w:val="auto"/>
          <w:szCs w:val="21"/>
          <w:highlight w:val="none"/>
        </w:rPr>
        <w:t>性审查，以确定其是否满足招标文件的实质性要求。</w:t>
      </w:r>
    </w:p>
    <w:p w14:paraId="5776F3D4">
      <w:pPr>
        <w:tabs>
          <w:tab w:val="left" w:pos="1305"/>
        </w:tabs>
        <w:spacing w:line="400" w:lineRule="exact"/>
        <w:ind w:firstLine="420" w:firstLineChars="200"/>
        <w:rPr>
          <w:rFonts w:ascii="宋体" w:hAnsi="宋体" w:cs="宋体"/>
          <w:b/>
          <w:color w:val="auto"/>
          <w:szCs w:val="21"/>
          <w:highlight w:val="none"/>
        </w:rPr>
      </w:pPr>
      <w:r>
        <w:rPr>
          <w:rFonts w:hint="eastAsia" w:ascii="宋体" w:hAnsi="宋体" w:cs="宋体"/>
          <w:bCs/>
          <w:color w:val="auto"/>
          <w:szCs w:val="21"/>
          <w:highlight w:val="none"/>
        </w:rPr>
        <w:t>。</w:t>
      </w:r>
    </w:p>
    <w:p w14:paraId="40903586">
      <w:pPr>
        <w:tabs>
          <w:tab w:val="center" w:pos="4411"/>
          <w:tab w:val="left" w:pos="5475"/>
        </w:tabs>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六、评标</w:t>
      </w:r>
    </w:p>
    <w:p w14:paraId="1C0EF110">
      <w:pPr>
        <w:tabs>
          <w:tab w:val="center" w:pos="4411"/>
          <w:tab w:val="left" w:pos="5475"/>
        </w:tabs>
        <w:spacing w:line="4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24. 评标委员会组成</w:t>
      </w:r>
    </w:p>
    <w:p w14:paraId="3E9B67B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评标工作由采购代理机构负责组织，评标委员会由项目实施机构代表（采购人）和有关技术、经济等方面不少于7名的专家组成（至少包括1名财务专家、1名法律专家）。</w:t>
      </w:r>
    </w:p>
    <w:p w14:paraId="293E49BE">
      <w:pPr>
        <w:tabs>
          <w:tab w:val="left" w:pos="1140"/>
        </w:tabs>
        <w:spacing w:line="400" w:lineRule="exact"/>
        <w:ind w:left="420" w:leftChars="172" w:hanging="59" w:hangingChars="28"/>
        <w:rPr>
          <w:rFonts w:ascii="宋体" w:hAnsi="宋体" w:cs="宋体"/>
          <w:b/>
          <w:color w:val="auto"/>
          <w:szCs w:val="21"/>
          <w:highlight w:val="none"/>
        </w:rPr>
      </w:pPr>
      <w:r>
        <w:rPr>
          <w:rFonts w:hint="eastAsia" w:ascii="宋体" w:hAnsi="宋体" w:cs="宋体"/>
          <w:b/>
          <w:color w:val="auto"/>
          <w:szCs w:val="21"/>
          <w:highlight w:val="none"/>
        </w:rPr>
        <w:t>25. 评标办法</w:t>
      </w:r>
    </w:p>
    <w:p w14:paraId="0932A478">
      <w:pPr>
        <w:tabs>
          <w:tab w:val="left" w:pos="114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25.1评标办法：综合评分法，具体评标内容及标准详见第四章。</w:t>
      </w:r>
    </w:p>
    <w:p w14:paraId="06F1CF75">
      <w:pPr>
        <w:tabs>
          <w:tab w:val="left" w:pos="114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25.2评标委员会应按招标文件进行评标，不得擅自更改评标办法。　　　　　　　　　　　　　　　　　　　　　　　　　　　　　　　　　　　　　　　　　　　　　　　　　　　　　　　　　　</w:t>
      </w:r>
    </w:p>
    <w:p w14:paraId="7CC32D89">
      <w:pPr>
        <w:tabs>
          <w:tab w:val="left" w:pos="1140"/>
        </w:tabs>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26. 评标</w:t>
      </w:r>
    </w:p>
    <w:p w14:paraId="5FDEC8E2">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26.1采购代理机构负责评标组织工作；评标委员会自行登录评标系统阅读评标工作职责与纪律，确认回避原则，</w:t>
      </w:r>
      <w:r>
        <w:rPr>
          <w:rFonts w:ascii="宋体" w:hAnsi="宋体"/>
          <w:color w:val="auto"/>
          <w:szCs w:val="21"/>
          <w:highlight w:val="none"/>
        </w:rPr>
        <w:t>评标委员会推选评标组长，采购人代表不得担任组长</w:t>
      </w:r>
      <w:r>
        <w:rPr>
          <w:rFonts w:hint="eastAsia" w:ascii="宋体" w:hAnsi="宋体"/>
          <w:color w:val="auto"/>
          <w:szCs w:val="21"/>
          <w:highlight w:val="none"/>
        </w:rPr>
        <w:t>；</w:t>
      </w:r>
      <w:r>
        <w:rPr>
          <w:rFonts w:ascii="宋体" w:hAnsi="宋体"/>
          <w:color w:val="auto"/>
          <w:szCs w:val="21"/>
          <w:highlight w:val="none"/>
        </w:rPr>
        <w:t>公布投标人名单；</w:t>
      </w:r>
      <w:r>
        <w:rPr>
          <w:rFonts w:hint="eastAsia" w:ascii="宋体" w:hAnsi="宋体"/>
          <w:color w:val="auto"/>
          <w:szCs w:val="21"/>
          <w:highlight w:val="none"/>
        </w:rPr>
        <w:t>在评标期间由桂林市公共资源交易中心采取必要的通讯管理措施并保证评标活动不受外界干扰</w:t>
      </w:r>
      <w:r>
        <w:rPr>
          <w:rFonts w:ascii="宋体" w:hAnsi="宋体"/>
          <w:color w:val="auto"/>
          <w:szCs w:val="21"/>
          <w:highlight w:val="none"/>
        </w:rPr>
        <w:t>；</w:t>
      </w:r>
      <w:r>
        <w:rPr>
          <w:rFonts w:hint="eastAsia" w:ascii="宋体" w:hAnsi="宋体"/>
          <w:color w:val="auto"/>
          <w:szCs w:val="21"/>
          <w:highlight w:val="none"/>
        </w:rPr>
        <w:t>采购代理机构</w:t>
      </w:r>
      <w:r>
        <w:rPr>
          <w:rFonts w:ascii="宋体" w:hAnsi="宋体"/>
          <w:color w:val="auto"/>
          <w:szCs w:val="21"/>
          <w:highlight w:val="none"/>
        </w:rPr>
        <w:t>根据评标委员会的要求介绍政府采购相关政策法规、招标文件；维护评标秩序，监督评标委员会依照招标文件规定的评标程序、方法和标准进行独立评标，及时制止和纠正采购人代表、评</w:t>
      </w:r>
      <w:r>
        <w:rPr>
          <w:rFonts w:hint="eastAsia" w:ascii="宋体" w:hAnsi="宋体"/>
          <w:color w:val="auto"/>
          <w:szCs w:val="21"/>
          <w:highlight w:val="none"/>
        </w:rPr>
        <w:t>标</w:t>
      </w:r>
      <w:r>
        <w:rPr>
          <w:rFonts w:ascii="宋体" w:hAnsi="宋体"/>
          <w:color w:val="auto"/>
          <w:szCs w:val="21"/>
          <w:highlight w:val="none"/>
        </w:rPr>
        <w:t>专家的倾向性言论或者违法违规行为；核对评标结果，有</w:t>
      </w:r>
      <w:r>
        <w:rPr>
          <w:rFonts w:hint="eastAsia" w:ascii="宋体" w:hAnsi="宋体"/>
          <w:color w:val="auto"/>
          <w:szCs w:val="21"/>
          <w:highlight w:val="none"/>
        </w:rPr>
        <w:t>投标无效</w:t>
      </w:r>
      <w:r>
        <w:rPr>
          <w:rFonts w:ascii="宋体" w:hAnsi="宋体"/>
          <w:color w:val="auto"/>
          <w:szCs w:val="21"/>
          <w:highlight w:val="none"/>
        </w:rPr>
        <w:t>情形的，要求评标委员会复核或者书面说明理由，评标委员会拒绝的，应予记录并向本级财政部门报告；评标工作完成后，按照规定向评标专家支付劳务报酬和异地评标差旅费，不得向评标专家以外的其他人员支付评标劳务报酬；</w:t>
      </w:r>
    </w:p>
    <w:p w14:paraId="446F5730">
      <w:pPr>
        <w:pStyle w:val="19"/>
        <w:shd w:val="clear" w:color="auto" w:fill="FFFFFF"/>
        <w:spacing w:before="0" w:beforeAutospacing="0" w:after="0" w:afterAutospacing="0" w:line="360" w:lineRule="exact"/>
        <w:ind w:firstLine="420" w:firstLineChars="200"/>
        <w:rPr>
          <w:color w:val="auto"/>
          <w:kern w:val="2"/>
          <w:sz w:val="21"/>
          <w:szCs w:val="21"/>
          <w:highlight w:val="none"/>
        </w:rPr>
      </w:pPr>
      <w:r>
        <w:rPr>
          <w:rFonts w:hint="eastAsia"/>
          <w:color w:val="auto"/>
          <w:kern w:val="2"/>
          <w:sz w:val="21"/>
          <w:szCs w:val="21"/>
          <w:highlight w:val="none"/>
        </w:rPr>
        <w:t>26.2评标委员会负责具体评标事务；</w:t>
      </w:r>
      <w:r>
        <w:rPr>
          <w:color w:val="auto"/>
          <w:kern w:val="2"/>
          <w:sz w:val="21"/>
          <w:szCs w:val="21"/>
          <w:highlight w:val="none"/>
        </w:rPr>
        <w:t>审查、评价投标文件是否符合招标文件的商务、技术等实质性要求；要求投标人对投标文件有关事项作出澄清或者说明；对投标文件进行比较和评价；确定中标候选人名单，以及根据采购人委托直接确定中标人；向采购人、采购代理机构或者有关部门报告评标中发现的违法行为。</w:t>
      </w:r>
    </w:p>
    <w:p w14:paraId="1B8289CB">
      <w:pPr>
        <w:pStyle w:val="19"/>
        <w:shd w:val="clear" w:color="auto" w:fill="FFFFFF"/>
        <w:spacing w:before="0" w:beforeAutospacing="0" w:after="0" w:afterAutospacing="0" w:line="360" w:lineRule="exact"/>
        <w:ind w:firstLine="420" w:firstLineChars="200"/>
        <w:rPr>
          <w:color w:val="auto"/>
          <w:kern w:val="2"/>
          <w:sz w:val="21"/>
          <w:szCs w:val="21"/>
          <w:highlight w:val="none"/>
        </w:rPr>
      </w:pPr>
      <w:r>
        <w:rPr>
          <w:rFonts w:hint="eastAsia"/>
          <w:color w:val="auto"/>
          <w:kern w:val="2"/>
          <w:sz w:val="21"/>
          <w:szCs w:val="21"/>
          <w:highlight w:val="none"/>
        </w:rPr>
        <w:t>26.3在评标过程中，评标委员会任何人不得对某个投标人发表任何倾向性意见，不得向其他专家评委明示或者暗示自己的评标意见。</w:t>
      </w:r>
    </w:p>
    <w:p w14:paraId="67AC447D">
      <w:pPr>
        <w:tabs>
          <w:tab w:val="left" w:pos="1140"/>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26.4</w:t>
      </w:r>
      <w:r>
        <w:rPr>
          <w:rFonts w:ascii="宋体" w:hAnsi="宋体"/>
          <w:color w:val="auto"/>
          <w:szCs w:val="21"/>
          <w:highlight w:val="none"/>
        </w:rPr>
        <w:t>评标委员会应当对符合资格的投标人的投标文件进行符合性审查，以确定其是否满足招标文件的实质性要求。</w:t>
      </w:r>
    </w:p>
    <w:p w14:paraId="4B9E56B4">
      <w:pPr>
        <w:pStyle w:val="13"/>
        <w:snapToGrid w:val="0"/>
        <w:spacing w:line="360" w:lineRule="exact"/>
        <w:ind w:firstLine="413" w:firstLineChars="196"/>
        <w:outlineLvl w:val="1"/>
        <w:rPr>
          <w:rFonts w:hAnsi="宋体"/>
          <w:b/>
          <w:color w:val="auto"/>
          <w:szCs w:val="21"/>
          <w:highlight w:val="none"/>
        </w:rPr>
      </w:pPr>
      <w:bookmarkStart w:id="58" w:name="_Toc31613"/>
      <w:r>
        <w:rPr>
          <w:rFonts w:hint="eastAsia" w:hAnsi="宋体"/>
          <w:b/>
          <w:color w:val="auto"/>
          <w:szCs w:val="21"/>
          <w:highlight w:val="none"/>
        </w:rPr>
        <w:t>对未通过符合性审查的投标人，由评标委员会现场告知未通过符合性审查的投标人未通过符合性审查的原因（通过系统或电话通知，并做相应记录）。</w:t>
      </w:r>
      <w:bookmarkEnd w:id="58"/>
    </w:p>
    <w:p w14:paraId="38530082">
      <w:pPr>
        <w:tabs>
          <w:tab w:val="left" w:pos="1140"/>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26.5</w:t>
      </w:r>
      <w:r>
        <w:rPr>
          <w:rFonts w:ascii="宋体" w:hAnsi="宋体"/>
          <w:color w:val="auto"/>
          <w:szCs w:val="21"/>
          <w:highlight w:val="none"/>
        </w:rPr>
        <w:t>对于投标文件中含义不明确、同类问题表述不一致或者有明显文字和计算错误的内容，评标委员会应当以书面形式要求投标人作出必要的澄清、说明或者补正。</w:t>
      </w:r>
    </w:p>
    <w:p w14:paraId="23232275">
      <w:pPr>
        <w:tabs>
          <w:tab w:val="left" w:pos="1140"/>
        </w:tabs>
        <w:spacing w:line="360" w:lineRule="exact"/>
        <w:ind w:firstLine="420" w:firstLineChars="200"/>
        <w:rPr>
          <w:rFonts w:ascii="宋体" w:hAnsi="宋体"/>
          <w:color w:val="auto"/>
          <w:szCs w:val="21"/>
          <w:highlight w:val="none"/>
        </w:rPr>
      </w:pPr>
      <w:r>
        <w:rPr>
          <w:rFonts w:ascii="宋体" w:hAnsi="宋体"/>
          <w:color w:val="auto"/>
          <w:szCs w:val="21"/>
          <w:highlight w:val="none"/>
        </w:rPr>
        <w:t>投标人的澄清、说明或者补正应当采用书面形式，并加盖</w:t>
      </w:r>
      <w:r>
        <w:rPr>
          <w:rFonts w:hint="eastAsia" w:ascii="宋体" w:hAnsi="宋体"/>
          <w:color w:val="auto"/>
          <w:szCs w:val="21"/>
          <w:highlight w:val="none"/>
        </w:rPr>
        <w:t>投标人公章（CA签章）</w:t>
      </w:r>
      <w:r>
        <w:rPr>
          <w:rFonts w:ascii="宋体" w:hAnsi="宋体"/>
          <w:color w:val="auto"/>
          <w:szCs w:val="21"/>
          <w:highlight w:val="none"/>
        </w:rPr>
        <w:t>，或者由法定代表人或其授权的代表签字</w:t>
      </w:r>
      <w:r>
        <w:rPr>
          <w:rFonts w:hint="eastAsia" w:ascii="宋体" w:hAnsi="宋体"/>
          <w:color w:val="auto"/>
          <w:szCs w:val="21"/>
          <w:highlight w:val="none"/>
        </w:rPr>
        <w:t>或个人公章CA签章</w:t>
      </w:r>
      <w:r>
        <w:rPr>
          <w:rFonts w:ascii="宋体" w:hAnsi="宋体"/>
          <w:color w:val="auto"/>
          <w:szCs w:val="21"/>
          <w:highlight w:val="none"/>
        </w:rPr>
        <w:t>。投标人的澄清、说明或者补正不得超出投标文件的范围或者改变投标文件的实质性内容。</w:t>
      </w:r>
    </w:p>
    <w:p w14:paraId="294D38DC">
      <w:pPr>
        <w:pStyle w:val="13"/>
        <w:spacing w:line="360" w:lineRule="exact"/>
        <w:ind w:firstLine="411" w:firstLineChars="196"/>
        <w:rPr>
          <w:rFonts w:hAnsi="宋体" w:cs="宋体"/>
          <w:color w:val="auto"/>
          <w:szCs w:val="21"/>
          <w:highlight w:val="none"/>
        </w:rPr>
      </w:pPr>
      <w:r>
        <w:rPr>
          <w:rFonts w:hint="eastAsia" w:hAnsi="宋体"/>
          <w:color w:val="auto"/>
          <w:szCs w:val="21"/>
          <w:highlight w:val="none"/>
        </w:rPr>
        <w:t>26.6</w:t>
      </w:r>
      <w:r>
        <w:rPr>
          <w:rFonts w:hAnsi="宋体"/>
          <w:color w:val="auto"/>
          <w:szCs w:val="21"/>
          <w:highlight w:val="none"/>
        </w:rPr>
        <w:t>评标委员会应当按照招标文件中规定的评标方法和标准，对符合性审查合格的投标文件进行商务和技术评估，综合比较与评价。</w:t>
      </w:r>
    </w:p>
    <w:p w14:paraId="0CC3C10B">
      <w:pPr>
        <w:pStyle w:val="19"/>
        <w:shd w:val="clear" w:color="auto" w:fill="FFFFFF"/>
        <w:spacing w:before="0" w:beforeAutospacing="0" w:after="0" w:afterAutospacing="0" w:line="400" w:lineRule="exact"/>
        <w:ind w:firstLine="420" w:firstLineChars="200"/>
        <w:rPr>
          <w:color w:val="auto"/>
          <w:kern w:val="2"/>
          <w:sz w:val="21"/>
          <w:szCs w:val="21"/>
          <w:highlight w:val="none"/>
        </w:rPr>
      </w:pPr>
      <w:r>
        <w:rPr>
          <w:rFonts w:hint="eastAsia"/>
          <w:color w:val="auto"/>
          <w:kern w:val="2"/>
          <w:sz w:val="21"/>
          <w:szCs w:val="21"/>
          <w:highlight w:val="none"/>
        </w:rPr>
        <w:t>26.7投标文件报价出现前后不一致的，除招标文件另有规定外，按照下列规定修正：</w:t>
      </w:r>
    </w:p>
    <w:p w14:paraId="49D2E2F4">
      <w:pPr>
        <w:pStyle w:val="19"/>
        <w:shd w:val="clear" w:color="auto" w:fill="FFFFFF"/>
        <w:spacing w:before="0" w:beforeAutospacing="0" w:after="0" w:afterAutospacing="0" w:line="400" w:lineRule="exact"/>
        <w:rPr>
          <w:color w:val="auto"/>
          <w:kern w:val="2"/>
          <w:sz w:val="21"/>
          <w:szCs w:val="21"/>
          <w:highlight w:val="none"/>
        </w:rPr>
      </w:pPr>
      <w:r>
        <w:rPr>
          <w:rFonts w:hint="eastAsia"/>
          <w:color w:val="auto"/>
          <w:kern w:val="2"/>
          <w:sz w:val="21"/>
          <w:szCs w:val="21"/>
          <w:highlight w:val="none"/>
        </w:rPr>
        <w:t>　　（1）投标文件中投标报价表内容与投标文件中相应内容不一致的，以投标报价表为准；</w:t>
      </w:r>
    </w:p>
    <w:p w14:paraId="7A1D2DBA">
      <w:pPr>
        <w:pStyle w:val="19"/>
        <w:shd w:val="clear" w:color="auto" w:fill="FFFFFF"/>
        <w:spacing w:before="0" w:beforeAutospacing="0" w:after="0" w:afterAutospacing="0" w:line="400" w:lineRule="exact"/>
        <w:rPr>
          <w:color w:val="auto"/>
          <w:kern w:val="2"/>
          <w:sz w:val="21"/>
          <w:szCs w:val="21"/>
          <w:highlight w:val="none"/>
        </w:rPr>
      </w:pPr>
      <w:r>
        <w:rPr>
          <w:rFonts w:hint="eastAsia"/>
          <w:color w:val="auto"/>
          <w:kern w:val="2"/>
          <w:sz w:val="21"/>
          <w:szCs w:val="21"/>
          <w:highlight w:val="none"/>
        </w:rPr>
        <w:t>　　（2）大写金额和小写金额不一致的，以大写金额为准；</w:t>
      </w:r>
    </w:p>
    <w:p w14:paraId="5879F70A">
      <w:pPr>
        <w:pStyle w:val="19"/>
        <w:shd w:val="clear" w:color="auto" w:fill="FFFFFF"/>
        <w:spacing w:before="0" w:beforeAutospacing="0" w:after="0" w:afterAutospacing="0" w:line="400" w:lineRule="exact"/>
        <w:rPr>
          <w:color w:val="auto"/>
          <w:kern w:val="2"/>
          <w:sz w:val="21"/>
          <w:szCs w:val="21"/>
          <w:highlight w:val="none"/>
        </w:rPr>
      </w:pPr>
      <w:r>
        <w:rPr>
          <w:rFonts w:hint="eastAsia"/>
          <w:color w:val="auto"/>
          <w:kern w:val="2"/>
          <w:sz w:val="21"/>
          <w:szCs w:val="21"/>
          <w:highlight w:val="none"/>
        </w:rPr>
        <w:t>　　（3）单价金额小数点或者百分比有明显错位的，以报价表的总价为准，并修改单价；</w:t>
      </w:r>
    </w:p>
    <w:p w14:paraId="6DB398FE">
      <w:pPr>
        <w:pStyle w:val="19"/>
        <w:shd w:val="clear" w:color="auto" w:fill="FFFFFF"/>
        <w:spacing w:before="0" w:beforeAutospacing="0" w:after="0" w:afterAutospacing="0" w:line="400" w:lineRule="exact"/>
        <w:rPr>
          <w:color w:val="auto"/>
          <w:kern w:val="2"/>
          <w:sz w:val="21"/>
          <w:szCs w:val="21"/>
          <w:highlight w:val="none"/>
        </w:rPr>
      </w:pPr>
      <w:r>
        <w:rPr>
          <w:rFonts w:hint="eastAsia"/>
          <w:color w:val="auto"/>
          <w:kern w:val="2"/>
          <w:sz w:val="21"/>
          <w:szCs w:val="21"/>
          <w:highlight w:val="none"/>
        </w:rPr>
        <w:t>　　（4）总价金额与按单价汇总金额不一致的，以单价金额计算结果为准。</w:t>
      </w:r>
    </w:p>
    <w:p w14:paraId="2C47AFD9">
      <w:pPr>
        <w:pStyle w:val="19"/>
        <w:shd w:val="clear" w:color="auto" w:fill="FFFFFF"/>
        <w:spacing w:before="0" w:beforeAutospacing="0" w:after="0" w:afterAutospacing="0" w:line="400" w:lineRule="exact"/>
        <w:rPr>
          <w:color w:val="auto"/>
          <w:kern w:val="2"/>
          <w:sz w:val="21"/>
          <w:szCs w:val="21"/>
          <w:highlight w:val="none"/>
        </w:rPr>
      </w:pPr>
      <w:r>
        <w:rPr>
          <w:rFonts w:hint="eastAsia"/>
          <w:color w:val="auto"/>
          <w:kern w:val="2"/>
          <w:sz w:val="21"/>
          <w:szCs w:val="21"/>
          <w:highlight w:val="none"/>
        </w:rPr>
        <w:t>　　同时出现两种以上不一致的，按照前款规定的顺序修正。修正后的报价（不得超出投标文件的范围或者改变投标文件的实质性内容）经投标人确认后产生约束力，投标人不确认的，其投标无效。</w:t>
      </w:r>
    </w:p>
    <w:p w14:paraId="26AD2614">
      <w:pPr>
        <w:pStyle w:val="13"/>
        <w:spacing w:line="400" w:lineRule="exact"/>
        <w:ind w:firstLine="411" w:firstLineChars="196"/>
        <w:rPr>
          <w:rFonts w:hAnsi="宋体" w:cs="宋体"/>
          <w:color w:val="auto"/>
          <w:szCs w:val="21"/>
          <w:highlight w:val="none"/>
        </w:rPr>
      </w:pPr>
      <w:r>
        <w:rPr>
          <w:rFonts w:hint="eastAsia" w:hAnsi="宋体" w:cs="宋体"/>
          <w:color w:val="auto"/>
          <w:szCs w:val="21"/>
          <w:highlight w:val="none"/>
        </w:rPr>
        <w:t>26.8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2F8933EF">
      <w:pPr>
        <w:pStyle w:val="13"/>
        <w:spacing w:line="400" w:lineRule="exact"/>
        <w:ind w:firstLine="411" w:firstLineChars="196"/>
        <w:rPr>
          <w:rFonts w:hAnsi="宋体" w:cs="宋体"/>
          <w:color w:val="auto"/>
          <w:szCs w:val="21"/>
          <w:highlight w:val="none"/>
        </w:rPr>
      </w:pPr>
      <w:r>
        <w:rPr>
          <w:rFonts w:hint="eastAsia" w:hAnsi="宋体" w:cs="宋体"/>
          <w:color w:val="auto"/>
          <w:szCs w:val="21"/>
          <w:highlight w:val="none"/>
        </w:rPr>
        <w:t>26.9评标委员会成员对需要共同认定的事项存在争议的，应当按照少数服从多数的原则作出结论。持不同意见的评标委员会成员应当在评标报告上签署不同意见及理由，否则视为同意评标报告。</w:t>
      </w:r>
    </w:p>
    <w:p w14:paraId="150C82D1">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26.10评标结果汇总完成后，除下列情形外，任何人不得修改评标结果：</w:t>
      </w:r>
    </w:p>
    <w:p w14:paraId="0D1F16D7">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（一）分值汇总计算错误的；</w:t>
      </w:r>
    </w:p>
    <w:p w14:paraId="7BB64990">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（二）分项评分超出评分标准范围的；</w:t>
      </w:r>
    </w:p>
    <w:p w14:paraId="09953A90">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（三）评标委员会成员对客观评审因素评分不一致的；</w:t>
      </w:r>
    </w:p>
    <w:p w14:paraId="11538210">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（四）经评标委员会认定评分畸高、畸低的。</w:t>
      </w:r>
    </w:p>
    <w:p w14:paraId="69C1C8C4">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报告签署前，经复核发现存在以上情形之一的，评标委员会应当当场修改评标结果，并在评标报告中记载；评标报告签署后，招标人或者采购代理机构发现存在以上情形之一的，应当组织原评标委员会进行重新评审，重新评审改变评标结果的，书面报告本级财政部门。</w:t>
      </w:r>
    </w:p>
    <w:p w14:paraId="5CED2EB1">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投标人对本条第一款情形提出质疑的，招标人或者采购代理机构可以组织原评标委员会进行重新评审，重新评审改变评标结果的，应当书面报告本级财政部门。</w:t>
      </w:r>
    </w:p>
    <w:p w14:paraId="2B3C4C36">
      <w:pPr>
        <w:pStyle w:val="13"/>
        <w:spacing w:line="400" w:lineRule="exact"/>
        <w:ind w:firstLine="411" w:firstLineChars="196"/>
        <w:rPr>
          <w:rFonts w:hAnsi="宋体" w:cs="宋体"/>
          <w:color w:val="auto"/>
          <w:szCs w:val="21"/>
          <w:highlight w:val="none"/>
        </w:rPr>
      </w:pPr>
      <w:r>
        <w:rPr>
          <w:rFonts w:hint="eastAsia" w:hAnsi="宋体" w:cs="宋体"/>
          <w:color w:val="auto"/>
          <w:szCs w:val="21"/>
          <w:highlight w:val="none"/>
        </w:rPr>
        <w:t>26.11采购代理机构发现评标委员会有明显的违规倾向或歧视现象，或不按评标办法进行，或其他不正常行为的，应当及时制止。如制止无效，应及时向桂林市秀峰区政府采购管理办公室采购监督管理机构报告。</w:t>
      </w:r>
    </w:p>
    <w:p w14:paraId="712886A3">
      <w:pPr>
        <w:pStyle w:val="13"/>
        <w:tabs>
          <w:tab w:val="left" w:pos="4214"/>
        </w:tabs>
        <w:spacing w:line="400" w:lineRule="exact"/>
        <w:ind w:firstLine="422" w:firstLineChars="200"/>
        <w:rPr>
          <w:rFonts w:hAnsi="宋体" w:cs="宋体"/>
          <w:b/>
          <w:color w:val="auto"/>
          <w:szCs w:val="21"/>
          <w:highlight w:val="none"/>
        </w:rPr>
      </w:pPr>
      <w:r>
        <w:rPr>
          <w:rFonts w:hint="eastAsia" w:hAnsi="宋体" w:cs="宋体"/>
          <w:b/>
          <w:color w:val="auto"/>
          <w:szCs w:val="21"/>
          <w:highlight w:val="none"/>
        </w:rPr>
        <w:t>27</w:t>
      </w:r>
      <w:r>
        <w:rPr>
          <w:rFonts w:hint="eastAsia" w:hAnsi="宋体" w:cs="宋体"/>
          <w:color w:val="auto"/>
          <w:szCs w:val="21"/>
          <w:highlight w:val="none"/>
        </w:rPr>
        <w:t xml:space="preserve">. </w:t>
      </w:r>
      <w:r>
        <w:rPr>
          <w:rFonts w:hint="eastAsia" w:hAnsi="宋体" w:cs="宋体"/>
          <w:b/>
          <w:color w:val="auto"/>
          <w:szCs w:val="21"/>
          <w:highlight w:val="none"/>
        </w:rPr>
        <w:t>推荐及确定中标候选人原则</w:t>
      </w:r>
    </w:p>
    <w:p w14:paraId="0A9C9ECE">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（1）评标委员会根据综合得分由高到低排列次序，若得分相同时，以投标报价由高到低顺序排列；若得分且投标报价相同并列的，则依次按方案最高原则排列并推荐中标候选供应商。</w:t>
      </w:r>
    </w:p>
    <w:p w14:paraId="1D14F097">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（2）评标委员会可推荐前三名为中标候选人，采购人应当确定评标委员会推荐排名第一的中标候选人为中标人。</w:t>
      </w:r>
    </w:p>
    <w:p w14:paraId="0A02255E">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人，并依此类推。</w:t>
      </w:r>
    </w:p>
    <w:p w14:paraId="60FE48B4">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325B7B3">
      <w:pPr>
        <w:pStyle w:val="13"/>
        <w:tabs>
          <w:tab w:val="left" w:pos="4214"/>
        </w:tabs>
        <w:spacing w:line="400" w:lineRule="exact"/>
        <w:ind w:firstLine="422" w:firstLineChars="200"/>
        <w:rPr>
          <w:rFonts w:hAnsi="宋体" w:cs="宋体"/>
          <w:b/>
          <w:color w:val="auto"/>
          <w:szCs w:val="21"/>
          <w:highlight w:val="none"/>
        </w:rPr>
      </w:pPr>
      <w:r>
        <w:rPr>
          <w:rFonts w:hint="eastAsia" w:hAnsi="宋体" w:cs="宋体"/>
          <w:b/>
          <w:color w:val="auto"/>
          <w:szCs w:val="21"/>
          <w:highlight w:val="none"/>
        </w:rPr>
        <w:t>28. 属于下列情况之一者，投标无效：</w:t>
      </w:r>
    </w:p>
    <w:p w14:paraId="3885DC0D">
      <w:pPr>
        <w:pStyle w:val="13"/>
        <w:tabs>
          <w:tab w:val="left" w:pos="4214"/>
        </w:tabs>
        <w:spacing w:line="400" w:lineRule="exact"/>
        <w:ind w:firstLine="420" w:firstLineChars="200"/>
        <w:rPr>
          <w:rFonts w:hAnsi="宋体" w:cs="宋体"/>
          <w:color w:val="auto"/>
          <w:szCs w:val="21"/>
          <w:highlight w:val="none"/>
        </w:rPr>
      </w:pPr>
      <w:r>
        <w:rPr>
          <w:rFonts w:hint="eastAsia" w:hAnsi="宋体" w:cs="宋体"/>
          <w:color w:val="auto"/>
          <w:szCs w:val="21"/>
          <w:highlight w:val="none"/>
        </w:rPr>
        <w:t>（1）未按照招标文件规定要求签字、盖章的；</w:t>
      </w:r>
    </w:p>
    <w:p w14:paraId="3239B2D9">
      <w:pPr>
        <w:pStyle w:val="13"/>
        <w:tabs>
          <w:tab w:val="left" w:pos="4214"/>
        </w:tabs>
        <w:spacing w:line="400" w:lineRule="exact"/>
        <w:ind w:firstLine="420" w:firstLineChars="200"/>
        <w:rPr>
          <w:rFonts w:hAnsi="宋体" w:cs="宋体"/>
          <w:color w:val="auto"/>
          <w:szCs w:val="21"/>
          <w:highlight w:val="none"/>
        </w:rPr>
      </w:pPr>
      <w:r>
        <w:rPr>
          <w:rFonts w:hint="eastAsia" w:hAnsi="宋体" w:cs="宋体"/>
          <w:color w:val="auto"/>
          <w:szCs w:val="21"/>
          <w:highlight w:val="none"/>
        </w:rPr>
        <w:t>（2）报价</w:t>
      </w:r>
      <w:r>
        <w:rPr>
          <w:rFonts w:hint="eastAsia" w:hAnsi="宋体" w:cs="宋体"/>
          <w:color w:val="auto"/>
          <w:szCs w:val="21"/>
          <w:highlight w:val="none"/>
          <w:lang w:val="en-US" w:eastAsia="zh-CN"/>
        </w:rPr>
        <w:t>低于</w:t>
      </w:r>
      <w:r>
        <w:rPr>
          <w:rFonts w:hint="eastAsia" w:hAnsi="宋体" w:cs="宋体"/>
          <w:color w:val="auto"/>
          <w:szCs w:val="21"/>
          <w:highlight w:val="none"/>
        </w:rPr>
        <w:t>招标文件中规定的报价上限的；</w:t>
      </w:r>
    </w:p>
    <w:p w14:paraId="664D0510">
      <w:pPr>
        <w:pStyle w:val="13"/>
        <w:tabs>
          <w:tab w:val="left" w:pos="4214"/>
        </w:tabs>
        <w:spacing w:line="400" w:lineRule="exact"/>
        <w:ind w:firstLine="420" w:firstLineChars="200"/>
        <w:rPr>
          <w:rFonts w:hAnsi="宋体" w:cs="宋体"/>
          <w:color w:val="auto"/>
          <w:szCs w:val="21"/>
          <w:highlight w:val="none"/>
        </w:rPr>
      </w:pPr>
      <w:r>
        <w:rPr>
          <w:rFonts w:hint="eastAsia" w:hAnsi="宋体" w:cs="宋体"/>
          <w:color w:val="auto"/>
          <w:szCs w:val="21"/>
          <w:highlight w:val="none"/>
        </w:rPr>
        <w:t>（3）投标文件含有招标人不能接受的附加条件的；</w:t>
      </w:r>
    </w:p>
    <w:p w14:paraId="7C0CAAA6">
      <w:pPr>
        <w:pStyle w:val="13"/>
        <w:tabs>
          <w:tab w:val="left" w:pos="4214"/>
        </w:tabs>
        <w:spacing w:line="400" w:lineRule="exact"/>
        <w:ind w:firstLine="420" w:firstLineChars="200"/>
        <w:rPr>
          <w:rFonts w:hAnsi="宋体" w:cs="宋体"/>
          <w:color w:val="auto"/>
          <w:szCs w:val="21"/>
          <w:highlight w:val="none"/>
        </w:rPr>
      </w:pPr>
      <w:r>
        <w:rPr>
          <w:rFonts w:hint="eastAsia" w:hAnsi="宋体" w:cs="宋体"/>
          <w:color w:val="auto"/>
          <w:szCs w:val="21"/>
          <w:highlight w:val="none"/>
        </w:rPr>
        <w:t>（4）投标文件未按招标文件的内容和要求编制，或提供虚假材料的；</w:t>
      </w:r>
    </w:p>
    <w:p w14:paraId="7936AAE1">
      <w:pPr>
        <w:pStyle w:val="13"/>
        <w:tabs>
          <w:tab w:val="left" w:pos="4214"/>
        </w:tabs>
        <w:spacing w:line="400" w:lineRule="exact"/>
        <w:ind w:firstLine="420" w:firstLineChars="200"/>
        <w:rPr>
          <w:rFonts w:hAnsi="宋体" w:cs="宋体"/>
          <w:color w:val="auto"/>
          <w:szCs w:val="21"/>
          <w:highlight w:val="none"/>
        </w:rPr>
      </w:pPr>
      <w:r>
        <w:rPr>
          <w:rFonts w:hint="eastAsia" w:hAnsi="宋体" w:cs="宋体"/>
          <w:color w:val="auto"/>
          <w:szCs w:val="21"/>
          <w:highlight w:val="none"/>
        </w:rPr>
        <w:t>（5）投标人未就“采购需求”中的所有内容作完整唯一报价的；</w:t>
      </w:r>
    </w:p>
    <w:p w14:paraId="4ACAD756">
      <w:pPr>
        <w:pStyle w:val="13"/>
        <w:tabs>
          <w:tab w:val="left" w:pos="4214"/>
        </w:tabs>
        <w:spacing w:line="400" w:lineRule="exact"/>
        <w:ind w:firstLine="420" w:firstLineChars="200"/>
        <w:rPr>
          <w:rFonts w:hAnsi="宋体" w:cs="宋体"/>
          <w:color w:val="auto"/>
          <w:szCs w:val="21"/>
          <w:highlight w:val="none"/>
        </w:rPr>
      </w:pPr>
      <w:r>
        <w:rPr>
          <w:rFonts w:hint="eastAsia" w:hAnsi="宋体" w:cs="宋体"/>
          <w:color w:val="auto"/>
          <w:szCs w:val="21"/>
          <w:highlight w:val="none"/>
        </w:rPr>
        <w:t>（6）未完全响应招标文件实质性要求的；</w:t>
      </w:r>
    </w:p>
    <w:p w14:paraId="38E2AFC6">
      <w:pPr>
        <w:pStyle w:val="13"/>
        <w:tabs>
          <w:tab w:val="left" w:pos="4214"/>
        </w:tabs>
        <w:spacing w:line="400" w:lineRule="exact"/>
        <w:ind w:firstLine="420" w:firstLineChars="200"/>
        <w:rPr>
          <w:rFonts w:hAnsi="宋体" w:cs="宋体"/>
          <w:color w:val="auto"/>
          <w:szCs w:val="21"/>
          <w:highlight w:val="none"/>
        </w:rPr>
      </w:pPr>
      <w:r>
        <w:rPr>
          <w:rFonts w:hint="eastAsia" w:hAnsi="宋体" w:cs="宋体"/>
          <w:color w:val="auto"/>
          <w:szCs w:val="21"/>
          <w:highlight w:val="none"/>
        </w:rPr>
        <w:t>（7）法律、法规和招标文件规定的其他无效情形。</w:t>
      </w:r>
    </w:p>
    <w:p w14:paraId="31A909CE">
      <w:pPr>
        <w:pStyle w:val="13"/>
        <w:tabs>
          <w:tab w:val="left" w:pos="4214"/>
        </w:tabs>
        <w:spacing w:line="400" w:lineRule="exact"/>
        <w:ind w:firstLine="422" w:firstLineChars="200"/>
        <w:rPr>
          <w:rFonts w:hAnsi="宋体" w:cs="宋体"/>
          <w:b/>
          <w:color w:val="auto"/>
          <w:szCs w:val="21"/>
          <w:highlight w:val="none"/>
        </w:rPr>
      </w:pPr>
      <w:r>
        <w:rPr>
          <w:rFonts w:hint="eastAsia" w:hAnsi="宋体" w:cs="宋体"/>
          <w:b/>
          <w:color w:val="auto"/>
          <w:szCs w:val="21"/>
          <w:highlight w:val="none"/>
        </w:rPr>
        <w:t>29.投标人有下列情形之一的，视为串通投标，投标文件将被视为无效：</w:t>
      </w:r>
    </w:p>
    <w:p w14:paraId="54B57D9D">
      <w:pPr>
        <w:pStyle w:val="13"/>
        <w:tabs>
          <w:tab w:val="left" w:pos="4214"/>
        </w:tabs>
        <w:spacing w:line="400" w:lineRule="exact"/>
        <w:ind w:firstLine="420" w:firstLineChars="200"/>
        <w:rPr>
          <w:rFonts w:hAnsi="宋体" w:cs="宋体"/>
          <w:color w:val="auto"/>
          <w:szCs w:val="21"/>
          <w:highlight w:val="none"/>
        </w:rPr>
      </w:pPr>
      <w:r>
        <w:rPr>
          <w:rFonts w:hint="eastAsia" w:hAnsi="宋体" w:cs="宋体"/>
          <w:color w:val="auto"/>
          <w:szCs w:val="21"/>
          <w:highlight w:val="none"/>
        </w:rPr>
        <w:t>（1）不同投标人的投标文件由同一单位或者个人编制；或不同投标人的IP地址一致的；</w:t>
      </w:r>
    </w:p>
    <w:p w14:paraId="23DCF466">
      <w:pPr>
        <w:pStyle w:val="13"/>
        <w:tabs>
          <w:tab w:val="left" w:pos="4214"/>
        </w:tabs>
        <w:spacing w:line="400" w:lineRule="exact"/>
        <w:ind w:firstLine="420" w:firstLineChars="200"/>
        <w:rPr>
          <w:rFonts w:hAnsi="宋体" w:cs="宋体"/>
          <w:color w:val="auto"/>
          <w:szCs w:val="21"/>
          <w:highlight w:val="none"/>
        </w:rPr>
      </w:pPr>
      <w:r>
        <w:rPr>
          <w:rFonts w:hint="eastAsia" w:hAnsi="宋体" w:cs="宋体"/>
          <w:color w:val="auto"/>
          <w:szCs w:val="21"/>
          <w:highlight w:val="none"/>
        </w:rPr>
        <w:t>（2）不同投标人委托同一单位或者个人办理投标事宜；</w:t>
      </w:r>
    </w:p>
    <w:p w14:paraId="3A5B48E9">
      <w:pPr>
        <w:pStyle w:val="13"/>
        <w:tabs>
          <w:tab w:val="left" w:pos="4214"/>
        </w:tabs>
        <w:spacing w:line="400" w:lineRule="exact"/>
        <w:ind w:firstLine="420" w:firstLineChars="200"/>
        <w:rPr>
          <w:rFonts w:hAnsi="宋体" w:cs="宋体"/>
          <w:color w:val="auto"/>
          <w:szCs w:val="21"/>
          <w:highlight w:val="none"/>
        </w:rPr>
      </w:pPr>
      <w:r>
        <w:rPr>
          <w:rFonts w:hint="eastAsia" w:hAnsi="宋体" w:cs="宋体"/>
          <w:color w:val="auto"/>
          <w:szCs w:val="21"/>
          <w:highlight w:val="none"/>
        </w:rPr>
        <w:t>（3）不同的投标人的投标文件载明的项目管理员或者联系人员为同一个人；</w:t>
      </w:r>
    </w:p>
    <w:p w14:paraId="75E2BA92">
      <w:pPr>
        <w:pStyle w:val="13"/>
        <w:tabs>
          <w:tab w:val="left" w:pos="4214"/>
        </w:tabs>
        <w:spacing w:line="400" w:lineRule="exact"/>
        <w:ind w:firstLine="420" w:firstLineChars="200"/>
        <w:rPr>
          <w:rFonts w:hAnsi="宋体" w:cs="宋体"/>
          <w:color w:val="auto"/>
          <w:szCs w:val="21"/>
          <w:highlight w:val="none"/>
        </w:rPr>
      </w:pPr>
      <w:r>
        <w:rPr>
          <w:rFonts w:hint="eastAsia" w:hAnsi="宋体" w:cs="宋体"/>
          <w:color w:val="auto"/>
          <w:szCs w:val="21"/>
          <w:highlight w:val="none"/>
        </w:rPr>
        <w:t xml:space="preserve">（4）不同投标人的投标文件异常一致或投标报价呈规律性差异； </w:t>
      </w:r>
    </w:p>
    <w:p w14:paraId="5308D472">
      <w:pPr>
        <w:pStyle w:val="13"/>
        <w:tabs>
          <w:tab w:val="left" w:pos="4214"/>
        </w:tabs>
        <w:spacing w:line="400" w:lineRule="exact"/>
        <w:ind w:firstLine="420" w:firstLineChars="200"/>
        <w:rPr>
          <w:rFonts w:hAnsi="宋体" w:cs="宋体"/>
          <w:color w:val="auto"/>
          <w:szCs w:val="21"/>
          <w:highlight w:val="none"/>
        </w:rPr>
      </w:pPr>
      <w:r>
        <w:rPr>
          <w:rFonts w:hint="eastAsia" w:hAnsi="宋体" w:cs="宋体"/>
          <w:color w:val="auto"/>
          <w:szCs w:val="21"/>
          <w:highlight w:val="none"/>
        </w:rPr>
        <w:t>（5）不同投标人的投标文件相互混装；</w:t>
      </w:r>
    </w:p>
    <w:p w14:paraId="0A55774C">
      <w:pPr>
        <w:pStyle w:val="13"/>
        <w:tabs>
          <w:tab w:val="left" w:pos="4214"/>
        </w:tabs>
        <w:spacing w:line="400" w:lineRule="exact"/>
        <w:ind w:firstLine="420" w:firstLineChars="200"/>
        <w:rPr>
          <w:rFonts w:hAnsi="宋体" w:cs="宋体"/>
          <w:color w:val="auto"/>
          <w:szCs w:val="21"/>
          <w:highlight w:val="none"/>
        </w:rPr>
      </w:pPr>
      <w:r>
        <w:rPr>
          <w:rFonts w:hint="eastAsia" w:hAnsi="宋体" w:cs="宋体"/>
          <w:color w:val="auto"/>
          <w:szCs w:val="21"/>
          <w:highlight w:val="none"/>
        </w:rPr>
        <w:t>（6）不同投标人的投标保证金从同一单位或者个人账户转出。</w:t>
      </w:r>
    </w:p>
    <w:p w14:paraId="1288F498">
      <w:pPr>
        <w:pStyle w:val="13"/>
        <w:tabs>
          <w:tab w:val="left" w:pos="4214"/>
        </w:tabs>
        <w:spacing w:line="400" w:lineRule="exact"/>
        <w:ind w:firstLine="422" w:firstLineChars="200"/>
        <w:rPr>
          <w:rFonts w:hAnsi="宋体" w:cs="宋体"/>
          <w:b/>
          <w:color w:val="auto"/>
          <w:szCs w:val="21"/>
          <w:highlight w:val="none"/>
        </w:rPr>
      </w:pPr>
      <w:r>
        <w:rPr>
          <w:rFonts w:hint="eastAsia" w:hAnsi="宋体" w:cs="宋体"/>
          <w:b/>
          <w:color w:val="auto"/>
          <w:szCs w:val="21"/>
          <w:highlight w:val="none"/>
        </w:rPr>
        <w:t>30. 属于下列情形之一的，应予废标：</w:t>
      </w:r>
    </w:p>
    <w:p w14:paraId="53875DA8">
      <w:pPr>
        <w:pStyle w:val="13"/>
        <w:tabs>
          <w:tab w:val="left" w:pos="4214"/>
        </w:tabs>
        <w:spacing w:line="400" w:lineRule="exact"/>
        <w:ind w:firstLine="420" w:firstLineChars="200"/>
        <w:rPr>
          <w:rFonts w:hAnsi="宋体" w:cs="宋体"/>
          <w:color w:val="auto"/>
          <w:szCs w:val="21"/>
          <w:highlight w:val="none"/>
        </w:rPr>
      </w:pPr>
      <w:r>
        <w:rPr>
          <w:rFonts w:hint="eastAsia" w:hAnsi="宋体" w:cs="宋体"/>
          <w:color w:val="auto"/>
          <w:szCs w:val="21"/>
          <w:highlight w:val="none"/>
        </w:rPr>
        <w:t>（1）符合专业条件的投标人或者对招标文件作实质响应的投标人不足3家的；</w:t>
      </w:r>
    </w:p>
    <w:p w14:paraId="41D8E92E">
      <w:pPr>
        <w:pStyle w:val="13"/>
        <w:tabs>
          <w:tab w:val="left" w:pos="4214"/>
        </w:tabs>
        <w:spacing w:line="400" w:lineRule="exact"/>
        <w:ind w:firstLine="420" w:firstLineChars="200"/>
        <w:rPr>
          <w:rFonts w:hAnsi="宋体" w:cs="宋体"/>
          <w:color w:val="auto"/>
          <w:szCs w:val="21"/>
          <w:highlight w:val="none"/>
        </w:rPr>
      </w:pPr>
      <w:r>
        <w:rPr>
          <w:rFonts w:hint="eastAsia" w:hAnsi="宋体" w:cs="宋体"/>
          <w:color w:val="auto"/>
          <w:szCs w:val="21"/>
          <w:highlight w:val="none"/>
        </w:rPr>
        <w:t>（2）出现影响采购公正的违法、违规行为的；</w:t>
      </w:r>
    </w:p>
    <w:p w14:paraId="020CBD32">
      <w:pPr>
        <w:pStyle w:val="13"/>
        <w:tabs>
          <w:tab w:val="left" w:pos="4214"/>
        </w:tabs>
        <w:spacing w:line="400" w:lineRule="exact"/>
        <w:ind w:firstLine="420" w:firstLineChars="200"/>
        <w:rPr>
          <w:rFonts w:hAnsi="宋体" w:cs="宋体"/>
          <w:color w:val="auto"/>
          <w:szCs w:val="21"/>
          <w:highlight w:val="none"/>
        </w:rPr>
      </w:pPr>
      <w:r>
        <w:rPr>
          <w:rFonts w:hint="eastAsia" w:hAnsi="宋体" w:cs="宋体"/>
          <w:color w:val="auto"/>
          <w:szCs w:val="21"/>
          <w:highlight w:val="none"/>
        </w:rPr>
        <w:t>（3）采购文件内容违反国家有关强制性规定的；</w:t>
      </w:r>
    </w:p>
    <w:p w14:paraId="0BA21979">
      <w:pPr>
        <w:pStyle w:val="13"/>
        <w:tabs>
          <w:tab w:val="left" w:pos="4214"/>
        </w:tabs>
        <w:spacing w:line="400" w:lineRule="exact"/>
        <w:ind w:firstLine="420" w:firstLineChars="200"/>
        <w:rPr>
          <w:rFonts w:hAnsi="宋体" w:cs="宋体"/>
          <w:color w:val="auto"/>
          <w:szCs w:val="21"/>
          <w:highlight w:val="none"/>
        </w:rPr>
      </w:pPr>
      <w:r>
        <w:rPr>
          <w:rFonts w:hint="eastAsia" w:hAnsi="宋体" w:cs="宋体"/>
          <w:color w:val="auto"/>
          <w:szCs w:val="21"/>
          <w:highlight w:val="none"/>
        </w:rPr>
        <w:t>（4）因重大变故，采购任务取消的。</w:t>
      </w:r>
    </w:p>
    <w:p w14:paraId="6194B636">
      <w:pPr>
        <w:pStyle w:val="13"/>
        <w:spacing w:line="400" w:lineRule="exact"/>
        <w:ind w:firstLine="413" w:firstLineChars="196"/>
        <w:rPr>
          <w:rFonts w:hAnsi="宋体" w:cs="宋体"/>
          <w:b/>
          <w:color w:val="auto"/>
          <w:szCs w:val="21"/>
          <w:highlight w:val="none"/>
        </w:rPr>
      </w:pPr>
      <w:r>
        <w:rPr>
          <w:rFonts w:hint="eastAsia" w:hAnsi="宋体" w:cs="宋体"/>
          <w:b/>
          <w:color w:val="auto"/>
          <w:szCs w:val="21"/>
          <w:highlight w:val="none"/>
        </w:rPr>
        <w:t>31. 开标、评标过程的监控</w:t>
      </w:r>
    </w:p>
    <w:p w14:paraId="3F2D420A">
      <w:pPr>
        <w:pStyle w:val="13"/>
        <w:spacing w:line="400" w:lineRule="exact"/>
        <w:ind w:firstLine="411" w:firstLineChars="196"/>
        <w:rPr>
          <w:rFonts w:hAnsi="宋体" w:cs="宋体"/>
          <w:color w:val="auto"/>
          <w:szCs w:val="21"/>
          <w:highlight w:val="none"/>
        </w:rPr>
      </w:pPr>
      <w:r>
        <w:rPr>
          <w:rFonts w:hint="eastAsia" w:hAnsi="宋体" w:cs="宋体"/>
          <w:color w:val="auto"/>
          <w:szCs w:val="21"/>
          <w:highlight w:val="none"/>
        </w:rPr>
        <w:t>本项目开标、评标过程实行全程录音、录像监控，投标人在评标过程中所进行的试图影响评标结果的不公正活动，可能导致其投标被拒绝。</w:t>
      </w:r>
    </w:p>
    <w:p w14:paraId="4EBB782F">
      <w:pPr>
        <w:pStyle w:val="13"/>
        <w:spacing w:line="400" w:lineRule="exact"/>
        <w:ind w:firstLine="413" w:firstLineChars="196"/>
        <w:rPr>
          <w:rFonts w:hAnsi="宋体" w:cs="宋体"/>
          <w:b/>
          <w:color w:val="auto"/>
          <w:szCs w:val="21"/>
          <w:highlight w:val="none"/>
        </w:rPr>
      </w:pPr>
      <w:r>
        <w:rPr>
          <w:rFonts w:hint="eastAsia" w:hAnsi="宋体" w:cs="宋体"/>
          <w:b/>
          <w:color w:val="auto"/>
          <w:szCs w:val="21"/>
          <w:highlight w:val="none"/>
        </w:rPr>
        <w:t xml:space="preserve">32. </w:t>
      </w:r>
      <w:r>
        <w:rPr>
          <w:rFonts w:hint="eastAsia" w:hAnsi="宋体"/>
          <w:b/>
          <w:color w:val="auto"/>
          <w:highlight w:val="none"/>
        </w:rPr>
        <w:t>中标人信用信息查询</w:t>
      </w:r>
    </w:p>
    <w:p w14:paraId="40C9850A">
      <w:pPr>
        <w:pStyle w:val="13"/>
        <w:spacing w:line="340" w:lineRule="exact"/>
        <w:ind w:firstLine="411" w:firstLineChars="196"/>
        <w:rPr>
          <w:rFonts w:hAnsi="宋体"/>
          <w:color w:val="auto"/>
          <w:highlight w:val="none"/>
        </w:rPr>
      </w:pPr>
      <w:r>
        <w:rPr>
          <w:rFonts w:hint="eastAsia" w:hAnsi="宋体"/>
          <w:color w:val="auto"/>
          <w:highlight w:val="none"/>
        </w:rPr>
        <w:t>根据《关于做好政府采购有关信用主体标识码登记及在政府采购活动中查询使用信用记录有关问题的通知》桂财采〔2016〕37号的通知，采购代理机构对中标人进行信用查询：</w:t>
      </w:r>
    </w:p>
    <w:p w14:paraId="4263F2C7">
      <w:pPr>
        <w:pStyle w:val="13"/>
        <w:spacing w:line="340" w:lineRule="exact"/>
        <w:ind w:firstLine="411" w:firstLineChars="196"/>
        <w:rPr>
          <w:rFonts w:hAnsi="宋体"/>
          <w:color w:val="auto"/>
          <w:highlight w:val="none"/>
        </w:rPr>
      </w:pPr>
      <w:r>
        <w:rPr>
          <w:rFonts w:hint="eastAsia" w:hAnsi="宋体"/>
          <w:color w:val="auto"/>
          <w:highlight w:val="none"/>
        </w:rPr>
        <w:t>（1）查询渠道：“信用中国”网站（www.creditchina.gov.cn）、中国政府采购网（www.ccgp.gov.cn）等；</w:t>
      </w:r>
    </w:p>
    <w:p w14:paraId="130F8BA3">
      <w:pPr>
        <w:pStyle w:val="13"/>
        <w:spacing w:line="340" w:lineRule="exact"/>
        <w:ind w:firstLine="411" w:firstLineChars="196"/>
        <w:rPr>
          <w:rFonts w:hAnsi="宋体"/>
          <w:color w:val="auto"/>
          <w:highlight w:val="none"/>
        </w:rPr>
      </w:pPr>
      <w:r>
        <w:rPr>
          <w:rFonts w:hint="eastAsia" w:hAnsi="宋体"/>
          <w:color w:val="auto"/>
          <w:highlight w:val="none"/>
        </w:rPr>
        <w:t>（2）查询截止时间：中标通知书发出前；</w:t>
      </w:r>
    </w:p>
    <w:p w14:paraId="27F7121B">
      <w:pPr>
        <w:pStyle w:val="13"/>
        <w:spacing w:line="340" w:lineRule="exact"/>
        <w:ind w:firstLine="411" w:firstLineChars="196"/>
        <w:rPr>
          <w:rFonts w:hAnsi="宋体"/>
          <w:color w:val="auto"/>
          <w:highlight w:val="none"/>
        </w:rPr>
      </w:pPr>
      <w:r>
        <w:rPr>
          <w:rFonts w:hint="eastAsia" w:hAnsi="宋体"/>
          <w:color w:val="auto"/>
          <w:highlight w:val="none"/>
        </w:rPr>
        <w:t>（3）信用信息查询记录和证据留存方式：在查询网站中直接打印查询记录，打印材料作为采购活动资料保存；</w:t>
      </w:r>
    </w:p>
    <w:p w14:paraId="23E67ADB">
      <w:pPr>
        <w:pStyle w:val="13"/>
        <w:spacing w:line="340" w:lineRule="exact"/>
        <w:ind w:firstLine="411" w:firstLineChars="196"/>
        <w:rPr>
          <w:rFonts w:hAnsi="宋体" w:cs="宋体"/>
          <w:color w:val="auto"/>
          <w:szCs w:val="21"/>
          <w:highlight w:val="none"/>
        </w:rPr>
      </w:pPr>
      <w:r>
        <w:rPr>
          <w:rFonts w:hint="eastAsia" w:hAnsi="宋体"/>
          <w:color w:val="auto"/>
          <w:highlight w:val="none"/>
        </w:rPr>
        <w:t>（4）信用信息使用规则：在“信用中国”网站（www.creditchina.gov.cn）、中国政府采购网（www.ccgp.gov.cn）等渠道列入失信被执行人、</w:t>
      </w:r>
      <w:r>
        <w:rPr>
          <w:rFonts w:hint="eastAsia" w:hAnsi="宋体"/>
          <w:color w:val="auto"/>
          <w:highlight w:val="none"/>
          <w:lang w:eastAsia="zh-CN"/>
        </w:rPr>
        <w:t>重大税收违法失信主体</w:t>
      </w:r>
      <w:r>
        <w:rPr>
          <w:rFonts w:hint="eastAsia" w:hAnsi="宋体"/>
          <w:color w:val="auto"/>
          <w:highlight w:val="none"/>
        </w:rPr>
        <w:t>、政府采购严重违法失信行为记录名单及其他不符合《中华人民共和国政府采购法》第二十二条规定条件的投标人，不得参与政府采购活动，取消其中标候选人资格。采购人依法按照评标报告中评标委员会推荐中标候选人排序表确定排名第二的中标候选人为中标供应商或者重新组织采购。</w:t>
      </w:r>
    </w:p>
    <w:p w14:paraId="74667CDA">
      <w:pPr>
        <w:pStyle w:val="13"/>
        <w:spacing w:line="400" w:lineRule="exact"/>
        <w:ind w:firstLine="413" w:firstLineChars="196"/>
        <w:rPr>
          <w:rFonts w:hAnsi="宋体" w:cs="宋体"/>
          <w:b/>
          <w:color w:val="auto"/>
          <w:szCs w:val="21"/>
          <w:highlight w:val="none"/>
        </w:rPr>
      </w:pPr>
      <w:r>
        <w:rPr>
          <w:rFonts w:hint="eastAsia" w:hAnsi="宋体" w:cs="宋体"/>
          <w:b/>
          <w:color w:val="auto"/>
          <w:szCs w:val="21"/>
          <w:highlight w:val="none"/>
        </w:rPr>
        <w:t>33. 中标公告及中标通知书</w:t>
      </w:r>
    </w:p>
    <w:p w14:paraId="488A0322">
      <w:pPr>
        <w:tabs>
          <w:tab w:val="left" w:pos="1140"/>
        </w:tabs>
        <w:spacing w:line="400" w:lineRule="exact"/>
        <w:ind w:left="420" w:leftChars="20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33.1采购代理机构于评标结束后两个工作日内将评标报告送交采购人，采购人应当自收到评标报告五个工作日内在评标报告推荐的中标候选供应商中按顺序确定中标供应商；采购代理机构在中标供应商确定之日起两个工作日内在指定媒体上公告中标结果，中标公告期限为1个工作日。</w:t>
      </w:r>
    </w:p>
    <w:p w14:paraId="2DA78B2A">
      <w:pPr>
        <w:tabs>
          <w:tab w:val="left" w:pos="1140"/>
        </w:tabs>
        <w:spacing w:line="400" w:lineRule="exact"/>
        <w:ind w:left="420" w:leftChars="20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33.2中标公告同时采购代理机构向中标供应商发出中标通知书。</w:t>
      </w:r>
    </w:p>
    <w:p w14:paraId="2467BFDC">
      <w:pPr>
        <w:tabs>
          <w:tab w:val="left" w:pos="1140"/>
        </w:tabs>
        <w:spacing w:line="400" w:lineRule="exact"/>
        <w:ind w:left="420" w:leftChars="200"/>
        <w:jc w:val="left"/>
        <w:rPr>
          <w:rFonts w:hint="eastAsia" w:ascii="宋体" w:hAnsi="宋体" w:cs="宋体"/>
          <w:b w:val="0"/>
          <w:bCs/>
          <w:color w:val="auto"/>
          <w:szCs w:val="21"/>
          <w:highlight w:val="none"/>
        </w:rPr>
      </w:pPr>
    </w:p>
    <w:p w14:paraId="3E91D8E4">
      <w:pPr>
        <w:tabs>
          <w:tab w:val="left" w:pos="1140"/>
        </w:tabs>
        <w:spacing w:line="400" w:lineRule="exact"/>
        <w:ind w:left="420" w:leftChars="200"/>
        <w:jc w:val="center"/>
        <w:rPr>
          <w:rFonts w:ascii="宋体" w:hAnsi="宋体" w:cs="宋体"/>
          <w:b/>
          <w:color w:val="auto"/>
          <w:szCs w:val="21"/>
          <w:highlight w:val="none"/>
        </w:rPr>
      </w:pPr>
      <w:r>
        <w:rPr>
          <w:rFonts w:hint="eastAsia" w:ascii="宋体" w:hAnsi="宋体" w:cs="宋体"/>
          <w:b/>
          <w:color w:val="auto"/>
          <w:szCs w:val="21"/>
          <w:highlight w:val="none"/>
        </w:rPr>
        <w:t>七、履约保证金及签订合同</w:t>
      </w:r>
    </w:p>
    <w:p w14:paraId="0F20BCCB">
      <w:pPr>
        <w:tabs>
          <w:tab w:val="left" w:pos="1305"/>
        </w:tabs>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34. 履约保证金：</w:t>
      </w:r>
      <w:r>
        <w:rPr>
          <w:rFonts w:hint="eastAsia" w:ascii="宋体" w:hAnsi="宋体" w:cs="宋体"/>
          <w:color w:val="auto"/>
          <w:szCs w:val="21"/>
          <w:highlight w:val="none"/>
        </w:rPr>
        <w:t xml:space="preserve"> </w:t>
      </w:r>
    </w:p>
    <w:p w14:paraId="36DF97F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34.</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建设期履约担保：建设期履约担保金金额：不高于投资总额</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%（具体金额在采购结果确认谈判中谈判确定）</w:t>
      </w:r>
    </w:p>
    <w:p w14:paraId="02546E3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运营期履约担保：运营期履约担保金额：不高于投资总额</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%（具体金额在采购结果确认谈判中谈判确定）。</w:t>
      </w:r>
    </w:p>
    <w:p w14:paraId="26C83B0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34.</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移交期期履约担保：移交期履约担保金额：不高于投资总额</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%（具体金额在采购结果确认谈判中谈判确定）。</w:t>
      </w:r>
    </w:p>
    <w:p w14:paraId="70B34C0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履约担保的形式为银行保函或甲方认可的金融机构出具的保函，由政策性银行、国有商业银行、股份制商业银行、城市商业银行、农村信用社等经中国银行业监督管理委员会批准成立的银行机构或经甲方认可的金融机构出具；为见索即付保函</w:t>
      </w:r>
    </w:p>
    <w:p w14:paraId="2579A1F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担保形式：履约保函或履约工程保证保险（保险受益人为政府方）</w:t>
      </w:r>
    </w:p>
    <w:p w14:paraId="4B43DB49">
      <w:pPr>
        <w:pStyle w:val="9"/>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履约保函应由投标人基本账户所在银行或符合条件的保险公司开具；履约工程保证保险应由投标人到保险公司开具相应的保证保险。</w:t>
      </w:r>
    </w:p>
    <w:p w14:paraId="0B6E889A">
      <w:pPr>
        <w:pStyle w:val="10"/>
        <w:rPr>
          <w:highlight w:val="none"/>
        </w:rPr>
      </w:pPr>
    </w:p>
    <w:p w14:paraId="52368A3B">
      <w:pPr>
        <w:tabs>
          <w:tab w:val="left" w:pos="1140"/>
        </w:tabs>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35. 签订合同</w:t>
      </w:r>
    </w:p>
    <w:p w14:paraId="1B65DD11">
      <w:pPr>
        <w:pStyle w:val="13"/>
        <w:spacing w:line="400" w:lineRule="exact"/>
        <w:ind w:left="2" w:leftChars="1" w:firstLine="420" w:firstLineChars="200"/>
        <w:rPr>
          <w:rFonts w:hAnsi="宋体" w:cs="宋体"/>
          <w:color w:val="auto"/>
          <w:szCs w:val="21"/>
          <w:highlight w:val="none"/>
        </w:rPr>
      </w:pPr>
      <w:r>
        <w:rPr>
          <w:rFonts w:hint="eastAsia" w:hAnsi="宋体" w:cs="宋体"/>
          <w:color w:val="auto"/>
          <w:szCs w:val="21"/>
          <w:highlight w:val="none"/>
        </w:rPr>
        <w:t>35.1签订合同时间：中</w:t>
      </w:r>
      <w:r>
        <w:rPr>
          <w:rFonts w:hint="eastAsia" w:hAnsi="宋体"/>
          <w:color w:val="auto"/>
          <w:szCs w:val="21"/>
          <w:highlight w:val="none"/>
        </w:rPr>
        <w:t>中标通知书发出之日起</w:t>
      </w:r>
      <w:r>
        <w:rPr>
          <w:rFonts w:hint="eastAsia" w:hAnsi="宋体"/>
          <w:color w:val="auto"/>
          <w:szCs w:val="21"/>
          <w:highlight w:val="none"/>
          <w:lang w:val="en-US" w:eastAsia="zh-CN"/>
        </w:rPr>
        <w:t>30</w:t>
      </w:r>
      <w:r>
        <w:rPr>
          <w:rFonts w:hint="eastAsia" w:hAnsi="宋体"/>
          <w:color w:val="auto"/>
          <w:szCs w:val="21"/>
          <w:highlight w:val="none"/>
        </w:rPr>
        <w:t>个工作日内</w:t>
      </w:r>
      <w:r>
        <w:rPr>
          <w:rFonts w:hint="eastAsia" w:hAnsi="宋体" w:cs="宋体"/>
          <w:color w:val="auto"/>
          <w:szCs w:val="21"/>
          <w:highlight w:val="none"/>
        </w:rPr>
        <w:t>。中标人领取中标通知书后，应按规定与招标人签订合同。</w:t>
      </w:r>
    </w:p>
    <w:p w14:paraId="02E1B805">
      <w:pPr>
        <w:pStyle w:val="13"/>
        <w:spacing w:line="400" w:lineRule="exact"/>
        <w:ind w:left="2" w:leftChars="1" w:firstLine="420" w:firstLineChars="200"/>
        <w:rPr>
          <w:rFonts w:hAnsi="宋体" w:cs="宋体"/>
          <w:color w:val="auto"/>
          <w:szCs w:val="21"/>
          <w:highlight w:val="none"/>
        </w:rPr>
      </w:pPr>
      <w:r>
        <w:rPr>
          <w:rFonts w:hint="eastAsia" w:hAnsi="宋体" w:cs="宋体"/>
          <w:color w:val="auto"/>
          <w:szCs w:val="21"/>
          <w:highlight w:val="none"/>
        </w:rPr>
        <w:t>35.</w:t>
      </w:r>
      <w:r>
        <w:rPr>
          <w:rFonts w:hint="eastAsia" w:hAnsi="宋体" w:cs="宋体"/>
          <w:color w:val="auto"/>
          <w:szCs w:val="21"/>
          <w:highlight w:val="none"/>
          <w:lang w:val="en-US" w:eastAsia="zh-CN"/>
        </w:rPr>
        <w:t>2</w:t>
      </w:r>
      <w:r>
        <w:rPr>
          <w:rFonts w:hint="eastAsia" w:hAnsi="宋体" w:cs="宋体"/>
          <w:color w:val="auto"/>
          <w:szCs w:val="21"/>
          <w:highlight w:val="none"/>
        </w:rPr>
        <w:t>如中标人有下列情形之一的，情节严重的，由财政部门将其列入不良行为记录名单，在一至三年内禁止参加政府采购活动，并予以通报。招标人或者采购代理机构可从评标委员会推荐的中标候选人中按顺序重新确定中标人或重新组织招标。</w:t>
      </w:r>
    </w:p>
    <w:p w14:paraId="180CBE76">
      <w:pPr>
        <w:pStyle w:val="13"/>
        <w:spacing w:line="400" w:lineRule="exact"/>
        <w:ind w:firstLine="315" w:firstLineChars="150"/>
        <w:rPr>
          <w:rFonts w:hAnsi="宋体" w:cs="宋体"/>
          <w:color w:val="auto"/>
          <w:szCs w:val="21"/>
          <w:highlight w:val="none"/>
        </w:rPr>
      </w:pPr>
      <w:r>
        <w:rPr>
          <w:rFonts w:hint="eastAsia" w:hAnsi="宋体" w:cs="宋体"/>
          <w:color w:val="auto"/>
          <w:szCs w:val="21"/>
          <w:highlight w:val="none"/>
        </w:rPr>
        <w:t>（1）中标后不与招标人签订合同的（不可抗力除外）；</w:t>
      </w:r>
    </w:p>
    <w:p w14:paraId="76BDD80B">
      <w:pPr>
        <w:pStyle w:val="13"/>
        <w:spacing w:line="400" w:lineRule="exact"/>
        <w:ind w:left="2" w:leftChars="1" w:firstLine="315" w:firstLineChars="150"/>
        <w:rPr>
          <w:rFonts w:hAnsi="宋体" w:cs="宋体"/>
          <w:color w:val="auto"/>
          <w:szCs w:val="21"/>
          <w:highlight w:val="none"/>
        </w:rPr>
      </w:pPr>
      <w:r>
        <w:rPr>
          <w:rFonts w:hint="eastAsia" w:hAnsi="宋体" w:cs="宋体"/>
          <w:color w:val="auto"/>
          <w:szCs w:val="21"/>
          <w:highlight w:val="none"/>
        </w:rPr>
        <w:t>（2）将中标项目转让给他人，或者在投标文件中未说明，且未经招标人同意，将中标项目分包给他人的；</w:t>
      </w:r>
    </w:p>
    <w:p w14:paraId="2D44F311">
      <w:pPr>
        <w:pStyle w:val="13"/>
        <w:spacing w:line="400" w:lineRule="exact"/>
        <w:ind w:firstLine="315" w:firstLineChars="150"/>
        <w:rPr>
          <w:rFonts w:hAnsi="宋体" w:cs="宋体"/>
          <w:color w:val="auto"/>
          <w:szCs w:val="21"/>
          <w:highlight w:val="none"/>
        </w:rPr>
      </w:pPr>
      <w:r>
        <w:rPr>
          <w:rFonts w:hint="eastAsia" w:hAnsi="宋体" w:cs="宋体"/>
          <w:color w:val="auto"/>
          <w:szCs w:val="21"/>
          <w:highlight w:val="none"/>
        </w:rPr>
        <w:t>（3）拒绝履行合同义务的。</w:t>
      </w:r>
    </w:p>
    <w:p w14:paraId="3281E907">
      <w:pPr>
        <w:pStyle w:val="13"/>
        <w:spacing w:line="400" w:lineRule="exact"/>
        <w:ind w:left="2" w:leftChars="1" w:firstLine="420" w:firstLineChars="200"/>
        <w:rPr>
          <w:rFonts w:hAnsi="宋体" w:cs="宋体"/>
          <w:color w:val="auto"/>
          <w:szCs w:val="21"/>
          <w:highlight w:val="none"/>
        </w:rPr>
      </w:pPr>
      <w:r>
        <w:rPr>
          <w:rFonts w:hint="eastAsia" w:hAnsi="宋体" w:cs="宋体"/>
          <w:color w:val="auto"/>
          <w:szCs w:val="21"/>
          <w:highlight w:val="none"/>
        </w:rPr>
        <w:t xml:space="preserve"> 35.4合同备案存档：政府采购合同双方自签订之日起1个工作日内将合同原件2份交采购代理机构。采购代理机构将政府采购合同在省级以上人民政府财政部门指定媒体上公告并于合同签订之日起7个工作日内将一份合同原件送</w:t>
      </w:r>
      <w:r>
        <w:rPr>
          <w:rFonts w:hint="eastAsia" w:hAnsi="宋体" w:cs="宋体"/>
          <w:color w:val="auto"/>
          <w:szCs w:val="21"/>
          <w:highlight w:val="none"/>
          <w:lang w:eastAsia="zh-CN"/>
        </w:rPr>
        <w:t>桂林市秀峰区政府采购管理办公室</w:t>
      </w:r>
      <w:r>
        <w:rPr>
          <w:rFonts w:hint="eastAsia" w:hAnsi="宋体" w:cs="宋体"/>
          <w:color w:val="auto"/>
          <w:szCs w:val="21"/>
          <w:highlight w:val="none"/>
        </w:rPr>
        <w:t>备案，一份由采购代理机构存档。</w:t>
      </w:r>
    </w:p>
    <w:p w14:paraId="2AF6CEEC">
      <w:pPr>
        <w:rPr>
          <w:rFonts w:hAnsi="宋体" w:cs="宋体"/>
          <w:color w:val="auto"/>
          <w:szCs w:val="21"/>
          <w:highlight w:val="none"/>
        </w:rPr>
      </w:pPr>
    </w:p>
    <w:p w14:paraId="7599CF2E">
      <w:pPr>
        <w:pStyle w:val="13"/>
        <w:spacing w:line="400" w:lineRule="exact"/>
        <w:ind w:left="3"/>
        <w:jc w:val="center"/>
        <w:rPr>
          <w:rFonts w:hAnsi="宋体" w:cs="宋体"/>
          <w:b/>
          <w:color w:val="auto"/>
          <w:szCs w:val="21"/>
          <w:highlight w:val="none"/>
        </w:rPr>
      </w:pPr>
      <w:r>
        <w:rPr>
          <w:rFonts w:hint="eastAsia" w:hAnsi="宋体" w:cs="宋体"/>
          <w:b/>
          <w:color w:val="auto"/>
          <w:szCs w:val="21"/>
          <w:highlight w:val="none"/>
        </w:rPr>
        <w:t>八、其他事项</w:t>
      </w:r>
    </w:p>
    <w:p w14:paraId="4BD60C66">
      <w:pPr>
        <w:pStyle w:val="13"/>
        <w:spacing w:line="400" w:lineRule="exact"/>
        <w:ind w:firstLine="422" w:firstLineChars="200"/>
        <w:rPr>
          <w:rFonts w:hAnsi="宋体" w:cs="宋体"/>
          <w:b/>
          <w:color w:val="auto"/>
          <w:szCs w:val="21"/>
          <w:highlight w:val="none"/>
        </w:rPr>
      </w:pPr>
      <w:r>
        <w:rPr>
          <w:rFonts w:hint="eastAsia" w:hAnsi="宋体" w:cs="宋体"/>
          <w:b/>
          <w:color w:val="auto"/>
          <w:szCs w:val="21"/>
          <w:highlight w:val="none"/>
        </w:rPr>
        <w:t>36. 招标代理服务费：</w:t>
      </w:r>
    </w:p>
    <w:p w14:paraId="295176F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本项目招标代理服务费由中标人支付，收费标准为以</w:t>
      </w:r>
      <w:r>
        <w:rPr>
          <w:rFonts w:hint="eastAsia" w:ascii="宋体" w:hAnsi="宋体" w:cs="宋体"/>
          <w:color w:val="auto"/>
          <w:szCs w:val="21"/>
          <w:highlight w:val="none"/>
          <w:lang w:val="en-US" w:eastAsia="zh-CN"/>
        </w:rPr>
        <w:t>投标单位中标</w:t>
      </w:r>
      <w:r>
        <w:rPr>
          <w:rFonts w:hint="eastAsia" w:ascii="宋体" w:hAnsi="宋体" w:cs="宋体"/>
          <w:color w:val="auto"/>
          <w:szCs w:val="21"/>
          <w:highlight w:val="none"/>
        </w:rPr>
        <w:t>金额为基数，参照计价格[2002]1980号《招标代理服务收费管理暂行办法》</w:t>
      </w:r>
      <w:r>
        <w:rPr>
          <w:rFonts w:hint="eastAsia" w:ascii="宋体" w:hAnsi="宋体" w:cs="宋体"/>
          <w:color w:val="auto"/>
          <w:szCs w:val="21"/>
          <w:highlight w:val="none"/>
          <w:lang w:val="en-US" w:eastAsia="zh-CN"/>
        </w:rPr>
        <w:t>服务类</w:t>
      </w:r>
      <w:r>
        <w:rPr>
          <w:rFonts w:hint="eastAsia" w:ascii="宋体" w:hAnsi="宋体" w:cs="宋体"/>
          <w:color w:val="auto"/>
          <w:szCs w:val="21"/>
          <w:highlight w:val="none"/>
        </w:rPr>
        <w:t>收费标准。</w:t>
      </w:r>
    </w:p>
    <w:p w14:paraId="0E9B6856">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37. 采购代理机构银行账户：</w:t>
      </w:r>
    </w:p>
    <w:p w14:paraId="068C24B9">
      <w:pPr>
        <w:pStyle w:val="13"/>
        <w:snapToGrid w:val="0"/>
        <w:spacing w:line="400" w:lineRule="exact"/>
        <w:ind w:left="420" w:leftChars="200"/>
        <w:rPr>
          <w:rFonts w:hint="eastAsia" w:hAnsi="宋体" w:cs="宋体"/>
          <w:color w:val="auto"/>
          <w:szCs w:val="21"/>
          <w:highlight w:val="none"/>
        </w:rPr>
      </w:pPr>
      <w:r>
        <w:rPr>
          <w:rFonts w:hint="eastAsia" w:hAnsi="宋体" w:cs="宋体"/>
          <w:color w:val="auto"/>
          <w:szCs w:val="21"/>
          <w:highlight w:val="none"/>
        </w:rPr>
        <w:t>开户名称：</w:t>
      </w:r>
      <w:r>
        <w:rPr>
          <w:rFonts w:hint="eastAsia" w:hAnsi="宋体" w:cs="宋体"/>
          <w:color w:val="auto"/>
          <w:szCs w:val="21"/>
          <w:highlight w:val="none"/>
          <w:lang w:eastAsia="zh-CN"/>
        </w:rPr>
        <w:t>广西金证招标代理有限公司</w:t>
      </w:r>
      <w:r>
        <w:rPr>
          <w:rFonts w:hint="eastAsia" w:hAnsi="宋体" w:cs="宋体"/>
          <w:color w:val="auto"/>
          <w:szCs w:val="21"/>
          <w:highlight w:val="none"/>
        </w:rPr>
        <w:t>桂林分公司</w:t>
      </w:r>
      <w:r>
        <w:rPr>
          <w:rFonts w:hint="eastAsia" w:hAnsi="宋体" w:cs="宋体"/>
          <w:color w:val="auto"/>
          <w:szCs w:val="21"/>
          <w:highlight w:val="none"/>
        </w:rPr>
        <w:br w:type="textWrapping"/>
      </w:r>
      <w:r>
        <w:rPr>
          <w:rFonts w:hint="eastAsia" w:hAnsi="宋体" w:cs="宋体"/>
          <w:color w:val="auto"/>
          <w:szCs w:val="21"/>
          <w:highlight w:val="none"/>
        </w:rPr>
        <w:t>开户银行：桂林银行股份有限公司</w:t>
      </w:r>
      <w:r>
        <w:rPr>
          <w:rFonts w:hint="eastAsia" w:hAnsi="宋体" w:cs="宋体"/>
          <w:color w:val="auto"/>
          <w:szCs w:val="21"/>
          <w:highlight w:val="none"/>
          <w:lang w:val="en-US" w:eastAsia="zh-CN"/>
        </w:rPr>
        <w:t>秀峰</w:t>
      </w:r>
      <w:r>
        <w:rPr>
          <w:rFonts w:hint="eastAsia" w:hAnsi="宋体" w:cs="宋体"/>
          <w:color w:val="auto"/>
          <w:szCs w:val="21"/>
          <w:highlight w:val="none"/>
        </w:rPr>
        <w:t>支行</w:t>
      </w:r>
    </w:p>
    <w:p w14:paraId="56E29DC0">
      <w:pPr>
        <w:pStyle w:val="13"/>
        <w:snapToGrid w:val="0"/>
        <w:spacing w:line="400" w:lineRule="exact"/>
        <w:ind w:left="420" w:leftChars="200"/>
        <w:rPr>
          <w:rFonts w:hAnsi="宋体" w:cs="宋体"/>
          <w:b/>
          <w:color w:val="auto"/>
          <w:szCs w:val="21"/>
          <w:highlight w:val="none"/>
        </w:rPr>
      </w:pPr>
      <w:r>
        <w:rPr>
          <w:rFonts w:hint="eastAsia" w:hAnsi="宋体" w:cs="宋体"/>
          <w:color w:val="auto"/>
          <w:szCs w:val="21"/>
          <w:highlight w:val="none"/>
        </w:rPr>
        <w:t>银行账号：660000</w:t>
      </w:r>
      <w:r>
        <w:rPr>
          <w:rFonts w:hint="eastAsia" w:hAnsi="宋体" w:cs="宋体"/>
          <w:color w:val="auto"/>
          <w:szCs w:val="21"/>
          <w:highlight w:val="none"/>
          <w:lang w:val="en-US" w:eastAsia="zh-CN"/>
        </w:rPr>
        <w:t>022639800015</w:t>
      </w:r>
      <w:r>
        <w:rPr>
          <w:rFonts w:hint="eastAsia" w:hAnsi="宋体" w:cs="宋体"/>
          <w:color w:val="auto"/>
          <w:szCs w:val="21"/>
          <w:highlight w:val="none"/>
        </w:rPr>
        <w:t xml:space="preserve"> </w:t>
      </w:r>
    </w:p>
    <w:p w14:paraId="470F6348">
      <w:pPr>
        <w:pStyle w:val="13"/>
        <w:snapToGrid w:val="0"/>
        <w:spacing w:line="400" w:lineRule="exact"/>
        <w:ind w:firstLine="422" w:firstLineChars="200"/>
        <w:rPr>
          <w:rFonts w:hAnsi="宋体" w:cs="宋体"/>
          <w:color w:val="auto"/>
          <w:szCs w:val="21"/>
          <w:highlight w:val="none"/>
        </w:rPr>
      </w:pPr>
      <w:r>
        <w:rPr>
          <w:rFonts w:hint="eastAsia" w:hAnsi="宋体" w:cs="宋体"/>
          <w:b/>
          <w:color w:val="auto"/>
          <w:szCs w:val="21"/>
          <w:highlight w:val="none"/>
        </w:rPr>
        <w:t>38. 解释权：</w:t>
      </w:r>
      <w:r>
        <w:rPr>
          <w:rFonts w:hint="eastAsia" w:hAnsi="宋体" w:cs="宋体"/>
          <w:color w:val="auto"/>
          <w:szCs w:val="21"/>
          <w:highlight w:val="none"/>
        </w:rPr>
        <w:t>本招标文件是根据《中华人民共和国政府采购法》、《中华人民共和国政府采购法实施条例》及</w:t>
      </w:r>
      <w:r>
        <w:rPr>
          <w:rFonts w:hint="eastAsia" w:hAnsi="宋体" w:cs="宋体"/>
          <w:b/>
          <w:bCs/>
          <w:color w:val="auto"/>
          <w:szCs w:val="21"/>
          <w:highlight w:val="none"/>
        </w:rPr>
        <w:t>财政部令第87号</w:t>
      </w:r>
      <w:r>
        <w:rPr>
          <w:rFonts w:hint="eastAsia" w:hAnsi="宋体" w:cs="宋体"/>
          <w:color w:val="auto"/>
          <w:szCs w:val="21"/>
          <w:highlight w:val="none"/>
        </w:rPr>
        <w:t>《政府采购货物和服务招标投标管理办法》和政府采购管理有关规定编制，本招标文件的解释权属于采购代理机构。</w:t>
      </w:r>
    </w:p>
    <w:p w14:paraId="38126EB1">
      <w:pPr>
        <w:pStyle w:val="13"/>
        <w:snapToGrid w:val="0"/>
        <w:spacing w:line="400" w:lineRule="exact"/>
        <w:ind w:firstLine="422" w:firstLineChars="200"/>
        <w:rPr>
          <w:rFonts w:hint="eastAsia" w:hAnsi="宋体" w:eastAsia="宋体" w:cs="宋体"/>
          <w:color w:val="auto"/>
          <w:szCs w:val="21"/>
          <w:highlight w:val="none"/>
          <w:lang w:eastAsia="zh-CN"/>
        </w:rPr>
      </w:pPr>
      <w:r>
        <w:rPr>
          <w:rFonts w:hint="eastAsia" w:hAnsi="宋体" w:cs="宋体"/>
          <w:b/>
          <w:color w:val="auto"/>
          <w:szCs w:val="21"/>
          <w:highlight w:val="none"/>
        </w:rPr>
        <w:t>39. 监督管理机构：</w:t>
      </w:r>
      <w:r>
        <w:rPr>
          <w:rFonts w:hint="eastAsia" w:hAnsi="宋体" w:cs="宋体"/>
          <w:color w:val="auto"/>
          <w:szCs w:val="21"/>
          <w:highlight w:val="none"/>
          <w:lang w:eastAsia="zh-CN"/>
        </w:rPr>
        <w:t>桂林市秀峰区政府采购管理办公室</w:t>
      </w:r>
      <w:r>
        <w:rPr>
          <w:rFonts w:hint="eastAsia" w:hAnsi="宋体" w:cs="宋体"/>
          <w:color w:val="auto"/>
          <w:szCs w:val="21"/>
          <w:highlight w:val="none"/>
          <w:lang w:val="en-US" w:eastAsia="zh-CN"/>
        </w:rPr>
        <w:t xml:space="preserve">   </w:t>
      </w:r>
      <w:r>
        <w:rPr>
          <w:rFonts w:hint="eastAsia" w:hAnsi="宋体" w:cs="宋体"/>
          <w:color w:val="auto"/>
          <w:szCs w:val="21"/>
          <w:highlight w:val="none"/>
        </w:rPr>
        <w:t>联系电话：</w:t>
      </w:r>
      <w:r>
        <w:rPr>
          <w:rFonts w:hint="eastAsia" w:hAnsi="宋体" w:cs="宋体"/>
          <w:color w:val="auto"/>
          <w:szCs w:val="21"/>
          <w:highlight w:val="none"/>
          <w:lang w:eastAsia="zh-CN"/>
        </w:rPr>
        <w:t>0773-2831930</w:t>
      </w:r>
    </w:p>
    <w:p w14:paraId="37B57E0F">
      <w:pPr>
        <w:pStyle w:val="2"/>
        <w:rPr>
          <w:rFonts w:hint="eastAsia" w:ascii="宋体" w:hAnsi="宋体"/>
          <w:bCs w:val="0"/>
          <w:color w:val="auto"/>
          <w:highlight w:val="none"/>
        </w:rPr>
      </w:pPr>
    </w:p>
    <w:p w14:paraId="433523D7">
      <w:pPr>
        <w:pStyle w:val="2"/>
        <w:rPr>
          <w:rFonts w:hint="eastAsia" w:ascii="宋体" w:hAnsi="宋体"/>
          <w:bCs w:val="0"/>
          <w:color w:val="auto"/>
          <w:highlight w:val="none"/>
        </w:rPr>
      </w:pPr>
    </w:p>
    <w:p w14:paraId="6BC0D7D2">
      <w:pPr>
        <w:pStyle w:val="2"/>
        <w:rPr>
          <w:rFonts w:hint="eastAsia" w:ascii="宋体" w:hAnsi="宋体"/>
          <w:bCs w:val="0"/>
          <w:color w:val="auto"/>
          <w:highlight w:val="none"/>
        </w:rPr>
      </w:pPr>
    </w:p>
    <w:p w14:paraId="60D28830">
      <w:pPr>
        <w:pStyle w:val="2"/>
        <w:rPr>
          <w:rFonts w:hint="eastAsia" w:ascii="宋体" w:hAnsi="宋体"/>
          <w:bCs w:val="0"/>
          <w:color w:val="auto"/>
          <w:highlight w:val="none"/>
        </w:rPr>
      </w:pPr>
    </w:p>
    <w:p w14:paraId="48D87A79">
      <w:pPr>
        <w:pStyle w:val="2"/>
        <w:rPr>
          <w:rFonts w:hint="eastAsia" w:ascii="宋体" w:hAnsi="宋体"/>
          <w:bCs w:val="0"/>
          <w:color w:val="auto"/>
          <w:highlight w:val="none"/>
        </w:rPr>
        <w:sectPr>
          <w:headerReference r:id="rId8" w:type="first"/>
          <w:footerReference r:id="rId11" w:type="first"/>
          <w:headerReference r:id="rId6" w:type="default"/>
          <w:footerReference r:id="rId9" w:type="default"/>
          <w:headerReference r:id="rId7" w:type="even"/>
          <w:footerReference r:id="rId10" w:type="even"/>
          <w:pgSz w:w="11906" w:h="16838"/>
          <w:pgMar w:top="1440" w:right="1797" w:bottom="1440" w:left="1797" w:header="720" w:footer="720" w:gutter="0"/>
          <w:pgNumType w:fmt="decimal" w:start="1"/>
          <w:cols w:space="720" w:num="1"/>
          <w:titlePg/>
          <w:docGrid w:type="lines" w:linePitch="326" w:charSpace="0"/>
        </w:sectPr>
      </w:pPr>
    </w:p>
    <w:p w14:paraId="3B2A83EE">
      <w:pPr>
        <w:pStyle w:val="2"/>
        <w:rPr>
          <w:rFonts w:ascii="宋体" w:hAnsi="宋体"/>
          <w:b w:val="0"/>
          <w:color w:val="auto"/>
          <w:highlight w:val="none"/>
        </w:rPr>
      </w:pPr>
      <w:bookmarkStart w:id="59" w:name="_Toc7083"/>
      <w:r>
        <w:rPr>
          <w:rFonts w:hint="eastAsia" w:ascii="宋体" w:hAnsi="宋体"/>
          <w:bCs w:val="0"/>
          <w:color w:val="auto"/>
          <w:highlight w:val="none"/>
        </w:rPr>
        <w:t>第三章 采购需求</w:t>
      </w:r>
      <w:bookmarkEnd w:id="59"/>
      <w:bookmarkStart w:id="60" w:name="_Toc13210"/>
    </w:p>
    <w:bookmarkEnd w:id="60"/>
    <w:p w14:paraId="5BAF9E80">
      <w:pPr>
        <w:pStyle w:val="13"/>
        <w:snapToGrid w:val="0"/>
        <w:spacing w:line="400" w:lineRule="exact"/>
        <w:ind w:left="0" w:leftChars="0" w:firstLine="420" w:firstLineChars="200"/>
        <w:rPr>
          <w:rFonts w:hint="eastAsia" w:hAnsi="宋体" w:cs="宋体"/>
          <w:color w:val="auto"/>
          <w:szCs w:val="21"/>
          <w:highlight w:val="none"/>
          <w:lang w:val="en-US" w:eastAsia="zh-CN"/>
        </w:rPr>
      </w:pPr>
      <w:bookmarkStart w:id="61" w:name="_Toc82445287"/>
      <w:r>
        <w:rPr>
          <w:rFonts w:hint="eastAsia" w:hAnsi="宋体" w:cs="宋体"/>
          <w:color w:val="auto"/>
          <w:szCs w:val="21"/>
          <w:highlight w:val="none"/>
          <w:lang w:val="en-US" w:eastAsia="zh-CN"/>
        </w:rPr>
        <w:t>为进一步整合医疗和养老资源，打造集医疗、康复、护理、养老、健康管理为一体的社区医养结合服务中心，为老年人提供便捷、优质、高效的医养结合服务。我区拟招募社会资本方对桂林市秀峰区长海社区卫生服务中心进行改造，采用 BOT （建设-运营-移交）模式，即选择一家社会资本，授予特许经营权，由其作为特许经营者，具体负责项目的建设和养老部分运营工作，特许经营期满后，将项目设施无偿移交政府方。</w:t>
      </w:r>
    </w:p>
    <w:p w14:paraId="11F9DD46">
      <w:pPr>
        <w:pStyle w:val="46"/>
        <w:keepNext w:val="0"/>
        <w:keepLines w:val="0"/>
        <w:pageBreakBefore w:val="0"/>
        <w:widowControl/>
        <w:numPr>
          <w:ilvl w:val="0"/>
          <w:numId w:val="0"/>
        </w:numPr>
        <w:kinsoku/>
        <w:wordWrap/>
        <w:overflowPunct/>
        <w:topLinePunct w:val="0"/>
        <w:autoSpaceDE/>
        <w:autoSpaceDN/>
        <w:bidi w:val="0"/>
        <w:adjustRightInd/>
        <w:snapToGrid/>
        <w:spacing w:before="84" w:after="0" w:line="400" w:lineRule="exact"/>
        <w:ind w:left="0" w:leftChars="0" w:right="63" w:rightChars="30" w:firstLine="422" w:firstLineChars="200"/>
        <w:jc w:val="left"/>
        <w:textAlignment w:val="baseline"/>
        <w:rPr>
          <w:rFonts w:hint="eastAsia" w:ascii="宋体" w:hAnsi="宋体" w:eastAsia="宋体" w:cs="宋体"/>
          <w:b/>
          <w:bCs/>
          <w:color w:val="000000"/>
          <w:kern w:val="2"/>
          <w:sz w:val="21"/>
          <w:szCs w:val="21"/>
          <w:highlight w:val="none"/>
          <w:lang w:val="en-US" w:eastAsia="zh-CN" w:bidi="ar-SA"/>
        </w:rPr>
      </w:pPr>
      <w:r>
        <w:rPr>
          <w:rFonts w:hint="eastAsia" w:ascii="宋体" w:hAnsi="宋体" w:eastAsia="宋体" w:cs="宋体"/>
          <w:b/>
          <w:bCs/>
          <w:color w:val="000000"/>
          <w:kern w:val="2"/>
          <w:sz w:val="21"/>
          <w:szCs w:val="21"/>
          <w:highlight w:val="none"/>
          <w:lang w:val="en-US" w:eastAsia="zh-CN" w:bidi="ar-SA"/>
        </w:rPr>
        <w:t>（</w:t>
      </w:r>
      <w:r>
        <w:rPr>
          <w:rFonts w:hint="eastAsia" w:ascii="宋体" w:hAnsi="宋体" w:cs="宋体"/>
          <w:b/>
          <w:bCs/>
          <w:color w:val="000000"/>
          <w:kern w:val="2"/>
          <w:sz w:val="21"/>
          <w:szCs w:val="21"/>
          <w:highlight w:val="none"/>
          <w:lang w:val="en-US" w:eastAsia="zh-CN" w:bidi="ar-SA"/>
        </w:rPr>
        <w:t>一</w:t>
      </w:r>
      <w:r>
        <w:rPr>
          <w:rFonts w:hint="eastAsia" w:ascii="宋体" w:hAnsi="宋体" w:eastAsia="宋体" w:cs="宋体"/>
          <w:b/>
          <w:bCs/>
          <w:color w:val="000000"/>
          <w:kern w:val="2"/>
          <w:sz w:val="21"/>
          <w:szCs w:val="21"/>
          <w:highlight w:val="none"/>
          <w:lang w:val="en-US" w:eastAsia="zh-CN" w:bidi="ar-SA"/>
        </w:rPr>
        <w:t>）经营管理工作范围及权限</w:t>
      </w:r>
    </w:p>
    <w:p w14:paraId="4A26FE26">
      <w:pPr>
        <w:pStyle w:val="13"/>
        <w:snapToGrid w:val="0"/>
        <w:spacing w:line="400" w:lineRule="exact"/>
        <w:ind w:left="0" w:leftChars="0" w:firstLine="420" w:firstLineChars="200"/>
        <w:rPr>
          <w:rFonts w:hint="eastAsia" w:hAnsi="宋体" w:cs="宋体"/>
          <w:color w:val="auto"/>
          <w:szCs w:val="21"/>
          <w:highlight w:val="none"/>
          <w:lang w:val="en-US" w:eastAsia="zh-CN"/>
        </w:rPr>
      </w:pPr>
      <w:r>
        <w:rPr>
          <w:rFonts w:hint="eastAsia" w:hAnsi="宋体" w:cs="宋体"/>
          <w:color w:val="auto"/>
          <w:szCs w:val="21"/>
          <w:highlight w:val="none"/>
          <w:lang w:val="en-US" w:eastAsia="zh-CN"/>
        </w:rPr>
        <w:t>实施机构授予特许经营者在特许经营期内对项目的投融资、建设、养老部分运营维护及期满移交工作。特许经营者享有项目养老服务业务的经营权，在特许经营期限内，若因城市规划的调整或变化导致服务范围发生变动，需获得实施机构的审核与批准。</w:t>
      </w:r>
    </w:p>
    <w:p w14:paraId="7F1EA4A9">
      <w:pPr>
        <w:pStyle w:val="13"/>
        <w:snapToGrid w:val="0"/>
        <w:spacing w:line="400" w:lineRule="exact"/>
        <w:ind w:left="0" w:leftChars="0" w:firstLine="420" w:firstLineChars="200"/>
        <w:rPr>
          <w:rFonts w:hint="eastAsia" w:hAnsi="宋体" w:cs="宋体"/>
          <w:color w:val="auto"/>
          <w:szCs w:val="21"/>
          <w:highlight w:val="none"/>
          <w:lang w:val="en-US" w:eastAsia="zh-CN"/>
        </w:rPr>
      </w:pPr>
      <w:r>
        <w:rPr>
          <w:rFonts w:hint="eastAsia" w:hAnsi="宋体" w:cs="宋体"/>
          <w:color w:val="auto"/>
          <w:szCs w:val="21"/>
          <w:highlight w:val="none"/>
          <w:lang w:val="en-US" w:eastAsia="zh-CN"/>
        </w:rPr>
        <w:t>1、项目投资规模和资金来源</w:t>
      </w:r>
    </w:p>
    <w:p w14:paraId="71E44C14">
      <w:pPr>
        <w:pStyle w:val="13"/>
        <w:snapToGrid w:val="0"/>
        <w:spacing w:line="400" w:lineRule="exact"/>
        <w:ind w:left="0" w:leftChars="0" w:firstLine="420" w:firstLineChars="200"/>
        <w:rPr>
          <w:rFonts w:hint="eastAsia" w:hAnsi="宋体" w:cs="宋体"/>
          <w:color w:val="auto"/>
          <w:szCs w:val="21"/>
          <w:highlight w:val="none"/>
          <w:lang w:val="en-US" w:eastAsia="zh-CN"/>
        </w:rPr>
      </w:pPr>
      <w:r>
        <w:rPr>
          <w:rFonts w:hint="eastAsia" w:hAnsi="宋体" w:cs="宋体"/>
          <w:color w:val="auto"/>
          <w:szCs w:val="21"/>
          <w:highlight w:val="none"/>
          <w:lang w:val="en-US" w:eastAsia="zh-CN"/>
        </w:rPr>
        <w:t>项目估算总投资 4110.55 万元，其中建筑及安装工程费 2560.48 万元， 设备购置费 800.00 万元，工程建设其他费 445.58 万元，预备费 304.49 万元。</w:t>
      </w:r>
    </w:p>
    <w:p w14:paraId="60366298">
      <w:pPr>
        <w:pStyle w:val="13"/>
        <w:snapToGrid w:val="0"/>
        <w:spacing w:line="400" w:lineRule="exact"/>
        <w:ind w:left="0" w:leftChars="0" w:firstLine="420" w:firstLineChars="200"/>
        <w:rPr>
          <w:rFonts w:hint="eastAsia" w:hAnsi="宋体" w:cs="宋体"/>
          <w:color w:val="auto"/>
          <w:szCs w:val="21"/>
          <w:highlight w:val="none"/>
          <w:lang w:val="en-US" w:eastAsia="zh-CN"/>
        </w:rPr>
      </w:pPr>
      <w:r>
        <w:rPr>
          <w:rFonts w:hint="eastAsia" w:hAnsi="宋体" w:cs="宋体"/>
          <w:color w:val="auto"/>
          <w:szCs w:val="21"/>
          <w:highlight w:val="none"/>
          <w:lang w:val="en-US" w:eastAsia="zh-CN"/>
        </w:rPr>
        <w:t>2、项目建设所需资金来源为乙方自有资金。</w:t>
      </w:r>
    </w:p>
    <w:p w14:paraId="0A4EF7E5">
      <w:pPr>
        <w:pStyle w:val="13"/>
        <w:snapToGrid w:val="0"/>
        <w:spacing w:line="400" w:lineRule="exact"/>
        <w:ind w:left="0" w:leftChars="0" w:firstLine="420" w:firstLineChars="200"/>
        <w:rPr>
          <w:rFonts w:hint="eastAsia" w:hAnsi="宋体" w:cs="宋体"/>
          <w:color w:val="auto"/>
          <w:szCs w:val="21"/>
          <w:highlight w:val="none"/>
          <w:lang w:val="en-US" w:eastAsia="zh-CN"/>
        </w:rPr>
      </w:pPr>
      <w:r>
        <w:rPr>
          <w:rFonts w:hint="eastAsia" w:hAnsi="宋体" w:cs="宋体"/>
          <w:color w:val="auto"/>
          <w:szCs w:val="21"/>
          <w:highlight w:val="none"/>
          <w:lang w:val="en-US" w:eastAsia="zh-CN"/>
        </w:rPr>
        <w:t>主要需求及产出服务：</w:t>
      </w:r>
    </w:p>
    <w:p w14:paraId="096AA52D">
      <w:pPr>
        <w:pStyle w:val="13"/>
        <w:snapToGrid w:val="0"/>
        <w:spacing w:line="400" w:lineRule="exact"/>
        <w:ind w:left="0" w:leftChars="0" w:firstLine="420" w:firstLineChars="200"/>
        <w:rPr>
          <w:rFonts w:hint="eastAsia" w:hAnsi="宋体" w:cs="宋体"/>
          <w:color w:val="auto"/>
          <w:szCs w:val="21"/>
          <w:highlight w:val="none"/>
          <w:lang w:val="en-US" w:eastAsia="zh-CN"/>
        </w:rPr>
      </w:pPr>
      <w:r>
        <w:rPr>
          <w:rFonts w:hint="eastAsia" w:hAnsi="宋体" w:cs="宋体"/>
          <w:color w:val="auto"/>
          <w:szCs w:val="21"/>
          <w:highlight w:val="none"/>
          <w:lang w:val="en-US" w:eastAsia="zh-CN"/>
        </w:rPr>
        <w:t>项目建设一栋提供医养结合服务的医养综合楼，设置床位数共 154 张， 其中养老服务床位 100 张。</w:t>
      </w:r>
    </w:p>
    <w:p w14:paraId="0F5B3FBE">
      <w:pPr>
        <w:pStyle w:val="13"/>
        <w:snapToGrid w:val="0"/>
        <w:spacing w:line="400" w:lineRule="exact"/>
        <w:ind w:left="0" w:leftChars="0" w:firstLine="420" w:firstLineChars="200"/>
        <w:rPr>
          <w:rFonts w:hint="eastAsia" w:hAnsi="宋体" w:cs="宋体"/>
          <w:color w:val="auto"/>
          <w:szCs w:val="21"/>
          <w:highlight w:val="none"/>
          <w:lang w:val="en-US" w:eastAsia="zh-CN"/>
        </w:rPr>
      </w:pPr>
      <w:r>
        <w:rPr>
          <w:rFonts w:hint="eastAsia" w:hAnsi="宋体" w:cs="宋体"/>
          <w:color w:val="auto"/>
          <w:szCs w:val="21"/>
          <w:highlight w:val="none"/>
          <w:lang w:val="en-US" w:eastAsia="zh-CN"/>
        </w:rPr>
        <w:t>3.特许经营实施方式</w:t>
      </w:r>
    </w:p>
    <w:p w14:paraId="7C945F4B">
      <w:pPr>
        <w:pStyle w:val="13"/>
        <w:snapToGrid w:val="0"/>
        <w:spacing w:line="400" w:lineRule="exact"/>
        <w:ind w:left="0" w:leftChars="0" w:firstLine="420" w:firstLineChars="200"/>
        <w:rPr>
          <w:rFonts w:hint="eastAsia" w:hAnsi="宋体" w:cs="宋体"/>
          <w:color w:val="auto"/>
          <w:szCs w:val="21"/>
          <w:highlight w:val="none"/>
          <w:lang w:val="en-US" w:eastAsia="zh-CN"/>
        </w:rPr>
      </w:pPr>
      <w:r>
        <w:rPr>
          <w:rFonts w:hint="eastAsia" w:hAnsi="宋体" w:cs="宋体"/>
          <w:color w:val="auto"/>
          <w:szCs w:val="21"/>
          <w:highlight w:val="none"/>
          <w:lang w:val="en-US" w:eastAsia="zh-CN"/>
        </w:rPr>
        <w:t>本项目为新建项目，项目运作模式采用 BOT （建设-运营-移交）模式，即选择一家社会资本，授予特许经营权，由其作为特许经营者，具体负责项目的建设和养老部分运营工作，特许经营期满后，将项目设施无偿移交政府方。</w:t>
      </w:r>
    </w:p>
    <w:p w14:paraId="487B0698">
      <w:pPr>
        <w:pStyle w:val="13"/>
        <w:snapToGrid w:val="0"/>
        <w:spacing w:line="400" w:lineRule="exact"/>
        <w:ind w:left="0" w:leftChars="0" w:firstLine="420" w:firstLineChars="200"/>
        <w:rPr>
          <w:rFonts w:hint="eastAsia" w:hAnsi="宋体" w:cs="宋体"/>
          <w:color w:val="auto"/>
          <w:szCs w:val="21"/>
          <w:highlight w:val="none"/>
          <w:lang w:val="en-US" w:eastAsia="zh-CN"/>
        </w:rPr>
      </w:pPr>
      <w:r>
        <w:rPr>
          <w:rFonts w:hint="eastAsia" w:hAnsi="宋体" w:cs="宋体"/>
          <w:color w:val="auto"/>
          <w:szCs w:val="21"/>
          <w:highlight w:val="none"/>
          <w:lang w:val="en-US" w:eastAsia="zh-CN"/>
        </w:rPr>
        <w:t>4.本项目为使用者付费项目，政府方不提供建设期投资支持和运营补贴。</w:t>
      </w:r>
    </w:p>
    <w:p w14:paraId="2061EA07">
      <w:pPr>
        <w:pStyle w:val="13"/>
        <w:snapToGrid w:val="0"/>
        <w:spacing w:line="400" w:lineRule="exact"/>
        <w:ind w:left="0" w:leftChars="0" w:firstLine="420" w:firstLineChars="200"/>
        <w:rPr>
          <w:rFonts w:hint="eastAsia" w:hAnsi="宋体" w:cs="宋体"/>
          <w:color w:val="auto"/>
          <w:szCs w:val="21"/>
          <w:highlight w:val="none"/>
          <w:lang w:val="en-US" w:eastAsia="zh-CN"/>
        </w:rPr>
      </w:pPr>
      <w:r>
        <w:rPr>
          <w:rFonts w:hint="eastAsia" w:hAnsi="宋体" w:cs="宋体"/>
          <w:color w:val="auto"/>
          <w:szCs w:val="21"/>
          <w:highlight w:val="none"/>
          <w:lang w:val="en-US" w:eastAsia="zh-CN"/>
        </w:rPr>
        <w:t>5、特许经营权排他性承诺</w:t>
      </w:r>
    </w:p>
    <w:p w14:paraId="3CA007E0">
      <w:pPr>
        <w:pStyle w:val="13"/>
        <w:snapToGrid w:val="0"/>
        <w:spacing w:line="400" w:lineRule="exact"/>
        <w:ind w:left="0" w:leftChars="0" w:firstLine="420" w:firstLineChars="200"/>
        <w:rPr>
          <w:rFonts w:hint="eastAsia" w:hAnsi="宋体" w:cs="宋体"/>
          <w:color w:val="auto"/>
          <w:szCs w:val="21"/>
          <w:highlight w:val="none"/>
          <w:lang w:val="en-US" w:eastAsia="zh-CN"/>
        </w:rPr>
      </w:pPr>
      <w:r>
        <w:rPr>
          <w:rFonts w:hint="eastAsia" w:hAnsi="宋体" w:cs="宋体"/>
          <w:color w:val="auto"/>
          <w:szCs w:val="21"/>
          <w:highlight w:val="none"/>
          <w:lang w:val="en-US" w:eastAsia="zh-CN"/>
        </w:rPr>
        <w:t>在特许经营者严格遵循特许经营协议的各项条款与规定的前提下，政府方承诺并保证其所授予的特许经营权在整个特许经营期内将始终保持有效性和完整性，除非遭遇不可抗力因素。政府方将全力维护特许经营权的稳定与合法，确保特许经营者能够在协议规定的框架内，顺利开展经营活动，实现项目的可持续发展。在此过程中，政府方将密切关注项目进展，及时协调解决可能出现的问题，为特许经营者提供必要的支持和协助，共同推动项目的成功实施。</w:t>
      </w:r>
    </w:p>
    <w:p w14:paraId="52293035">
      <w:pPr>
        <w:pStyle w:val="13"/>
        <w:snapToGrid w:val="0"/>
        <w:spacing w:line="400" w:lineRule="exact"/>
        <w:ind w:left="0" w:leftChars="0" w:firstLine="420" w:firstLineChars="200"/>
        <w:rPr>
          <w:rFonts w:hint="eastAsia" w:hAnsi="宋体" w:cs="宋体"/>
          <w:color w:val="auto"/>
          <w:szCs w:val="21"/>
          <w:highlight w:val="none"/>
          <w:lang w:val="en-US" w:eastAsia="zh-CN"/>
        </w:rPr>
      </w:pPr>
      <w:r>
        <w:rPr>
          <w:rFonts w:hint="eastAsia" w:hAnsi="宋体" w:cs="宋体"/>
          <w:color w:val="auto"/>
          <w:szCs w:val="21"/>
          <w:highlight w:val="none"/>
          <w:lang w:val="en-US" w:eastAsia="zh-CN"/>
        </w:rPr>
        <w:t>本项目中，公司提供的养老服务需求是长期存在的，因此，为保证提供的服务的稳定性，特许经营期不易过短。结合本项目资产使用寿命及项目投资回收期，本项目特许经营期暂定为40年，其中建设期1.5年（18 个月），运营期38.5年。</w:t>
      </w:r>
    </w:p>
    <w:p w14:paraId="6776EF3B">
      <w:pPr>
        <w:pStyle w:val="13"/>
        <w:snapToGrid w:val="0"/>
        <w:spacing w:line="400" w:lineRule="exact"/>
        <w:ind w:left="0" w:leftChars="0" w:firstLine="420" w:firstLineChars="200"/>
        <w:rPr>
          <w:rFonts w:hint="eastAsia" w:hAnsi="宋体" w:cs="宋体"/>
          <w:color w:val="auto"/>
          <w:szCs w:val="21"/>
          <w:highlight w:val="none"/>
          <w:lang w:val="en-US" w:eastAsia="zh-CN"/>
        </w:rPr>
      </w:pPr>
      <w:r>
        <w:rPr>
          <w:rFonts w:hint="eastAsia" w:hAnsi="宋体" w:cs="宋体"/>
          <w:color w:val="auto"/>
          <w:szCs w:val="21"/>
          <w:highlight w:val="none"/>
          <w:lang w:val="en-US" w:eastAsia="zh-CN"/>
        </w:rPr>
        <w:t>（三）特许经营者拟投入人员及要求</w:t>
      </w:r>
    </w:p>
    <w:p w14:paraId="38FED211">
      <w:pPr>
        <w:pStyle w:val="13"/>
        <w:snapToGrid w:val="0"/>
        <w:spacing w:line="400" w:lineRule="exact"/>
        <w:ind w:left="0" w:leftChars="0" w:firstLine="420" w:firstLineChars="200"/>
        <w:rPr>
          <w:rFonts w:hint="eastAsia" w:hAnsi="宋体" w:cs="宋体"/>
          <w:color w:val="auto"/>
          <w:szCs w:val="21"/>
          <w:highlight w:val="none"/>
          <w:lang w:val="en-US" w:eastAsia="zh-CN"/>
        </w:rPr>
      </w:pPr>
      <w:r>
        <w:rPr>
          <w:rFonts w:hint="eastAsia" w:hAnsi="宋体" w:cs="宋体"/>
          <w:color w:val="auto"/>
          <w:szCs w:val="21"/>
          <w:highlight w:val="none"/>
          <w:lang w:val="en-US" w:eastAsia="zh-CN"/>
        </w:rPr>
        <w:t>本项目养老部分拟投入不低于32人。其中：</w:t>
      </w:r>
    </w:p>
    <w:p w14:paraId="43F668A3">
      <w:pPr>
        <w:pStyle w:val="13"/>
        <w:snapToGrid w:val="0"/>
        <w:spacing w:line="400" w:lineRule="exact"/>
        <w:ind w:left="0" w:leftChars="0" w:firstLine="420" w:firstLineChars="200"/>
        <w:rPr>
          <w:rFonts w:hint="eastAsia" w:hAnsi="宋体" w:cs="宋体"/>
          <w:color w:val="auto"/>
          <w:szCs w:val="21"/>
          <w:highlight w:val="none"/>
          <w:lang w:val="en-US" w:eastAsia="zh-CN"/>
        </w:rPr>
      </w:pPr>
      <w:r>
        <w:rPr>
          <w:rFonts w:hint="eastAsia" w:hAnsi="宋体" w:cs="宋体"/>
          <w:color w:val="auto"/>
          <w:szCs w:val="21"/>
          <w:highlight w:val="none"/>
          <w:lang w:val="en-US" w:eastAsia="zh-CN"/>
        </w:rPr>
        <w:t>1、管理人员：1人；负责统筹全局，对接相关事务；</w:t>
      </w:r>
    </w:p>
    <w:p w14:paraId="5D889D91">
      <w:pPr>
        <w:pStyle w:val="13"/>
        <w:snapToGrid w:val="0"/>
        <w:spacing w:line="400" w:lineRule="exact"/>
        <w:ind w:left="0" w:leftChars="0" w:firstLine="420" w:firstLineChars="200"/>
        <w:rPr>
          <w:rFonts w:hint="eastAsia" w:hAnsi="宋体" w:cs="宋体"/>
          <w:color w:val="auto"/>
          <w:szCs w:val="21"/>
          <w:highlight w:val="none"/>
          <w:lang w:val="en-US" w:eastAsia="zh-CN"/>
        </w:rPr>
      </w:pPr>
      <w:r>
        <w:rPr>
          <w:rFonts w:hint="eastAsia" w:hAnsi="宋体" w:cs="宋体"/>
          <w:color w:val="auto"/>
          <w:szCs w:val="21"/>
          <w:highlight w:val="none"/>
          <w:lang w:val="en-US" w:eastAsia="zh-CN"/>
        </w:rPr>
        <w:t>2、保洁管理4人；负责管理区域24小时公共环境卫生、垃圾清运绿化管理；</w:t>
      </w:r>
    </w:p>
    <w:p w14:paraId="3F8A0350">
      <w:pPr>
        <w:pStyle w:val="13"/>
        <w:snapToGrid w:val="0"/>
        <w:spacing w:line="400" w:lineRule="exact"/>
        <w:ind w:left="0" w:leftChars="0" w:firstLine="420" w:firstLineChars="200"/>
        <w:rPr>
          <w:rFonts w:hint="eastAsia" w:hAnsi="宋体" w:cs="宋体"/>
          <w:color w:val="auto"/>
          <w:szCs w:val="21"/>
          <w:highlight w:val="none"/>
          <w:lang w:val="en-US" w:eastAsia="zh-CN"/>
        </w:rPr>
      </w:pPr>
      <w:r>
        <w:rPr>
          <w:rFonts w:hint="eastAsia" w:hAnsi="宋体" w:cs="宋体"/>
          <w:color w:val="auto"/>
          <w:szCs w:val="21"/>
          <w:highlight w:val="none"/>
          <w:lang w:val="en-US" w:eastAsia="zh-CN"/>
        </w:rPr>
        <w:t>3、安保人员：4人。负责管理区域24小时公共治安秩序；</w:t>
      </w:r>
    </w:p>
    <w:p w14:paraId="739B42FD">
      <w:pPr>
        <w:pStyle w:val="13"/>
        <w:snapToGrid w:val="0"/>
        <w:spacing w:line="400" w:lineRule="exact"/>
        <w:ind w:left="0" w:leftChars="0" w:firstLine="420" w:firstLineChars="200"/>
        <w:rPr>
          <w:rFonts w:hint="eastAsia" w:hAnsi="宋体" w:cs="宋体"/>
          <w:color w:val="auto"/>
          <w:szCs w:val="21"/>
          <w:highlight w:val="none"/>
          <w:lang w:val="en-US" w:eastAsia="zh-CN"/>
        </w:rPr>
      </w:pPr>
      <w:r>
        <w:rPr>
          <w:rFonts w:hint="eastAsia" w:hAnsi="宋体" w:cs="宋体"/>
          <w:color w:val="auto"/>
          <w:szCs w:val="21"/>
          <w:highlight w:val="none"/>
          <w:lang w:val="en-US" w:eastAsia="zh-CN"/>
        </w:rPr>
        <w:t>4、消防员、电工共2人。负责管理区消防、变电、配电等设施设备值班管控和电器维修维护；</w:t>
      </w:r>
    </w:p>
    <w:p w14:paraId="63DE0767">
      <w:pPr>
        <w:pStyle w:val="13"/>
        <w:snapToGrid w:val="0"/>
        <w:spacing w:line="400" w:lineRule="exact"/>
        <w:ind w:left="0" w:leftChars="0" w:firstLine="420" w:firstLineChars="200"/>
        <w:rPr>
          <w:rFonts w:hint="eastAsia" w:hAnsi="宋体" w:cs="宋体"/>
          <w:color w:val="auto"/>
          <w:szCs w:val="21"/>
          <w:highlight w:val="none"/>
          <w:lang w:val="en-US" w:eastAsia="zh-CN"/>
        </w:rPr>
      </w:pPr>
      <w:r>
        <w:rPr>
          <w:rFonts w:hint="eastAsia" w:hAnsi="宋体" w:cs="宋体"/>
          <w:color w:val="auto"/>
          <w:szCs w:val="21"/>
          <w:highlight w:val="none"/>
          <w:lang w:val="en-US" w:eastAsia="zh-CN"/>
        </w:rPr>
        <w:t>5、护理人员：21人。负责对养老人员提供养老服务。</w:t>
      </w:r>
    </w:p>
    <w:p w14:paraId="5E25931E">
      <w:pPr>
        <w:pStyle w:val="13"/>
        <w:snapToGrid w:val="0"/>
        <w:spacing w:line="400" w:lineRule="exact"/>
        <w:ind w:left="0" w:leftChars="0" w:firstLine="420" w:firstLineChars="200"/>
        <w:rPr>
          <w:rFonts w:hint="eastAsia" w:hAnsi="宋体" w:cs="宋体"/>
          <w:color w:val="auto"/>
          <w:szCs w:val="21"/>
          <w:highlight w:val="none"/>
          <w:lang w:val="en-US" w:eastAsia="zh-CN"/>
        </w:rPr>
      </w:pPr>
      <w:r>
        <w:rPr>
          <w:rFonts w:hint="eastAsia" w:hAnsi="宋体" w:cs="宋体"/>
          <w:color w:val="auto"/>
          <w:szCs w:val="21"/>
          <w:highlight w:val="none"/>
          <w:lang w:val="en-US" w:eastAsia="zh-CN"/>
        </w:rPr>
        <w:t>（四）经营费用及要求</w:t>
      </w:r>
    </w:p>
    <w:p w14:paraId="6DAC5692">
      <w:pPr>
        <w:pStyle w:val="13"/>
        <w:snapToGrid w:val="0"/>
        <w:spacing w:line="400" w:lineRule="exact"/>
        <w:ind w:left="0" w:leftChars="0" w:firstLine="420" w:firstLineChars="200"/>
        <w:rPr>
          <w:rFonts w:hint="eastAsia" w:hAnsi="宋体" w:cs="宋体"/>
          <w:color w:val="auto"/>
          <w:szCs w:val="21"/>
          <w:highlight w:val="none"/>
          <w:lang w:val="en-US" w:eastAsia="zh-CN"/>
        </w:rPr>
      </w:pPr>
      <w:r>
        <w:rPr>
          <w:rFonts w:hint="eastAsia" w:hAnsi="宋体" w:cs="宋体"/>
          <w:color w:val="auto"/>
          <w:szCs w:val="21"/>
          <w:highlight w:val="none"/>
          <w:lang w:val="en-US" w:eastAsia="zh-CN"/>
        </w:rPr>
        <w:t xml:space="preserve">1、本项目养老部分收费渠道是通过为老年人提供养老服务的方式，向需要养老服务的老年人收取养老服务费，本项目为使用者付费项目，政府方不提供建设期投资支持和运营补贴。 </w:t>
      </w:r>
    </w:p>
    <w:p w14:paraId="337C0361">
      <w:pPr>
        <w:pStyle w:val="13"/>
        <w:snapToGrid w:val="0"/>
        <w:spacing w:line="400" w:lineRule="exact"/>
        <w:ind w:left="0" w:leftChars="0" w:firstLine="420" w:firstLineChars="200"/>
        <w:rPr>
          <w:rFonts w:hint="eastAsia" w:hAnsi="宋体" w:cs="宋体"/>
          <w:color w:val="auto"/>
          <w:szCs w:val="21"/>
          <w:highlight w:val="none"/>
          <w:lang w:val="en-US" w:eastAsia="zh-CN"/>
        </w:rPr>
      </w:pPr>
      <w:r>
        <w:rPr>
          <w:rFonts w:hint="eastAsia" w:hAnsi="宋体" w:cs="宋体"/>
          <w:color w:val="auto"/>
          <w:szCs w:val="21"/>
          <w:highlight w:val="none"/>
          <w:lang w:val="en-US" w:eastAsia="zh-CN"/>
        </w:rPr>
        <w:t>2、使用者付费定价机制和调价机制</w:t>
      </w:r>
    </w:p>
    <w:p w14:paraId="784EAD73">
      <w:pPr>
        <w:pStyle w:val="13"/>
        <w:snapToGrid w:val="0"/>
        <w:spacing w:line="400" w:lineRule="exact"/>
        <w:ind w:left="0" w:leftChars="0" w:firstLine="420" w:firstLineChars="200"/>
        <w:rPr>
          <w:rFonts w:hint="eastAsia" w:hAnsi="宋体" w:cs="宋体"/>
          <w:color w:val="auto"/>
          <w:szCs w:val="21"/>
          <w:highlight w:val="none"/>
          <w:lang w:val="en-US" w:eastAsia="zh-CN"/>
        </w:rPr>
      </w:pPr>
      <w:r>
        <w:rPr>
          <w:rFonts w:hint="eastAsia" w:hAnsi="宋体" w:cs="宋体"/>
          <w:color w:val="auto"/>
          <w:szCs w:val="21"/>
          <w:highlight w:val="none"/>
          <w:lang w:val="en-US" w:eastAsia="zh-CN"/>
        </w:rPr>
        <w:t>（1）使用者付费定价机制</w:t>
      </w:r>
    </w:p>
    <w:p w14:paraId="07C00CA9">
      <w:pPr>
        <w:pStyle w:val="13"/>
        <w:snapToGrid w:val="0"/>
        <w:spacing w:line="400" w:lineRule="exact"/>
        <w:ind w:left="0" w:leftChars="0" w:firstLine="420" w:firstLineChars="200"/>
        <w:rPr>
          <w:rFonts w:hint="eastAsia" w:hAnsi="宋体" w:cs="宋体"/>
          <w:color w:val="auto"/>
          <w:szCs w:val="21"/>
          <w:highlight w:val="none"/>
          <w:lang w:val="en-US" w:eastAsia="zh-CN"/>
        </w:rPr>
      </w:pPr>
      <w:r>
        <w:rPr>
          <w:rFonts w:hint="eastAsia" w:hAnsi="宋体" w:cs="宋体"/>
          <w:color w:val="auto"/>
          <w:szCs w:val="21"/>
          <w:highlight w:val="none"/>
          <w:lang w:val="en-US" w:eastAsia="zh-CN"/>
        </w:rPr>
        <w:t>本项目养老部分服务费价格可在本项目投运前由政府方出台相关规定作为参考，也可以参考本区域同类型的养老服务机构实行市场调节价。</w:t>
      </w:r>
    </w:p>
    <w:p w14:paraId="5A81AEEC">
      <w:pPr>
        <w:pStyle w:val="13"/>
        <w:snapToGrid w:val="0"/>
        <w:spacing w:line="400" w:lineRule="exact"/>
        <w:ind w:left="0" w:leftChars="0" w:firstLine="420" w:firstLineChars="200"/>
        <w:rPr>
          <w:rFonts w:hint="eastAsia" w:hAnsi="宋体" w:cs="宋体"/>
          <w:color w:val="auto"/>
          <w:szCs w:val="21"/>
          <w:highlight w:val="none"/>
          <w:lang w:val="en-US" w:eastAsia="zh-CN"/>
        </w:rPr>
      </w:pPr>
      <w:r>
        <w:rPr>
          <w:rFonts w:hint="eastAsia" w:hAnsi="宋体" w:cs="宋体"/>
          <w:color w:val="auto"/>
          <w:szCs w:val="21"/>
          <w:highlight w:val="none"/>
          <w:lang w:val="en-US" w:eastAsia="zh-CN"/>
        </w:rPr>
        <w:t>（2）调价机制</w:t>
      </w:r>
    </w:p>
    <w:p w14:paraId="506890E2">
      <w:pPr>
        <w:pStyle w:val="13"/>
        <w:snapToGrid w:val="0"/>
        <w:spacing w:line="400" w:lineRule="exact"/>
        <w:ind w:left="0" w:leftChars="0" w:firstLine="420" w:firstLineChars="200"/>
        <w:rPr>
          <w:rFonts w:hint="eastAsia" w:hAnsi="宋体" w:cs="宋体"/>
          <w:color w:val="auto"/>
          <w:szCs w:val="21"/>
          <w:highlight w:val="none"/>
          <w:lang w:val="en-US" w:eastAsia="zh-CN"/>
        </w:rPr>
      </w:pPr>
      <w:r>
        <w:rPr>
          <w:rFonts w:hint="eastAsia" w:hAnsi="宋体" w:cs="宋体"/>
          <w:color w:val="auto"/>
          <w:szCs w:val="21"/>
          <w:highlight w:val="none"/>
          <w:lang w:val="en-US" w:eastAsia="zh-CN"/>
        </w:rPr>
        <w:t>如养老服务费价格按政府方出台的相关规定执行，特许经营者可根据收益情况、物价上涨情况向政府方调整申请。政府方可每3-5年对项目养老部分进行中期评估，根据评估结果对服务费价格进行调整，避免特许经营者获取暴利，损害公众利益。</w:t>
      </w:r>
    </w:p>
    <w:p w14:paraId="3A289E2F">
      <w:pPr>
        <w:pStyle w:val="13"/>
        <w:snapToGrid w:val="0"/>
        <w:spacing w:line="400" w:lineRule="exact"/>
        <w:ind w:left="0" w:leftChars="0" w:firstLine="420" w:firstLineChars="200"/>
        <w:rPr>
          <w:rFonts w:hint="eastAsia" w:hAnsi="宋体" w:cs="宋体"/>
          <w:color w:val="auto"/>
          <w:szCs w:val="21"/>
          <w:highlight w:val="none"/>
          <w:lang w:val="en-US" w:eastAsia="zh-CN"/>
        </w:rPr>
      </w:pPr>
      <w:r>
        <w:rPr>
          <w:rFonts w:hint="eastAsia" w:hAnsi="宋体" w:cs="宋体"/>
          <w:color w:val="auto"/>
          <w:szCs w:val="21"/>
          <w:highlight w:val="none"/>
          <w:lang w:val="en-US" w:eastAsia="zh-CN"/>
        </w:rPr>
        <w:t>3、本着公益性及低价的原则，项目养老服务收费价格参照桂林市内同规模和标准的医养结合服务机构的收费标准以及本项目的情况进行确定。根据调查，桂林市内养老中心的收费区间在 3000-8500 元/月之间，本项目养老服务收费标准按 4500 元/床/月（不考虑物价上涨因素）执行。</w:t>
      </w:r>
    </w:p>
    <w:p w14:paraId="5F010184">
      <w:pPr>
        <w:pStyle w:val="13"/>
        <w:snapToGrid w:val="0"/>
        <w:spacing w:line="400" w:lineRule="exact"/>
        <w:ind w:left="0" w:leftChars="0" w:firstLine="420" w:firstLineChars="200"/>
        <w:rPr>
          <w:rFonts w:hint="eastAsia" w:hAnsi="宋体" w:cs="宋体"/>
          <w:color w:val="auto"/>
          <w:szCs w:val="21"/>
          <w:highlight w:val="none"/>
        </w:rPr>
      </w:pPr>
    </w:p>
    <w:p w14:paraId="56FCE94E">
      <w:pPr>
        <w:ind w:left="0" w:leftChars="0" w:firstLine="420" w:firstLineChars="200"/>
        <w:rPr>
          <w:rFonts w:ascii="宋体" w:hAnsi="宋体" w:eastAsia="宋体" w:cs="宋体"/>
          <w:color w:val="auto"/>
          <w:highlight w:val="none"/>
        </w:rPr>
      </w:pPr>
    </w:p>
    <w:p w14:paraId="114D0996">
      <w:pPr>
        <w:ind w:left="0" w:leftChars="0" w:firstLine="420" w:firstLineChars="200"/>
        <w:rPr>
          <w:rFonts w:ascii="宋体" w:hAnsi="宋体" w:eastAsia="宋体" w:cs="宋体"/>
          <w:color w:val="auto"/>
          <w:highlight w:val="none"/>
        </w:rPr>
      </w:pPr>
    </w:p>
    <w:p w14:paraId="24D679F3">
      <w:pPr>
        <w:rPr>
          <w:rFonts w:ascii="宋体" w:hAnsi="宋体" w:eastAsia="宋体" w:cs="宋体"/>
          <w:color w:val="auto"/>
          <w:highlight w:val="none"/>
        </w:rPr>
      </w:pPr>
    </w:p>
    <w:p w14:paraId="73509E1B">
      <w:pPr>
        <w:rPr>
          <w:rFonts w:ascii="宋体" w:hAnsi="宋体" w:eastAsia="宋体" w:cs="宋体"/>
          <w:color w:val="auto"/>
          <w:highlight w:val="none"/>
        </w:rPr>
        <w:sectPr>
          <w:pgSz w:w="11906" w:h="16838"/>
          <w:pgMar w:top="1440" w:right="1797" w:bottom="1440" w:left="1797" w:header="720" w:footer="720" w:gutter="0"/>
          <w:pgNumType w:fmt="decimal"/>
          <w:cols w:space="720" w:num="1"/>
          <w:titlePg/>
          <w:docGrid w:type="lines" w:linePitch="326" w:charSpace="0"/>
        </w:sectPr>
      </w:pPr>
    </w:p>
    <w:p w14:paraId="3670DA7B">
      <w:pPr>
        <w:pStyle w:val="2"/>
        <w:bidi w:val="0"/>
        <w:rPr>
          <w:rStyle w:val="29"/>
          <w:rFonts w:hint="eastAsia"/>
          <w:b/>
          <w:bCs/>
          <w:color w:val="auto"/>
          <w:highlight w:val="none"/>
        </w:rPr>
      </w:pPr>
      <w:bookmarkStart w:id="62" w:name="_Toc559"/>
      <w:r>
        <w:rPr>
          <w:rFonts w:hint="eastAsia" w:ascii="Times New Roman" w:hAnsi="Times New Roman" w:eastAsia="宋体" w:cs="Times New Roman"/>
          <w:b/>
          <w:bCs/>
          <w:color w:val="auto"/>
          <w:kern w:val="2"/>
          <w:sz w:val="32"/>
          <w:szCs w:val="32"/>
          <w:highlight w:val="none"/>
          <w:lang w:val="en-US" w:eastAsia="zh-CN" w:bidi="ar-SA"/>
        </w:rPr>
        <w:t>第四章</w:t>
      </w:r>
      <w:r>
        <w:rPr>
          <w:rFonts w:hint="eastAsia" w:cs="Times New Roman"/>
          <w:b/>
          <w:bCs/>
          <w:color w:val="auto"/>
          <w:kern w:val="2"/>
          <w:sz w:val="32"/>
          <w:szCs w:val="32"/>
          <w:highlight w:val="none"/>
          <w:lang w:val="en-US" w:eastAsia="zh-CN" w:bidi="ar-SA"/>
        </w:rPr>
        <w:t xml:space="preserve">  </w:t>
      </w:r>
      <w:r>
        <w:rPr>
          <w:rStyle w:val="29"/>
          <w:rFonts w:hint="eastAsia"/>
          <w:b/>
          <w:bCs/>
          <w:color w:val="auto"/>
          <w:highlight w:val="none"/>
        </w:rPr>
        <w:t>评标办法</w:t>
      </w:r>
      <w:bookmarkEnd w:id="61"/>
      <w:bookmarkEnd w:id="62"/>
    </w:p>
    <w:p w14:paraId="70954787">
      <w:pPr>
        <w:pStyle w:val="3"/>
        <w:numPr>
          <w:ilvl w:val="0"/>
          <w:numId w:val="0"/>
        </w:numPr>
        <w:spacing w:before="0" w:after="0" w:line="400" w:lineRule="exact"/>
        <w:jc w:val="left"/>
        <w:rPr>
          <w:rFonts w:hint="eastAsia" w:ascii="宋体" w:hAnsi="宋体" w:eastAsia="宋体" w:cs="宋体"/>
          <w:b/>
          <w:bCs w:val="0"/>
          <w:color w:val="000000"/>
          <w:sz w:val="21"/>
          <w:szCs w:val="21"/>
          <w:highlight w:val="none"/>
        </w:rPr>
      </w:pPr>
      <w:bookmarkStart w:id="63" w:name="_Toc25714"/>
      <w:r>
        <w:rPr>
          <w:rFonts w:hint="eastAsia" w:ascii="宋体" w:hAnsi="宋体" w:eastAsia="宋体" w:cs="宋体"/>
          <w:b/>
          <w:bCs w:val="0"/>
          <w:color w:val="000000"/>
          <w:sz w:val="21"/>
          <w:szCs w:val="21"/>
          <w:highlight w:val="none"/>
        </w:rPr>
        <w:t>一、评标原则</w:t>
      </w:r>
      <w:bookmarkEnd w:id="63"/>
    </w:p>
    <w:p w14:paraId="017F5EFD">
      <w:pPr>
        <w:pStyle w:val="13"/>
        <w:adjustRightInd w:val="0"/>
        <w:spacing w:line="400" w:lineRule="exact"/>
        <w:contextualSpacing/>
        <w:rPr>
          <w:rFonts w:hint="eastAsia" w:hAnsi="宋体" w:cs="宋体"/>
          <w:bCs/>
          <w:color w:val="000000"/>
          <w:szCs w:val="21"/>
          <w:highlight w:val="none"/>
        </w:rPr>
      </w:pPr>
      <w:r>
        <w:rPr>
          <w:rFonts w:hint="eastAsia" w:hAnsi="宋体" w:cs="宋体"/>
          <w:bCs/>
          <w:color w:val="000000"/>
          <w:szCs w:val="21"/>
          <w:highlight w:val="none"/>
        </w:rPr>
        <w:t>（一）评委会组成：本招标采购项目的评标委员会由采购人代表、技术和经济等方面的专家组成。其中，专家评委不得少于成员总数的三分之二。</w:t>
      </w:r>
    </w:p>
    <w:p w14:paraId="5228DB58">
      <w:pPr>
        <w:pStyle w:val="13"/>
        <w:adjustRightInd w:val="0"/>
        <w:spacing w:line="400" w:lineRule="exact"/>
        <w:contextualSpacing/>
        <w:rPr>
          <w:rFonts w:hint="eastAsia" w:hAnsi="宋体" w:cs="宋体"/>
          <w:bCs/>
          <w:color w:val="000000"/>
          <w:szCs w:val="21"/>
          <w:highlight w:val="none"/>
        </w:rPr>
      </w:pPr>
      <w:r>
        <w:rPr>
          <w:rFonts w:hint="eastAsia" w:hAnsi="宋体" w:cs="宋体"/>
          <w:bCs/>
          <w:color w:val="000000"/>
          <w:szCs w:val="21"/>
          <w:highlight w:val="none"/>
        </w:rPr>
        <w:t>（二）评标依据：</w:t>
      </w:r>
      <w:r>
        <w:rPr>
          <w:rFonts w:hint="eastAsia" w:hAnsi="宋体"/>
          <w:color w:val="000000"/>
          <w:szCs w:val="21"/>
          <w:highlight w:val="none"/>
        </w:rPr>
        <w:t>评标委员会以招标文件和投标文件为评标依据，对投标人的投标报价、</w:t>
      </w:r>
      <w:r>
        <w:rPr>
          <w:rFonts w:hint="eastAsia" w:hAnsi="宋体" w:cs="宋体"/>
          <w:b/>
          <w:bCs/>
          <w:color w:val="000000"/>
          <w:highlight w:val="none"/>
        </w:rPr>
        <w:t>方案</w:t>
      </w:r>
      <w:r>
        <w:rPr>
          <w:rFonts w:hint="eastAsia" w:hAnsi="宋体"/>
          <w:color w:val="000000"/>
          <w:szCs w:val="21"/>
          <w:highlight w:val="none"/>
        </w:rPr>
        <w:t>等方面内容按百分制打分。</w:t>
      </w:r>
    </w:p>
    <w:p w14:paraId="0C2AA90A">
      <w:pPr>
        <w:pStyle w:val="13"/>
        <w:adjustRightInd w:val="0"/>
        <w:spacing w:line="400" w:lineRule="exact"/>
        <w:contextualSpacing/>
        <w:rPr>
          <w:rFonts w:hint="eastAsia" w:hAnsi="宋体" w:cs="宋体"/>
          <w:bCs/>
          <w:color w:val="000000"/>
          <w:szCs w:val="21"/>
          <w:highlight w:val="none"/>
        </w:rPr>
      </w:pPr>
      <w:r>
        <w:rPr>
          <w:rFonts w:hint="eastAsia" w:hAnsi="宋体" w:cs="宋体"/>
          <w:bCs/>
          <w:color w:val="000000"/>
          <w:szCs w:val="21"/>
          <w:highlight w:val="none"/>
        </w:rPr>
        <w:t>（三）评标方式：以封闭方式进行。</w:t>
      </w:r>
    </w:p>
    <w:p w14:paraId="4F12B6F2">
      <w:pPr>
        <w:spacing w:line="400" w:lineRule="exact"/>
        <w:rPr>
          <w:rFonts w:hint="eastAsia" w:ascii="宋体" w:hAnsi="宋体" w:cs="宋体"/>
          <w:bCs/>
          <w:color w:val="000000"/>
          <w:szCs w:val="21"/>
          <w:highlight w:val="none"/>
        </w:rPr>
      </w:pPr>
      <w:r>
        <w:rPr>
          <w:rFonts w:hint="eastAsia" w:ascii="宋体" w:hAnsi="宋体" w:cs="宋体"/>
          <w:bCs/>
          <w:color w:val="000000"/>
          <w:szCs w:val="21"/>
          <w:highlight w:val="none"/>
        </w:rPr>
        <w:t>（四）采购人和采购代理机构、评标委员会成员要严格遵守相关法律制度，依法履行各自职责，公正、客观、审慎地组织和参与评审工作。</w:t>
      </w:r>
    </w:p>
    <w:p w14:paraId="5B756A83">
      <w:pPr>
        <w:pStyle w:val="3"/>
        <w:numPr>
          <w:ilvl w:val="0"/>
          <w:numId w:val="0"/>
        </w:numPr>
        <w:spacing w:before="0" w:after="0" w:line="400" w:lineRule="exact"/>
        <w:jc w:val="left"/>
        <w:rPr>
          <w:rFonts w:hint="eastAsia" w:ascii="宋体" w:hAnsi="宋体" w:eastAsia="宋体" w:cs="宋体"/>
          <w:b/>
          <w:bCs w:val="0"/>
          <w:color w:val="000000"/>
          <w:sz w:val="21"/>
          <w:szCs w:val="21"/>
          <w:highlight w:val="none"/>
        </w:rPr>
      </w:pPr>
      <w:bookmarkStart w:id="64" w:name="_Toc19045"/>
      <w:r>
        <w:rPr>
          <w:rFonts w:hint="eastAsia" w:ascii="宋体" w:hAnsi="宋体" w:eastAsia="宋体" w:cs="宋体"/>
          <w:b/>
          <w:bCs w:val="0"/>
          <w:color w:val="000000"/>
          <w:sz w:val="21"/>
          <w:szCs w:val="21"/>
          <w:highlight w:val="none"/>
        </w:rPr>
        <w:t>二、评定方法</w:t>
      </w:r>
      <w:bookmarkEnd w:id="64"/>
    </w:p>
    <w:p w14:paraId="45ED9BC9">
      <w:pPr>
        <w:pStyle w:val="13"/>
        <w:adjustRightInd w:val="0"/>
        <w:spacing w:line="400" w:lineRule="exact"/>
        <w:contextualSpacing/>
        <w:rPr>
          <w:rFonts w:hint="eastAsia" w:hAnsi="宋体" w:cs="宋体"/>
          <w:bCs/>
          <w:color w:val="000000"/>
          <w:szCs w:val="21"/>
          <w:highlight w:val="none"/>
        </w:rPr>
      </w:pPr>
      <w:r>
        <w:rPr>
          <w:rFonts w:hint="eastAsia" w:hAnsi="宋体" w:cs="宋体"/>
          <w:bCs/>
          <w:color w:val="000000"/>
          <w:szCs w:val="21"/>
          <w:highlight w:val="none"/>
        </w:rPr>
        <w:t>（一）对进入详评的，采用百分制综合评分法。</w:t>
      </w:r>
    </w:p>
    <w:p w14:paraId="0B4AADE3">
      <w:pPr>
        <w:pStyle w:val="13"/>
        <w:adjustRightInd w:val="0"/>
        <w:spacing w:line="400" w:lineRule="exact"/>
        <w:contextualSpacing/>
        <w:rPr>
          <w:rFonts w:hint="eastAsia" w:hAnsi="宋体" w:cs="宋体"/>
          <w:bCs/>
          <w:color w:val="000000"/>
          <w:szCs w:val="21"/>
          <w:highlight w:val="none"/>
        </w:rPr>
      </w:pPr>
      <w:r>
        <w:rPr>
          <w:rFonts w:hint="eastAsia" w:hAnsi="宋体" w:cs="宋体"/>
          <w:bCs/>
          <w:color w:val="000000"/>
          <w:szCs w:val="21"/>
          <w:highlight w:val="none"/>
        </w:rPr>
        <w:t>（二）计分办法（按四舍五入取至百分位）：</w:t>
      </w:r>
    </w:p>
    <w:p w14:paraId="00ED1791">
      <w:pPr>
        <w:jc w:val="left"/>
        <w:rPr>
          <w:rFonts w:ascii="宋体" w:hAnsi="宋体" w:cs="宋体"/>
          <w:b/>
          <w:bCs/>
          <w:color w:val="000000"/>
          <w:kern w:val="0"/>
          <w:szCs w:val="21"/>
          <w:highlight w:val="none"/>
        </w:rPr>
      </w:pPr>
      <w:r>
        <w:rPr>
          <w:rFonts w:hint="eastAsia" w:ascii="宋体" w:hAnsi="宋体" w:cs="宋体"/>
          <w:b/>
          <w:bCs/>
          <w:color w:val="000000"/>
          <w:kern w:val="0"/>
          <w:szCs w:val="21"/>
          <w:highlight w:val="none"/>
        </w:rPr>
        <w:t>1、价格分………………………………………………………………………………满分</w:t>
      </w:r>
      <w:r>
        <w:rPr>
          <w:rFonts w:hint="eastAsia" w:ascii="宋体" w:hAnsi="宋体" w:cs="宋体"/>
          <w:b/>
          <w:bCs/>
          <w:color w:val="000000"/>
          <w:kern w:val="0"/>
          <w:szCs w:val="21"/>
          <w:highlight w:val="none"/>
          <w:lang w:val="en-US" w:eastAsia="zh-CN"/>
        </w:rPr>
        <w:t>5</w:t>
      </w:r>
      <w:r>
        <w:rPr>
          <w:rFonts w:hint="eastAsia" w:ascii="宋体" w:hAnsi="宋体" w:cs="宋体"/>
          <w:b/>
          <w:bCs/>
          <w:color w:val="000000"/>
          <w:kern w:val="0"/>
          <w:szCs w:val="21"/>
          <w:highlight w:val="none"/>
        </w:rPr>
        <w:t>0分</w:t>
      </w:r>
    </w:p>
    <w:p w14:paraId="0B38B0B0">
      <w:pPr>
        <w:pStyle w:val="48"/>
        <w:spacing w:line="380" w:lineRule="exact"/>
        <w:ind w:firstLine="420" w:firstLineChars="200"/>
        <w:rPr>
          <w:rStyle w:val="50"/>
          <w:rFonts w:hint="eastAsia" w:hAnsi="宋体" w:cs="宋体"/>
          <w:bCs/>
          <w:highlight w:val="none"/>
        </w:rPr>
      </w:pPr>
      <w:r>
        <w:rPr>
          <w:rStyle w:val="50"/>
          <w:rFonts w:hint="eastAsia" w:hAnsi="宋体" w:cs="宋体"/>
          <w:highlight w:val="none"/>
        </w:rPr>
        <w:t>（1）以进入评标的最高的评审报价为满分</w:t>
      </w:r>
      <w:r>
        <w:rPr>
          <w:rStyle w:val="50"/>
          <w:rFonts w:hint="eastAsia" w:hAnsi="宋体" w:cs="宋体"/>
          <w:highlight w:val="none"/>
          <w:lang w:val="en-US" w:eastAsia="zh-CN"/>
        </w:rPr>
        <w:t>5</w:t>
      </w:r>
      <w:r>
        <w:rPr>
          <w:rStyle w:val="50"/>
          <w:rFonts w:hint="eastAsia" w:hAnsi="宋体" w:cs="宋体"/>
          <w:highlight w:val="none"/>
        </w:rPr>
        <w:t>0分。</w:t>
      </w:r>
    </w:p>
    <w:p w14:paraId="7161558B">
      <w:pPr>
        <w:pStyle w:val="48"/>
        <w:spacing w:line="380" w:lineRule="exact"/>
        <w:ind w:firstLine="3150" w:firstLineChars="1500"/>
        <w:rPr>
          <w:rStyle w:val="50"/>
          <w:rFonts w:hint="eastAsia" w:hAnsi="宋体" w:cs="宋体"/>
          <w:bCs/>
          <w:highlight w:val="none"/>
        </w:rPr>
      </w:pPr>
      <w:r>
        <w:rPr>
          <w:rStyle w:val="50"/>
          <w:rFonts w:hint="eastAsia" w:hAnsi="宋体" w:cs="宋体"/>
          <w:bCs/>
          <w:highlight w:val="none"/>
        </w:rPr>
        <w:t>供应商评审报价金额</w:t>
      </w:r>
    </w:p>
    <w:p w14:paraId="39DE9657">
      <w:pPr>
        <w:pStyle w:val="48"/>
        <w:spacing w:line="380" w:lineRule="exact"/>
        <w:ind w:firstLine="420" w:firstLineChars="200"/>
        <w:rPr>
          <w:rStyle w:val="50"/>
          <w:rFonts w:hint="eastAsia" w:hAnsi="宋体" w:cs="宋体"/>
          <w:bCs/>
          <w:highlight w:val="none"/>
        </w:rPr>
      </w:pPr>
      <w:r>
        <w:rPr>
          <w:rFonts w:hint="eastAsia" w:hAnsi="宋体" w:cs="宋体"/>
          <w:highlight w:val="none"/>
        </w:rPr>
        <mc:AlternateContent>
          <mc:Choice Requires="wps">
            <w:drawing>
              <wp:anchor distT="0" distB="0" distL="114300" distR="114300" simplePos="0" relativeHeight="251660288" behindDoc="0" locked="0" layoutInCell="1" allowOverlap="1">
                <wp:simplePos x="0" y="0"/>
                <wp:positionH relativeFrom="column">
                  <wp:posOffset>1635760</wp:posOffset>
                </wp:positionH>
                <wp:positionV relativeFrom="paragraph">
                  <wp:posOffset>140970</wp:posOffset>
                </wp:positionV>
                <wp:extent cx="2161540" cy="16510"/>
                <wp:effectExtent l="0" t="4445" r="2540" b="9525"/>
                <wp:wrapNone/>
                <wp:docPr id="33" name="直接连接符 33"/>
                <wp:cNvGraphicFramePr/>
                <a:graphic xmlns:a="http://schemas.openxmlformats.org/drawingml/2006/main">
                  <a:graphicData uri="http://schemas.microsoft.com/office/word/2010/wordprocessingShape">
                    <wps:wsp>
                      <wps:cNvCnPr/>
                      <wps:spPr>
                        <a:xfrm>
                          <a:off x="0" y="0"/>
                          <a:ext cx="2161540" cy="1651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28.8pt;margin-top:11.1pt;height:1.3pt;width:170.2pt;z-index:251660288;mso-width-relative:page;mso-height-relative:page;" filled="f" stroked="t" coordsize="21600,21600" o:gfxdata="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shzabYAAAACQEAAA8AAAAAAAAAAQAgAAAAIgAAAGRycy9kb3du&#10;cmV2LnhtbFBLAQIUABQAAAAIAIdO4kAPsCtg/wEAAPgDAAAOAAAAAAAAAAEAIAAAACcBAABkcnMv&#10;ZTJvRG9jLnhtbFBLBQYAAAAABgAGAFkBAACYBQAAAAA=&#10;">
                <v:fill on="f" focussize="0,0"/>
                <v:stroke color="#000000" joinstyle="round"/>
                <v:imagedata o:title=""/>
                <o:lock v:ext="edit" aspectratio="f"/>
              </v:line>
            </w:pict>
          </mc:Fallback>
        </mc:AlternateContent>
      </w:r>
      <w:r>
        <w:rPr>
          <w:rStyle w:val="50"/>
          <w:rFonts w:hint="eastAsia" w:hAnsi="宋体" w:cs="宋体"/>
          <w:bCs/>
          <w:highlight w:val="none"/>
        </w:rPr>
        <w:t>（2）供应商价格分 =                                  ×</w:t>
      </w:r>
      <w:r>
        <w:rPr>
          <w:rStyle w:val="50"/>
          <w:rFonts w:hint="eastAsia" w:hAnsi="宋体" w:cs="宋体"/>
          <w:bCs/>
          <w:highlight w:val="none"/>
          <w:lang w:val="en-US" w:eastAsia="zh-CN"/>
        </w:rPr>
        <w:t>5</w:t>
      </w:r>
      <w:r>
        <w:rPr>
          <w:rStyle w:val="50"/>
          <w:rFonts w:hint="eastAsia" w:hAnsi="宋体" w:cs="宋体"/>
          <w:bCs/>
          <w:highlight w:val="none"/>
        </w:rPr>
        <w:t>0分</w:t>
      </w:r>
    </w:p>
    <w:p w14:paraId="35513861">
      <w:pPr>
        <w:pStyle w:val="48"/>
        <w:spacing w:line="380" w:lineRule="exact"/>
        <w:ind w:firstLine="3150" w:firstLineChars="1500"/>
        <w:rPr>
          <w:rStyle w:val="50"/>
          <w:rFonts w:hint="eastAsia" w:hAnsi="宋体" w:cs="宋体"/>
          <w:bCs/>
          <w:highlight w:val="none"/>
        </w:rPr>
      </w:pPr>
      <w:r>
        <w:rPr>
          <w:rStyle w:val="50"/>
          <w:rFonts w:hint="eastAsia" w:hAnsi="宋体" w:cs="宋体"/>
          <w:bCs/>
          <w:highlight w:val="none"/>
        </w:rPr>
        <w:t>供应商最高</w:t>
      </w:r>
      <w:r>
        <w:rPr>
          <w:rStyle w:val="50"/>
          <w:rFonts w:hint="eastAsia" w:hAnsi="宋体" w:cs="宋体"/>
          <w:highlight w:val="none"/>
        </w:rPr>
        <w:t>评审报价</w:t>
      </w:r>
      <w:r>
        <w:rPr>
          <w:rStyle w:val="50"/>
          <w:rFonts w:hint="eastAsia" w:hAnsi="宋体" w:cs="宋体"/>
          <w:bCs/>
          <w:highlight w:val="none"/>
        </w:rPr>
        <w:t>金额</w:t>
      </w:r>
    </w:p>
    <w:p w14:paraId="32583332">
      <w:pPr>
        <w:spacing w:line="400" w:lineRule="exact"/>
        <w:jc w:val="left"/>
        <w:rPr>
          <w:rFonts w:hint="eastAsia" w:ascii="宋体" w:hAnsi="宋体" w:cs="宋体"/>
          <w:b/>
          <w:bCs/>
          <w:color w:val="000000"/>
          <w:szCs w:val="20"/>
          <w:highlight w:val="none"/>
        </w:rPr>
      </w:pPr>
      <w:r>
        <w:rPr>
          <w:rFonts w:hint="eastAsia" w:ascii="宋体" w:hAnsi="宋体" w:cs="宋体"/>
          <w:b/>
          <w:bCs/>
          <w:color w:val="000000"/>
          <w:szCs w:val="20"/>
          <w:highlight w:val="none"/>
        </w:rPr>
        <w:t>2、实施方案分………………………………………………………………………满分</w:t>
      </w:r>
      <w:r>
        <w:rPr>
          <w:rFonts w:hint="eastAsia" w:ascii="宋体" w:hAnsi="宋体" w:cs="宋体"/>
          <w:b/>
          <w:bCs/>
          <w:color w:val="000000"/>
          <w:szCs w:val="20"/>
          <w:highlight w:val="none"/>
          <w:lang w:val="en-US" w:eastAsia="zh-CN"/>
        </w:rPr>
        <w:t>5</w:t>
      </w:r>
      <w:r>
        <w:rPr>
          <w:rFonts w:hint="eastAsia" w:ascii="宋体" w:hAnsi="宋体" w:cs="宋体"/>
          <w:b/>
          <w:bCs/>
          <w:color w:val="000000"/>
          <w:szCs w:val="20"/>
          <w:highlight w:val="none"/>
        </w:rPr>
        <w:t>0分</w:t>
      </w:r>
    </w:p>
    <w:tbl>
      <w:tblPr>
        <w:tblStyle w:val="22"/>
        <w:tblW w:w="47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535"/>
        <w:gridCol w:w="1084"/>
        <w:gridCol w:w="1415"/>
        <w:gridCol w:w="693"/>
        <w:gridCol w:w="2534"/>
        <w:gridCol w:w="1852"/>
      </w:tblGrid>
      <w:tr w14:paraId="6DCF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29" w:hRule="atLeast"/>
          <w:jc w:val="center"/>
        </w:trPr>
        <w:tc>
          <w:tcPr>
            <w:tcW w:w="330" w:type="pct"/>
            <w:tcBorders>
              <w:top w:val="single" w:color="auto" w:sz="4" w:space="0"/>
              <w:left w:val="single" w:color="auto" w:sz="4" w:space="0"/>
              <w:bottom w:val="single" w:color="auto" w:sz="4" w:space="0"/>
              <w:right w:val="single" w:color="auto" w:sz="4" w:space="0"/>
            </w:tcBorders>
            <w:noWrap w:val="0"/>
            <w:vAlign w:val="center"/>
          </w:tcPr>
          <w:p w14:paraId="3AC448FB">
            <w:pPr>
              <w:spacing w:before="120" w:after="120" w:line="240" w:lineRule="exact"/>
              <w:ind w:left="53" w:leftChars="-43" w:hanging="143"/>
              <w:jc w:val="center"/>
              <w:rPr>
                <w:rFonts w:ascii="宋体" w:hAnsi="宋体" w:cs="宋体"/>
                <w:b/>
                <w:szCs w:val="21"/>
                <w:highlight w:val="none"/>
              </w:rPr>
            </w:pPr>
            <w:r>
              <w:rPr>
                <w:rFonts w:hint="eastAsia" w:ascii="宋体" w:hAnsi="宋体" w:cs="宋体"/>
                <w:b/>
                <w:szCs w:val="21"/>
                <w:highlight w:val="none"/>
              </w:rPr>
              <w:t>序号</w:t>
            </w:r>
          </w:p>
        </w:tc>
        <w:tc>
          <w:tcPr>
            <w:tcW w:w="1540" w:type="pct"/>
            <w:gridSpan w:val="2"/>
            <w:tcBorders>
              <w:top w:val="single" w:color="auto" w:sz="4" w:space="0"/>
              <w:left w:val="single" w:color="auto" w:sz="4" w:space="0"/>
              <w:bottom w:val="single" w:color="auto" w:sz="4" w:space="0"/>
              <w:right w:val="single" w:color="auto" w:sz="4" w:space="0"/>
            </w:tcBorders>
            <w:noWrap w:val="0"/>
            <w:vAlign w:val="center"/>
          </w:tcPr>
          <w:p w14:paraId="01E82C89">
            <w:pPr>
              <w:spacing w:line="240" w:lineRule="exact"/>
              <w:jc w:val="center"/>
              <w:rPr>
                <w:rFonts w:ascii="宋体" w:hAnsi="宋体" w:cs="宋体"/>
                <w:b/>
                <w:szCs w:val="21"/>
                <w:highlight w:val="none"/>
              </w:rPr>
            </w:pPr>
            <w:r>
              <w:rPr>
                <w:rFonts w:hint="eastAsia" w:ascii="宋体" w:hAnsi="宋体" w:cs="宋体"/>
                <w:b/>
                <w:szCs w:val="21"/>
                <w:highlight w:val="none"/>
              </w:rPr>
              <w:t>评分项目</w:t>
            </w:r>
          </w:p>
        </w:tc>
        <w:tc>
          <w:tcPr>
            <w:tcW w:w="426" w:type="pct"/>
            <w:tcBorders>
              <w:top w:val="single" w:color="auto" w:sz="4" w:space="0"/>
              <w:left w:val="single" w:color="auto" w:sz="4" w:space="0"/>
              <w:bottom w:val="single" w:color="auto" w:sz="4" w:space="0"/>
              <w:right w:val="single" w:color="auto" w:sz="4" w:space="0"/>
            </w:tcBorders>
            <w:noWrap w:val="0"/>
            <w:vAlign w:val="center"/>
          </w:tcPr>
          <w:p w14:paraId="027502BF">
            <w:pPr>
              <w:spacing w:line="240" w:lineRule="exact"/>
              <w:ind w:left="-67" w:leftChars="-32"/>
              <w:jc w:val="center"/>
              <w:rPr>
                <w:rFonts w:ascii="宋体" w:hAnsi="宋体" w:cs="宋体"/>
                <w:b/>
                <w:szCs w:val="21"/>
                <w:highlight w:val="none"/>
              </w:rPr>
            </w:pPr>
            <w:r>
              <w:rPr>
                <w:rFonts w:hint="eastAsia" w:ascii="宋体" w:hAnsi="宋体" w:cs="宋体"/>
                <w:b/>
                <w:szCs w:val="21"/>
                <w:highlight w:val="none"/>
              </w:rPr>
              <w:t>分值</w:t>
            </w:r>
          </w:p>
        </w:tc>
        <w:tc>
          <w:tcPr>
            <w:tcW w:w="1561" w:type="pct"/>
            <w:tcBorders>
              <w:top w:val="single" w:color="auto" w:sz="4" w:space="0"/>
              <w:left w:val="single" w:color="auto" w:sz="4" w:space="0"/>
              <w:bottom w:val="single" w:color="auto" w:sz="4" w:space="0"/>
              <w:right w:val="single" w:color="auto" w:sz="4" w:space="0"/>
            </w:tcBorders>
            <w:noWrap w:val="0"/>
            <w:vAlign w:val="center"/>
          </w:tcPr>
          <w:p w14:paraId="3F186E0D">
            <w:pPr>
              <w:spacing w:line="240" w:lineRule="exact"/>
              <w:ind w:left="-46" w:leftChars="-22"/>
              <w:jc w:val="center"/>
              <w:rPr>
                <w:rFonts w:ascii="宋体" w:hAnsi="宋体" w:cs="宋体"/>
                <w:b/>
                <w:szCs w:val="21"/>
                <w:highlight w:val="none"/>
              </w:rPr>
            </w:pPr>
            <w:r>
              <w:rPr>
                <w:rFonts w:hint="eastAsia" w:ascii="宋体" w:hAnsi="宋体" w:cs="宋体"/>
                <w:b/>
                <w:szCs w:val="21"/>
                <w:highlight w:val="none"/>
              </w:rPr>
              <w:t>评分标准</w:t>
            </w:r>
          </w:p>
        </w:tc>
        <w:tc>
          <w:tcPr>
            <w:tcW w:w="1141" w:type="pct"/>
            <w:tcBorders>
              <w:top w:val="single" w:color="auto" w:sz="4" w:space="0"/>
              <w:left w:val="single" w:color="auto" w:sz="4" w:space="0"/>
              <w:bottom w:val="single" w:color="auto" w:sz="4" w:space="0"/>
              <w:right w:val="single" w:color="auto" w:sz="4" w:space="0"/>
            </w:tcBorders>
            <w:noWrap w:val="0"/>
            <w:vAlign w:val="center"/>
          </w:tcPr>
          <w:p w14:paraId="3C9A0B08">
            <w:pPr>
              <w:spacing w:line="240" w:lineRule="exact"/>
              <w:ind w:left="271" w:leftChars="129"/>
              <w:jc w:val="center"/>
              <w:rPr>
                <w:rFonts w:ascii="宋体" w:hAnsi="宋体" w:cs="宋体"/>
                <w:b/>
                <w:szCs w:val="21"/>
                <w:highlight w:val="none"/>
              </w:rPr>
            </w:pPr>
            <w:r>
              <w:rPr>
                <w:rFonts w:hint="eastAsia" w:ascii="宋体" w:hAnsi="宋体" w:cs="宋体"/>
                <w:b/>
                <w:szCs w:val="21"/>
                <w:highlight w:val="none"/>
              </w:rPr>
              <w:t>分值范围</w:t>
            </w:r>
          </w:p>
        </w:tc>
      </w:tr>
      <w:tr w14:paraId="70E8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14" w:hRule="atLeast"/>
          <w:jc w:val="center"/>
        </w:trPr>
        <w:tc>
          <w:tcPr>
            <w:tcW w:w="330" w:type="pct"/>
            <w:vMerge w:val="restart"/>
            <w:tcBorders>
              <w:top w:val="single" w:color="auto" w:sz="4" w:space="0"/>
              <w:left w:val="single" w:color="auto" w:sz="4" w:space="0"/>
              <w:bottom w:val="single" w:color="auto" w:sz="4" w:space="0"/>
              <w:right w:val="single" w:color="auto" w:sz="4" w:space="0"/>
            </w:tcBorders>
            <w:noWrap w:val="0"/>
            <w:vAlign w:val="center"/>
          </w:tcPr>
          <w:p w14:paraId="2C492AD3">
            <w:pPr>
              <w:spacing w:before="120" w:after="120" w:line="240" w:lineRule="exact"/>
              <w:ind w:left="-69" w:leftChars="-101" w:hanging="143"/>
              <w:jc w:val="center"/>
              <w:rPr>
                <w:rFonts w:ascii="宋体" w:hAnsi="宋体" w:cs="宋体"/>
                <w:bCs/>
                <w:szCs w:val="21"/>
                <w:highlight w:val="none"/>
              </w:rPr>
            </w:pPr>
            <w:r>
              <w:rPr>
                <w:rFonts w:hint="eastAsia" w:ascii="宋体" w:hAnsi="宋体" w:cs="宋体"/>
                <w:bCs/>
                <w:szCs w:val="21"/>
                <w:highlight w:val="none"/>
              </w:rPr>
              <w:t>一</w:t>
            </w:r>
          </w:p>
        </w:tc>
        <w:tc>
          <w:tcPr>
            <w:tcW w:w="668" w:type="pct"/>
            <w:vMerge w:val="restart"/>
            <w:tcBorders>
              <w:top w:val="single" w:color="auto" w:sz="4" w:space="0"/>
              <w:left w:val="single" w:color="auto" w:sz="4" w:space="0"/>
              <w:bottom w:val="single" w:color="auto" w:sz="4" w:space="0"/>
              <w:right w:val="single" w:color="auto" w:sz="4" w:space="0"/>
            </w:tcBorders>
            <w:noWrap w:val="0"/>
            <w:vAlign w:val="center"/>
          </w:tcPr>
          <w:p w14:paraId="3EC0730D">
            <w:pPr>
              <w:spacing w:before="120" w:after="120" w:line="240" w:lineRule="exact"/>
              <w:ind w:left="-191" w:leftChars="-91" w:firstLine="75"/>
              <w:jc w:val="center"/>
              <w:rPr>
                <w:rFonts w:ascii="宋体" w:hAnsi="宋体" w:cs="宋体"/>
                <w:szCs w:val="21"/>
                <w:highlight w:val="none"/>
              </w:rPr>
            </w:pPr>
            <w:r>
              <w:rPr>
                <w:rFonts w:hint="eastAsia" w:ascii="宋体" w:hAnsi="宋体" w:cs="宋体"/>
                <w:szCs w:val="21"/>
                <w:highlight w:val="none"/>
              </w:rPr>
              <w:t>融资方案</w:t>
            </w:r>
          </w:p>
          <w:p w14:paraId="4810DFC2">
            <w:pPr>
              <w:spacing w:before="120" w:after="120" w:line="240" w:lineRule="exact"/>
              <w:ind w:left="-191" w:leftChars="-91" w:firstLine="75"/>
              <w:jc w:val="center"/>
              <w:rPr>
                <w:rFonts w:ascii="宋体" w:hAnsi="宋体" w:cs="宋体"/>
                <w:szCs w:val="21"/>
                <w:highlight w:val="none"/>
              </w:rPr>
            </w:pPr>
            <w:r>
              <w:rPr>
                <w:rFonts w:hint="eastAsia" w:ascii="宋体" w:hAnsi="宋体" w:cs="宋体"/>
                <w:szCs w:val="21"/>
                <w:highlight w:val="none"/>
              </w:rPr>
              <w:t>（30分）</w:t>
            </w:r>
          </w:p>
        </w:tc>
        <w:tc>
          <w:tcPr>
            <w:tcW w:w="872" w:type="pct"/>
            <w:tcBorders>
              <w:top w:val="single" w:color="auto" w:sz="4" w:space="0"/>
              <w:left w:val="single" w:color="auto" w:sz="4" w:space="0"/>
              <w:bottom w:val="single" w:color="auto" w:sz="4" w:space="0"/>
              <w:right w:val="single" w:color="auto" w:sz="4" w:space="0"/>
            </w:tcBorders>
            <w:noWrap w:val="0"/>
            <w:vAlign w:val="center"/>
          </w:tcPr>
          <w:p w14:paraId="5D651C99">
            <w:pPr>
              <w:spacing w:before="120" w:after="120" w:line="240" w:lineRule="exact"/>
              <w:ind w:left="-120" w:leftChars="-57"/>
              <w:jc w:val="center"/>
              <w:rPr>
                <w:rFonts w:ascii="宋体" w:hAnsi="宋体" w:cs="宋体"/>
                <w:bCs/>
                <w:szCs w:val="21"/>
                <w:highlight w:val="none"/>
              </w:rPr>
            </w:pPr>
            <w:r>
              <w:rPr>
                <w:rFonts w:hint="eastAsia" w:ascii="宋体" w:hAnsi="宋体" w:cs="宋体"/>
                <w:bCs/>
                <w:szCs w:val="21"/>
                <w:highlight w:val="none"/>
              </w:rPr>
              <w:t>融资计划合理性</w:t>
            </w:r>
          </w:p>
        </w:tc>
        <w:tc>
          <w:tcPr>
            <w:tcW w:w="426" w:type="pct"/>
            <w:tcBorders>
              <w:top w:val="single" w:color="auto" w:sz="4" w:space="0"/>
              <w:left w:val="single" w:color="auto" w:sz="4" w:space="0"/>
              <w:bottom w:val="single" w:color="auto" w:sz="4" w:space="0"/>
              <w:right w:val="single" w:color="auto" w:sz="4" w:space="0"/>
            </w:tcBorders>
            <w:noWrap w:val="0"/>
            <w:vAlign w:val="center"/>
          </w:tcPr>
          <w:p w14:paraId="27C0D92B">
            <w:pPr>
              <w:spacing w:before="120" w:after="120" w:line="240" w:lineRule="exact"/>
              <w:ind w:left="-193" w:leftChars="-92"/>
              <w:jc w:val="center"/>
              <w:rPr>
                <w:rFonts w:ascii="宋体" w:hAnsi="宋体" w:cs="宋体"/>
                <w:bCs/>
                <w:szCs w:val="21"/>
                <w:highlight w:val="none"/>
              </w:rPr>
            </w:pPr>
            <w:r>
              <w:rPr>
                <w:rFonts w:hint="eastAsia" w:ascii="宋体" w:hAnsi="宋体" w:cs="宋体"/>
                <w:bCs/>
                <w:szCs w:val="21"/>
                <w:highlight w:val="none"/>
              </w:rPr>
              <w:t>10</w:t>
            </w:r>
          </w:p>
        </w:tc>
        <w:tc>
          <w:tcPr>
            <w:tcW w:w="1561" w:type="pct"/>
            <w:tcBorders>
              <w:top w:val="single" w:color="auto" w:sz="4" w:space="0"/>
              <w:left w:val="single" w:color="auto" w:sz="4" w:space="0"/>
              <w:bottom w:val="single" w:color="auto" w:sz="4" w:space="0"/>
              <w:right w:val="single" w:color="auto" w:sz="4" w:space="0"/>
            </w:tcBorders>
            <w:noWrap w:val="0"/>
            <w:vAlign w:val="center"/>
          </w:tcPr>
          <w:p w14:paraId="04F14886">
            <w:pPr>
              <w:spacing w:before="120" w:after="120" w:line="240" w:lineRule="exact"/>
              <w:ind w:left="-46" w:leftChars="-22"/>
              <w:rPr>
                <w:rFonts w:ascii="宋体" w:hAnsi="宋体" w:cs="宋体"/>
                <w:bCs/>
                <w:szCs w:val="21"/>
                <w:highlight w:val="none"/>
              </w:rPr>
            </w:pPr>
            <w:r>
              <w:rPr>
                <w:rFonts w:hint="eastAsia" w:ascii="宋体" w:hAnsi="宋体" w:cs="宋体"/>
                <w:bCs/>
                <w:szCs w:val="21"/>
                <w:highlight w:val="none"/>
              </w:rPr>
              <w:t>资金的来源和使用、资金成本、项目融资风险分析及控制方案、项目融资担保方案及可靠性。</w:t>
            </w:r>
          </w:p>
        </w:tc>
        <w:tc>
          <w:tcPr>
            <w:tcW w:w="1141" w:type="pct"/>
            <w:tcBorders>
              <w:top w:val="single" w:color="auto" w:sz="4" w:space="0"/>
              <w:left w:val="single" w:color="auto" w:sz="4" w:space="0"/>
              <w:bottom w:val="single" w:color="auto" w:sz="4" w:space="0"/>
              <w:right w:val="single" w:color="auto" w:sz="4" w:space="0"/>
            </w:tcBorders>
            <w:noWrap w:val="0"/>
            <w:vAlign w:val="center"/>
          </w:tcPr>
          <w:p w14:paraId="3210E585">
            <w:pPr>
              <w:spacing w:before="120" w:after="120" w:line="240" w:lineRule="exact"/>
              <w:ind w:left="271" w:leftChars="129"/>
              <w:jc w:val="left"/>
              <w:rPr>
                <w:rFonts w:ascii="宋体" w:hAnsi="宋体" w:cs="宋体"/>
                <w:bCs/>
                <w:szCs w:val="21"/>
                <w:highlight w:val="none"/>
              </w:rPr>
            </w:pPr>
            <w:r>
              <w:rPr>
                <w:rFonts w:hint="eastAsia" w:ascii="宋体" w:hAnsi="宋体" w:cs="宋体"/>
                <w:bCs/>
                <w:szCs w:val="21"/>
                <w:highlight w:val="none"/>
              </w:rPr>
              <w:t>优：10 分</w:t>
            </w:r>
          </w:p>
          <w:p w14:paraId="2C3CC65E">
            <w:pPr>
              <w:spacing w:before="120" w:after="120" w:line="240" w:lineRule="exact"/>
              <w:ind w:left="271" w:leftChars="129"/>
              <w:jc w:val="left"/>
              <w:rPr>
                <w:rFonts w:ascii="宋体" w:hAnsi="宋体" w:cs="宋体"/>
                <w:bCs/>
                <w:szCs w:val="21"/>
                <w:highlight w:val="none"/>
              </w:rPr>
            </w:pPr>
            <w:r>
              <w:rPr>
                <w:rFonts w:hint="eastAsia" w:ascii="宋体" w:hAnsi="宋体" w:cs="宋体"/>
                <w:bCs/>
                <w:szCs w:val="21"/>
                <w:highlight w:val="none"/>
              </w:rPr>
              <w:t>中：6 分</w:t>
            </w:r>
          </w:p>
          <w:p w14:paraId="073271A9">
            <w:pPr>
              <w:spacing w:before="120" w:after="120" w:line="240" w:lineRule="exact"/>
              <w:ind w:left="271" w:leftChars="129"/>
              <w:jc w:val="left"/>
              <w:rPr>
                <w:rFonts w:ascii="宋体" w:hAnsi="宋体" w:cs="宋体"/>
                <w:bCs/>
                <w:szCs w:val="21"/>
                <w:highlight w:val="none"/>
              </w:rPr>
            </w:pPr>
            <w:r>
              <w:rPr>
                <w:rFonts w:hint="eastAsia" w:ascii="宋体" w:hAnsi="宋体" w:cs="宋体"/>
                <w:bCs/>
                <w:szCs w:val="21"/>
                <w:highlight w:val="none"/>
              </w:rPr>
              <w:t>差：3 分</w:t>
            </w:r>
          </w:p>
        </w:tc>
      </w:tr>
      <w:tr w14:paraId="7DDE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29" w:hRule="atLeast"/>
          <w:jc w:val="center"/>
        </w:trPr>
        <w:tc>
          <w:tcPr>
            <w:tcW w:w="330" w:type="pct"/>
            <w:vMerge w:val="continue"/>
            <w:tcBorders>
              <w:top w:val="single" w:color="auto" w:sz="4" w:space="0"/>
              <w:left w:val="single" w:color="auto" w:sz="4" w:space="0"/>
              <w:bottom w:val="single" w:color="auto" w:sz="4" w:space="0"/>
              <w:right w:val="single" w:color="auto" w:sz="4" w:space="0"/>
            </w:tcBorders>
            <w:noWrap w:val="0"/>
            <w:vAlign w:val="center"/>
          </w:tcPr>
          <w:p w14:paraId="46C1A78B">
            <w:pPr>
              <w:spacing w:before="120" w:after="120" w:line="240" w:lineRule="exact"/>
              <w:ind w:left="-69" w:leftChars="-101" w:hanging="143"/>
              <w:jc w:val="center"/>
              <w:rPr>
                <w:rFonts w:ascii="宋体" w:hAnsi="宋体" w:cs="宋体"/>
                <w:bCs/>
                <w:szCs w:val="21"/>
                <w:highlight w:val="none"/>
              </w:rPr>
            </w:pPr>
          </w:p>
        </w:tc>
        <w:tc>
          <w:tcPr>
            <w:tcW w:w="668" w:type="pct"/>
            <w:vMerge w:val="continue"/>
            <w:tcBorders>
              <w:top w:val="single" w:color="auto" w:sz="4" w:space="0"/>
              <w:left w:val="single" w:color="auto" w:sz="4" w:space="0"/>
              <w:bottom w:val="single" w:color="auto" w:sz="4" w:space="0"/>
              <w:right w:val="single" w:color="auto" w:sz="4" w:space="0"/>
            </w:tcBorders>
            <w:noWrap w:val="0"/>
            <w:vAlign w:val="center"/>
          </w:tcPr>
          <w:p w14:paraId="489F019A">
            <w:pPr>
              <w:spacing w:before="120" w:after="120" w:line="240" w:lineRule="exact"/>
              <w:ind w:left="-191" w:leftChars="-91" w:firstLine="75"/>
              <w:rPr>
                <w:rFonts w:ascii="宋体" w:hAnsi="宋体" w:cs="宋体"/>
                <w:szCs w:val="21"/>
                <w:highlight w:val="none"/>
              </w:rPr>
            </w:pPr>
          </w:p>
        </w:tc>
        <w:tc>
          <w:tcPr>
            <w:tcW w:w="872" w:type="pct"/>
            <w:tcBorders>
              <w:top w:val="single" w:color="auto" w:sz="4" w:space="0"/>
              <w:left w:val="single" w:color="auto" w:sz="4" w:space="0"/>
              <w:bottom w:val="single" w:color="auto" w:sz="4" w:space="0"/>
              <w:right w:val="single" w:color="auto" w:sz="4" w:space="0"/>
            </w:tcBorders>
            <w:noWrap w:val="0"/>
            <w:vAlign w:val="center"/>
          </w:tcPr>
          <w:p w14:paraId="2A3056BB">
            <w:pPr>
              <w:spacing w:before="120" w:after="120" w:line="240" w:lineRule="exact"/>
              <w:ind w:left="-120" w:leftChars="-57"/>
              <w:jc w:val="center"/>
              <w:rPr>
                <w:rFonts w:ascii="宋体" w:hAnsi="宋体" w:cs="宋体"/>
                <w:bCs/>
                <w:szCs w:val="21"/>
                <w:highlight w:val="none"/>
              </w:rPr>
            </w:pPr>
            <w:r>
              <w:rPr>
                <w:rFonts w:hint="eastAsia" w:ascii="宋体" w:hAnsi="宋体" w:cs="宋体"/>
                <w:bCs/>
                <w:szCs w:val="21"/>
                <w:highlight w:val="none"/>
              </w:rPr>
              <w:t>财务分析</w:t>
            </w:r>
          </w:p>
        </w:tc>
        <w:tc>
          <w:tcPr>
            <w:tcW w:w="426" w:type="pct"/>
            <w:tcBorders>
              <w:top w:val="single" w:color="auto" w:sz="4" w:space="0"/>
              <w:left w:val="single" w:color="auto" w:sz="4" w:space="0"/>
              <w:bottom w:val="single" w:color="auto" w:sz="4" w:space="0"/>
              <w:right w:val="single" w:color="auto" w:sz="4" w:space="0"/>
            </w:tcBorders>
            <w:noWrap w:val="0"/>
            <w:vAlign w:val="center"/>
          </w:tcPr>
          <w:p w14:paraId="22A40DEC">
            <w:pPr>
              <w:spacing w:before="120" w:after="120" w:line="240" w:lineRule="exact"/>
              <w:ind w:left="-193" w:leftChars="-92"/>
              <w:jc w:val="center"/>
              <w:rPr>
                <w:rFonts w:ascii="宋体" w:hAnsi="宋体" w:cs="宋体"/>
                <w:bCs/>
                <w:szCs w:val="21"/>
                <w:highlight w:val="none"/>
              </w:rPr>
            </w:pPr>
            <w:r>
              <w:rPr>
                <w:rFonts w:hint="eastAsia" w:ascii="宋体" w:hAnsi="宋体" w:cs="宋体"/>
                <w:bCs/>
                <w:szCs w:val="21"/>
                <w:highlight w:val="none"/>
              </w:rPr>
              <w:t>10</w:t>
            </w:r>
          </w:p>
        </w:tc>
        <w:tc>
          <w:tcPr>
            <w:tcW w:w="1561" w:type="pct"/>
            <w:tcBorders>
              <w:top w:val="single" w:color="auto" w:sz="4" w:space="0"/>
              <w:left w:val="single" w:color="auto" w:sz="4" w:space="0"/>
              <w:bottom w:val="single" w:color="auto" w:sz="4" w:space="0"/>
              <w:right w:val="single" w:color="auto" w:sz="4" w:space="0"/>
            </w:tcBorders>
            <w:noWrap w:val="0"/>
            <w:vAlign w:val="center"/>
          </w:tcPr>
          <w:p w14:paraId="5B09B370">
            <w:pPr>
              <w:spacing w:before="120" w:after="120" w:line="240" w:lineRule="exact"/>
              <w:ind w:left="-46" w:leftChars="-22"/>
              <w:rPr>
                <w:rFonts w:ascii="宋体" w:hAnsi="宋体" w:cs="宋体"/>
                <w:bCs/>
                <w:szCs w:val="21"/>
                <w:highlight w:val="none"/>
              </w:rPr>
            </w:pPr>
            <w:r>
              <w:rPr>
                <w:rFonts w:hint="eastAsia" w:ascii="宋体" w:hAnsi="宋体" w:cs="宋体"/>
                <w:bCs/>
                <w:szCs w:val="21"/>
                <w:highlight w:val="none"/>
              </w:rPr>
              <w:t>根据财务分析的合理性和完整性进行打分。</w:t>
            </w:r>
          </w:p>
        </w:tc>
        <w:tc>
          <w:tcPr>
            <w:tcW w:w="1141" w:type="pct"/>
            <w:tcBorders>
              <w:top w:val="single" w:color="auto" w:sz="4" w:space="0"/>
              <w:left w:val="single" w:color="auto" w:sz="4" w:space="0"/>
              <w:bottom w:val="single" w:color="auto" w:sz="4" w:space="0"/>
              <w:right w:val="single" w:color="auto" w:sz="4" w:space="0"/>
            </w:tcBorders>
            <w:noWrap w:val="0"/>
            <w:vAlign w:val="center"/>
          </w:tcPr>
          <w:p w14:paraId="74BCF052">
            <w:pPr>
              <w:spacing w:before="120" w:after="120" w:line="240" w:lineRule="exact"/>
              <w:ind w:left="271" w:leftChars="129"/>
              <w:jc w:val="left"/>
              <w:rPr>
                <w:rFonts w:ascii="宋体" w:hAnsi="宋体" w:cs="宋体"/>
                <w:bCs/>
                <w:szCs w:val="21"/>
                <w:highlight w:val="none"/>
              </w:rPr>
            </w:pPr>
            <w:r>
              <w:rPr>
                <w:rFonts w:hint="eastAsia" w:ascii="宋体" w:hAnsi="宋体" w:cs="宋体"/>
                <w:bCs/>
                <w:szCs w:val="21"/>
                <w:highlight w:val="none"/>
              </w:rPr>
              <w:t>优：10 分</w:t>
            </w:r>
          </w:p>
          <w:p w14:paraId="07C1AAA7">
            <w:pPr>
              <w:spacing w:before="120" w:after="120" w:line="240" w:lineRule="exact"/>
              <w:ind w:left="271" w:leftChars="129"/>
              <w:jc w:val="left"/>
              <w:rPr>
                <w:rFonts w:ascii="宋体" w:hAnsi="宋体" w:cs="宋体"/>
                <w:bCs/>
                <w:szCs w:val="21"/>
                <w:highlight w:val="none"/>
              </w:rPr>
            </w:pPr>
            <w:r>
              <w:rPr>
                <w:rFonts w:hint="eastAsia" w:ascii="宋体" w:hAnsi="宋体" w:cs="宋体"/>
                <w:bCs/>
                <w:szCs w:val="21"/>
                <w:highlight w:val="none"/>
              </w:rPr>
              <w:t>中：6 分</w:t>
            </w:r>
          </w:p>
          <w:p w14:paraId="7D935F1E">
            <w:pPr>
              <w:spacing w:before="120" w:after="120" w:line="240" w:lineRule="exact"/>
              <w:ind w:left="271" w:leftChars="129"/>
              <w:jc w:val="left"/>
              <w:rPr>
                <w:rFonts w:ascii="宋体" w:hAnsi="宋体" w:cs="宋体"/>
                <w:bCs/>
                <w:szCs w:val="21"/>
                <w:highlight w:val="none"/>
              </w:rPr>
            </w:pPr>
            <w:r>
              <w:rPr>
                <w:rFonts w:hint="eastAsia" w:ascii="宋体" w:hAnsi="宋体" w:cs="宋体"/>
                <w:bCs/>
                <w:szCs w:val="21"/>
                <w:highlight w:val="none"/>
              </w:rPr>
              <w:t>差：3 分</w:t>
            </w:r>
          </w:p>
        </w:tc>
      </w:tr>
      <w:tr w14:paraId="26E0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30" w:type="pct"/>
            <w:vMerge w:val="continue"/>
            <w:tcBorders>
              <w:top w:val="single" w:color="auto" w:sz="4" w:space="0"/>
              <w:left w:val="single" w:color="auto" w:sz="4" w:space="0"/>
              <w:bottom w:val="single" w:color="auto" w:sz="4" w:space="0"/>
              <w:right w:val="single" w:color="auto" w:sz="4" w:space="0"/>
            </w:tcBorders>
            <w:noWrap w:val="0"/>
            <w:vAlign w:val="center"/>
          </w:tcPr>
          <w:p w14:paraId="55805B0D">
            <w:pPr>
              <w:spacing w:before="120" w:after="120" w:line="240" w:lineRule="exact"/>
              <w:ind w:left="-69" w:leftChars="-101" w:hanging="143"/>
              <w:jc w:val="center"/>
              <w:rPr>
                <w:rFonts w:ascii="宋体" w:hAnsi="宋体" w:cs="宋体"/>
                <w:bCs/>
                <w:szCs w:val="21"/>
                <w:highlight w:val="none"/>
              </w:rPr>
            </w:pPr>
          </w:p>
        </w:tc>
        <w:tc>
          <w:tcPr>
            <w:tcW w:w="668" w:type="pct"/>
            <w:vMerge w:val="continue"/>
            <w:tcBorders>
              <w:top w:val="single" w:color="auto" w:sz="4" w:space="0"/>
              <w:left w:val="single" w:color="auto" w:sz="4" w:space="0"/>
              <w:bottom w:val="single" w:color="auto" w:sz="4" w:space="0"/>
              <w:right w:val="single" w:color="auto" w:sz="4" w:space="0"/>
            </w:tcBorders>
            <w:noWrap w:val="0"/>
            <w:vAlign w:val="center"/>
          </w:tcPr>
          <w:p w14:paraId="0963F5C0">
            <w:pPr>
              <w:spacing w:before="120" w:after="120" w:line="240" w:lineRule="exact"/>
              <w:ind w:left="-191" w:leftChars="-91" w:firstLine="75"/>
              <w:rPr>
                <w:rFonts w:ascii="宋体" w:hAnsi="宋体" w:cs="宋体"/>
                <w:szCs w:val="21"/>
                <w:highlight w:val="none"/>
              </w:rPr>
            </w:pPr>
          </w:p>
        </w:tc>
        <w:tc>
          <w:tcPr>
            <w:tcW w:w="872" w:type="pct"/>
            <w:tcBorders>
              <w:top w:val="single" w:color="auto" w:sz="4" w:space="0"/>
              <w:left w:val="single" w:color="auto" w:sz="4" w:space="0"/>
              <w:bottom w:val="single" w:color="auto" w:sz="4" w:space="0"/>
              <w:right w:val="single" w:color="auto" w:sz="4" w:space="0"/>
            </w:tcBorders>
            <w:noWrap w:val="0"/>
            <w:vAlign w:val="center"/>
          </w:tcPr>
          <w:p w14:paraId="1A93CA09">
            <w:pPr>
              <w:spacing w:before="120" w:after="120" w:line="240" w:lineRule="exact"/>
              <w:ind w:left="-120" w:leftChars="-57"/>
              <w:jc w:val="center"/>
              <w:rPr>
                <w:rFonts w:ascii="宋体" w:hAnsi="宋体" w:cs="宋体"/>
                <w:bCs/>
                <w:szCs w:val="21"/>
                <w:highlight w:val="none"/>
              </w:rPr>
            </w:pPr>
            <w:r>
              <w:rPr>
                <w:rFonts w:hint="eastAsia" w:ascii="宋体" w:hAnsi="宋体" w:cs="宋体"/>
                <w:bCs/>
                <w:szCs w:val="21"/>
                <w:highlight w:val="none"/>
              </w:rPr>
              <w:t>保险方案</w:t>
            </w:r>
          </w:p>
        </w:tc>
        <w:tc>
          <w:tcPr>
            <w:tcW w:w="426" w:type="pct"/>
            <w:tcBorders>
              <w:top w:val="single" w:color="auto" w:sz="4" w:space="0"/>
              <w:left w:val="single" w:color="auto" w:sz="4" w:space="0"/>
              <w:bottom w:val="single" w:color="auto" w:sz="4" w:space="0"/>
              <w:right w:val="single" w:color="auto" w:sz="4" w:space="0"/>
            </w:tcBorders>
            <w:noWrap w:val="0"/>
            <w:vAlign w:val="center"/>
          </w:tcPr>
          <w:p w14:paraId="4FEBD23F">
            <w:pPr>
              <w:spacing w:before="120" w:after="120" w:line="240" w:lineRule="exact"/>
              <w:ind w:left="-193" w:leftChars="-92"/>
              <w:jc w:val="center"/>
              <w:rPr>
                <w:rFonts w:ascii="宋体" w:hAnsi="宋体" w:cs="宋体"/>
                <w:bCs/>
                <w:szCs w:val="21"/>
                <w:highlight w:val="none"/>
              </w:rPr>
            </w:pPr>
            <w:r>
              <w:rPr>
                <w:rFonts w:hint="eastAsia" w:ascii="宋体" w:hAnsi="宋体" w:cs="宋体"/>
                <w:bCs/>
                <w:szCs w:val="21"/>
                <w:highlight w:val="none"/>
              </w:rPr>
              <w:t>10</w:t>
            </w:r>
          </w:p>
        </w:tc>
        <w:tc>
          <w:tcPr>
            <w:tcW w:w="1561" w:type="pct"/>
            <w:tcBorders>
              <w:top w:val="single" w:color="auto" w:sz="4" w:space="0"/>
              <w:left w:val="single" w:color="auto" w:sz="4" w:space="0"/>
              <w:bottom w:val="single" w:color="auto" w:sz="4" w:space="0"/>
              <w:right w:val="single" w:color="auto" w:sz="4" w:space="0"/>
            </w:tcBorders>
            <w:noWrap w:val="0"/>
            <w:vAlign w:val="center"/>
          </w:tcPr>
          <w:p w14:paraId="15283EFC">
            <w:pPr>
              <w:spacing w:before="120" w:after="120" w:line="240" w:lineRule="exact"/>
              <w:ind w:left="-46" w:leftChars="-22"/>
              <w:rPr>
                <w:rFonts w:ascii="宋体" w:hAnsi="宋体" w:cs="宋体"/>
                <w:bCs/>
                <w:szCs w:val="21"/>
                <w:highlight w:val="none"/>
              </w:rPr>
            </w:pPr>
            <w:r>
              <w:rPr>
                <w:rFonts w:hint="eastAsia" w:ascii="宋体" w:hAnsi="宋体" w:cs="宋体"/>
                <w:bCs/>
                <w:szCs w:val="21"/>
                <w:highlight w:val="none"/>
              </w:rPr>
              <w:t>对项目的主要风险分析是否恰当、是否考虑了经营期内主要的保险险种（如财产综合险、第三者责任险、营业中断险等）、拟投保的保险费率和金额是否合理</w:t>
            </w:r>
          </w:p>
        </w:tc>
        <w:tc>
          <w:tcPr>
            <w:tcW w:w="1141" w:type="pct"/>
            <w:tcBorders>
              <w:top w:val="single" w:color="auto" w:sz="4" w:space="0"/>
              <w:left w:val="single" w:color="auto" w:sz="4" w:space="0"/>
              <w:bottom w:val="single" w:color="auto" w:sz="4" w:space="0"/>
              <w:right w:val="single" w:color="auto" w:sz="4" w:space="0"/>
            </w:tcBorders>
            <w:noWrap w:val="0"/>
            <w:vAlign w:val="center"/>
          </w:tcPr>
          <w:p w14:paraId="1D999225">
            <w:pPr>
              <w:spacing w:before="120" w:after="120" w:line="240" w:lineRule="exact"/>
              <w:ind w:left="271" w:leftChars="129"/>
              <w:jc w:val="left"/>
              <w:rPr>
                <w:rFonts w:ascii="宋体" w:hAnsi="宋体" w:cs="宋体"/>
                <w:bCs/>
                <w:szCs w:val="21"/>
                <w:highlight w:val="none"/>
              </w:rPr>
            </w:pPr>
            <w:r>
              <w:rPr>
                <w:rFonts w:hint="eastAsia" w:ascii="宋体" w:hAnsi="宋体" w:cs="宋体"/>
                <w:bCs/>
                <w:szCs w:val="21"/>
                <w:highlight w:val="none"/>
              </w:rPr>
              <w:t>优：10分</w:t>
            </w:r>
          </w:p>
          <w:p w14:paraId="68325CE4">
            <w:pPr>
              <w:spacing w:before="120" w:after="120" w:line="240" w:lineRule="exact"/>
              <w:ind w:left="271" w:leftChars="129"/>
              <w:jc w:val="left"/>
              <w:rPr>
                <w:rFonts w:ascii="宋体" w:hAnsi="宋体" w:cs="宋体"/>
                <w:bCs/>
                <w:szCs w:val="21"/>
                <w:highlight w:val="none"/>
              </w:rPr>
            </w:pPr>
            <w:r>
              <w:rPr>
                <w:rFonts w:hint="eastAsia" w:ascii="宋体" w:hAnsi="宋体" w:cs="宋体"/>
                <w:bCs/>
                <w:szCs w:val="21"/>
                <w:highlight w:val="none"/>
              </w:rPr>
              <w:t>中：6 分</w:t>
            </w:r>
          </w:p>
          <w:p w14:paraId="308855E4">
            <w:pPr>
              <w:spacing w:before="120" w:after="120" w:line="240" w:lineRule="exact"/>
              <w:ind w:left="271" w:leftChars="129"/>
              <w:jc w:val="left"/>
              <w:rPr>
                <w:rFonts w:ascii="宋体" w:hAnsi="宋体" w:cs="宋体"/>
                <w:bCs/>
                <w:szCs w:val="21"/>
                <w:highlight w:val="none"/>
              </w:rPr>
            </w:pPr>
            <w:r>
              <w:rPr>
                <w:rFonts w:hint="eastAsia" w:ascii="宋体" w:hAnsi="宋体" w:cs="宋体"/>
                <w:bCs/>
                <w:szCs w:val="21"/>
                <w:highlight w:val="none"/>
              </w:rPr>
              <w:t>差：3分</w:t>
            </w:r>
          </w:p>
        </w:tc>
      </w:tr>
      <w:tr w14:paraId="06A5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30" w:type="pct"/>
            <w:vMerge w:val="restart"/>
            <w:tcBorders>
              <w:top w:val="single" w:color="auto" w:sz="4" w:space="0"/>
              <w:left w:val="single" w:color="auto" w:sz="4" w:space="0"/>
              <w:right w:val="single" w:color="auto" w:sz="4" w:space="0"/>
            </w:tcBorders>
            <w:noWrap w:val="0"/>
            <w:vAlign w:val="center"/>
          </w:tcPr>
          <w:p w14:paraId="4F9D3078">
            <w:pPr>
              <w:spacing w:line="240" w:lineRule="exact"/>
              <w:ind w:left="-69" w:leftChars="-101" w:hanging="143"/>
              <w:jc w:val="center"/>
              <w:rPr>
                <w:rFonts w:ascii="宋体" w:hAnsi="宋体" w:cs="宋体"/>
                <w:bCs/>
                <w:szCs w:val="21"/>
                <w:highlight w:val="none"/>
              </w:rPr>
            </w:pPr>
            <w:r>
              <w:rPr>
                <w:rFonts w:hint="eastAsia" w:ascii="宋体" w:hAnsi="宋体" w:cs="宋体"/>
                <w:bCs/>
                <w:szCs w:val="21"/>
                <w:highlight w:val="none"/>
              </w:rPr>
              <w:t>二</w:t>
            </w:r>
          </w:p>
        </w:tc>
        <w:tc>
          <w:tcPr>
            <w:tcW w:w="668" w:type="pct"/>
            <w:vMerge w:val="restart"/>
            <w:tcBorders>
              <w:top w:val="single" w:color="auto" w:sz="4" w:space="0"/>
              <w:left w:val="single" w:color="auto" w:sz="4" w:space="0"/>
              <w:right w:val="single" w:color="auto" w:sz="4" w:space="0"/>
            </w:tcBorders>
            <w:noWrap w:val="0"/>
            <w:vAlign w:val="center"/>
          </w:tcPr>
          <w:p w14:paraId="7FFE911C">
            <w:pPr>
              <w:spacing w:line="240" w:lineRule="exact"/>
              <w:ind w:left="-191" w:leftChars="-91" w:firstLine="75"/>
              <w:jc w:val="center"/>
              <w:rPr>
                <w:rFonts w:ascii="宋体" w:hAnsi="宋体" w:cs="宋体"/>
                <w:bCs/>
                <w:szCs w:val="21"/>
                <w:highlight w:val="none"/>
              </w:rPr>
            </w:pPr>
            <w:r>
              <w:rPr>
                <w:rFonts w:hint="eastAsia" w:ascii="宋体" w:hAnsi="宋体" w:cs="宋体"/>
                <w:bCs/>
                <w:szCs w:val="21"/>
                <w:highlight w:val="none"/>
              </w:rPr>
              <w:t>运营管理方案</w:t>
            </w:r>
          </w:p>
          <w:p w14:paraId="2DA546CE">
            <w:pPr>
              <w:spacing w:line="240" w:lineRule="exact"/>
              <w:ind w:left="-191" w:leftChars="-91" w:firstLine="75"/>
              <w:jc w:val="center"/>
              <w:rPr>
                <w:rFonts w:ascii="宋体" w:hAnsi="宋体" w:cs="宋体"/>
                <w:bCs/>
                <w:szCs w:val="21"/>
                <w:highlight w:val="none"/>
              </w:rPr>
            </w:pPr>
            <w:r>
              <w:rPr>
                <w:rFonts w:hint="eastAsia" w:ascii="宋体" w:hAnsi="宋体" w:cs="宋体"/>
                <w:bCs/>
                <w:szCs w:val="21"/>
                <w:highlight w:val="none"/>
              </w:rPr>
              <w:t>（</w:t>
            </w:r>
            <w:r>
              <w:rPr>
                <w:rFonts w:hint="eastAsia" w:ascii="宋体" w:hAnsi="宋体" w:cs="宋体"/>
                <w:bCs/>
                <w:szCs w:val="21"/>
                <w:highlight w:val="none"/>
                <w:lang w:val="en-US" w:eastAsia="zh-CN"/>
              </w:rPr>
              <w:t>1</w:t>
            </w:r>
            <w:r>
              <w:rPr>
                <w:rFonts w:hint="eastAsia" w:ascii="宋体" w:hAnsi="宋体" w:cs="宋体"/>
                <w:bCs/>
                <w:szCs w:val="21"/>
                <w:highlight w:val="none"/>
              </w:rPr>
              <w:t>0分）</w:t>
            </w:r>
          </w:p>
        </w:tc>
        <w:tc>
          <w:tcPr>
            <w:tcW w:w="872" w:type="pct"/>
            <w:tcBorders>
              <w:top w:val="single" w:color="auto" w:sz="4" w:space="0"/>
              <w:left w:val="single" w:color="auto" w:sz="4" w:space="0"/>
              <w:bottom w:val="single" w:color="auto" w:sz="4" w:space="0"/>
              <w:right w:val="single" w:color="auto" w:sz="4" w:space="0"/>
            </w:tcBorders>
            <w:noWrap w:val="0"/>
            <w:vAlign w:val="center"/>
          </w:tcPr>
          <w:p w14:paraId="6DAE27BF">
            <w:pPr>
              <w:spacing w:line="240" w:lineRule="exact"/>
              <w:ind w:left="-27" w:leftChars="-59" w:hanging="97"/>
              <w:jc w:val="center"/>
              <w:rPr>
                <w:rFonts w:ascii="宋体" w:hAnsi="宋体" w:cs="宋体"/>
                <w:bCs/>
                <w:szCs w:val="21"/>
                <w:highlight w:val="none"/>
              </w:rPr>
            </w:pPr>
            <w:r>
              <w:rPr>
                <w:rFonts w:hint="eastAsia" w:ascii="宋体" w:hAnsi="宋体" w:cs="宋体"/>
                <w:bCs/>
                <w:szCs w:val="21"/>
                <w:highlight w:val="none"/>
              </w:rPr>
              <w:t>运营管理制度</w:t>
            </w:r>
          </w:p>
        </w:tc>
        <w:tc>
          <w:tcPr>
            <w:tcW w:w="426" w:type="pct"/>
            <w:tcBorders>
              <w:top w:val="single" w:color="auto" w:sz="4" w:space="0"/>
              <w:left w:val="single" w:color="auto" w:sz="4" w:space="0"/>
              <w:bottom w:val="single" w:color="auto" w:sz="4" w:space="0"/>
              <w:right w:val="single" w:color="auto" w:sz="4" w:space="0"/>
            </w:tcBorders>
            <w:noWrap w:val="0"/>
            <w:vAlign w:val="center"/>
          </w:tcPr>
          <w:p w14:paraId="7686DF6C">
            <w:pPr>
              <w:spacing w:line="240" w:lineRule="exact"/>
              <w:ind w:left="-193" w:leftChars="-92"/>
              <w:jc w:val="center"/>
              <w:rPr>
                <w:rFonts w:ascii="宋体" w:hAnsi="宋体" w:cs="宋体"/>
                <w:bCs/>
                <w:szCs w:val="21"/>
                <w:highlight w:val="none"/>
              </w:rPr>
            </w:pPr>
            <w:r>
              <w:rPr>
                <w:rFonts w:hint="eastAsia" w:ascii="宋体" w:hAnsi="宋体" w:cs="宋体"/>
                <w:bCs/>
                <w:szCs w:val="21"/>
                <w:highlight w:val="none"/>
              </w:rPr>
              <w:t>5</w:t>
            </w:r>
          </w:p>
        </w:tc>
        <w:tc>
          <w:tcPr>
            <w:tcW w:w="1561" w:type="pct"/>
            <w:tcBorders>
              <w:top w:val="single" w:color="auto" w:sz="4" w:space="0"/>
              <w:left w:val="single" w:color="auto" w:sz="4" w:space="0"/>
              <w:bottom w:val="single" w:color="auto" w:sz="4" w:space="0"/>
              <w:right w:val="single" w:color="auto" w:sz="4" w:space="0"/>
            </w:tcBorders>
            <w:noWrap w:val="0"/>
            <w:vAlign w:val="center"/>
          </w:tcPr>
          <w:p w14:paraId="3DE2EA3F">
            <w:pPr>
              <w:spacing w:line="240" w:lineRule="exact"/>
              <w:ind w:left="-46" w:leftChars="-22"/>
              <w:rPr>
                <w:rFonts w:hint="eastAsia" w:ascii="宋体" w:hAnsi="宋体" w:cs="宋体"/>
                <w:bCs/>
                <w:szCs w:val="21"/>
                <w:highlight w:val="none"/>
              </w:rPr>
            </w:pPr>
            <w:r>
              <w:rPr>
                <w:rFonts w:hint="eastAsia" w:ascii="宋体" w:hAnsi="宋体" w:cs="宋体"/>
                <w:bCs/>
                <w:szCs w:val="21"/>
                <w:highlight w:val="none"/>
              </w:rPr>
              <w:t>是否符合项目实际情况，制度全面、科学、可行，日常运行监督和报告制度规范。</w:t>
            </w:r>
          </w:p>
        </w:tc>
        <w:tc>
          <w:tcPr>
            <w:tcW w:w="1141" w:type="pct"/>
            <w:tcBorders>
              <w:top w:val="single" w:color="auto" w:sz="4" w:space="0"/>
              <w:left w:val="single" w:color="auto" w:sz="4" w:space="0"/>
              <w:bottom w:val="single" w:color="auto" w:sz="4" w:space="0"/>
              <w:right w:val="single" w:color="auto" w:sz="4" w:space="0"/>
            </w:tcBorders>
            <w:noWrap w:val="0"/>
            <w:vAlign w:val="center"/>
          </w:tcPr>
          <w:p w14:paraId="3A99D06F">
            <w:pPr>
              <w:spacing w:line="240" w:lineRule="exact"/>
              <w:ind w:left="271" w:leftChars="129"/>
              <w:jc w:val="left"/>
              <w:rPr>
                <w:rFonts w:ascii="宋体" w:hAnsi="宋体" w:cs="宋体"/>
                <w:szCs w:val="21"/>
                <w:highlight w:val="none"/>
              </w:rPr>
            </w:pPr>
            <w:r>
              <w:rPr>
                <w:rFonts w:hint="eastAsia" w:ascii="宋体" w:hAnsi="宋体" w:cs="宋体"/>
                <w:szCs w:val="21"/>
                <w:highlight w:val="none"/>
              </w:rPr>
              <w:t>优：5分</w:t>
            </w:r>
          </w:p>
          <w:p w14:paraId="1EBF2B76">
            <w:pPr>
              <w:spacing w:line="240" w:lineRule="exact"/>
              <w:ind w:left="271" w:leftChars="129"/>
              <w:jc w:val="left"/>
              <w:rPr>
                <w:rFonts w:ascii="宋体" w:hAnsi="宋体" w:cs="宋体"/>
                <w:szCs w:val="21"/>
                <w:highlight w:val="none"/>
              </w:rPr>
            </w:pPr>
            <w:r>
              <w:rPr>
                <w:rFonts w:hint="eastAsia" w:ascii="宋体" w:hAnsi="宋体" w:cs="宋体"/>
                <w:szCs w:val="21"/>
                <w:highlight w:val="none"/>
              </w:rPr>
              <w:t>中：</w:t>
            </w:r>
            <w:r>
              <w:rPr>
                <w:rFonts w:hint="eastAsia" w:ascii="宋体" w:hAnsi="宋体" w:cs="宋体"/>
                <w:szCs w:val="21"/>
                <w:highlight w:val="none"/>
                <w:lang w:val="en-US" w:eastAsia="zh-CN"/>
              </w:rPr>
              <w:t>3</w:t>
            </w:r>
            <w:r>
              <w:rPr>
                <w:rFonts w:hint="eastAsia" w:ascii="宋体" w:hAnsi="宋体" w:cs="宋体"/>
                <w:szCs w:val="21"/>
                <w:highlight w:val="none"/>
              </w:rPr>
              <w:t>分</w:t>
            </w:r>
          </w:p>
          <w:p w14:paraId="24224333">
            <w:pPr>
              <w:spacing w:line="240" w:lineRule="exact"/>
              <w:ind w:left="271" w:leftChars="129"/>
              <w:jc w:val="left"/>
              <w:rPr>
                <w:rFonts w:ascii="宋体" w:hAnsi="宋体" w:cs="宋体"/>
                <w:bCs/>
                <w:szCs w:val="21"/>
                <w:highlight w:val="none"/>
              </w:rPr>
            </w:pPr>
            <w:r>
              <w:rPr>
                <w:rFonts w:hint="eastAsia" w:ascii="宋体" w:hAnsi="宋体" w:cs="宋体"/>
                <w:szCs w:val="21"/>
                <w:highlight w:val="none"/>
              </w:rPr>
              <w:t>差：</w:t>
            </w:r>
            <w:r>
              <w:rPr>
                <w:rFonts w:hint="eastAsia" w:ascii="宋体" w:hAnsi="宋体" w:cs="宋体"/>
                <w:szCs w:val="21"/>
                <w:highlight w:val="none"/>
                <w:lang w:val="en-US" w:eastAsia="zh-CN"/>
              </w:rPr>
              <w:t>1</w:t>
            </w:r>
            <w:r>
              <w:rPr>
                <w:rFonts w:hint="eastAsia" w:ascii="宋体" w:hAnsi="宋体" w:cs="宋体"/>
                <w:szCs w:val="21"/>
                <w:highlight w:val="none"/>
              </w:rPr>
              <w:t>分</w:t>
            </w:r>
          </w:p>
        </w:tc>
      </w:tr>
      <w:tr w14:paraId="7A31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30" w:type="pct"/>
            <w:vMerge w:val="continue"/>
            <w:tcBorders>
              <w:left w:val="single" w:color="auto" w:sz="4" w:space="0"/>
              <w:right w:val="single" w:color="auto" w:sz="4" w:space="0"/>
            </w:tcBorders>
            <w:noWrap w:val="0"/>
            <w:vAlign w:val="center"/>
          </w:tcPr>
          <w:p w14:paraId="46D9550B">
            <w:pPr>
              <w:spacing w:line="240" w:lineRule="exact"/>
              <w:ind w:left="-69" w:leftChars="-101" w:hanging="143"/>
              <w:jc w:val="center"/>
              <w:rPr>
                <w:rFonts w:ascii="宋体" w:hAnsi="宋体" w:cs="宋体"/>
                <w:bCs/>
                <w:szCs w:val="21"/>
                <w:highlight w:val="none"/>
              </w:rPr>
            </w:pPr>
          </w:p>
        </w:tc>
        <w:tc>
          <w:tcPr>
            <w:tcW w:w="668" w:type="pct"/>
            <w:vMerge w:val="continue"/>
            <w:tcBorders>
              <w:left w:val="single" w:color="auto" w:sz="4" w:space="0"/>
              <w:right w:val="single" w:color="auto" w:sz="4" w:space="0"/>
            </w:tcBorders>
            <w:noWrap w:val="0"/>
            <w:vAlign w:val="center"/>
          </w:tcPr>
          <w:p w14:paraId="28E9A53F">
            <w:pPr>
              <w:spacing w:line="240" w:lineRule="exact"/>
              <w:jc w:val="center"/>
              <w:rPr>
                <w:rFonts w:ascii="宋体" w:hAnsi="宋体" w:cs="宋体"/>
                <w:bCs/>
                <w:szCs w:val="21"/>
                <w:highlight w:val="none"/>
              </w:rPr>
            </w:pPr>
          </w:p>
        </w:tc>
        <w:tc>
          <w:tcPr>
            <w:tcW w:w="872" w:type="pct"/>
            <w:tcBorders>
              <w:top w:val="single" w:color="auto" w:sz="4" w:space="0"/>
              <w:left w:val="single" w:color="auto" w:sz="4" w:space="0"/>
              <w:bottom w:val="single" w:color="auto" w:sz="4" w:space="0"/>
              <w:right w:val="single" w:color="auto" w:sz="4" w:space="0"/>
            </w:tcBorders>
            <w:noWrap w:val="0"/>
            <w:vAlign w:val="center"/>
          </w:tcPr>
          <w:p w14:paraId="72BD1C2F">
            <w:pPr>
              <w:spacing w:line="240" w:lineRule="exact"/>
              <w:ind w:left="-27" w:leftChars="-59" w:hanging="97"/>
              <w:jc w:val="center"/>
              <w:rPr>
                <w:rFonts w:ascii="宋体" w:hAnsi="宋体" w:cs="宋体"/>
                <w:bCs/>
                <w:szCs w:val="21"/>
                <w:highlight w:val="none"/>
              </w:rPr>
            </w:pPr>
            <w:r>
              <w:rPr>
                <w:rFonts w:hint="eastAsia" w:ascii="宋体" w:hAnsi="宋体" w:cs="宋体"/>
                <w:bCs/>
                <w:szCs w:val="21"/>
                <w:highlight w:val="none"/>
              </w:rPr>
              <w:t>运营收入方案</w:t>
            </w:r>
          </w:p>
        </w:tc>
        <w:tc>
          <w:tcPr>
            <w:tcW w:w="426" w:type="pct"/>
            <w:tcBorders>
              <w:top w:val="single" w:color="auto" w:sz="4" w:space="0"/>
              <w:left w:val="single" w:color="auto" w:sz="4" w:space="0"/>
              <w:bottom w:val="single" w:color="auto" w:sz="4" w:space="0"/>
              <w:right w:val="single" w:color="auto" w:sz="4" w:space="0"/>
            </w:tcBorders>
            <w:noWrap w:val="0"/>
            <w:vAlign w:val="center"/>
          </w:tcPr>
          <w:p w14:paraId="4BEB5609">
            <w:pPr>
              <w:spacing w:line="240" w:lineRule="exact"/>
              <w:ind w:left="-193" w:leftChars="-92"/>
              <w:jc w:val="center"/>
              <w:rPr>
                <w:rFonts w:ascii="宋体" w:hAnsi="宋体" w:cs="宋体"/>
                <w:bCs/>
                <w:szCs w:val="21"/>
                <w:highlight w:val="none"/>
              </w:rPr>
            </w:pPr>
            <w:r>
              <w:rPr>
                <w:rFonts w:hint="eastAsia" w:ascii="宋体" w:hAnsi="宋体" w:cs="宋体"/>
                <w:bCs/>
                <w:szCs w:val="21"/>
                <w:highlight w:val="none"/>
              </w:rPr>
              <w:t>5</w:t>
            </w:r>
          </w:p>
        </w:tc>
        <w:tc>
          <w:tcPr>
            <w:tcW w:w="1561" w:type="pct"/>
            <w:tcBorders>
              <w:top w:val="single" w:color="auto" w:sz="4" w:space="0"/>
              <w:left w:val="single" w:color="auto" w:sz="4" w:space="0"/>
              <w:bottom w:val="single" w:color="auto" w:sz="4" w:space="0"/>
              <w:right w:val="single" w:color="auto" w:sz="4" w:space="0"/>
            </w:tcBorders>
            <w:noWrap w:val="0"/>
            <w:vAlign w:val="center"/>
          </w:tcPr>
          <w:p w14:paraId="7556201D">
            <w:pPr>
              <w:spacing w:line="240" w:lineRule="exact"/>
              <w:ind w:left="-46" w:leftChars="-22"/>
              <w:rPr>
                <w:rFonts w:hint="eastAsia" w:ascii="宋体" w:hAnsi="宋体" w:cs="宋体"/>
                <w:bCs/>
                <w:szCs w:val="21"/>
                <w:highlight w:val="none"/>
              </w:rPr>
            </w:pPr>
            <w:r>
              <w:rPr>
                <w:rFonts w:hint="eastAsia" w:ascii="宋体" w:hAnsi="宋体" w:cs="宋体"/>
                <w:bCs/>
                <w:szCs w:val="21"/>
                <w:highlight w:val="none"/>
              </w:rPr>
              <w:t>是否符合项目实际情况，制度全面、科学、可行，日常运行监督和报告制度规范。</w:t>
            </w:r>
          </w:p>
        </w:tc>
        <w:tc>
          <w:tcPr>
            <w:tcW w:w="1141" w:type="pct"/>
            <w:tcBorders>
              <w:top w:val="single" w:color="auto" w:sz="4" w:space="0"/>
              <w:left w:val="single" w:color="auto" w:sz="4" w:space="0"/>
              <w:bottom w:val="single" w:color="auto" w:sz="4" w:space="0"/>
              <w:right w:val="single" w:color="auto" w:sz="4" w:space="0"/>
            </w:tcBorders>
            <w:noWrap w:val="0"/>
            <w:vAlign w:val="center"/>
          </w:tcPr>
          <w:p w14:paraId="44A40C41">
            <w:pPr>
              <w:spacing w:line="240" w:lineRule="exact"/>
              <w:ind w:left="271" w:leftChars="129"/>
              <w:jc w:val="left"/>
              <w:rPr>
                <w:rFonts w:ascii="宋体" w:hAnsi="宋体" w:cs="宋体"/>
                <w:szCs w:val="21"/>
                <w:highlight w:val="none"/>
              </w:rPr>
            </w:pPr>
            <w:r>
              <w:rPr>
                <w:rFonts w:hint="eastAsia" w:ascii="宋体" w:hAnsi="宋体" w:cs="宋体"/>
                <w:szCs w:val="21"/>
                <w:highlight w:val="none"/>
              </w:rPr>
              <w:t>优：5分</w:t>
            </w:r>
          </w:p>
          <w:p w14:paraId="781D8221">
            <w:pPr>
              <w:spacing w:line="240" w:lineRule="exact"/>
              <w:ind w:left="271" w:leftChars="129"/>
              <w:jc w:val="left"/>
              <w:rPr>
                <w:rFonts w:ascii="宋体" w:hAnsi="宋体" w:cs="宋体"/>
                <w:szCs w:val="21"/>
                <w:highlight w:val="none"/>
              </w:rPr>
            </w:pPr>
            <w:r>
              <w:rPr>
                <w:rFonts w:hint="eastAsia" w:ascii="宋体" w:hAnsi="宋体" w:cs="宋体"/>
                <w:szCs w:val="21"/>
                <w:highlight w:val="none"/>
              </w:rPr>
              <w:t>中：</w:t>
            </w:r>
            <w:r>
              <w:rPr>
                <w:rFonts w:hint="eastAsia" w:ascii="宋体" w:hAnsi="宋体" w:cs="宋体"/>
                <w:szCs w:val="21"/>
                <w:highlight w:val="none"/>
                <w:lang w:val="en-US" w:eastAsia="zh-CN"/>
              </w:rPr>
              <w:t>3</w:t>
            </w:r>
            <w:r>
              <w:rPr>
                <w:rFonts w:hint="eastAsia" w:ascii="宋体" w:hAnsi="宋体" w:cs="宋体"/>
                <w:szCs w:val="21"/>
                <w:highlight w:val="none"/>
              </w:rPr>
              <w:t>分</w:t>
            </w:r>
          </w:p>
          <w:p w14:paraId="4CA7E7D1">
            <w:pPr>
              <w:spacing w:line="240" w:lineRule="exact"/>
              <w:ind w:left="271" w:leftChars="129"/>
              <w:jc w:val="left"/>
              <w:rPr>
                <w:rFonts w:ascii="宋体" w:hAnsi="宋体" w:cs="宋体"/>
                <w:szCs w:val="21"/>
                <w:highlight w:val="none"/>
              </w:rPr>
            </w:pPr>
            <w:r>
              <w:rPr>
                <w:rFonts w:hint="eastAsia" w:ascii="宋体" w:hAnsi="宋体" w:cs="宋体"/>
                <w:szCs w:val="21"/>
                <w:highlight w:val="none"/>
              </w:rPr>
              <w:t>差：</w:t>
            </w:r>
            <w:r>
              <w:rPr>
                <w:rFonts w:hint="eastAsia" w:ascii="宋体" w:hAnsi="宋体" w:cs="宋体"/>
                <w:szCs w:val="21"/>
                <w:highlight w:val="none"/>
                <w:lang w:val="en-US" w:eastAsia="zh-CN"/>
              </w:rPr>
              <w:t>1</w:t>
            </w:r>
            <w:r>
              <w:rPr>
                <w:rFonts w:hint="eastAsia" w:ascii="宋体" w:hAnsi="宋体" w:cs="宋体"/>
                <w:szCs w:val="21"/>
                <w:highlight w:val="none"/>
              </w:rPr>
              <w:t>分</w:t>
            </w:r>
          </w:p>
        </w:tc>
      </w:tr>
      <w:tr w14:paraId="220E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21" w:hRule="atLeast"/>
          <w:jc w:val="center"/>
        </w:trPr>
        <w:tc>
          <w:tcPr>
            <w:tcW w:w="330" w:type="pct"/>
            <w:tcBorders>
              <w:top w:val="single" w:color="auto" w:sz="4" w:space="0"/>
              <w:left w:val="single" w:color="auto" w:sz="4" w:space="0"/>
              <w:bottom w:val="single" w:color="auto" w:sz="4" w:space="0"/>
              <w:right w:val="single" w:color="auto" w:sz="4" w:space="0"/>
            </w:tcBorders>
            <w:noWrap w:val="0"/>
            <w:vAlign w:val="center"/>
          </w:tcPr>
          <w:p w14:paraId="53027655">
            <w:pPr>
              <w:spacing w:line="240" w:lineRule="exact"/>
              <w:ind w:left="-69" w:leftChars="-101" w:hanging="143"/>
              <w:jc w:val="center"/>
              <w:rPr>
                <w:rFonts w:hint="eastAsia" w:ascii="宋体" w:hAnsi="宋体" w:cs="宋体"/>
                <w:bCs/>
                <w:szCs w:val="21"/>
                <w:highlight w:val="none"/>
              </w:rPr>
            </w:pPr>
            <w:r>
              <w:rPr>
                <w:rFonts w:hint="eastAsia" w:ascii="宋体" w:hAnsi="宋体" w:cs="宋体"/>
                <w:bCs/>
                <w:szCs w:val="21"/>
                <w:highlight w:val="none"/>
              </w:rPr>
              <w:t>三</w:t>
            </w:r>
          </w:p>
        </w:tc>
        <w:tc>
          <w:tcPr>
            <w:tcW w:w="1540" w:type="pct"/>
            <w:gridSpan w:val="2"/>
            <w:tcBorders>
              <w:top w:val="single" w:color="auto" w:sz="4" w:space="0"/>
              <w:left w:val="single" w:color="auto" w:sz="4" w:space="0"/>
              <w:bottom w:val="single" w:color="auto" w:sz="4" w:space="0"/>
              <w:right w:val="single" w:color="auto" w:sz="4" w:space="0"/>
            </w:tcBorders>
            <w:noWrap w:val="0"/>
            <w:vAlign w:val="center"/>
          </w:tcPr>
          <w:p w14:paraId="62ED064F">
            <w:pPr>
              <w:spacing w:line="240" w:lineRule="exact"/>
              <w:ind w:left="-193" w:leftChars="-92"/>
              <w:jc w:val="center"/>
              <w:rPr>
                <w:rFonts w:ascii="宋体" w:hAnsi="宋体" w:cs="宋体"/>
                <w:bCs/>
                <w:szCs w:val="21"/>
                <w:highlight w:val="none"/>
              </w:rPr>
            </w:pPr>
            <w:r>
              <w:rPr>
                <w:rFonts w:hint="eastAsia" w:ascii="宋体" w:hAnsi="宋体" w:cs="宋体"/>
                <w:bCs/>
                <w:szCs w:val="21"/>
                <w:highlight w:val="none"/>
              </w:rPr>
              <w:t>移交方案（10分）</w:t>
            </w:r>
          </w:p>
        </w:tc>
        <w:tc>
          <w:tcPr>
            <w:tcW w:w="426" w:type="pct"/>
            <w:tcBorders>
              <w:top w:val="single" w:color="auto" w:sz="4" w:space="0"/>
              <w:left w:val="single" w:color="auto" w:sz="4" w:space="0"/>
              <w:bottom w:val="single" w:color="auto" w:sz="4" w:space="0"/>
              <w:right w:val="single" w:color="auto" w:sz="4" w:space="0"/>
            </w:tcBorders>
            <w:noWrap w:val="0"/>
            <w:vAlign w:val="center"/>
          </w:tcPr>
          <w:p w14:paraId="319EAD31">
            <w:pPr>
              <w:spacing w:line="240" w:lineRule="exact"/>
              <w:ind w:left="-193" w:leftChars="-92"/>
              <w:jc w:val="center"/>
              <w:rPr>
                <w:rFonts w:ascii="宋体" w:hAnsi="宋体" w:cs="宋体"/>
                <w:bCs/>
                <w:szCs w:val="21"/>
                <w:highlight w:val="none"/>
              </w:rPr>
            </w:pPr>
            <w:r>
              <w:rPr>
                <w:rFonts w:hint="eastAsia" w:ascii="宋体" w:hAnsi="宋体" w:cs="宋体"/>
                <w:bCs/>
                <w:szCs w:val="21"/>
                <w:highlight w:val="none"/>
              </w:rPr>
              <w:t>10</w:t>
            </w:r>
          </w:p>
        </w:tc>
        <w:tc>
          <w:tcPr>
            <w:tcW w:w="1561" w:type="pct"/>
            <w:tcBorders>
              <w:top w:val="single" w:color="auto" w:sz="4" w:space="0"/>
              <w:left w:val="single" w:color="auto" w:sz="4" w:space="0"/>
              <w:bottom w:val="single" w:color="auto" w:sz="4" w:space="0"/>
              <w:right w:val="single" w:color="auto" w:sz="4" w:space="0"/>
            </w:tcBorders>
            <w:noWrap w:val="0"/>
            <w:vAlign w:val="center"/>
          </w:tcPr>
          <w:p w14:paraId="160523F2">
            <w:pPr>
              <w:spacing w:line="240" w:lineRule="exact"/>
              <w:ind w:left="-46" w:leftChars="-22"/>
              <w:rPr>
                <w:rFonts w:hint="eastAsia" w:ascii="宋体" w:hAnsi="宋体" w:cs="宋体"/>
                <w:bCs/>
                <w:szCs w:val="21"/>
                <w:highlight w:val="none"/>
              </w:rPr>
            </w:pPr>
            <w:r>
              <w:rPr>
                <w:rFonts w:hint="eastAsia" w:ascii="宋体" w:hAnsi="宋体" w:cs="宋体"/>
                <w:bCs/>
                <w:szCs w:val="21"/>
                <w:highlight w:val="none"/>
              </w:rPr>
              <w:t>是否符合项目实际情况，方案制定详细、可行，包括移交时间安排、移交性能评估、移交验收程序、质量等。</w:t>
            </w:r>
          </w:p>
        </w:tc>
        <w:tc>
          <w:tcPr>
            <w:tcW w:w="1141" w:type="pct"/>
            <w:tcBorders>
              <w:top w:val="single" w:color="auto" w:sz="4" w:space="0"/>
              <w:left w:val="single" w:color="auto" w:sz="4" w:space="0"/>
              <w:bottom w:val="single" w:color="auto" w:sz="4" w:space="0"/>
              <w:right w:val="single" w:color="auto" w:sz="4" w:space="0"/>
            </w:tcBorders>
            <w:noWrap w:val="0"/>
            <w:vAlign w:val="center"/>
          </w:tcPr>
          <w:p w14:paraId="5648E749">
            <w:pPr>
              <w:spacing w:line="240" w:lineRule="exact"/>
              <w:ind w:left="271" w:leftChars="129"/>
              <w:jc w:val="left"/>
              <w:rPr>
                <w:rFonts w:ascii="宋体" w:hAnsi="宋体" w:cs="宋体"/>
                <w:bCs/>
                <w:szCs w:val="21"/>
                <w:highlight w:val="none"/>
              </w:rPr>
            </w:pPr>
            <w:r>
              <w:rPr>
                <w:rFonts w:hint="eastAsia" w:ascii="宋体" w:hAnsi="宋体" w:cs="宋体"/>
                <w:bCs/>
                <w:szCs w:val="21"/>
                <w:highlight w:val="none"/>
              </w:rPr>
              <w:t>优：10分</w:t>
            </w:r>
          </w:p>
          <w:p w14:paraId="501370FB">
            <w:pPr>
              <w:spacing w:line="240" w:lineRule="exact"/>
              <w:ind w:left="271" w:leftChars="129"/>
              <w:jc w:val="left"/>
              <w:rPr>
                <w:rFonts w:ascii="宋体" w:hAnsi="宋体" w:cs="宋体"/>
                <w:bCs/>
                <w:szCs w:val="21"/>
                <w:highlight w:val="none"/>
              </w:rPr>
            </w:pPr>
            <w:r>
              <w:rPr>
                <w:rFonts w:hint="eastAsia" w:ascii="宋体" w:hAnsi="宋体" w:cs="宋体"/>
                <w:bCs/>
                <w:szCs w:val="21"/>
                <w:highlight w:val="none"/>
              </w:rPr>
              <w:t>中：6 分</w:t>
            </w:r>
          </w:p>
          <w:p w14:paraId="7EF277BB">
            <w:pPr>
              <w:spacing w:line="240" w:lineRule="exact"/>
              <w:ind w:left="271" w:leftChars="129"/>
              <w:jc w:val="left"/>
              <w:rPr>
                <w:rFonts w:ascii="宋体" w:hAnsi="宋体" w:cs="宋体"/>
                <w:bCs/>
                <w:szCs w:val="21"/>
                <w:highlight w:val="none"/>
              </w:rPr>
            </w:pPr>
            <w:r>
              <w:rPr>
                <w:rFonts w:hint="eastAsia" w:ascii="宋体" w:hAnsi="宋体" w:cs="宋体"/>
                <w:bCs/>
                <w:szCs w:val="21"/>
                <w:highlight w:val="none"/>
              </w:rPr>
              <w:t>差：3 分</w:t>
            </w:r>
          </w:p>
        </w:tc>
      </w:tr>
      <w:tr w14:paraId="65B3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88" w:hRule="atLeast"/>
          <w:jc w:val="center"/>
        </w:trPr>
        <w:tc>
          <w:tcPr>
            <w:tcW w:w="2297" w:type="pct"/>
            <w:gridSpan w:val="4"/>
            <w:tcBorders>
              <w:top w:val="single" w:color="auto" w:sz="4" w:space="0"/>
              <w:left w:val="single" w:color="auto" w:sz="4" w:space="0"/>
              <w:bottom w:val="single" w:color="auto" w:sz="4" w:space="0"/>
              <w:right w:val="single" w:color="auto" w:sz="4" w:space="0"/>
            </w:tcBorders>
            <w:noWrap w:val="0"/>
            <w:vAlign w:val="center"/>
          </w:tcPr>
          <w:p w14:paraId="1A45780E">
            <w:pPr>
              <w:spacing w:line="240" w:lineRule="exact"/>
              <w:ind w:left="-193" w:leftChars="-92"/>
              <w:jc w:val="center"/>
              <w:rPr>
                <w:rFonts w:ascii="宋体" w:hAnsi="宋体" w:cs="宋体"/>
                <w:bCs/>
                <w:szCs w:val="21"/>
                <w:highlight w:val="none"/>
              </w:rPr>
            </w:pPr>
            <w:r>
              <w:rPr>
                <w:rFonts w:hint="eastAsia" w:ascii="宋体" w:hAnsi="宋体" w:cs="宋体"/>
                <w:bCs/>
                <w:szCs w:val="21"/>
                <w:highlight w:val="none"/>
              </w:rPr>
              <w:t>合计</w:t>
            </w:r>
          </w:p>
        </w:tc>
        <w:tc>
          <w:tcPr>
            <w:tcW w:w="2702" w:type="pct"/>
            <w:gridSpan w:val="2"/>
            <w:tcBorders>
              <w:top w:val="single" w:color="auto" w:sz="4" w:space="0"/>
              <w:left w:val="single" w:color="auto" w:sz="4" w:space="0"/>
              <w:bottom w:val="single" w:color="auto" w:sz="4" w:space="0"/>
              <w:right w:val="single" w:color="auto" w:sz="4" w:space="0"/>
            </w:tcBorders>
            <w:noWrap w:val="0"/>
            <w:vAlign w:val="center"/>
          </w:tcPr>
          <w:p w14:paraId="7FA789EC">
            <w:pPr>
              <w:spacing w:line="240" w:lineRule="exact"/>
              <w:ind w:left="271" w:leftChars="129"/>
              <w:rPr>
                <w:rFonts w:ascii="宋体" w:hAnsi="宋体" w:cs="宋体"/>
                <w:bCs/>
                <w:szCs w:val="21"/>
                <w:highlight w:val="none"/>
              </w:rPr>
            </w:pPr>
            <w:r>
              <w:rPr>
                <w:rFonts w:hint="eastAsia" w:ascii="宋体" w:hAnsi="宋体" w:cs="宋体"/>
                <w:bCs/>
                <w:szCs w:val="21"/>
                <w:highlight w:val="none"/>
                <w:lang w:val="en-US" w:eastAsia="zh-CN"/>
              </w:rPr>
              <w:t>5</w:t>
            </w:r>
            <w:r>
              <w:rPr>
                <w:rFonts w:hint="eastAsia" w:ascii="宋体" w:hAnsi="宋体" w:cs="宋体"/>
                <w:bCs/>
                <w:szCs w:val="21"/>
                <w:highlight w:val="none"/>
              </w:rPr>
              <w:t>0分</w:t>
            </w:r>
          </w:p>
        </w:tc>
      </w:tr>
    </w:tbl>
    <w:p w14:paraId="79C58C69">
      <w:pPr>
        <w:pStyle w:val="13"/>
        <w:tabs>
          <w:tab w:val="left" w:pos="4214"/>
        </w:tabs>
        <w:spacing w:line="400" w:lineRule="exact"/>
        <w:ind w:firstLine="422" w:firstLineChars="200"/>
        <w:rPr>
          <w:rFonts w:hAnsi="宋体"/>
          <w:b/>
          <w:bCs/>
          <w:color w:val="000000"/>
          <w:szCs w:val="21"/>
          <w:highlight w:val="none"/>
        </w:rPr>
      </w:pPr>
      <w:r>
        <w:rPr>
          <w:rFonts w:hint="eastAsia" w:hAnsi="宋体"/>
          <w:b/>
          <w:bCs/>
          <w:color w:val="000000"/>
          <w:szCs w:val="21"/>
          <w:highlight w:val="none"/>
        </w:rPr>
        <w:t>综合得分=1+2</w:t>
      </w:r>
    </w:p>
    <w:p w14:paraId="07D7878F">
      <w:pPr>
        <w:tabs>
          <w:tab w:val="left" w:pos="4214"/>
        </w:tabs>
        <w:snapToGrid w:val="0"/>
        <w:spacing w:line="300" w:lineRule="auto"/>
        <w:ind w:firstLine="422" w:firstLineChars="200"/>
        <w:rPr>
          <w:rFonts w:hint="eastAsia"/>
          <w:b/>
          <w:szCs w:val="20"/>
          <w:highlight w:val="none"/>
        </w:rPr>
      </w:pPr>
    </w:p>
    <w:p w14:paraId="6CBB58BB">
      <w:pPr>
        <w:tabs>
          <w:tab w:val="left" w:pos="4214"/>
        </w:tabs>
        <w:snapToGrid w:val="0"/>
        <w:spacing w:line="300" w:lineRule="auto"/>
        <w:ind w:firstLine="422" w:firstLineChars="200"/>
        <w:rPr>
          <w:rFonts w:hint="eastAsia" w:hAnsi="宋体"/>
          <w:color w:val="000000"/>
          <w:szCs w:val="21"/>
          <w:highlight w:val="none"/>
        </w:rPr>
      </w:pPr>
      <w:r>
        <w:rPr>
          <w:rFonts w:hint="eastAsia"/>
          <w:b/>
          <w:szCs w:val="20"/>
          <w:highlight w:val="none"/>
        </w:rPr>
        <w:t>三、推荐中标候选投标人原则：</w:t>
      </w:r>
    </w:p>
    <w:p w14:paraId="4B22AFA0">
      <w:pPr>
        <w:pStyle w:val="13"/>
        <w:tabs>
          <w:tab w:val="left" w:pos="4214"/>
        </w:tabs>
        <w:spacing w:line="400" w:lineRule="exact"/>
        <w:ind w:firstLine="420" w:firstLineChars="200"/>
        <w:rPr>
          <w:rFonts w:hAnsi="宋体"/>
          <w:color w:val="000000"/>
          <w:szCs w:val="21"/>
          <w:highlight w:val="none"/>
        </w:rPr>
      </w:pPr>
      <w:r>
        <w:rPr>
          <w:rFonts w:hint="eastAsia" w:hAnsi="宋体"/>
          <w:color w:val="000000"/>
          <w:szCs w:val="21"/>
          <w:highlight w:val="none"/>
        </w:rPr>
        <w:t>（1）评标委员会根据综合得分由高到低排列次序，若得分相同时，以投标报价由高到低顺序排列；若得分且投标报价相同并列的，则依次按</w:t>
      </w:r>
      <w:r>
        <w:rPr>
          <w:rFonts w:hint="eastAsia" w:hAnsi="宋体" w:cs="宋体"/>
          <w:b/>
          <w:bCs/>
          <w:color w:val="000000"/>
          <w:highlight w:val="none"/>
        </w:rPr>
        <w:t>方案</w:t>
      </w:r>
      <w:r>
        <w:rPr>
          <w:rFonts w:hint="eastAsia" w:hAnsi="宋体"/>
          <w:color w:val="000000"/>
          <w:szCs w:val="21"/>
          <w:highlight w:val="none"/>
        </w:rPr>
        <w:t>最高原则排列并推荐中标候选供应商。</w:t>
      </w:r>
    </w:p>
    <w:p w14:paraId="1AB1AC1A">
      <w:pPr>
        <w:tabs>
          <w:tab w:val="left" w:pos="4214"/>
        </w:tabs>
        <w:spacing w:line="380" w:lineRule="exact"/>
        <w:ind w:firstLine="420" w:firstLineChars="200"/>
        <w:rPr>
          <w:rFonts w:ascii="宋体" w:hAnsi="宋体"/>
          <w:color w:val="000000"/>
          <w:szCs w:val="21"/>
          <w:highlight w:val="none"/>
        </w:rPr>
      </w:pPr>
      <w:r>
        <w:rPr>
          <w:rFonts w:hint="eastAsia" w:ascii="宋体" w:hAnsi="宋体"/>
          <w:color w:val="000000"/>
          <w:szCs w:val="21"/>
          <w:highlight w:val="none"/>
        </w:rPr>
        <w:t>（2）评标委员会可推荐前三名为中标候选人，采购人应当确定评标委员会推荐排名第一的中标候选人为中标人。</w:t>
      </w:r>
    </w:p>
    <w:p w14:paraId="2DA763CA">
      <w:pPr>
        <w:spacing w:line="400" w:lineRule="exact"/>
        <w:ind w:firstLine="420" w:firstLineChars="200"/>
        <w:rPr>
          <w:rFonts w:ascii="宋体" w:hAnsi="宋体"/>
          <w:b/>
          <w:bCs/>
          <w:color w:val="000000"/>
          <w:sz w:val="24"/>
          <w:szCs w:val="20"/>
          <w:highlight w:val="none"/>
        </w:rPr>
      </w:pPr>
      <w:r>
        <w:rPr>
          <w:rFonts w:hint="eastAsia" w:ascii="宋体" w:hAnsi="宋体"/>
          <w:color w:val="000000"/>
          <w:szCs w:val="21"/>
          <w:highlight w:val="none"/>
        </w:rPr>
        <w:t>（3）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人，并依此类推。</w:t>
      </w:r>
    </w:p>
    <w:p w14:paraId="1122CEC0">
      <w:pPr>
        <w:spacing w:line="400" w:lineRule="atLeast"/>
        <w:ind w:firstLine="420" w:firstLineChars="200"/>
        <w:rPr>
          <w:rFonts w:ascii="宋体" w:hAnsi="Courier New"/>
          <w:bCs/>
          <w:color w:val="000000"/>
          <w:szCs w:val="20"/>
          <w:highlight w:val="none"/>
        </w:rPr>
      </w:pPr>
      <w:r>
        <w:rPr>
          <w:rFonts w:hint="eastAsia" w:ascii="宋体" w:hAnsi="宋体"/>
          <w:bCs/>
          <w:color w:val="000000"/>
          <w:szCs w:val="21"/>
          <w:highlight w:val="none"/>
        </w:rPr>
        <w:t>（4）</w:t>
      </w:r>
      <w:r>
        <w:rPr>
          <w:rFonts w:hint="eastAsia" w:ascii="宋体" w:hAnsi="Courier New"/>
          <w:bCs/>
          <w:color w:val="000000"/>
          <w:szCs w:val="20"/>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8A34A00">
      <w:pPr>
        <w:pStyle w:val="2"/>
        <w:bidi w:val="0"/>
        <w:rPr>
          <w:rFonts w:hAnsi="宋体"/>
          <w:b/>
          <w:highlight w:val="none"/>
        </w:rPr>
      </w:pPr>
      <w:r>
        <w:rPr>
          <w:rFonts w:hint="eastAsia" w:hAnsi="宋体"/>
          <w:b/>
          <w:highlight w:val="none"/>
        </w:rPr>
        <w:br w:type="page"/>
      </w:r>
      <w:bookmarkStart w:id="65" w:name="_Toc13773"/>
      <w:r>
        <w:rPr>
          <w:rFonts w:hint="eastAsia" w:hAnsi="宋体"/>
          <w:b/>
          <w:bCs/>
          <w:sz w:val="32"/>
          <w:szCs w:val="32"/>
          <w:highlight w:val="none"/>
        </w:rPr>
        <w:t>第五章  采购合同草案</w:t>
      </w:r>
      <w:bookmarkEnd w:id="65"/>
    </w:p>
    <w:p w14:paraId="08AE6914">
      <w:pPr>
        <w:bidi w:val="0"/>
        <w:rPr>
          <w:highlight w:val="none"/>
        </w:rPr>
      </w:pPr>
    </w:p>
    <w:p w14:paraId="3FAD6239">
      <w:pPr>
        <w:tabs>
          <w:tab w:val="left" w:pos="2190"/>
        </w:tabs>
        <w:adjustRightInd w:val="0"/>
        <w:snapToGrid w:val="0"/>
        <w:spacing w:line="300" w:lineRule="auto"/>
        <w:ind w:firstLine="420" w:firstLineChars="200"/>
        <w:rPr>
          <w:rFonts w:hint="eastAsia"/>
          <w:szCs w:val="21"/>
          <w:highlight w:val="none"/>
        </w:rPr>
      </w:pPr>
      <w:r>
        <w:rPr>
          <w:rFonts w:hint="eastAsia"/>
          <w:szCs w:val="21"/>
          <w:highlight w:val="none"/>
          <w:lang w:val="en-US" w:eastAsia="zh-CN"/>
        </w:rPr>
        <w:t>本</w:t>
      </w:r>
      <w:r>
        <w:rPr>
          <w:szCs w:val="21"/>
          <w:highlight w:val="none"/>
        </w:rPr>
        <w:t>项目合同仅为招标阶段向社会资本发布的草案，拟签署的投资合作协议及</w:t>
      </w:r>
      <w:r>
        <w:rPr>
          <w:rFonts w:hint="eastAsia"/>
          <w:szCs w:val="21"/>
          <w:highlight w:val="none"/>
          <w:lang w:val="en-US" w:eastAsia="zh-CN"/>
        </w:rPr>
        <w:t>BOT</w:t>
      </w:r>
      <w:r>
        <w:rPr>
          <w:szCs w:val="21"/>
          <w:highlight w:val="none"/>
        </w:rPr>
        <w:t>项目合同需在正式签订前报人民政府审核批准，且在各主体方签字盖章前不得生效。合同条款以最终谈判签署为准</w:t>
      </w:r>
      <w:r>
        <w:rPr>
          <w:rFonts w:hint="eastAsia"/>
          <w:szCs w:val="21"/>
          <w:highlight w:val="none"/>
        </w:rPr>
        <w:t>。</w:t>
      </w:r>
    </w:p>
    <w:p w14:paraId="011E4F93">
      <w:pPr>
        <w:tabs>
          <w:tab w:val="left" w:pos="2190"/>
        </w:tabs>
        <w:adjustRightInd w:val="0"/>
        <w:snapToGrid w:val="0"/>
        <w:spacing w:line="300" w:lineRule="auto"/>
        <w:ind w:firstLine="420" w:firstLineChars="200"/>
        <w:rPr>
          <w:rFonts w:hint="default" w:eastAsia="宋体"/>
          <w:szCs w:val="21"/>
          <w:highlight w:val="none"/>
          <w:lang w:val="en-US" w:eastAsia="zh-CN"/>
        </w:rPr>
      </w:pPr>
      <w:r>
        <w:rPr>
          <w:rFonts w:hint="eastAsia"/>
          <w:szCs w:val="21"/>
          <w:highlight w:val="none"/>
          <w:lang w:val="en-US" w:eastAsia="zh-CN"/>
        </w:rPr>
        <w:t>详见附件：《桂林市秀峰区长海社区卫生服务中心建设项目特许经营协议（草案）》</w:t>
      </w:r>
    </w:p>
    <w:p w14:paraId="7F4D7B4F">
      <w:pPr>
        <w:adjustRightInd w:val="0"/>
        <w:snapToGrid w:val="0"/>
        <w:spacing w:line="360" w:lineRule="auto"/>
        <w:ind w:firstLine="560"/>
        <w:jc w:val="left"/>
        <w:rPr>
          <w:rFonts w:eastAsia="仿宋_GB2312"/>
          <w:sz w:val="28"/>
          <w:szCs w:val="28"/>
          <w:highlight w:val="none"/>
        </w:rPr>
      </w:pPr>
      <w:r>
        <w:rPr>
          <w:rFonts w:hint="eastAsia" w:ascii="宋体" w:hAnsi="宋体" w:cs="宋体"/>
          <w:b/>
          <w:sz w:val="32"/>
          <w:szCs w:val="32"/>
          <w:highlight w:val="none"/>
        </w:rPr>
        <w:br w:type="page"/>
      </w:r>
    </w:p>
    <w:p w14:paraId="2756CD99">
      <w:pPr>
        <w:pStyle w:val="2"/>
        <w:jc w:val="center"/>
        <w:rPr>
          <w:rFonts w:ascii="宋体" w:hAnsi="宋体"/>
          <w:bCs w:val="0"/>
          <w:color w:val="auto"/>
          <w:highlight w:val="none"/>
        </w:rPr>
      </w:pPr>
      <w:bookmarkStart w:id="66" w:name="_Toc4479"/>
      <w:r>
        <w:rPr>
          <w:rFonts w:hint="eastAsia" w:ascii="宋体" w:hAnsi="宋体"/>
          <w:bCs w:val="0"/>
          <w:color w:val="auto"/>
          <w:highlight w:val="none"/>
        </w:rPr>
        <w:t>第六章 投标文件（格式）</w:t>
      </w:r>
      <w:bookmarkEnd w:id="66"/>
    </w:p>
    <w:p w14:paraId="72D4DC69">
      <w:pPr>
        <w:pStyle w:val="13"/>
        <w:tabs>
          <w:tab w:val="left" w:pos="4410"/>
        </w:tabs>
        <w:rPr>
          <w:rFonts w:hAnsi="宋体" w:cs="宋体"/>
          <w:b/>
          <w:bCs/>
          <w:color w:val="auto"/>
          <w:sz w:val="32"/>
          <w:szCs w:val="32"/>
          <w:highlight w:val="none"/>
          <w:lang w:bidi="ar"/>
        </w:rPr>
      </w:pPr>
    </w:p>
    <w:p w14:paraId="76BA9BF6">
      <w:pPr>
        <w:pStyle w:val="13"/>
        <w:tabs>
          <w:tab w:val="left" w:pos="4410"/>
        </w:tabs>
        <w:rPr>
          <w:rFonts w:hAnsi="宋体" w:cs="宋体"/>
          <w:b/>
          <w:color w:val="auto"/>
          <w:sz w:val="32"/>
          <w:highlight w:val="none"/>
        </w:rPr>
      </w:pPr>
      <w:r>
        <w:rPr>
          <w:rFonts w:hint="eastAsia" w:hAnsi="宋体" w:cs="宋体"/>
          <w:b/>
          <w:bCs/>
          <w:color w:val="auto"/>
          <w:sz w:val="32"/>
          <w:szCs w:val="32"/>
          <w:highlight w:val="none"/>
          <w:lang w:bidi="ar"/>
        </w:rPr>
        <w:t>投标文件外层包装封面格式</w:t>
      </w:r>
    </w:p>
    <w:p w14:paraId="4DE2B006">
      <w:pPr>
        <w:adjustRightInd w:val="0"/>
        <w:snapToGrid w:val="0"/>
        <w:rPr>
          <w:rFonts w:ascii="宋体" w:hAnsi="宋体" w:cs="宋体"/>
          <w:b/>
          <w:color w:val="auto"/>
          <w:sz w:val="44"/>
          <w:szCs w:val="44"/>
          <w:highlight w:val="none"/>
        </w:rPr>
      </w:pPr>
    </w:p>
    <w:p w14:paraId="70FEE085">
      <w:pPr>
        <w:pStyle w:val="26"/>
        <w:rPr>
          <w:rFonts w:hAnsi="宋体"/>
          <w:color w:val="auto"/>
          <w:highlight w:val="none"/>
        </w:rPr>
      </w:pPr>
    </w:p>
    <w:p w14:paraId="05A8390C">
      <w:pPr>
        <w:snapToGrid w:val="0"/>
        <w:spacing w:before="164" w:beforeLines="50" w:after="50"/>
        <w:jc w:val="center"/>
        <w:rPr>
          <w:rFonts w:ascii="宋体" w:hAnsi="宋体" w:cs="宋体"/>
          <w:b/>
          <w:color w:val="auto"/>
          <w:sz w:val="36"/>
          <w:szCs w:val="36"/>
          <w:highlight w:val="none"/>
        </w:rPr>
      </w:pPr>
      <w:r>
        <w:rPr>
          <w:rFonts w:hint="eastAsia" w:ascii="宋体" w:hAnsi="宋体" w:cs="宋体"/>
          <w:b/>
          <w:color w:val="auto"/>
          <w:sz w:val="36"/>
          <w:szCs w:val="36"/>
          <w:highlight w:val="none"/>
        </w:rPr>
        <w:t>投  标 文 件</w:t>
      </w:r>
    </w:p>
    <w:p w14:paraId="1FF12C22">
      <w:pPr>
        <w:snapToGrid w:val="0"/>
        <w:spacing w:before="164" w:beforeLines="50" w:after="50"/>
        <w:ind w:firstLine="480" w:firstLineChars="150"/>
        <w:rPr>
          <w:rFonts w:ascii="宋体" w:hAnsi="宋体" w:cs="宋体"/>
          <w:b/>
          <w:color w:val="auto"/>
          <w:sz w:val="28"/>
          <w:szCs w:val="28"/>
          <w:highlight w:val="none"/>
        </w:rPr>
      </w:pPr>
      <w:r>
        <w:rPr>
          <w:rFonts w:hint="eastAsia" w:ascii="宋体" w:hAnsi="宋体" w:cs="宋体"/>
          <w:color w:val="auto"/>
          <w:sz w:val="32"/>
          <w:szCs w:val="32"/>
          <w:highlight w:val="none"/>
        </w:rPr>
        <w:t xml:space="preserve">                       </w:t>
      </w:r>
    </w:p>
    <w:p w14:paraId="23BBCAE6">
      <w:pPr>
        <w:snapToGrid w:val="0"/>
        <w:spacing w:before="164" w:beforeLines="50" w:after="50"/>
        <w:ind w:firstLine="422" w:firstLineChars="150"/>
        <w:rPr>
          <w:rFonts w:ascii="宋体" w:hAnsi="宋体" w:cs="宋体"/>
          <w:b/>
          <w:color w:val="auto"/>
          <w:sz w:val="28"/>
          <w:szCs w:val="28"/>
          <w:highlight w:val="none"/>
        </w:rPr>
      </w:pPr>
    </w:p>
    <w:p w14:paraId="6634F903">
      <w:pPr>
        <w:snapToGrid w:val="0"/>
        <w:spacing w:before="164" w:beforeLines="50" w:after="50"/>
        <w:ind w:firstLine="281" w:firstLineChars="100"/>
        <w:rPr>
          <w:rFonts w:ascii="宋体" w:hAnsi="宋体" w:cs="宋体"/>
          <w:b/>
          <w:color w:val="auto"/>
          <w:sz w:val="28"/>
          <w:szCs w:val="28"/>
          <w:highlight w:val="none"/>
          <w:u w:val="single"/>
        </w:rPr>
      </w:pPr>
      <w:r>
        <w:rPr>
          <w:rFonts w:hint="eastAsia" w:ascii="宋体" w:hAnsi="宋体" w:cs="宋体"/>
          <w:b/>
          <w:color w:val="auto"/>
          <w:sz w:val="28"/>
          <w:szCs w:val="28"/>
          <w:highlight w:val="none"/>
        </w:rPr>
        <w:t>项目名称：</w:t>
      </w:r>
      <w:r>
        <w:rPr>
          <w:rFonts w:hint="eastAsia" w:ascii="宋体" w:hAnsi="宋体" w:cs="宋体"/>
          <w:b/>
          <w:color w:val="auto"/>
          <w:sz w:val="28"/>
          <w:szCs w:val="28"/>
          <w:highlight w:val="none"/>
          <w:u w:val="single"/>
        </w:rPr>
        <w:t xml:space="preserve">                          </w:t>
      </w:r>
    </w:p>
    <w:p w14:paraId="10F80B52">
      <w:pPr>
        <w:snapToGrid w:val="0"/>
        <w:spacing w:before="164" w:beforeLines="50" w:after="50"/>
        <w:ind w:firstLine="2704" w:firstLineChars="962"/>
        <w:rPr>
          <w:rFonts w:ascii="宋体" w:hAnsi="宋体" w:cs="宋体"/>
          <w:b/>
          <w:color w:val="auto"/>
          <w:sz w:val="28"/>
          <w:szCs w:val="28"/>
          <w:highlight w:val="none"/>
        </w:rPr>
      </w:pPr>
    </w:p>
    <w:p w14:paraId="432E1A29">
      <w:pPr>
        <w:snapToGrid w:val="0"/>
        <w:spacing w:before="164" w:beforeLines="50" w:after="50"/>
        <w:ind w:firstLine="281" w:firstLineChars="100"/>
        <w:rPr>
          <w:rFonts w:ascii="宋体" w:hAnsi="宋体" w:cs="宋体"/>
          <w:b/>
          <w:color w:val="auto"/>
          <w:sz w:val="28"/>
          <w:szCs w:val="28"/>
          <w:highlight w:val="none"/>
          <w:u w:val="single"/>
        </w:rPr>
      </w:pPr>
      <w:r>
        <w:rPr>
          <w:rFonts w:hint="eastAsia" w:ascii="宋体" w:hAnsi="宋体" w:cs="宋体"/>
          <w:b/>
          <w:color w:val="auto"/>
          <w:sz w:val="28"/>
          <w:szCs w:val="28"/>
          <w:highlight w:val="none"/>
        </w:rPr>
        <w:t>项目编号：</w:t>
      </w:r>
      <w:r>
        <w:rPr>
          <w:rFonts w:hint="eastAsia" w:ascii="宋体" w:hAnsi="宋体" w:cs="宋体"/>
          <w:b/>
          <w:color w:val="auto"/>
          <w:sz w:val="28"/>
          <w:szCs w:val="28"/>
          <w:highlight w:val="none"/>
          <w:u w:val="single"/>
        </w:rPr>
        <w:t xml:space="preserve">                          </w:t>
      </w:r>
    </w:p>
    <w:p w14:paraId="72B828BF">
      <w:pPr>
        <w:snapToGrid w:val="0"/>
        <w:spacing w:line="400" w:lineRule="exact"/>
        <w:rPr>
          <w:rFonts w:ascii="宋体" w:hAnsi="宋体" w:cs="宋体"/>
          <w:b/>
          <w:color w:val="auto"/>
          <w:sz w:val="28"/>
          <w:szCs w:val="28"/>
          <w:highlight w:val="none"/>
        </w:rPr>
      </w:pPr>
    </w:p>
    <w:p w14:paraId="44BEFAC5">
      <w:pPr>
        <w:snapToGrid w:val="0"/>
        <w:spacing w:before="164" w:beforeLines="50" w:after="50"/>
        <w:ind w:firstLine="281" w:firstLineChars="100"/>
        <w:rPr>
          <w:rFonts w:ascii="宋体" w:hAnsi="宋体" w:cs="宋体"/>
          <w:b/>
          <w:color w:val="auto"/>
          <w:sz w:val="28"/>
          <w:szCs w:val="28"/>
          <w:highlight w:val="none"/>
        </w:rPr>
      </w:pPr>
      <w:r>
        <w:rPr>
          <w:rFonts w:hint="eastAsia" w:ascii="宋体" w:hAnsi="宋体" w:cs="宋体"/>
          <w:b/>
          <w:color w:val="auto"/>
          <w:sz w:val="28"/>
          <w:szCs w:val="28"/>
          <w:highlight w:val="none"/>
        </w:rPr>
        <w:t>采购代理机构：</w:t>
      </w:r>
      <w:r>
        <w:rPr>
          <w:rFonts w:hint="eastAsia" w:ascii="宋体" w:hAnsi="宋体" w:cs="宋体"/>
          <w:b/>
          <w:color w:val="auto"/>
          <w:sz w:val="28"/>
          <w:szCs w:val="28"/>
          <w:highlight w:val="none"/>
          <w:u w:val="single"/>
        </w:rPr>
        <w:t xml:space="preserve">                      </w:t>
      </w:r>
    </w:p>
    <w:p w14:paraId="0DE48096">
      <w:pPr>
        <w:snapToGrid w:val="0"/>
        <w:spacing w:before="164" w:beforeLines="50" w:after="50"/>
        <w:ind w:firstLine="1405" w:firstLineChars="500"/>
        <w:rPr>
          <w:rFonts w:ascii="宋体" w:hAnsi="宋体" w:cs="宋体"/>
          <w:b/>
          <w:color w:val="auto"/>
          <w:sz w:val="28"/>
          <w:szCs w:val="28"/>
          <w:highlight w:val="none"/>
        </w:rPr>
      </w:pPr>
      <w:r>
        <w:rPr>
          <w:rFonts w:hint="eastAsia" w:ascii="宋体" w:hAnsi="宋体" w:cs="宋体"/>
          <w:b/>
          <w:color w:val="auto"/>
          <w:sz w:val="28"/>
          <w:szCs w:val="28"/>
          <w:highlight w:val="none"/>
        </w:rPr>
        <w:t xml:space="preserve"> </w:t>
      </w:r>
    </w:p>
    <w:p w14:paraId="564EE69A">
      <w:pPr>
        <w:spacing w:line="400" w:lineRule="exact"/>
        <w:ind w:firstLine="2704" w:firstLineChars="962"/>
        <w:rPr>
          <w:rFonts w:ascii="宋体" w:hAnsi="宋体" w:cs="宋体"/>
          <w:b/>
          <w:color w:val="auto"/>
          <w:sz w:val="28"/>
          <w:szCs w:val="28"/>
          <w:highlight w:val="none"/>
        </w:rPr>
      </w:pPr>
    </w:p>
    <w:p w14:paraId="67AAF1EA">
      <w:pPr>
        <w:pStyle w:val="26"/>
        <w:rPr>
          <w:rFonts w:hAnsi="宋体"/>
          <w:b/>
          <w:color w:val="auto"/>
          <w:sz w:val="28"/>
          <w:szCs w:val="28"/>
          <w:highlight w:val="none"/>
        </w:rPr>
      </w:pPr>
    </w:p>
    <w:p w14:paraId="349C2170">
      <w:pPr>
        <w:pStyle w:val="12"/>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投标人名称：</w:t>
      </w:r>
      <w:r>
        <w:rPr>
          <w:rFonts w:hint="eastAsia" w:ascii="宋体" w:hAnsi="宋体" w:eastAsia="宋体" w:cs="宋体"/>
          <w:bCs/>
          <w:color w:val="auto"/>
          <w:sz w:val="28"/>
          <w:szCs w:val="28"/>
          <w:highlight w:val="none"/>
          <w:u w:val="single"/>
        </w:rPr>
        <w:t xml:space="preserve">   [加盖公章(CA签章)、自然人除外]  </w:t>
      </w:r>
    </w:p>
    <w:p w14:paraId="3698C692">
      <w:pPr>
        <w:pStyle w:val="13"/>
        <w:spacing w:line="320" w:lineRule="exact"/>
        <w:ind w:firstLine="560" w:firstLineChars="200"/>
        <w:rPr>
          <w:rFonts w:hAnsi="宋体" w:cs="宋体"/>
          <w:color w:val="auto"/>
          <w:sz w:val="28"/>
          <w:szCs w:val="28"/>
          <w:highlight w:val="none"/>
          <w:u w:val="single"/>
        </w:rPr>
      </w:pPr>
      <w:r>
        <w:rPr>
          <w:rFonts w:hint="eastAsia" w:hAnsi="宋体" w:cs="宋体"/>
          <w:color w:val="auto"/>
          <w:sz w:val="28"/>
          <w:szCs w:val="28"/>
          <w:highlight w:val="none"/>
        </w:rPr>
        <w:t>法定代表人、负责人、自然人或相应的委托代理人签字[或盖章(CA签章)]（属自然人的应在签名处加盖大拇指指印或个人CA签章）：</w:t>
      </w:r>
      <w:r>
        <w:rPr>
          <w:rFonts w:hint="eastAsia" w:hAnsi="宋体" w:cs="宋体"/>
          <w:color w:val="auto"/>
          <w:sz w:val="28"/>
          <w:szCs w:val="28"/>
          <w:highlight w:val="none"/>
          <w:u w:val="single"/>
        </w:rPr>
        <w:t xml:space="preserve">    </w:t>
      </w:r>
    </w:p>
    <w:p w14:paraId="143AAF9A">
      <w:pPr>
        <w:pStyle w:val="13"/>
        <w:spacing w:line="320" w:lineRule="exact"/>
        <w:ind w:firstLine="560" w:firstLineChars="200"/>
        <w:rPr>
          <w:rFonts w:hAnsi="宋体" w:cs="宋体"/>
          <w:color w:val="auto"/>
          <w:sz w:val="28"/>
          <w:szCs w:val="28"/>
          <w:highlight w:val="none"/>
          <w:u w:val="single"/>
        </w:rPr>
      </w:pPr>
      <w:r>
        <w:rPr>
          <w:rFonts w:hint="eastAsia" w:hAnsi="宋体" w:cs="宋体"/>
          <w:color w:val="auto"/>
          <w:sz w:val="28"/>
          <w:szCs w:val="28"/>
          <w:highlight w:val="none"/>
          <w:u w:val="single"/>
        </w:rPr>
        <w:t xml:space="preserve">             </w:t>
      </w:r>
    </w:p>
    <w:p w14:paraId="69F5740E">
      <w:pPr>
        <w:rPr>
          <w:rFonts w:ascii="宋体" w:hAnsi="宋体" w:cs="宋体"/>
          <w:color w:val="auto"/>
          <w:sz w:val="28"/>
          <w:szCs w:val="28"/>
          <w:highlight w:val="none"/>
          <w:u w:val="single"/>
        </w:rPr>
      </w:pPr>
    </w:p>
    <w:p w14:paraId="2CACF373">
      <w:pPr>
        <w:pStyle w:val="12"/>
        <w:ind w:left="559" w:leftChars="266" w:firstLine="840" w:firstLineChars="300"/>
        <w:rPr>
          <w:rFonts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rPr>
        <w:t>联系电话：</w:t>
      </w:r>
      <w:r>
        <w:rPr>
          <w:rFonts w:hint="eastAsia" w:ascii="宋体" w:hAnsi="宋体" w:eastAsia="宋体" w:cs="宋体"/>
          <w:bCs/>
          <w:color w:val="auto"/>
          <w:sz w:val="28"/>
          <w:szCs w:val="28"/>
          <w:highlight w:val="none"/>
          <w:u w:val="single"/>
        </w:rPr>
        <w:t xml:space="preserve">                    </w:t>
      </w:r>
    </w:p>
    <w:p w14:paraId="72D816D0">
      <w:pPr>
        <w:pStyle w:val="12"/>
        <w:ind w:left="559" w:leftChars="266" w:firstLine="840" w:firstLineChars="3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日期：</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w:t>
      </w:r>
    </w:p>
    <w:p w14:paraId="59569621">
      <w:pPr>
        <w:pStyle w:val="12"/>
        <w:ind w:left="559" w:leftChars="266" w:firstLine="840" w:firstLineChars="300"/>
        <w:rPr>
          <w:rFonts w:ascii="宋体" w:hAnsi="宋体" w:eastAsia="宋体" w:cs="宋体"/>
          <w:bCs/>
          <w:color w:val="auto"/>
          <w:sz w:val="28"/>
          <w:szCs w:val="28"/>
          <w:highlight w:val="none"/>
        </w:rPr>
      </w:pPr>
    </w:p>
    <w:p w14:paraId="16549578">
      <w:pPr>
        <w:pStyle w:val="13"/>
        <w:tabs>
          <w:tab w:val="left" w:pos="4410"/>
        </w:tabs>
        <w:rPr>
          <w:rFonts w:hAnsi="宋体" w:cs="宋体"/>
          <w:b/>
          <w:bCs/>
          <w:color w:val="auto"/>
          <w:sz w:val="24"/>
          <w:szCs w:val="24"/>
          <w:highlight w:val="none"/>
          <w:lang w:bidi="ar"/>
        </w:rPr>
      </w:pPr>
    </w:p>
    <w:p w14:paraId="4B71C5F2">
      <w:pPr>
        <w:pStyle w:val="12"/>
        <w:ind w:firstLine="0" w:firstLineChars="0"/>
        <w:rPr>
          <w:rFonts w:ascii="宋体" w:hAnsi="宋体" w:eastAsia="宋体" w:cs="宋体"/>
          <w:bCs/>
          <w:color w:val="auto"/>
          <w:sz w:val="28"/>
          <w:szCs w:val="28"/>
          <w:highlight w:val="none"/>
        </w:rPr>
      </w:pPr>
    </w:p>
    <w:p w14:paraId="00644F37">
      <w:pPr>
        <w:pStyle w:val="21"/>
        <w:ind w:firstLine="0"/>
        <w:jc w:val="center"/>
        <w:rPr>
          <w:rFonts w:ascii="宋体" w:cs="宋体"/>
          <w:b/>
          <w:color w:val="auto"/>
          <w:sz w:val="32"/>
          <w:szCs w:val="32"/>
          <w:highlight w:val="none"/>
        </w:rPr>
      </w:pPr>
      <w:r>
        <w:rPr>
          <w:rFonts w:hint="eastAsia"/>
          <w:color w:val="auto"/>
          <w:highlight w:val="none"/>
        </w:rPr>
        <w:br w:type="page"/>
      </w:r>
      <w:bookmarkStart w:id="67" w:name="_Toc80205939"/>
      <w:r>
        <w:rPr>
          <w:rFonts w:hint="eastAsia" w:ascii="宋体" w:cs="宋体"/>
          <w:b/>
          <w:color w:val="auto"/>
          <w:sz w:val="32"/>
          <w:szCs w:val="32"/>
          <w:highlight w:val="none"/>
        </w:rPr>
        <w:t>第一节  报价及商务文件格式</w:t>
      </w:r>
      <w:bookmarkEnd w:id="67"/>
    </w:p>
    <w:p w14:paraId="12EC3C9B">
      <w:pPr>
        <w:pStyle w:val="13"/>
        <w:tabs>
          <w:tab w:val="left" w:pos="4410"/>
        </w:tabs>
        <w:rPr>
          <w:rFonts w:hAnsi="宋体" w:cs="宋体"/>
          <w:b/>
          <w:color w:val="auto"/>
          <w:sz w:val="32"/>
          <w:highlight w:val="none"/>
        </w:rPr>
      </w:pPr>
      <w:r>
        <w:rPr>
          <w:rFonts w:hint="eastAsia" w:hAnsi="宋体" w:cs="宋体"/>
          <w:b/>
          <w:color w:val="auto"/>
          <w:sz w:val="32"/>
          <w:szCs w:val="32"/>
          <w:highlight w:val="none"/>
        </w:rPr>
        <w:t>报价及商务文件</w:t>
      </w:r>
      <w:r>
        <w:rPr>
          <w:rFonts w:hint="eastAsia" w:hAnsi="宋体" w:cs="宋体"/>
          <w:b/>
          <w:bCs/>
          <w:color w:val="auto"/>
          <w:sz w:val="32"/>
          <w:szCs w:val="32"/>
          <w:highlight w:val="none"/>
          <w:lang w:bidi="ar"/>
        </w:rPr>
        <w:t>封面格式</w:t>
      </w:r>
    </w:p>
    <w:p w14:paraId="6949BAEA">
      <w:pPr>
        <w:adjustRightInd w:val="0"/>
        <w:snapToGrid w:val="0"/>
        <w:rPr>
          <w:rFonts w:ascii="宋体" w:hAnsi="宋体" w:cs="宋体"/>
          <w:b/>
          <w:color w:val="auto"/>
          <w:sz w:val="44"/>
          <w:szCs w:val="44"/>
          <w:highlight w:val="none"/>
        </w:rPr>
      </w:pPr>
    </w:p>
    <w:p w14:paraId="33346573">
      <w:pPr>
        <w:pStyle w:val="26"/>
        <w:rPr>
          <w:rFonts w:hAnsi="宋体"/>
          <w:color w:val="auto"/>
          <w:highlight w:val="none"/>
        </w:rPr>
      </w:pPr>
    </w:p>
    <w:p w14:paraId="6D244921">
      <w:pPr>
        <w:snapToGrid w:val="0"/>
        <w:spacing w:before="164" w:beforeLines="50" w:after="50"/>
        <w:ind w:firstLine="482" w:firstLineChars="150"/>
        <w:jc w:val="center"/>
        <w:rPr>
          <w:rFonts w:ascii="宋体" w:hAnsi="宋体" w:cs="宋体"/>
          <w:b/>
          <w:color w:val="auto"/>
          <w:sz w:val="28"/>
          <w:szCs w:val="28"/>
          <w:highlight w:val="none"/>
        </w:rPr>
      </w:pPr>
      <w:r>
        <w:rPr>
          <w:rFonts w:hint="eastAsia" w:ascii="宋体" w:hAnsi="宋体" w:cs="宋体"/>
          <w:b/>
          <w:color w:val="auto"/>
          <w:sz w:val="32"/>
          <w:szCs w:val="32"/>
          <w:highlight w:val="none"/>
        </w:rPr>
        <w:t>报价及商务文件</w:t>
      </w:r>
    </w:p>
    <w:p w14:paraId="1234DC1F">
      <w:pPr>
        <w:snapToGrid w:val="0"/>
        <w:spacing w:before="164" w:beforeLines="50" w:after="50"/>
        <w:ind w:firstLine="422" w:firstLineChars="150"/>
        <w:rPr>
          <w:rFonts w:ascii="宋体" w:hAnsi="宋体" w:cs="宋体"/>
          <w:b/>
          <w:color w:val="auto"/>
          <w:sz w:val="28"/>
          <w:szCs w:val="28"/>
          <w:highlight w:val="none"/>
        </w:rPr>
      </w:pPr>
    </w:p>
    <w:p w14:paraId="312BA67A">
      <w:pPr>
        <w:snapToGrid w:val="0"/>
        <w:spacing w:before="164" w:beforeLines="50" w:after="50"/>
        <w:ind w:firstLine="422" w:firstLineChars="150"/>
        <w:rPr>
          <w:rFonts w:ascii="宋体" w:hAnsi="宋体" w:cs="宋体"/>
          <w:b/>
          <w:color w:val="auto"/>
          <w:sz w:val="28"/>
          <w:szCs w:val="28"/>
          <w:highlight w:val="none"/>
        </w:rPr>
      </w:pPr>
    </w:p>
    <w:p w14:paraId="6E5BBB2A">
      <w:pPr>
        <w:snapToGrid w:val="0"/>
        <w:spacing w:before="164" w:beforeLines="50" w:after="50"/>
        <w:ind w:firstLine="1405" w:firstLineChars="500"/>
        <w:rPr>
          <w:rFonts w:ascii="宋体" w:hAnsi="宋体" w:cs="宋体"/>
          <w:b/>
          <w:color w:val="auto"/>
          <w:sz w:val="28"/>
          <w:szCs w:val="28"/>
          <w:highlight w:val="none"/>
          <w:u w:val="single"/>
        </w:rPr>
      </w:pPr>
      <w:r>
        <w:rPr>
          <w:rFonts w:hint="eastAsia" w:ascii="宋体" w:hAnsi="宋体" w:cs="宋体"/>
          <w:b/>
          <w:color w:val="auto"/>
          <w:sz w:val="28"/>
          <w:szCs w:val="28"/>
          <w:highlight w:val="none"/>
        </w:rPr>
        <w:t>项目名称：</w:t>
      </w:r>
      <w:r>
        <w:rPr>
          <w:rFonts w:hint="eastAsia" w:ascii="宋体" w:hAnsi="宋体" w:cs="宋体"/>
          <w:b/>
          <w:color w:val="auto"/>
          <w:sz w:val="28"/>
          <w:szCs w:val="28"/>
          <w:highlight w:val="none"/>
          <w:u w:val="single"/>
        </w:rPr>
        <w:t xml:space="preserve">                          </w:t>
      </w:r>
    </w:p>
    <w:p w14:paraId="37B5BB5A">
      <w:pPr>
        <w:snapToGrid w:val="0"/>
        <w:spacing w:before="164" w:beforeLines="50" w:after="50"/>
        <w:ind w:firstLine="2704" w:firstLineChars="962"/>
        <w:rPr>
          <w:rFonts w:ascii="宋体" w:hAnsi="宋体" w:cs="宋体"/>
          <w:b/>
          <w:color w:val="auto"/>
          <w:sz w:val="28"/>
          <w:szCs w:val="28"/>
          <w:highlight w:val="none"/>
        </w:rPr>
      </w:pPr>
    </w:p>
    <w:p w14:paraId="45ABCA84">
      <w:pPr>
        <w:snapToGrid w:val="0"/>
        <w:spacing w:before="164" w:beforeLines="50" w:after="50"/>
        <w:ind w:firstLine="1405" w:firstLineChars="500"/>
        <w:rPr>
          <w:rFonts w:ascii="宋体" w:hAnsi="宋体" w:cs="宋体"/>
          <w:b/>
          <w:color w:val="auto"/>
          <w:sz w:val="28"/>
          <w:szCs w:val="28"/>
          <w:highlight w:val="none"/>
          <w:u w:val="single"/>
        </w:rPr>
      </w:pPr>
      <w:r>
        <w:rPr>
          <w:rFonts w:hint="eastAsia" w:ascii="宋体" w:hAnsi="宋体" w:cs="宋体"/>
          <w:b/>
          <w:color w:val="auto"/>
          <w:sz w:val="28"/>
          <w:szCs w:val="28"/>
          <w:highlight w:val="none"/>
        </w:rPr>
        <w:t>项目编号：</w:t>
      </w:r>
      <w:r>
        <w:rPr>
          <w:rFonts w:hint="eastAsia" w:ascii="宋体" w:hAnsi="宋体" w:cs="宋体"/>
          <w:b/>
          <w:color w:val="auto"/>
          <w:sz w:val="28"/>
          <w:szCs w:val="28"/>
          <w:highlight w:val="none"/>
          <w:u w:val="single"/>
        </w:rPr>
        <w:t xml:space="preserve">                          </w:t>
      </w:r>
    </w:p>
    <w:p w14:paraId="174C21B8">
      <w:pPr>
        <w:rPr>
          <w:rFonts w:ascii="宋体" w:hAnsi="宋体" w:cs="宋体"/>
          <w:b/>
          <w:color w:val="auto"/>
          <w:highlight w:val="none"/>
        </w:rPr>
      </w:pPr>
    </w:p>
    <w:p w14:paraId="7091FF3B">
      <w:pPr>
        <w:snapToGrid w:val="0"/>
        <w:spacing w:before="164" w:beforeLines="50" w:after="50"/>
        <w:ind w:firstLine="1405" w:firstLineChars="500"/>
        <w:rPr>
          <w:rFonts w:ascii="宋体" w:hAnsi="宋体" w:cs="宋体"/>
          <w:b/>
          <w:color w:val="auto"/>
          <w:sz w:val="28"/>
          <w:szCs w:val="28"/>
          <w:highlight w:val="none"/>
        </w:rPr>
      </w:pPr>
      <w:r>
        <w:rPr>
          <w:rFonts w:hint="eastAsia" w:ascii="宋体" w:hAnsi="宋体" w:cs="宋体"/>
          <w:b/>
          <w:color w:val="auto"/>
          <w:sz w:val="28"/>
          <w:szCs w:val="28"/>
          <w:highlight w:val="none"/>
        </w:rPr>
        <w:t>采购代理机构：</w:t>
      </w:r>
      <w:r>
        <w:rPr>
          <w:rFonts w:hint="eastAsia" w:ascii="宋体" w:hAnsi="宋体" w:cs="宋体"/>
          <w:b/>
          <w:color w:val="auto"/>
          <w:sz w:val="28"/>
          <w:szCs w:val="28"/>
          <w:highlight w:val="none"/>
          <w:u w:val="single"/>
        </w:rPr>
        <w:t xml:space="preserve">                      </w:t>
      </w:r>
    </w:p>
    <w:p w14:paraId="0FA91A8F">
      <w:pPr>
        <w:snapToGrid w:val="0"/>
        <w:spacing w:before="164" w:beforeLines="50" w:after="50"/>
        <w:ind w:firstLine="1405" w:firstLineChars="500"/>
        <w:rPr>
          <w:rFonts w:ascii="宋体" w:hAnsi="宋体" w:cs="宋体"/>
          <w:b/>
          <w:color w:val="auto"/>
          <w:sz w:val="28"/>
          <w:szCs w:val="28"/>
          <w:highlight w:val="none"/>
        </w:rPr>
      </w:pPr>
      <w:r>
        <w:rPr>
          <w:rFonts w:hint="eastAsia" w:ascii="宋体" w:hAnsi="宋体" w:cs="宋体"/>
          <w:b/>
          <w:color w:val="auto"/>
          <w:sz w:val="28"/>
          <w:szCs w:val="28"/>
          <w:highlight w:val="none"/>
        </w:rPr>
        <w:t xml:space="preserve"> </w:t>
      </w:r>
    </w:p>
    <w:p w14:paraId="06CF879D">
      <w:pPr>
        <w:pStyle w:val="26"/>
        <w:rPr>
          <w:rFonts w:hAnsi="宋体"/>
          <w:b/>
          <w:color w:val="auto"/>
          <w:sz w:val="28"/>
          <w:szCs w:val="28"/>
          <w:highlight w:val="none"/>
        </w:rPr>
      </w:pPr>
    </w:p>
    <w:p w14:paraId="212AE126">
      <w:pPr>
        <w:pStyle w:val="26"/>
        <w:rPr>
          <w:rFonts w:hAnsi="宋体"/>
          <w:b/>
          <w:color w:val="auto"/>
          <w:sz w:val="28"/>
          <w:szCs w:val="28"/>
          <w:highlight w:val="none"/>
        </w:rPr>
      </w:pPr>
    </w:p>
    <w:p w14:paraId="36E4881C">
      <w:pPr>
        <w:pStyle w:val="26"/>
        <w:rPr>
          <w:rFonts w:hAnsi="宋体"/>
          <w:b/>
          <w:color w:val="auto"/>
          <w:sz w:val="28"/>
          <w:szCs w:val="28"/>
          <w:highlight w:val="none"/>
        </w:rPr>
      </w:pPr>
    </w:p>
    <w:p w14:paraId="688B1A25">
      <w:pPr>
        <w:pStyle w:val="12"/>
        <w:ind w:firstLine="1542" w:firstLineChars="551"/>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投标人名称：</w:t>
      </w:r>
      <w:r>
        <w:rPr>
          <w:rFonts w:hint="eastAsia" w:ascii="宋体" w:hAnsi="宋体" w:eastAsia="宋体" w:cs="宋体"/>
          <w:bCs/>
          <w:color w:val="auto"/>
          <w:sz w:val="28"/>
          <w:szCs w:val="28"/>
          <w:highlight w:val="none"/>
          <w:u w:val="single"/>
        </w:rPr>
        <w:t xml:space="preserve">   [加盖公章(CA签章)、自然人除外]  </w:t>
      </w:r>
    </w:p>
    <w:p w14:paraId="29AE474C">
      <w:pPr>
        <w:pStyle w:val="13"/>
        <w:spacing w:line="320" w:lineRule="exact"/>
        <w:ind w:firstLine="1400" w:firstLineChars="500"/>
        <w:rPr>
          <w:rFonts w:hAnsi="宋体" w:cs="宋体"/>
          <w:color w:val="auto"/>
          <w:sz w:val="28"/>
          <w:szCs w:val="28"/>
          <w:highlight w:val="none"/>
          <w:u w:val="single"/>
        </w:rPr>
      </w:pPr>
      <w:r>
        <w:rPr>
          <w:rFonts w:hint="eastAsia" w:hAnsi="宋体" w:cs="宋体"/>
          <w:color w:val="auto"/>
          <w:sz w:val="28"/>
          <w:szCs w:val="28"/>
          <w:highlight w:val="none"/>
        </w:rPr>
        <w:t>法定代表人、负责人、自然人或相应的委托代理人签字[或盖章(CA签章)]（属自然人的应在签名处加盖大拇指指印或个人CA签章）：</w:t>
      </w:r>
      <w:r>
        <w:rPr>
          <w:rFonts w:hint="eastAsia" w:hAnsi="宋体" w:cs="宋体"/>
          <w:color w:val="auto"/>
          <w:sz w:val="28"/>
          <w:szCs w:val="28"/>
          <w:highlight w:val="none"/>
          <w:u w:val="single"/>
        </w:rPr>
        <w:t xml:space="preserve">              </w:t>
      </w:r>
    </w:p>
    <w:p w14:paraId="349EF552">
      <w:pPr>
        <w:pStyle w:val="12"/>
        <w:ind w:left="559" w:leftChars="266" w:firstLine="840" w:firstLineChars="300"/>
        <w:rPr>
          <w:rFonts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rPr>
        <w:t>联系电话：</w:t>
      </w:r>
      <w:r>
        <w:rPr>
          <w:rFonts w:hint="eastAsia" w:ascii="宋体" w:hAnsi="宋体" w:eastAsia="宋体" w:cs="宋体"/>
          <w:bCs/>
          <w:color w:val="auto"/>
          <w:sz w:val="28"/>
          <w:szCs w:val="28"/>
          <w:highlight w:val="none"/>
          <w:u w:val="single"/>
        </w:rPr>
        <w:t xml:space="preserve">                    </w:t>
      </w:r>
    </w:p>
    <w:p w14:paraId="36557AEF">
      <w:pPr>
        <w:pStyle w:val="12"/>
        <w:ind w:left="559" w:leftChars="266" w:firstLine="840" w:firstLineChars="3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日期：</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w:t>
      </w:r>
    </w:p>
    <w:p w14:paraId="57B141CA">
      <w:pPr>
        <w:pStyle w:val="13"/>
        <w:tabs>
          <w:tab w:val="left" w:pos="4410"/>
        </w:tabs>
        <w:rPr>
          <w:rFonts w:hAnsi="宋体" w:cs="宋体"/>
          <w:b/>
          <w:bCs/>
          <w:color w:val="auto"/>
          <w:sz w:val="24"/>
          <w:szCs w:val="24"/>
          <w:highlight w:val="none"/>
          <w:lang w:bidi="ar"/>
        </w:rPr>
      </w:pPr>
    </w:p>
    <w:p w14:paraId="63F354CF">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3927AD48">
      <w:pPr>
        <w:spacing w:line="400" w:lineRule="atLeast"/>
        <w:jc w:val="left"/>
        <w:rPr>
          <w:rFonts w:ascii="宋体" w:hAnsi="宋体" w:cs="宋体"/>
          <w:b/>
          <w:color w:val="auto"/>
          <w:sz w:val="32"/>
          <w:szCs w:val="32"/>
          <w:highlight w:val="none"/>
        </w:rPr>
      </w:pPr>
      <w:r>
        <w:rPr>
          <w:rFonts w:hint="eastAsia" w:ascii="宋体" w:hAnsi="宋体" w:cs="宋体"/>
          <w:b/>
          <w:color w:val="auto"/>
          <w:sz w:val="32"/>
          <w:szCs w:val="32"/>
          <w:highlight w:val="none"/>
        </w:rPr>
        <w:t>报价及商务文件目录</w:t>
      </w:r>
    </w:p>
    <w:p w14:paraId="53DF7396">
      <w:pPr>
        <w:tabs>
          <w:tab w:val="left" w:pos="1305"/>
        </w:tabs>
        <w:spacing w:line="400" w:lineRule="exact"/>
        <w:rPr>
          <w:rFonts w:ascii="宋体" w:hAnsi="宋体" w:cs="宋体"/>
          <w:b/>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、投标报价表……………………………………………………………………………（页码）</w:t>
      </w:r>
    </w:p>
    <w:p w14:paraId="37C82BF9">
      <w:pPr>
        <w:tabs>
          <w:tab w:val="left" w:pos="1305"/>
        </w:tabs>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、投标人相应的法定代表人身份证正反面复印件……………………………………（页码）</w:t>
      </w:r>
    </w:p>
    <w:p w14:paraId="5E28897D">
      <w:pPr>
        <w:tabs>
          <w:tab w:val="left" w:pos="1305"/>
        </w:tabs>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、投标人的授权委托书原件、委托代理人身份证正反面复印件……………………（页码）</w:t>
      </w:r>
    </w:p>
    <w:p w14:paraId="41CF66D2">
      <w:pPr>
        <w:pStyle w:val="9"/>
        <w:spacing w:after="0"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、投标人营业执照副本复印件…………………………………………………………（页码）</w:t>
      </w:r>
    </w:p>
    <w:p w14:paraId="14CF76BD">
      <w:pPr>
        <w:pStyle w:val="9"/>
        <w:spacing w:after="0"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、投标人的服务承诺书…………………………………………………………………（页码）</w:t>
      </w:r>
    </w:p>
    <w:p w14:paraId="4074456C">
      <w:pPr>
        <w:pStyle w:val="9"/>
        <w:spacing w:after="0"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6、投标保证金</w:t>
      </w:r>
      <w:r>
        <w:rPr>
          <w:rFonts w:hint="eastAsia" w:ascii="宋体" w:hAnsi="宋体" w:cs="宋体"/>
          <w:color w:val="auto"/>
          <w:szCs w:val="21"/>
          <w:highlight w:val="none"/>
        </w:rPr>
        <w:t>……………………………………………………………（页码）</w:t>
      </w:r>
    </w:p>
    <w:p w14:paraId="6078AD58">
      <w:pPr>
        <w:pStyle w:val="27"/>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、投标人可结合本项目的评标办法视自身情况自行提交相关证明材料……（页码）</w:t>
      </w:r>
    </w:p>
    <w:p w14:paraId="4D5EE26F">
      <w:pPr>
        <w:spacing w:line="300" w:lineRule="auto"/>
        <w:rPr>
          <w:rFonts w:ascii="仿宋_GB2312" w:eastAsia="仿宋_GB2312" w:cs="仿宋_GB2312"/>
          <w:b/>
          <w:bCs/>
          <w:color w:val="auto"/>
          <w:sz w:val="24"/>
          <w:highlight w:val="none"/>
          <w:lang w:bidi="ar"/>
        </w:rPr>
      </w:pPr>
    </w:p>
    <w:p w14:paraId="58F844B6">
      <w:pPr>
        <w:spacing w:line="300" w:lineRule="auto"/>
        <w:rPr>
          <w:color w:val="auto"/>
          <w:highlight w:val="none"/>
        </w:rPr>
      </w:pPr>
      <w:r>
        <w:rPr>
          <w:rFonts w:hint="eastAsia" w:ascii="仿宋_GB2312" w:eastAsia="仿宋_GB2312" w:cs="仿宋_GB2312"/>
          <w:b/>
          <w:bCs/>
          <w:color w:val="auto"/>
          <w:sz w:val="24"/>
          <w:highlight w:val="none"/>
          <w:lang w:bidi="ar"/>
        </w:rPr>
        <w:t>注：以上目录格式仅供参考，各供应商可根据自身情况调整或细化</w:t>
      </w:r>
      <w:r>
        <w:rPr>
          <w:rFonts w:hint="eastAsia"/>
          <w:color w:val="auto"/>
          <w:highlight w:val="none"/>
        </w:rPr>
        <w:br w:type="page"/>
      </w:r>
    </w:p>
    <w:p w14:paraId="3400B072">
      <w:pPr>
        <w:pStyle w:val="37"/>
        <w:numPr>
          <w:ilvl w:val="0"/>
          <w:numId w:val="0"/>
        </w:numPr>
        <w:spacing w:before="164" w:after="164"/>
        <w:ind w:left="400"/>
        <w:rPr>
          <w:rFonts w:ascii="宋体" w:hAnsi="宋体" w:cs="宋体"/>
          <w:color w:val="auto"/>
          <w:highlight w:val="none"/>
        </w:rPr>
      </w:pPr>
      <w:bookmarkStart w:id="68" w:name="_Toc919"/>
      <w:bookmarkStart w:id="69" w:name="_Toc51540433"/>
      <w:bookmarkStart w:id="70" w:name="_Toc24461689"/>
      <w:bookmarkStart w:id="71" w:name="_Toc82445295"/>
      <w:bookmarkStart w:id="72" w:name="_Toc25012974"/>
      <w:bookmarkStart w:id="73" w:name="_Toc8414"/>
      <w:bookmarkStart w:id="74" w:name="_Toc24461685"/>
      <w:bookmarkStart w:id="75" w:name="_Toc25012970"/>
      <w:bookmarkStart w:id="76" w:name="_Toc82445291"/>
      <w:bookmarkStart w:id="77" w:name="_Toc51540429"/>
      <w:bookmarkStart w:id="78" w:name="_Toc25092"/>
      <w:r>
        <w:rPr>
          <w:rFonts w:hint="eastAsia" w:ascii="宋体" w:hAnsi="宋体" w:cs="宋体"/>
          <w:b/>
          <w:bCs/>
          <w:color w:val="auto"/>
          <w:sz w:val="28"/>
          <w:szCs w:val="28"/>
          <w:highlight w:val="none"/>
          <w:lang w:val="en-US" w:eastAsia="zh-CN"/>
        </w:rPr>
        <w:t>一</w:t>
      </w:r>
      <w:r>
        <w:rPr>
          <w:rFonts w:hint="eastAsia" w:ascii="宋体" w:hAnsi="宋体" w:cs="宋体"/>
          <w:b/>
          <w:bCs/>
          <w:color w:val="auto"/>
          <w:sz w:val="28"/>
          <w:szCs w:val="28"/>
          <w:highlight w:val="none"/>
        </w:rPr>
        <w:t>、投标报价表（必须提供）</w:t>
      </w:r>
      <w:bookmarkEnd w:id="68"/>
      <w:bookmarkEnd w:id="69"/>
      <w:bookmarkEnd w:id="70"/>
      <w:bookmarkEnd w:id="71"/>
      <w:bookmarkEnd w:id="72"/>
      <w:bookmarkEnd w:id="73"/>
    </w:p>
    <w:p w14:paraId="32519861">
      <w:pPr>
        <w:pStyle w:val="13"/>
        <w:spacing w:line="300" w:lineRule="auto"/>
        <w:ind w:left="420"/>
        <w:jc w:val="center"/>
        <w:rPr>
          <w:rFonts w:hAnsi="宋体" w:cs="宋体"/>
          <w:b/>
          <w:color w:val="auto"/>
          <w:sz w:val="32"/>
          <w:highlight w:val="none"/>
        </w:rPr>
      </w:pPr>
      <w:r>
        <w:rPr>
          <w:rFonts w:hint="eastAsia" w:hAnsi="宋体" w:cs="宋体"/>
          <w:b/>
          <w:color w:val="auto"/>
          <w:sz w:val="32"/>
          <w:highlight w:val="none"/>
        </w:rPr>
        <w:t>投标报价表（非联合体投标时格式）</w:t>
      </w:r>
    </w:p>
    <w:p w14:paraId="235FA07F">
      <w:pPr>
        <w:spacing w:line="300" w:lineRule="auto"/>
        <w:rPr>
          <w:color w:val="auto"/>
          <w:szCs w:val="21"/>
          <w:highlight w:val="none"/>
          <w:u w:val="single"/>
        </w:rPr>
      </w:pPr>
      <w:r>
        <w:rPr>
          <w:rFonts w:hint="eastAsia"/>
          <w:color w:val="auto"/>
          <w:szCs w:val="21"/>
          <w:highlight w:val="none"/>
        </w:rPr>
        <w:t>项目名称：</w:t>
      </w:r>
      <w:r>
        <w:rPr>
          <w:rFonts w:hint="eastAsia"/>
          <w:color w:val="auto"/>
          <w:szCs w:val="21"/>
          <w:highlight w:val="none"/>
          <w:u w:val="single"/>
        </w:rPr>
        <w:t xml:space="preserve">                 </w:t>
      </w:r>
    </w:p>
    <w:tbl>
      <w:tblPr>
        <w:tblStyle w:val="22"/>
        <w:tblW w:w="496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5"/>
        <w:gridCol w:w="2511"/>
        <w:gridCol w:w="3373"/>
        <w:gridCol w:w="1080"/>
        <w:gridCol w:w="755"/>
      </w:tblGrid>
      <w:tr w14:paraId="7C9347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2" w:hRule="atLeast"/>
        </w:trPr>
        <w:tc>
          <w:tcPr>
            <w:tcW w:w="435" w:type="pct"/>
            <w:tcBorders>
              <w:top w:val="single" w:color="auto" w:sz="4" w:space="0"/>
              <w:left w:val="single" w:color="auto" w:sz="4" w:space="0"/>
              <w:bottom w:val="single" w:color="auto" w:sz="4" w:space="0"/>
              <w:right w:val="single" w:color="auto" w:sz="4" w:space="0"/>
            </w:tcBorders>
            <w:vAlign w:val="center"/>
          </w:tcPr>
          <w:p w14:paraId="6CB72618">
            <w:pPr>
              <w:spacing w:line="300" w:lineRule="auto"/>
              <w:jc w:val="center"/>
              <w:rPr>
                <w:color w:val="auto"/>
                <w:highlight w:val="none"/>
              </w:rPr>
            </w:pPr>
            <w:r>
              <w:rPr>
                <w:rFonts w:hint="eastAsia"/>
                <w:color w:val="auto"/>
                <w:highlight w:val="none"/>
              </w:rPr>
              <w:t>项号</w:t>
            </w:r>
          </w:p>
        </w:tc>
        <w:tc>
          <w:tcPr>
            <w:tcW w:w="1485" w:type="pct"/>
            <w:tcBorders>
              <w:top w:val="single" w:color="auto" w:sz="4" w:space="0"/>
              <w:left w:val="single" w:color="auto" w:sz="4" w:space="0"/>
              <w:bottom w:val="single" w:color="auto" w:sz="4" w:space="0"/>
              <w:right w:val="single" w:color="auto" w:sz="4" w:space="0"/>
            </w:tcBorders>
            <w:vAlign w:val="center"/>
          </w:tcPr>
          <w:p w14:paraId="4D4A389E">
            <w:pPr>
              <w:spacing w:line="300" w:lineRule="auto"/>
              <w:jc w:val="center"/>
              <w:rPr>
                <w:rFonts w:hint="default" w:eastAsia="宋体"/>
                <w:color w:val="auto"/>
                <w:highlight w:val="none"/>
                <w:lang w:val="en-US" w:eastAsia="zh-CN"/>
              </w:rPr>
            </w:pPr>
            <w:r>
              <w:rPr>
                <w:rFonts w:hint="eastAsia"/>
                <w:color w:val="auto"/>
                <w:highlight w:val="none"/>
                <w:lang w:val="en-US" w:eastAsia="zh-CN"/>
              </w:rPr>
              <w:t>项目名称</w:t>
            </w:r>
          </w:p>
        </w:tc>
        <w:tc>
          <w:tcPr>
            <w:tcW w:w="1994" w:type="pct"/>
            <w:tcBorders>
              <w:top w:val="single" w:color="auto" w:sz="4" w:space="0"/>
              <w:left w:val="single" w:color="auto" w:sz="4" w:space="0"/>
              <w:bottom w:val="single" w:color="auto" w:sz="4" w:space="0"/>
              <w:right w:val="single" w:color="auto" w:sz="4" w:space="0"/>
            </w:tcBorders>
            <w:vAlign w:val="center"/>
          </w:tcPr>
          <w:p w14:paraId="73E4784D">
            <w:pPr>
              <w:spacing w:line="300" w:lineRule="auto"/>
              <w:jc w:val="center"/>
              <w:rPr>
                <w:rFonts w:hint="eastAsia" w:eastAsia="宋体"/>
                <w:color w:val="auto"/>
                <w:highlight w:val="none"/>
                <w:lang w:eastAsia="zh-CN"/>
              </w:rPr>
            </w:pPr>
            <w:r>
              <w:rPr>
                <w:rFonts w:hint="eastAsia"/>
                <w:color w:val="auto"/>
                <w:szCs w:val="21"/>
                <w:highlight w:val="none"/>
              </w:rPr>
              <w:t>投标报价</w:t>
            </w:r>
            <w:r>
              <w:rPr>
                <w:rFonts w:hint="eastAsia"/>
                <w:color w:val="auto"/>
                <w:szCs w:val="21"/>
                <w:highlight w:val="none"/>
                <w:lang w:eastAsia="zh-CN"/>
              </w:rPr>
              <w:t>（</w:t>
            </w:r>
            <w:r>
              <w:rPr>
                <w:rFonts w:hint="eastAsia"/>
                <w:color w:val="auto"/>
                <w:szCs w:val="21"/>
                <w:highlight w:val="none"/>
                <w:lang w:val="en-US" w:eastAsia="zh-CN"/>
              </w:rPr>
              <w:t>元</w:t>
            </w:r>
            <w:r>
              <w:rPr>
                <w:rFonts w:hint="eastAsia"/>
                <w:color w:val="auto"/>
                <w:szCs w:val="21"/>
                <w:highlight w:val="none"/>
                <w:lang w:eastAsia="zh-CN"/>
              </w:rPr>
              <w:t>）</w:t>
            </w:r>
          </w:p>
        </w:tc>
        <w:tc>
          <w:tcPr>
            <w:tcW w:w="638" w:type="pct"/>
            <w:tcBorders>
              <w:top w:val="single" w:color="auto" w:sz="4" w:space="0"/>
              <w:left w:val="single" w:color="auto" w:sz="4" w:space="0"/>
              <w:bottom w:val="single" w:color="auto" w:sz="4" w:space="0"/>
              <w:right w:val="single" w:color="auto" w:sz="4" w:space="0"/>
            </w:tcBorders>
            <w:vAlign w:val="center"/>
          </w:tcPr>
          <w:p w14:paraId="1A5A575E">
            <w:pPr>
              <w:spacing w:line="300" w:lineRule="auto"/>
              <w:jc w:val="center"/>
              <w:rPr>
                <w:color w:val="auto"/>
                <w:highlight w:val="none"/>
              </w:rPr>
            </w:pPr>
            <w:r>
              <w:rPr>
                <w:rFonts w:hint="eastAsia"/>
                <w:color w:val="auto"/>
                <w:highlight w:val="none"/>
              </w:rPr>
              <w:t>单位</w:t>
            </w:r>
          </w:p>
        </w:tc>
        <w:tc>
          <w:tcPr>
            <w:tcW w:w="446" w:type="pct"/>
            <w:tcBorders>
              <w:top w:val="single" w:color="auto" w:sz="4" w:space="0"/>
              <w:left w:val="single" w:color="auto" w:sz="4" w:space="0"/>
              <w:bottom w:val="single" w:color="auto" w:sz="4" w:space="0"/>
            </w:tcBorders>
            <w:vAlign w:val="center"/>
          </w:tcPr>
          <w:p w14:paraId="014B9964">
            <w:pPr>
              <w:spacing w:line="300" w:lineRule="auto"/>
              <w:jc w:val="center"/>
              <w:rPr>
                <w:color w:val="auto"/>
                <w:highlight w:val="none"/>
              </w:rPr>
            </w:pPr>
            <w:r>
              <w:rPr>
                <w:rFonts w:hint="eastAsia"/>
                <w:color w:val="auto"/>
                <w:highlight w:val="none"/>
              </w:rPr>
              <w:t>备注</w:t>
            </w:r>
          </w:p>
        </w:tc>
      </w:tr>
      <w:tr w14:paraId="56F399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62" w:hRule="atLeast"/>
        </w:trPr>
        <w:tc>
          <w:tcPr>
            <w:tcW w:w="435" w:type="pct"/>
            <w:tcBorders>
              <w:top w:val="single" w:color="auto" w:sz="4" w:space="0"/>
              <w:left w:val="single" w:color="auto" w:sz="4" w:space="0"/>
              <w:right w:val="single" w:color="auto" w:sz="4" w:space="0"/>
            </w:tcBorders>
            <w:vAlign w:val="center"/>
          </w:tcPr>
          <w:p w14:paraId="63A70615">
            <w:pPr>
              <w:spacing w:line="300" w:lineRule="auto"/>
              <w:jc w:val="center"/>
              <w:rPr>
                <w:rFonts w:hint="eastAsia"/>
                <w:color w:val="auto"/>
                <w:szCs w:val="21"/>
                <w:highlight w:val="none"/>
              </w:rPr>
            </w:pPr>
            <w:r>
              <w:rPr>
                <w:rFonts w:hint="eastAsia"/>
                <w:color w:val="auto"/>
                <w:szCs w:val="21"/>
                <w:highlight w:val="none"/>
              </w:rPr>
              <w:t>1</w:t>
            </w:r>
          </w:p>
          <w:p w14:paraId="18D260F8">
            <w:pPr>
              <w:spacing w:line="300" w:lineRule="auto"/>
              <w:jc w:val="center"/>
              <w:rPr>
                <w:color w:val="auto"/>
                <w:szCs w:val="21"/>
                <w:highlight w:val="none"/>
              </w:rPr>
            </w:pPr>
          </w:p>
        </w:tc>
        <w:tc>
          <w:tcPr>
            <w:tcW w:w="1485" w:type="pct"/>
            <w:tcBorders>
              <w:top w:val="single" w:color="auto" w:sz="4" w:space="0"/>
              <w:left w:val="single" w:color="auto" w:sz="4" w:space="0"/>
              <w:right w:val="single" w:color="auto" w:sz="4" w:space="0"/>
            </w:tcBorders>
            <w:vAlign w:val="center"/>
          </w:tcPr>
          <w:p w14:paraId="5F654ED0">
            <w:pPr>
              <w:spacing w:line="300" w:lineRule="auto"/>
              <w:jc w:val="center"/>
              <w:rPr>
                <w:color w:val="auto"/>
                <w:szCs w:val="21"/>
                <w:highlight w:val="none"/>
              </w:rPr>
            </w:pPr>
          </w:p>
        </w:tc>
        <w:tc>
          <w:tcPr>
            <w:tcW w:w="1994" w:type="pct"/>
            <w:tcBorders>
              <w:top w:val="single" w:color="auto" w:sz="4" w:space="0"/>
              <w:left w:val="single" w:color="auto" w:sz="4" w:space="0"/>
              <w:right w:val="single" w:color="auto" w:sz="4" w:space="0"/>
            </w:tcBorders>
            <w:vAlign w:val="center"/>
          </w:tcPr>
          <w:p w14:paraId="0F786073">
            <w:pPr>
              <w:spacing w:line="300" w:lineRule="auto"/>
              <w:jc w:val="center"/>
              <w:rPr>
                <w:color w:val="auto"/>
                <w:szCs w:val="21"/>
                <w:highlight w:val="none"/>
              </w:rPr>
            </w:pPr>
          </w:p>
        </w:tc>
        <w:tc>
          <w:tcPr>
            <w:tcW w:w="638" w:type="pct"/>
            <w:tcBorders>
              <w:top w:val="single" w:color="auto" w:sz="4" w:space="0"/>
              <w:left w:val="single" w:color="auto" w:sz="4" w:space="0"/>
              <w:right w:val="single" w:color="auto" w:sz="4" w:space="0"/>
            </w:tcBorders>
            <w:vAlign w:val="center"/>
          </w:tcPr>
          <w:p w14:paraId="2015FBF2">
            <w:pPr>
              <w:spacing w:line="300" w:lineRule="auto"/>
              <w:jc w:val="center"/>
              <w:rPr>
                <w:rFonts w:hint="eastAsia" w:eastAsia="宋体"/>
                <w:color w:val="auto"/>
                <w:szCs w:val="21"/>
                <w:highlight w:val="none"/>
                <w:lang w:val="en-US" w:eastAsia="zh-CN"/>
              </w:rPr>
            </w:pPr>
            <w:r>
              <w:rPr>
                <w:rFonts w:hint="eastAsia"/>
                <w:color w:val="auto"/>
                <w:szCs w:val="21"/>
                <w:highlight w:val="none"/>
                <w:lang w:val="en-US" w:eastAsia="zh-CN"/>
              </w:rPr>
              <w:t>元</w:t>
            </w:r>
          </w:p>
        </w:tc>
        <w:tc>
          <w:tcPr>
            <w:tcW w:w="446" w:type="pct"/>
            <w:tcBorders>
              <w:top w:val="single" w:color="auto" w:sz="4" w:space="0"/>
              <w:left w:val="single" w:color="auto" w:sz="4" w:space="0"/>
              <w:bottom w:val="single" w:color="auto" w:sz="4" w:space="0"/>
            </w:tcBorders>
            <w:vAlign w:val="center"/>
          </w:tcPr>
          <w:p w14:paraId="3CBB6421">
            <w:pPr>
              <w:spacing w:line="300" w:lineRule="auto"/>
              <w:jc w:val="center"/>
              <w:rPr>
                <w:b/>
                <w:bCs/>
                <w:color w:val="auto"/>
                <w:highlight w:val="none"/>
              </w:rPr>
            </w:pPr>
          </w:p>
        </w:tc>
      </w:tr>
    </w:tbl>
    <w:p w14:paraId="6DD9A7E1">
      <w:pPr>
        <w:spacing w:line="300" w:lineRule="auto"/>
        <w:rPr>
          <w:color w:val="auto"/>
          <w:szCs w:val="21"/>
          <w:highlight w:val="none"/>
        </w:rPr>
      </w:pPr>
    </w:p>
    <w:p w14:paraId="0D1EFCB4">
      <w:pPr>
        <w:pStyle w:val="13"/>
        <w:spacing w:line="320" w:lineRule="exact"/>
        <w:ind w:firstLine="420"/>
        <w:rPr>
          <w:rFonts w:hAnsi="宋体" w:cs="宋体"/>
          <w:bCs/>
          <w:color w:val="auto"/>
          <w:szCs w:val="21"/>
          <w:highlight w:val="none"/>
          <w:u w:val="single"/>
        </w:rPr>
      </w:pPr>
      <w:r>
        <w:rPr>
          <w:rFonts w:hint="eastAsia" w:hAnsi="宋体" w:cs="宋体"/>
          <w:bCs/>
          <w:color w:val="auto"/>
          <w:szCs w:val="21"/>
          <w:highlight w:val="none"/>
        </w:rPr>
        <w:t>投标人[公章(CA签章)、自然人除外]：</w:t>
      </w:r>
      <w:r>
        <w:rPr>
          <w:rFonts w:hint="eastAsia" w:hAnsi="宋体" w:cs="宋体"/>
          <w:bCs/>
          <w:color w:val="auto"/>
          <w:szCs w:val="21"/>
          <w:highlight w:val="none"/>
          <w:u w:val="single"/>
        </w:rPr>
        <w:t xml:space="preserve">                              </w:t>
      </w:r>
    </w:p>
    <w:p w14:paraId="47E1A9D8">
      <w:pPr>
        <w:pStyle w:val="13"/>
        <w:spacing w:line="320" w:lineRule="exact"/>
        <w:ind w:firstLine="420"/>
        <w:rPr>
          <w:rFonts w:hAnsi="宋体" w:cs="宋体"/>
          <w:color w:val="auto"/>
          <w:szCs w:val="21"/>
          <w:highlight w:val="none"/>
          <w:u w:val="single"/>
        </w:rPr>
      </w:pPr>
      <w:r>
        <w:rPr>
          <w:rFonts w:hint="eastAsia" w:hAnsi="宋体" w:cs="宋体"/>
          <w:color w:val="auto"/>
          <w:szCs w:val="21"/>
          <w:highlight w:val="none"/>
        </w:rPr>
        <w:t>法定代表人、负责人、自然人或相应的委托代理人签字[或盖章(CA签章)]（属自然人的应在签名处加盖大拇指指印或个人CA签章）：</w:t>
      </w:r>
      <w:r>
        <w:rPr>
          <w:rFonts w:hint="eastAsia" w:hAnsi="宋体" w:cs="宋体"/>
          <w:color w:val="auto"/>
          <w:szCs w:val="21"/>
          <w:highlight w:val="none"/>
          <w:u w:val="single"/>
        </w:rPr>
        <w:t xml:space="preserve">              </w:t>
      </w:r>
    </w:p>
    <w:p w14:paraId="3137A7C5">
      <w:pPr>
        <w:pStyle w:val="13"/>
        <w:spacing w:line="320" w:lineRule="exact"/>
        <w:ind w:firstLine="420"/>
        <w:rPr>
          <w:rFonts w:hAnsi="宋体" w:cs="宋体"/>
          <w:color w:val="auto"/>
          <w:szCs w:val="21"/>
          <w:highlight w:val="none"/>
          <w:u w:val="single"/>
        </w:rPr>
      </w:pPr>
      <w:r>
        <w:rPr>
          <w:rFonts w:hint="eastAsia" w:hAnsi="宋体" w:cs="宋体"/>
          <w:color w:val="auto"/>
          <w:szCs w:val="21"/>
          <w:highlight w:val="none"/>
        </w:rPr>
        <w:t>日期：</w:t>
      </w:r>
      <w:r>
        <w:rPr>
          <w:rFonts w:hint="eastAsia" w:hAnsi="宋体" w:cs="宋体"/>
          <w:color w:val="auto"/>
          <w:szCs w:val="21"/>
          <w:highlight w:val="none"/>
          <w:u w:val="single"/>
        </w:rPr>
        <w:t xml:space="preserve">                               </w:t>
      </w:r>
    </w:p>
    <w:p w14:paraId="39107B87">
      <w:pPr>
        <w:spacing w:line="300" w:lineRule="auto"/>
        <w:rPr>
          <w:color w:val="auto"/>
          <w:highlight w:val="none"/>
        </w:rPr>
      </w:pPr>
    </w:p>
    <w:p w14:paraId="4149887B">
      <w:pPr>
        <w:tabs>
          <w:tab w:val="left" w:pos="1305"/>
        </w:tabs>
        <w:spacing w:line="300" w:lineRule="auto"/>
        <w:ind w:firstLine="205" w:firstLineChars="98"/>
        <w:rPr>
          <w:bCs/>
          <w:color w:val="auto"/>
          <w:szCs w:val="21"/>
          <w:highlight w:val="none"/>
        </w:rPr>
      </w:pPr>
      <w:r>
        <w:rPr>
          <w:rFonts w:hint="eastAsia"/>
          <w:bCs/>
          <w:color w:val="auto"/>
          <w:szCs w:val="21"/>
          <w:highlight w:val="none"/>
        </w:rPr>
        <w:t>注</w:t>
      </w:r>
      <w:r>
        <w:rPr>
          <w:rFonts w:hint="eastAsia"/>
          <w:b/>
          <w:bCs/>
          <w:color w:val="auto"/>
          <w:szCs w:val="21"/>
          <w:highlight w:val="none"/>
        </w:rPr>
        <w:t>：</w:t>
      </w:r>
      <w:r>
        <w:rPr>
          <w:rFonts w:hint="eastAsia"/>
          <w:bCs/>
          <w:color w:val="auto"/>
          <w:szCs w:val="21"/>
          <w:highlight w:val="none"/>
        </w:rPr>
        <w:t>1.各投标人</w:t>
      </w:r>
      <w:r>
        <w:rPr>
          <w:rFonts w:hint="eastAsia"/>
          <w:color w:val="auto"/>
          <w:szCs w:val="21"/>
          <w:highlight w:val="none"/>
        </w:rPr>
        <w:t>必须就“采购需求”中所投标的所有内容作完整唯一报价，否则，其投标将被拒绝。投标文件每个报价项只允许有一个报价。</w:t>
      </w:r>
    </w:p>
    <w:p w14:paraId="62B69D01">
      <w:pPr>
        <w:pStyle w:val="13"/>
        <w:spacing w:line="300" w:lineRule="auto"/>
        <w:ind w:firstLine="660" w:firstLineChars="300"/>
        <w:rPr>
          <w:rFonts w:hAnsi="宋体" w:cs="宋体"/>
          <w:color w:val="auto"/>
          <w:sz w:val="22"/>
          <w:szCs w:val="22"/>
          <w:highlight w:val="none"/>
        </w:rPr>
      </w:pPr>
      <w:r>
        <w:rPr>
          <w:rFonts w:hint="eastAsia" w:hAnsi="宋体" w:cs="宋体"/>
          <w:color w:val="auto"/>
          <w:sz w:val="22"/>
          <w:szCs w:val="22"/>
          <w:highlight w:val="none"/>
        </w:rPr>
        <w:t>2.投标人应据实填写投标报价表</w:t>
      </w:r>
      <w:r>
        <w:rPr>
          <w:rFonts w:hint="eastAsia" w:hAnsi="宋体" w:cs="宋体"/>
          <w:bCs/>
          <w:color w:val="auto"/>
          <w:sz w:val="22"/>
          <w:szCs w:val="22"/>
          <w:highlight w:val="none"/>
        </w:rPr>
        <w:t>的各项内容。</w:t>
      </w:r>
    </w:p>
    <w:p w14:paraId="4D4C3DC2">
      <w:pPr>
        <w:pStyle w:val="13"/>
        <w:spacing w:line="300" w:lineRule="auto"/>
        <w:ind w:left="630" w:leftChars="300"/>
        <w:rPr>
          <w:rFonts w:hAnsi="宋体" w:cs="宋体"/>
          <w:bCs/>
          <w:color w:val="auto"/>
          <w:sz w:val="22"/>
          <w:szCs w:val="22"/>
          <w:highlight w:val="none"/>
        </w:rPr>
      </w:pPr>
      <w:r>
        <w:rPr>
          <w:rFonts w:hint="eastAsia" w:hAnsi="宋体" w:cs="宋体"/>
          <w:color w:val="auto"/>
          <w:sz w:val="22"/>
          <w:szCs w:val="22"/>
          <w:highlight w:val="none"/>
        </w:rPr>
        <w:t>3.投标报价表须由法定代表人、负责人或相应的委托代理人</w:t>
      </w:r>
      <w:r>
        <w:rPr>
          <w:rFonts w:hint="eastAsia" w:hAnsi="宋体" w:cs="宋体"/>
          <w:color w:val="auto"/>
          <w:highlight w:val="none"/>
        </w:rPr>
        <w:t>签字或个人CA签章（属自然人的应在签名处加盖食指指印或个人CA签章）并加盖投标人CA签章（自然人除外）</w:t>
      </w:r>
      <w:r>
        <w:rPr>
          <w:rFonts w:hint="eastAsia" w:hAnsi="宋体" w:cs="宋体"/>
          <w:color w:val="auto"/>
          <w:sz w:val="22"/>
          <w:szCs w:val="22"/>
          <w:highlight w:val="none"/>
        </w:rPr>
        <w:t>。</w:t>
      </w:r>
    </w:p>
    <w:p w14:paraId="51DE0FC1">
      <w:pPr>
        <w:pStyle w:val="37"/>
        <w:numPr>
          <w:ilvl w:val="0"/>
          <w:numId w:val="0"/>
        </w:numPr>
        <w:spacing w:before="164" w:after="164"/>
        <w:rPr>
          <w:rFonts w:ascii="宋体" w:hAnsi="宋体" w:cs="宋体"/>
          <w:b/>
          <w:bCs/>
          <w:color w:val="auto"/>
          <w:sz w:val="28"/>
          <w:szCs w:val="28"/>
          <w:highlight w:val="none"/>
        </w:rPr>
      </w:pPr>
      <w:r>
        <w:rPr>
          <w:rFonts w:hint="eastAsia" w:hAnsi="宋体" w:cs="宋体"/>
          <w:b/>
          <w:bCs/>
          <w:color w:val="auto"/>
          <w:sz w:val="28"/>
          <w:szCs w:val="28"/>
          <w:highlight w:val="none"/>
        </w:rPr>
        <w:br w:type="page"/>
      </w:r>
      <w:bookmarkStart w:id="79" w:name="_Toc16627"/>
      <w:r>
        <w:rPr>
          <w:rFonts w:hint="eastAsia" w:ascii="宋体" w:hAnsi="宋体" w:cs="宋体"/>
          <w:b/>
          <w:bCs/>
          <w:color w:val="auto"/>
          <w:sz w:val="28"/>
          <w:szCs w:val="28"/>
          <w:highlight w:val="none"/>
          <w:lang w:val="en-US" w:eastAsia="zh-CN"/>
        </w:rPr>
        <w:t>二</w:t>
      </w:r>
      <w:r>
        <w:rPr>
          <w:rFonts w:hint="eastAsia" w:ascii="宋体" w:hAnsi="宋体" w:cs="宋体"/>
          <w:b/>
          <w:bCs/>
          <w:color w:val="auto"/>
          <w:sz w:val="28"/>
          <w:szCs w:val="28"/>
          <w:highlight w:val="none"/>
        </w:rPr>
        <w:t>、投标人相应的法定代表人身份证正反面复印件</w:t>
      </w:r>
      <w:bookmarkEnd w:id="74"/>
      <w:bookmarkEnd w:id="75"/>
      <w:r>
        <w:rPr>
          <w:rFonts w:hint="eastAsia" w:ascii="宋体" w:hAnsi="宋体" w:cs="宋体"/>
          <w:b/>
          <w:bCs/>
          <w:color w:val="auto"/>
          <w:sz w:val="28"/>
          <w:szCs w:val="28"/>
          <w:highlight w:val="none"/>
        </w:rPr>
        <w:t>（必须提供）</w:t>
      </w:r>
      <w:bookmarkEnd w:id="76"/>
      <w:bookmarkEnd w:id="77"/>
      <w:bookmarkEnd w:id="78"/>
      <w:bookmarkEnd w:id="79"/>
    </w:p>
    <w:p w14:paraId="3A0031BD">
      <w:pPr>
        <w:pStyle w:val="37"/>
        <w:numPr>
          <w:ilvl w:val="0"/>
          <w:numId w:val="0"/>
        </w:numPr>
        <w:spacing w:before="164" w:after="164"/>
        <w:rPr>
          <w:rFonts w:ascii="宋体" w:hAnsi="宋体" w:cs="宋体"/>
          <w:b/>
          <w:bCs/>
          <w:color w:val="auto"/>
          <w:sz w:val="28"/>
          <w:szCs w:val="28"/>
          <w:highlight w:val="none"/>
        </w:rPr>
      </w:pPr>
      <w:r>
        <w:rPr>
          <w:rFonts w:hint="eastAsia" w:ascii="宋体" w:hAnsi="宋体" w:cs="宋体"/>
          <w:color w:val="auto"/>
          <w:highlight w:val="none"/>
        </w:rPr>
        <w:br w:type="page"/>
      </w:r>
      <w:bookmarkStart w:id="80" w:name="_Toc24461686"/>
      <w:bookmarkStart w:id="81" w:name="_Toc25012971"/>
      <w:bookmarkStart w:id="82" w:name="_Toc51540430"/>
      <w:bookmarkStart w:id="83" w:name="_Toc9317"/>
      <w:bookmarkStart w:id="84" w:name="_Toc26454"/>
      <w:bookmarkStart w:id="85" w:name="_Toc82445292"/>
      <w:r>
        <w:rPr>
          <w:rFonts w:hint="eastAsia" w:ascii="宋体" w:hAnsi="宋体" w:cs="宋体"/>
          <w:b/>
          <w:bCs/>
          <w:color w:val="auto"/>
          <w:sz w:val="28"/>
          <w:szCs w:val="28"/>
          <w:highlight w:val="none"/>
          <w:lang w:val="en-US" w:eastAsia="zh-CN"/>
        </w:rPr>
        <w:t>三</w:t>
      </w:r>
      <w:r>
        <w:rPr>
          <w:rFonts w:hint="eastAsia" w:ascii="宋体" w:hAnsi="宋体" w:cs="宋体"/>
          <w:b/>
          <w:bCs/>
          <w:color w:val="auto"/>
          <w:sz w:val="28"/>
          <w:szCs w:val="28"/>
          <w:highlight w:val="none"/>
        </w:rPr>
        <w:t>、投标人的授权委托书原件、委托代理人身份证正反面复印件</w:t>
      </w:r>
      <w:bookmarkEnd w:id="80"/>
      <w:bookmarkEnd w:id="81"/>
      <w:r>
        <w:rPr>
          <w:rFonts w:hint="eastAsia" w:ascii="宋体" w:hAnsi="宋体" w:cs="宋体"/>
          <w:b/>
          <w:bCs/>
          <w:color w:val="auto"/>
          <w:sz w:val="28"/>
          <w:szCs w:val="28"/>
          <w:highlight w:val="none"/>
        </w:rPr>
        <w:t>（委托代理时必须提供）</w:t>
      </w:r>
      <w:bookmarkEnd w:id="82"/>
      <w:bookmarkEnd w:id="83"/>
      <w:bookmarkEnd w:id="84"/>
      <w:bookmarkEnd w:id="85"/>
    </w:p>
    <w:p w14:paraId="450B9612">
      <w:pPr>
        <w:pStyle w:val="41"/>
        <w:ind w:firstLine="420"/>
        <w:rPr>
          <w:rFonts w:cs="宋体"/>
          <w:color w:val="auto"/>
          <w:highlight w:val="none"/>
        </w:rPr>
      </w:pPr>
    </w:p>
    <w:p w14:paraId="77BA2BD2">
      <w:pPr>
        <w:pStyle w:val="13"/>
        <w:spacing w:line="300" w:lineRule="auto"/>
        <w:jc w:val="center"/>
        <w:rPr>
          <w:rFonts w:hAnsi="宋体" w:cs="宋体"/>
          <w:b/>
          <w:color w:val="auto"/>
          <w:sz w:val="32"/>
          <w:highlight w:val="none"/>
        </w:rPr>
      </w:pPr>
      <w:r>
        <w:rPr>
          <w:rFonts w:hint="eastAsia" w:hAnsi="宋体" w:cs="宋体"/>
          <w:b/>
          <w:color w:val="auto"/>
          <w:sz w:val="32"/>
          <w:highlight w:val="none"/>
        </w:rPr>
        <w:t>授权委托书</w:t>
      </w:r>
    </w:p>
    <w:p w14:paraId="10BC39F2">
      <w:pPr>
        <w:pStyle w:val="13"/>
        <w:spacing w:line="300" w:lineRule="auto"/>
        <w:rPr>
          <w:rFonts w:hAnsi="宋体" w:cs="宋体"/>
          <w:b/>
          <w:color w:val="auto"/>
          <w:sz w:val="32"/>
          <w:highlight w:val="none"/>
        </w:rPr>
      </w:pPr>
      <w:r>
        <w:rPr>
          <w:rFonts w:hint="eastAsia" w:hAnsi="宋体" w:cs="宋体"/>
          <w:b/>
          <w:color w:val="auto"/>
          <w:szCs w:val="21"/>
          <w:highlight w:val="none"/>
        </w:rPr>
        <w:t>致</w:t>
      </w:r>
      <w:r>
        <w:rPr>
          <w:rFonts w:hint="eastAsia" w:hAnsi="宋体" w:cs="宋体"/>
          <w:color w:val="auto"/>
          <w:szCs w:val="21"/>
          <w:highlight w:val="none"/>
        </w:rPr>
        <w:t>：</w:t>
      </w:r>
      <w:r>
        <w:rPr>
          <w:rFonts w:hint="eastAsia" w:hAnsi="宋体" w:cs="宋体"/>
          <w:color w:val="auto"/>
          <w:szCs w:val="21"/>
          <w:highlight w:val="none"/>
          <w:u w:val="single"/>
        </w:rPr>
        <w:t>（采购代理机构）</w:t>
      </w:r>
    </w:p>
    <w:p w14:paraId="688004AE">
      <w:pPr>
        <w:spacing w:line="300" w:lineRule="auto"/>
        <w:rPr>
          <w:color w:val="auto"/>
          <w:highlight w:val="none"/>
        </w:rPr>
      </w:pPr>
    </w:p>
    <w:p w14:paraId="0BB9436E">
      <w:pPr>
        <w:pStyle w:val="13"/>
        <w:spacing w:line="300" w:lineRule="auto"/>
        <w:ind w:firstLine="525" w:firstLineChars="250"/>
        <w:rPr>
          <w:rFonts w:hAnsi="宋体" w:cs="宋体"/>
          <w:color w:val="auto"/>
          <w:highlight w:val="none"/>
        </w:rPr>
      </w:pPr>
      <w:r>
        <w:rPr>
          <w:rFonts w:hint="eastAsia" w:hAnsi="宋体" w:cs="宋体"/>
          <w:color w:val="auto"/>
          <w:kern w:val="0"/>
          <w:highlight w:val="none"/>
        </w:rPr>
        <w:t>我</w:t>
      </w:r>
      <w:r>
        <w:rPr>
          <w:rFonts w:hint="eastAsia" w:hAnsi="宋体" w:cs="宋体"/>
          <w:color w:val="auto"/>
          <w:kern w:val="0"/>
          <w:highlight w:val="none"/>
          <w:u w:val="single"/>
        </w:rPr>
        <w:t>（姓名）</w:t>
      </w:r>
      <w:r>
        <w:rPr>
          <w:rFonts w:hint="eastAsia" w:hAnsi="宋体" w:cs="宋体"/>
          <w:color w:val="auto"/>
          <w:kern w:val="0"/>
          <w:highlight w:val="none"/>
        </w:rPr>
        <w:t>系</w:t>
      </w:r>
      <w:r>
        <w:rPr>
          <w:rFonts w:hint="eastAsia" w:hAnsi="宋体" w:cs="宋体"/>
          <w:color w:val="auto"/>
          <w:kern w:val="0"/>
          <w:highlight w:val="none"/>
          <w:u w:val="single"/>
        </w:rPr>
        <w:t>（投标人名称）</w:t>
      </w:r>
      <w:r>
        <w:rPr>
          <w:rFonts w:hint="eastAsia" w:hAnsi="宋体" w:cs="宋体"/>
          <w:color w:val="auto"/>
          <w:kern w:val="0"/>
          <w:highlight w:val="none"/>
        </w:rPr>
        <w:t>的法定代表人（负责人），现授权委托本单位在职职工</w:t>
      </w:r>
      <w:r>
        <w:rPr>
          <w:rFonts w:hint="eastAsia" w:hAnsi="宋体" w:cs="宋体"/>
          <w:color w:val="auto"/>
          <w:kern w:val="0"/>
          <w:highlight w:val="none"/>
          <w:u w:val="single"/>
        </w:rPr>
        <w:t>（姓名）</w:t>
      </w:r>
      <w:r>
        <w:rPr>
          <w:rFonts w:hint="eastAsia" w:hAnsi="宋体" w:cs="宋体"/>
          <w:color w:val="auto"/>
          <w:kern w:val="0"/>
          <w:highlight w:val="none"/>
        </w:rPr>
        <w:t>以我公司名义参加</w:t>
      </w:r>
      <w:r>
        <w:rPr>
          <w:rFonts w:hint="eastAsia" w:hAnsi="宋体" w:cs="宋体"/>
          <w:color w:val="auto"/>
          <w:highlight w:val="none"/>
          <w:u w:val="single"/>
        </w:rPr>
        <w:t>（项目名称、项目编号）</w:t>
      </w:r>
      <w:r>
        <w:rPr>
          <w:rFonts w:hint="eastAsia" w:hAnsi="宋体" w:cs="宋体"/>
          <w:color w:val="auto"/>
          <w:highlight w:val="none"/>
        </w:rPr>
        <w:t>项目的投标活动，并代表我方全权办理针对上述项目的投标、开标、评标、签约等具体事务和签署相关文件。</w:t>
      </w:r>
    </w:p>
    <w:p w14:paraId="3D9428A7">
      <w:pPr>
        <w:pStyle w:val="13"/>
        <w:spacing w:line="300" w:lineRule="auto"/>
        <w:ind w:firstLine="420" w:firstLineChars="200"/>
        <w:rPr>
          <w:rFonts w:hAnsi="宋体" w:cs="宋体"/>
          <w:color w:val="auto"/>
          <w:highlight w:val="none"/>
        </w:rPr>
      </w:pPr>
      <w:r>
        <w:rPr>
          <w:rFonts w:hint="eastAsia" w:hAnsi="宋体" w:cs="宋体"/>
          <w:color w:val="auto"/>
          <w:highlight w:val="none"/>
        </w:rPr>
        <w:t>我方对被授权人的签字事项负全部责任。</w:t>
      </w:r>
    </w:p>
    <w:p w14:paraId="5BFC30FF">
      <w:pPr>
        <w:pStyle w:val="13"/>
        <w:spacing w:line="300" w:lineRule="auto"/>
        <w:ind w:firstLine="420" w:firstLineChars="200"/>
        <w:rPr>
          <w:rFonts w:hAnsi="宋体" w:cs="宋体"/>
          <w:color w:val="auto"/>
          <w:highlight w:val="none"/>
          <w:u w:val="single"/>
        </w:rPr>
      </w:pPr>
      <w:r>
        <w:rPr>
          <w:rFonts w:hint="eastAsia" w:hAnsi="宋体" w:cs="宋体"/>
          <w:color w:val="auto"/>
          <w:highlight w:val="none"/>
        </w:rPr>
        <w:t>授权委托代理期限：从  年  月  日起至  年  月  日止。</w:t>
      </w:r>
    </w:p>
    <w:p w14:paraId="6552FCAE">
      <w:pPr>
        <w:pStyle w:val="13"/>
        <w:spacing w:line="300" w:lineRule="auto"/>
        <w:rPr>
          <w:rFonts w:hAnsi="宋体" w:cs="宋体"/>
          <w:color w:val="auto"/>
          <w:highlight w:val="none"/>
          <w:u w:val="single"/>
        </w:rPr>
      </w:pPr>
    </w:p>
    <w:p w14:paraId="7165EF88">
      <w:pPr>
        <w:spacing w:line="300" w:lineRule="auto"/>
        <w:ind w:firstLine="420" w:firstLineChars="200"/>
        <w:rPr>
          <w:color w:val="auto"/>
          <w:highlight w:val="none"/>
        </w:rPr>
      </w:pPr>
      <w:r>
        <w:rPr>
          <w:rFonts w:hint="eastAsia"/>
          <w:color w:val="auto"/>
          <w:highlight w:val="none"/>
        </w:rPr>
        <w:t>代理人无转委托权,特此委托。</w:t>
      </w:r>
    </w:p>
    <w:p w14:paraId="7A545473">
      <w:pPr>
        <w:spacing w:line="300" w:lineRule="auto"/>
        <w:rPr>
          <w:color w:val="auto"/>
          <w:highlight w:val="none"/>
        </w:rPr>
      </w:pPr>
    </w:p>
    <w:p w14:paraId="23A1C4C9">
      <w:pPr>
        <w:pStyle w:val="41"/>
        <w:ind w:firstLine="420"/>
        <w:rPr>
          <w:rFonts w:cs="宋体"/>
          <w:color w:val="auto"/>
          <w:highlight w:val="none"/>
        </w:rPr>
      </w:pPr>
      <w:r>
        <w:rPr>
          <w:rFonts w:hint="eastAsia" w:cs="宋体"/>
          <w:color w:val="auto"/>
          <w:highlight w:val="none"/>
        </w:rPr>
        <w:t>我已在下面签字，以资证明。</w:t>
      </w:r>
    </w:p>
    <w:p w14:paraId="2EB2FDBD">
      <w:pPr>
        <w:spacing w:line="300" w:lineRule="auto"/>
        <w:rPr>
          <w:color w:val="auto"/>
          <w:highlight w:val="none"/>
        </w:rPr>
      </w:pPr>
    </w:p>
    <w:p w14:paraId="54E16887">
      <w:pPr>
        <w:spacing w:line="300" w:lineRule="auto"/>
        <w:rPr>
          <w:color w:val="auto"/>
          <w:highlight w:val="none"/>
        </w:rPr>
      </w:pPr>
    </w:p>
    <w:p w14:paraId="245A90D3">
      <w:pPr>
        <w:pStyle w:val="13"/>
        <w:spacing w:line="320" w:lineRule="exact"/>
        <w:ind w:firstLine="420"/>
        <w:rPr>
          <w:rFonts w:hAnsi="宋体" w:cs="宋体"/>
          <w:bCs/>
          <w:color w:val="auto"/>
          <w:szCs w:val="21"/>
          <w:highlight w:val="none"/>
          <w:u w:val="single"/>
        </w:rPr>
      </w:pPr>
      <w:r>
        <w:rPr>
          <w:rFonts w:hint="eastAsia" w:hAnsi="宋体" w:cs="宋体"/>
          <w:bCs/>
          <w:color w:val="auto"/>
          <w:szCs w:val="21"/>
          <w:highlight w:val="none"/>
        </w:rPr>
        <w:t>投标人[公章(CA签章)、自然人除外]：</w:t>
      </w:r>
      <w:r>
        <w:rPr>
          <w:rFonts w:hint="eastAsia" w:hAnsi="宋体" w:cs="宋体"/>
          <w:bCs/>
          <w:color w:val="auto"/>
          <w:szCs w:val="21"/>
          <w:highlight w:val="none"/>
          <w:u w:val="single"/>
        </w:rPr>
        <w:t xml:space="preserve">                              </w:t>
      </w:r>
    </w:p>
    <w:p w14:paraId="20B37AF5">
      <w:pPr>
        <w:pStyle w:val="13"/>
        <w:spacing w:line="320" w:lineRule="exact"/>
        <w:ind w:firstLine="420"/>
        <w:rPr>
          <w:rFonts w:hAnsi="宋体" w:cs="宋体"/>
          <w:color w:val="auto"/>
          <w:szCs w:val="21"/>
          <w:highlight w:val="none"/>
          <w:u w:val="single"/>
        </w:rPr>
      </w:pPr>
      <w:r>
        <w:rPr>
          <w:rFonts w:hint="eastAsia" w:hAnsi="宋体" w:cs="宋体"/>
          <w:color w:val="auto"/>
          <w:szCs w:val="21"/>
          <w:highlight w:val="none"/>
        </w:rPr>
        <w:t>法定代表人、负责人、自然人或相应的委托代理人签字[或盖章(CA签章)]（属自然人的应在签名处加盖大拇指指印或个人CA签章）：</w:t>
      </w:r>
      <w:r>
        <w:rPr>
          <w:rFonts w:hint="eastAsia" w:hAnsi="宋体" w:cs="宋体"/>
          <w:color w:val="auto"/>
          <w:szCs w:val="21"/>
          <w:highlight w:val="none"/>
          <w:u w:val="single"/>
        </w:rPr>
        <w:t xml:space="preserve">              </w:t>
      </w:r>
    </w:p>
    <w:p w14:paraId="5FEAD918">
      <w:pPr>
        <w:pStyle w:val="13"/>
        <w:spacing w:line="320" w:lineRule="exact"/>
        <w:ind w:firstLine="420" w:firstLineChars="200"/>
        <w:rPr>
          <w:rFonts w:hAnsi="宋体" w:cs="宋体"/>
          <w:color w:val="auto"/>
          <w:szCs w:val="21"/>
          <w:highlight w:val="none"/>
          <w:u w:val="single"/>
        </w:rPr>
      </w:pPr>
      <w:r>
        <w:rPr>
          <w:rFonts w:hint="eastAsia" w:hAnsi="宋体" w:cs="宋体"/>
          <w:color w:val="auto"/>
          <w:szCs w:val="21"/>
          <w:highlight w:val="none"/>
        </w:rPr>
        <w:t>日期：</w:t>
      </w:r>
      <w:r>
        <w:rPr>
          <w:rFonts w:hint="eastAsia" w:hAnsi="宋体" w:cs="宋体"/>
          <w:color w:val="auto"/>
          <w:szCs w:val="21"/>
          <w:highlight w:val="none"/>
          <w:u w:val="single"/>
        </w:rPr>
        <w:t xml:space="preserve">                               </w:t>
      </w:r>
    </w:p>
    <w:p w14:paraId="2D8619E8">
      <w:pPr>
        <w:spacing w:line="300" w:lineRule="auto"/>
        <w:rPr>
          <w:color w:val="auto"/>
          <w:highlight w:val="none"/>
        </w:rPr>
      </w:pPr>
    </w:p>
    <w:p w14:paraId="32905B84">
      <w:pPr>
        <w:pStyle w:val="41"/>
        <w:ind w:firstLine="420"/>
        <w:rPr>
          <w:rFonts w:cs="宋体"/>
          <w:color w:val="auto"/>
          <w:highlight w:val="none"/>
        </w:rPr>
      </w:pPr>
      <w:r>
        <w:rPr>
          <w:rFonts w:hint="eastAsia" w:cs="宋体"/>
          <w:color w:val="auto"/>
          <w:highlight w:val="none"/>
        </w:rPr>
        <w:t>附：委托代理人身份证正反面复印件（委托代理时必须提供）。</w:t>
      </w:r>
    </w:p>
    <w:p w14:paraId="692C0D53">
      <w:pPr>
        <w:spacing w:line="300" w:lineRule="auto"/>
        <w:rPr>
          <w:color w:val="auto"/>
          <w:highlight w:val="none"/>
        </w:rPr>
      </w:pPr>
    </w:p>
    <w:p w14:paraId="4D83A4A2">
      <w:pPr>
        <w:spacing w:line="300" w:lineRule="auto"/>
        <w:rPr>
          <w:color w:val="auto"/>
          <w:highlight w:val="none"/>
        </w:rPr>
      </w:pPr>
    </w:p>
    <w:p w14:paraId="3F12C724">
      <w:pPr>
        <w:pStyle w:val="13"/>
        <w:spacing w:line="300" w:lineRule="auto"/>
        <w:rPr>
          <w:rFonts w:ascii="宋体" w:hAnsi="宋体" w:cs="宋体"/>
          <w:b/>
          <w:bCs w:val="0"/>
          <w:color w:val="auto"/>
          <w:sz w:val="28"/>
          <w:szCs w:val="28"/>
          <w:highlight w:val="none"/>
        </w:rPr>
      </w:pPr>
      <w:r>
        <w:rPr>
          <w:rFonts w:hint="eastAsia" w:hAnsi="宋体" w:cs="宋体"/>
          <w:b/>
          <w:color w:val="auto"/>
          <w:sz w:val="32"/>
          <w:highlight w:val="none"/>
        </w:rPr>
        <w:br w:type="page"/>
      </w:r>
      <w:bookmarkStart w:id="86" w:name="_Toc25012973"/>
      <w:bookmarkStart w:id="87" w:name="_Toc24461688"/>
      <w:bookmarkStart w:id="88" w:name="_Toc12375"/>
      <w:bookmarkStart w:id="89" w:name="_Toc82445294"/>
      <w:bookmarkStart w:id="90" w:name="_Toc51540432"/>
    </w:p>
    <w:p w14:paraId="62378919">
      <w:pPr>
        <w:spacing w:line="300" w:lineRule="auto"/>
        <w:rPr>
          <w:rFonts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四</w:t>
      </w:r>
      <w:r>
        <w:rPr>
          <w:rFonts w:hint="eastAsia" w:ascii="宋体" w:hAnsi="宋体" w:cs="宋体"/>
          <w:b/>
          <w:bCs/>
          <w:color w:val="auto"/>
          <w:sz w:val="28"/>
          <w:szCs w:val="28"/>
          <w:highlight w:val="none"/>
        </w:rPr>
        <w:t>、投标人的法人或者其他组织营业执照副本</w:t>
      </w:r>
      <w:bookmarkEnd w:id="86"/>
      <w:bookmarkEnd w:id="87"/>
      <w:r>
        <w:rPr>
          <w:rFonts w:hint="eastAsia" w:ascii="宋体" w:hAnsi="宋体" w:cs="宋体"/>
          <w:b/>
          <w:bCs/>
          <w:color w:val="auto"/>
          <w:sz w:val="28"/>
          <w:szCs w:val="28"/>
          <w:highlight w:val="none"/>
        </w:rPr>
        <w:t>（必须提供）</w:t>
      </w:r>
      <w:bookmarkEnd w:id="88"/>
      <w:bookmarkEnd w:id="89"/>
      <w:bookmarkEnd w:id="90"/>
    </w:p>
    <w:p w14:paraId="66BCC38C">
      <w:pPr>
        <w:pStyle w:val="41"/>
        <w:ind w:firstLine="562"/>
        <w:rPr>
          <w:rFonts w:cs="宋体"/>
          <w:b/>
          <w:bCs/>
          <w:color w:val="auto"/>
          <w:sz w:val="28"/>
          <w:szCs w:val="28"/>
          <w:highlight w:val="none"/>
        </w:rPr>
      </w:pPr>
    </w:p>
    <w:p w14:paraId="03CDC1C1">
      <w:pPr>
        <w:pStyle w:val="41"/>
        <w:ind w:firstLine="562"/>
        <w:rPr>
          <w:rFonts w:cs="宋体"/>
          <w:b/>
          <w:bCs/>
          <w:color w:val="auto"/>
          <w:sz w:val="28"/>
          <w:szCs w:val="28"/>
          <w:highlight w:val="none"/>
        </w:rPr>
      </w:pPr>
    </w:p>
    <w:p w14:paraId="1F6FEBFB">
      <w:pPr>
        <w:pStyle w:val="41"/>
        <w:ind w:firstLine="562"/>
        <w:rPr>
          <w:rFonts w:cs="宋体"/>
          <w:b/>
          <w:bCs/>
          <w:color w:val="auto"/>
          <w:sz w:val="28"/>
          <w:szCs w:val="28"/>
          <w:highlight w:val="none"/>
        </w:rPr>
      </w:pPr>
    </w:p>
    <w:p w14:paraId="267B2895">
      <w:pPr>
        <w:spacing w:line="300" w:lineRule="auto"/>
        <w:rPr>
          <w:color w:val="auto"/>
          <w:highlight w:val="none"/>
        </w:rPr>
      </w:pPr>
    </w:p>
    <w:p w14:paraId="7472A3CB">
      <w:pPr>
        <w:pStyle w:val="37"/>
        <w:numPr>
          <w:ilvl w:val="0"/>
          <w:numId w:val="0"/>
        </w:numPr>
        <w:spacing w:before="164" w:after="164"/>
        <w:rPr>
          <w:rFonts w:ascii="宋体" w:hAnsi="宋体" w:cs="宋体"/>
          <w:b/>
          <w:bCs/>
          <w:color w:val="auto"/>
          <w:sz w:val="28"/>
          <w:szCs w:val="28"/>
          <w:highlight w:val="none"/>
        </w:rPr>
      </w:pPr>
      <w:bookmarkStart w:id="91" w:name="_Toc24461691"/>
      <w:bookmarkStart w:id="92" w:name="_Toc25012975"/>
      <w:bookmarkStart w:id="93" w:name="_Toc14592"/>
      <w:bookmarkStart w:id="94" w:name="_Toc82445296"/>
      <w:bookmarkStart w:id="95" w:name="_Toc51540434"/>
    </w:p>
    <w:p w14:paraId="7BB5D55F">
      <w:pPr>
        <w:pStyle w:val="37"/>
        <w:numPr>
          <w:ilvl w:val="0"/>
          <w:numId w:val="0"/>
        </w:numPr>
        <w:spacing w:before="164" w:after="164"/>
        <w:rPr>
          <w:rFonts w:ascii="宋体" w:hAnsi="宋体" w:cs="宋体"/>
          <w:b/>
          <w:bCs/>
          <w:color w:val="auto"/>
          <w:sz w:val="28"/>
          <w:szCs w:val="28"/>
          <w:highlight w:val="none"/>
        </w:rPr>
      </w:pPr>
    </w:p>
    <w:p w14:paraId="3E7321DA">
      <w:pPr>
        <w:pStyle w:val="37"/>
        <w:numPr>
          <w:ilvl w:val="0"/>
          <w:numId w:val="0"/>
        </w:numPr>
        <w:spacing w:before="164" w:after="164"/>
        <w:rPr>
          <w:rFonts w:ascii="宋体" w:hAnsi="宋体" w:cs="宋体"/>
          <w:b/>
          <w:bCs/>
          <w:color w:val="auto"/>
          <w:sz w:val="28"/>
          <w:szCs w:val="28"/>
          <w:highlight w:val="none"/>
        </w:rPr>
      </w:pPr>
    </w:p>
    <w:p w14:paraId="70D8280C">
      <w:pPr>
        <w:pStyle w:val="37"/>
        <w:numPr>
          <w:ilvl w:val="0"/>
          <w:numId w:val="0"/>
        </w:numPr>
        <w:spacing w:before="164" w:after="164"/>
        <w:rPr>
          <w:rFonts w:ascii="宋体" w:hAnsi="宋体" w:cs="宋体"/>
          <w:b/>
          <w:bCs/>
          <w:color w:val="auto"/>
          <w:sz w:val="28"/>
          <w:szCs w:val="28"/>
          <w:highlight w:val="none"/>
        </w:rPr>
      </w:pPr>
    </w:p>
    <w:p w14:paraId="7F6DEE83">
      <w:pPr>
        <w:pStyle w:val="37"/>
        <w:numPr>
          <w:ilvl w:val="0"/>
          <w:numId w:val="0"/>
        </w:numPr>
        <w:spacing w:before="164" w:after="164"/>
        <w:rPr>
          <w:rFonts w:ascii="宋体" w:hAnsi="宋体" w:cs="宋体"/>
          <w:b/>
          <w:bCs/>
          <w:color w:val="auto"/>
          <w:sz w:val="28"/>
          <w:szCs w:val="28"/>
          <w:highlight w:val="none"/>
        </w:rPr>
      </w:pPr>
    </w:p>
    <w:p w14:paraId="2012D541">
      <w:pPr>
        <w:pStyle w:val="37"/>
        <w:numPr>
          <w:ilvl w:val="0"/>
          <w:numId w:val="0"/>
        </w:numPr>
        <w:spacing w:before="164" w:after="164"/>
        <w:rPr>
          <w:rFonts w:ascii="宋体" w:hAnsi="宋体" w:cs="宋体"/>
          <w:b/>
          <w:bCs/>
          <w:color w:val="auto"/>
          <w:sz w:val="28"/>
          <w:szCs w:val="28"/>
          <w:highlight w:val="none"/>
        </w:rPr>
      </w:pPr>
    </w:p>
    <w:p w14:paraId="7130063E">
      <w:pPr>
        <w:pStyle w:val="37"/>
        <w:numPr>
          <w:ilvl w:val="0"/>
          <w:numId w:val="0"/>
        </w:numPr>
        <w:spacing w:before="164" w:after="164"/>
        <w:rPr>
          <w:rFonts w:ascii="宋体" w:hAnsi="宋体" w:cs="宋体"/>
          <w:b/>
          <w:bCs/>
          <w:color w:val="auto"/>
          <w:sz w:val="28"/>
          <w:szCs w:val="28"/>
          <w:highlight w:val="none"/>
        </w:rPr>
      </w:pPr>
    </w:p>
    <w:p w14:paraId="3ED0E1DD">
      <w:pPr>
        <w:pStyle w:val="37"/>
        <w:numPr>
          <w:ilvl w:val="0"/>
          <w:numId w:val="0"/>
        </w:numPr>
        <w:spacing w:before="164" w:after="164"/>
        <w:rPr>
          <w:rFonts w:ascii="宋体" w:hAnsi="宋体" w:cs="宋体"/>
          <w:b/>
          <w:bCs/>
          <w:color w:val="auto"/>
          <w:sz w:val="28"/>
          <w:szCs w:val="28"/>
          <w:highlight w:val="none"/>
        </w:rPr>
      </w:pPr>
    </w:p>
    <w:p w14:paraId="46F72DEE">
      <w:pPr>
        <w:pStyle w:val="37"/>
        <w:numPr>
          <w:ilvl w:val="0"/>
          <w:numId w:val="0"/>
        </w:numPr>
        <w:spacing w:before="164" w:after="164"/>
        <w:rPr>
          <w:rFonts w:ascii="宋体" w:hAnsi="宋体" w:cs="宋体"/>
          <w:b/>
          <w:bCs/>
          <w:color w:val="auto"/>
          <w:sz w:val="28"/>
          <w:szCs w:val="28"/>
          <w:highlight w:val="none"/>
        </w:rPr>
      </w:pPr>
    </w:p>
    <w:p w14:paraId="18B4E64C">
      <w:pPr>
        <w:pStyle w:val="37"/>
        <w:numPr>
          <w:ilvl w:val="0"/>
          <w:numId w:val="0"/>
        </w:numPr>
        <w:spacing w:before="164" w:after="164"/>
        <w:rPr>
          <w:rFonts w:ascii="宋体" w:hAnsi="宋体" w:cs="宋体"/>
          <w:b/>
          <w:bCs/>
          <w:color w:val="auto"/>
          <w:sz w:val="28"/>
          <w:szCs w:val="28"/>
          <w:highlight w:val="none"/>
        </w:rPr>
      </w:pPr>
    </w:p>
    <w:p w14:paraId="5F4CA68B">
      <w:pPr>
        <w:pStyle w:val="37"/>
        <w:numPr>
          <w:ilvl w:val="0"/>
          <w:numId w:val="0"/>
        </w:numPr>
        <w:spacing w:before="164" w:after="164"/>
        <w:rPr>
          <w:rFonts w:ascii="宋体" w:hAnsi="宋体" w:cs="宋体"/>
          <w:b/>
          <w:bCs/>
          <w:color w:val="auto"/>
          <w:sz w:val="28"/>
          <w:szCs w:val="28"/>
          <w:highlight w:val="none"/>
        </w:rPr>
      </w:pPr>
    </w:p>
    <w:p w14:paraId="4626601F">
      <w:pPr>
        <w:pStyle w:val="37"/>
        <w:numPr>
          <w:ilvl w:val="0"/>
          <w:numId w:val="0"/>
        </w:numPr>
        <w:spacing w:before="164" w:after="164"/>
        <w:rPr>
          <w:rFonts w:ascii="宋体" w:hAnsi="宋体" w:cs="宋体"/>
          <w:b/>
          <w:bCs/>
          <w:color w:val="auto"/>
          <w:sz w:val="28"/>
          <w:szCs w:val="28"/>
          <w:highlight w:val="none"/>
        </w:rPr>
      </w:pPr>
    </w:p>
    <w:p w14:paraId="527BB3BB">
      <w:pPr>
        <w:pStyle w:val="37"/>
        <w:numPr>
          <w:ilvl w:val="0"/>
          <w:numId w:val="0"/>
        </w:numPr>
        <w:spacing w:before="164" w:after="164"/>
        <w:rPr>
          <w:rFonts w:ascii="宋体" w:hAnsi="宋体" w:cs="宋体"/>
          <w:b/>
          <w:bCs/>
          <w:color w:val="auto"/>
          <w:sz w:val="28"/>
          <w:szCs w:val="28"/>
          <w:highlight w:val="none"/>
        </w:rPr>
      </w:pPr>
    </w:p>
    <w:p w14:paraId="15805AA2">
      <w:pPr>
        <w:pStyle w:val="37"/>
        <w:numPr>
          <w:ilvl w:val="0"/>
          <w:numId w:val="0"/>
        </w:numPr>
        <w:spacing w:before="164" w:after="164"/>
        <w:rPr>
          <w:rFonts w:ascii="宋体" w:hAnsi="宋体" w:cs="宋体"/>
          <w:b/>
          <w:bCs/>
          <w:color w:val="auto"/>
          <w:sz w:val="28"/>
          <w:szCs w:val="28"/>
          <w:highlight w:val="none"/>
        </w:rPr>
      </w:pPr>
    </w:p>
    <w:p w14:paraId="0BE2A4C8">
      <w:pPr>
        <w:pStyle w:val="37"/>
        <w:numPr>
          <w:ilvl w:val="0"/>
          <w:numId w:val="0"/>
        </w:numPr>
        <w:spacing w:before="164" w:after="164"/>
        <w:rPr>
          <w:rFonts w:ascii="宋体" w:hAnsi="宋体" w:cs="宋体"/>
          <w:b/>
          <w:bCs/>
          <w:color w:val="auto"/>
          <w:sz w:val="28"/>
          <w:szCs w:val="28"/>
          <w:highlight w:val="none"/>
        </w:rPr>
      </w:pPr>
      <w:bookmarkStart w:id="96" w:name="_Toc25641"/>
      <w:r>
        <w:rPr>
          <w:rFonts w:hint="eastAsia" w:ascii="宋体" w:hAnsi="宋体" w:cs="宋体"/>
          <w:b/>
          <w:bCs/>
          <w:color w:val="auto"/>
          <w:sz w:val="28"/>
          <w:szCs w:val="28"/>
          <w:highlight w:val="none"/>
          <w:lang w:val="en-US" w:eastAsia="zh-CN"/>
        </w:rPr>
        <w:t>五</w:t>
      </w:r>
      <w:r>
        <w:rPr>
          <w:rFonts w:hint="eastAsia" w:ascii="宋体" w:hAnsi="宋体" w:cs="宋体"/>
          <w:b/>
          <w:bCs/>
          <w:color w:val="auto"/>
          <w:sz w:val="28"/>
          <w:szCs w:val="28"/>
          <w:highlight w:val="none"/>
        </w:rPr>
        <w:t>、投标人的服务承诺书</w:t>
      </w:r>
      <w:bookmarkEnd w:id="91"/>
      <w:bookmarkEnd w:id="92"/>
      <w:r>
        <w:rPr>
          <w:rFonts w:hint="eastAsia" w:ascii="宋体" w:hAnsi="宋体" w:cs="宋体"/>
          <w:b/>
          <w:bCs/>
          <w:color w:val="auto"/>
          <w:sz w:val="28"/>
          <w:szCs w:val="28"/>
          <w:highlight w:val="none"/>
        </w:rPr>
        <w:t>（必须提供）</w:t>
      </w:r>
      <w:bookmarkEnd w:id="93"/>
      <w:bookmarkEnd w:id="94"/>
      <w:bookmarkEnd w:id="95"/>
      <w:bookmarkEnd w:id="96"/>
    </w:p>
    <w:p w14:paraId="6C18CD8B">
      <w:pPr>
        <w:pStyle w:val="13"/>
        <w:spacing w:line="300" w:lineRule="auto"/>
        <w:ind w:firstLine="472" w:firstLineChars="147"/>
        <w:jc w:val="center"/>
        <w:rPr>
          <w:rFonts w:hAnsi="宋体" w:cs="宋体"/>
          <w:b/>
          <w:bCs/>
          <w:color w:val="auto"/>
          <w:sz w:val="32"/>
          <w:highlight w:val="none"/>
        </w:rPr>
      </w:pPr>
      <w:r>
        <w:rPr>
          <w:rFonts w:hint="eastAsia" w:hAnsi="宋体" w:cs="宋体"/>
          <w:b/>
          <w:bCs/>
          <w:color w:val="auto"/>
          <w:sz w:val="32"/>
          <w:szCs w:val="32"/>
          <w:highlight w:val="none"/>
        </w:rPr>
        <w:t>服务承诺书</w:t>
      </w:r>
      <w:r>
        <w:rPr>
          <w:rFonts w:hint="eastAsia" w:hAnsi="宋体" w:cs="宋体"/>
          <w:b/>
          <w:bCs/>
          <w:color w:val="auto"/>
          <w:sz w:val="32"/>
          <w:highlight w:val="none"/>
        </w:rPr>
        <w:t>（格式）</w:t>
      </w:r>
    </w:p>
    <w:p w14:paraId="39C578F9">
      <w:pPr>
        <w:widowControl/>
        <w:spacing w:line="500" w:lineRule="exact"/>
        <w:rPr>
          <w:color w:val="auto"/>
          <w:spacing w:val="6"/>
          <w:szCs w:val="21"/>
          <w:highlight w:val="none"/>
        </w:rPr>
      </w:pPr>
      <w:r>
        <w:rPr>
          <w:rFonts w:hint="eastAsia"/>
          <w:color w:val="auto"/>
          <w:spacing w:val="6"/>
          <w:szCs w:val="21"/>
          <w:highlight w:val="none"/>
        </w:rPr>
        <w:t>致：</w:t>
      </w:r>
      <w:r>
        <w:rPr>
          <w:rFonts w:hint="eastAsia"/>
          <w:color w:val="auto"/>
          <w:spacing w:val="6"/>
          <w:szCs w:val="21"/>
          <w:highlight w:val="none"/>
          <w:u w:val="single"/>
        </w:rPr>
        <w:t xml:space="preserve">             </w:t>
      </w:r>
      <w:r>
        <w:rPr>
          <w:rFonts w:hint="eastAsia"/>
          <w:color w:val="auto"/>
          <w:spacing w:val="6"/>
          <w:szCs w:val="21"/>
          <w:highlight w:val="none"/>
        </w:rPr>
        <w:t>（项目实施机构）、</w:t>
      </w:r>
      <w:r>
        <w:rPr>
          <w:rFonts w:hint="eastAsia"/>
          <w:color w:val="auto"/>
          <w:spacing w:val="6"/>
          <w:szCs w:val="21"/>
          <w:highlight w:val="none"/>
          <w:u w:val="single"/>
        </w:rPr>
        <w:t xml:space="preserve">              </w:t>
      </w:r>
      <w:r>
        <w:rPr>
          <w:rFonts w:hint="eastAsia"/>
          <w:color w:val="auto"/>
          <w:spacing w:val="6"/>
          <w:szCs w:val="21"/>
          <w:highlight w:val="none"/>
        </w:rPr>
        <w:t>（采购代理机构）：</w:t>
      </w:r>
    </w:p>
    <w:p w14:paraId="1F85E3C2">
      <w:pPr>
        <w:widowControl/>
        <w:spacing w:line="26" w:lineRule="atLeast"/>
        <w:ind w:left="105"/>
        <w:rPr>
          <w:color w:val="auto"/>
          <w:spacing w:val="6"/>
          <w:szCs w:val="21"/>
          <w:highlight w:val="none"/>
        </w:rPr>
      </w:pPr>
    </w:p>
    <w:p w14:paraId="624E0059">
      <w:pPr>
        <w:widowControl/>
        <w:spacing w:line="500" w:lineRule="exact"/>
        <w:rPr>
          <w:color w:val="auto"/>
          <w:spacing w:val="6"/>
          <w:szCs w:val="21"/>
          <w:highlight w:val="none"/>
        </w:rPr>
      </w:pPr>
      <w:r>
        <w:rPr>
          <w:rFonts w:hint="eastAsia"/>
          <w:color w:val="auto"/>
          <w:spacing w:val="6"/>
          <w:szCs w:val="21"/>
          <w:highlight w:val="none"/>
        </w:rPr>
        <w:t>本单位承诺：</w:t>
      </w:r>
    </w:p>
    <w:p w14:paraId="212022A8">
      <w:pPr>
        <w:widowControl/>
        <w:spacing w:line="500" w:lineRule="exact"/>
        <w:ind w:firstLine="444" w:firstLineChars="200"/>
        <w:rPr>
          <w:color w:val="auto"/>
          <w:spacing w:val="6"/>
          <w:szCs w:val="21"/>
          <w:highlight w:val="none"/>
        </w:rPr>
      </w:pPr>
      <w:r>
        <w:rPr>
          <w:rFonts w:hint="eastAsia"/>
          <w:color w:val="auto"/>
          <w:spacing w:val="6"/>
          <w:szCs w:val="21"/>
          <w:highlight w:val="none"/>
        </w:rPr>
        <w:t>1、在项目名称：</w:t>
      </w:r>
      <w:r>
        <w:rPr>
          <w:rFonts w:hint="eastAsia"/>
          <w:color w:val="auto"/>
          <w:spacing w:val="6"/>
          <w:szCs w:val="21"/>
          <w:highlight w:val="none"/>
          <w:u w:val="single"/>
        </w:rPr>
        <w:t xml:space="preserve">              </w:t>
      </w:r>
      <w:r>
        <w:rPr>
          <w:rFonts w:hint="eastAsia"/>
          <w:color w:val="auto"/>
          <w:spacing w:val="6"/>
          <w:szCs w:val="21"/>
          <w:highlight w:val="none"/>
        </w:rPr>
        <w:t>项目编号：</w:t>
      </w:r>
      <w:r>
        <w:rPr>
          <w:rFonts w:hint="eastAsia"/>
          <w:color w:val="auto"/>
          <w:spacing w:val="6"/>
          <w:szCs w:val="21"/>
          <w:highlight w:val="none"/>
          <w:u w:val="single"/>
        </w:rPr>
        <w:t xml:space="preserve">            </w:t>
      </w:r>
      <w:r>
        <w:rPr>
          <w:rFonts w:hint="eastAsia"/>
          <w:color w:val="auto"/>
          <w:spacing w:val="6"/>
          <w:szCs w:val="21"/>
          <w:highlight w:val="none"/>
        </w:rPr>
        <w:t>（简称“本项目”）合作期限内（</w:t>
      </w:r>
      <w:r>
        <w:rPr>
          <w:rFonts w:hint="eastAsia"/>
          <w:color w:val="auto"/>
          <w:spacing w:val="6"/>
          <w:szCs w:val="21"/>
          <w:highlight w:val="none"/>
          <w:lang w:val="en-US" w:eastAsia="zh-CN"/>
        </w:rPr>
        <w:t>本项目特许经营期限暂定为 40 年，其中建设期 1.5 年（18 个月），运营期为 38.5 年</w:t>
      </w:r>
      <w:r>
        <w:rPr>
          <w:rFonts w:hint="eastAsia"/>
          <w:color w:val="auto"/>
          <w:spacing w:val="6"/>
          <w:szCs w:val="21"/>
          <w:highlight w:val="none"/>
        </w:rPr>
        <w:t>）在桂林市</w:t>
      </w:r>
      <w:r>
        <w:rPr>
          <w:rFonts w:hint="eastAsia"/>
          <w:color w:val="auto"/>
          <w:spacing w:val="6"/>
          <w:szCs w:val="21"/>
          <w:highlight w:val="none"/>
          <w:lang w:val="en-US" w:eastAsia="zh-CN"/>
        </w:rPr>
        <w:t>秀峰区</w:t>
      </w:r>
      <w:r>
        <w:rPr>
          <w:rFonts w:hint="eastAsia"/>
          <w:color w:val="auto"/>
          <w:spacing w:val="6"/>
          <w:szCs w:val="21"/>
          <w:highlight w:val="none"/>
        </w:rPr>
        <w:t>履行本单位在本项目项目合同下的义务，同时由</w:t>
      </w:r>
      <w:r>
        <w:rPr>
          <w:rFonts w:hint="eastAsia"/>
          <w:color w:val="auto"/>
          <w:spacing w:val="6"/>
          <w:szCs w:val="21"/>
          <w:highlight w:val="none"/>
          <w:lang w:val="en-US" w:eastAsia="zh-CN"/>
        </w:rPr>
        <w:t>本</w:t>
      </w:r>
      <w:r>
        <w:rPr>
          <w:rFonts w:hint="eastAsia"/>
          <w:color w:val="auto"/>
          <w:spacing w:val="6"/>
          <w:szCs w:val="21"/>
          <w:highlight w:val="none"/>
        </w:rPr>
        <w:t xml:space="preserve">公司负责本项目融资、建设、运营和维护，并按本项目合同履行相关义务。 </w:t>
      </w:r>
    </w:p>
    <w:p w14:paraId="292BC560">
      <w:pPr>
        <w:widowControl/>
        <w:spacing w:line="500" w:lineRule="exact"/>
        <w:ind w:left="108" w:firstLine="444" w:firstLineChars="200"/>
        <w:rPr>
          <w:color w:val="auto"/>
          <w:spacing w:val="6"/>
          <w:szCs w:val="21"/>
          <w:highlight w:val="none"/>
        </w:rPr>
      </w:pPr>
      <w:r>
        <w:rPr>
          <w:rFonts w:hint="eastAsia"/>
          <w:color w:val="auto"/>
          <w:spacing w:val="6"/>
          <w:szCs w:val="21"/>
          <w:highlight w:val="none"/>
        </w:rPr>
        <w:t>2、本项目移交日起1年内为</w:t>
      </w:r>
      <w:r>
        <w:rPr>
          <w:rFonts w:hint="eastAsia"/>
          <w:color w:val="auto"/>
          <w:spacing w:val="6"/>
          <w:szCs w:val="21"/>
          <w:highlight w:val="none"/>
          <w:lang w:val="en-US" w:eastAsia="zh-CN"/>
        </w:rPr>
        <w:t>本</w:t>
      </w:r>
      <w:r>
        <w:rPr>
          <w:rFonts w:hint="eastAsia"/>
          <w:color w:val="auto"/>
          <w:spacing w:val="6"/>
          <w:szCs w:val="21"/>
          <w:highlight w:val="none"/>
        </w:rPr>
        <w:t>公司承诺的移交保证期</w:t>
      </w:r>
      <w:r>
        <w:rPr>
          <w:rFonts w:hint="eastAsia"/>
          <w:color w:val="auto"/>
          <w:spacing w:val="6"/>
          <w:szCs w:val="21"/>
          <w:highlight w:val="none"/>
        </w:rPr>
        <w:t>。自移交日起算。</w:t>
      </w:r>
      <w:r>
        <w:rPr>
          <w:rFonts w:hint="eastAsia"/>
          <w:color w:val="auto"/>
          <w:spacing w:val="6"/>
          <w:szCs w:val="21"/>
          <w:highlight w:val="none"/>
          <w:lang w:val="en-US" w:eastAsia="zh-CN"/>
        </w:rPr>
        <w:t>本</w:t>
      </w:r>
      <w:r>
        <w:rPr>
          <w:rFonts w:hint="eastAsia"/>
          <w:color w:val="auto"/>
          <w:spacing w:val="6"/>
          <w:szCs w:val="21"/>
          <w:highlight w:val="none"/>
        </w:rPr>
        <w:t>公司</w:t>
      </w:r>
      <w:r>
        <w:rPr>
          <w:rFonts w:hint="eastAsia"/>
          <w:color w:val="auto"/>
          <w:spacing w:val="6"/>
          <w:szCs w:val="21"/>
          <w:highlight w:val="none"/>
        </w:rPr>
        <w:t>承诺在移交保证期内，修复由原材料、工艺、施工、运营或管理缺陷或合作期内</w:t>
      </w:r>
      <w:r>
        <w:rPr>
          <w:rFonts w:hint="eastAsia"/>
          <w:color w:val="auto"/>
          <w:spacing w:val="6"/>
          <w:szCs w:val="21"/>
          <w:highlight w:val="none"/>
          <w:lang w:val="en-US" w:eastAsia="zh-CN"/>
        </w:rPr>
        <w:t>本</w:t>
      </w:r>
      <w:r>
        <w:rPr>
          <w:rFonts w:hint="eastAsia"/>
          <w:color w:val="auto"/>
          <w:spacing w:val="6"/>
          <w:szCs w:val="21"/>
          <w:highlight w:val="none"/>
        </w:rPr>
        <w:t>公司的任何违约造成的项目设施设备出现的除正常损耗外的任何缺陷或损坏。</w:t>
      </w:r>
    </w:p>
    <w:p w14:paraId="448820D1">
      <w:pPr>
        <w:widowControl/>
        <w:spacing w:line="500" w:lineRule="exact"/>
        <w:ind w:left="108" w:firstLine="444" w:firstLineChars="200"/>
        <w:rPr>
          <w:color w:val="auto"/>
          <w:spacing w:val="6"/>
          <w:szCs w:val="21"/>
          <w:highlight w:val="none"/>
        </w:rPr>
      </w:pPr>
      <w:r>
        <w:rPr>
          <w:rFonts w:hint="eastAsia"/>
          <w:color w:val="auto"/>
          <w:spacing w:val="6"/>
          <w:szCs w:val="21"/>
          <w:highlight w:val="none"/>
        </w:rPr>
        <w:t>3、</w:t>
      </w:r>
      <w:r>
        <w:rPr>
          <w:rFonts w:hint="eastAsia"/>
          <w:color w:val="auto"/>
          <w:spacing w:val="6"/>
          <w:szCs w:val="21"/>
          <w:highlight w:val="none"/>
          <w:lang w:val="en-US" w:eastAsia="zh-CN"/>
        </w:rPr>
        <w:t>本</w:t>
      </w:r>
      <w:r>
        <w:rPr>
          <w:rFonts w:hint="eastAsia"/>
          <w:color w:val="auto"/>
          <w:spacing w:val="6"/>
          <w:szCs w:val="21"/>
          <w:highlight w:val="none"/>
        </w:rPr>
        <w:t>公司</w:t>
      </w:r>
      <w:r>
        <w:rPr>
          <w:rFonts w:hint="eastAsia"/>
          <w:color w:val="auto"/>
          <w:spacing w:val="6"/>
          <w:szCs w:val="21"/>
          <w:highlight w:val="none"/>
        </w:rPr>
        <w:t>将按照本项目项目合同的约定递交履约保函，以保障</w:t>
      </w:r>
      <w:r>
        <w:rPr>
          <w:rFonts w:hint="eastAsia"/>
          <w:color w:val="auto"/>
          <w:spacing w:val="6"/>
          <w:szCs w:val="21"/>
          <w:highlight w:val="none"/>
          <w:lang w:val="en-US" w:eastAsia="zh-CN"/>
        </w:rPr>
        <w:t>本</w:t>
      </w:r>
      <w:r>
        <w:rPr>
          <w:rFonts w:hint="eastAsia"/>
          <w:color w:val="auto"/>
          <w:spacing w:val="6"/>
          <w:szCs w:val="21"/>
          <w:highlight w:val="none"/>
        </w:rPr>
        <w:t>公司对本项目的各项合同义务的履行。</w:t>
      </w:r>
    </w:p>
    <w:p w14:paraId="3298638A">
      <w:pPr>
        <w:widowControl/>
        <w:spacing w:line="500" w:lineRule="exact"/>
        <w:ind w:left="108" w:firstLine="444" w:firstLineChars="200"/>
        <w:rPr>
          <w:color w:val="auto"/>
          <w:spacing w:val="6"/>
          <w:szCs w:val="21"/>
          <w:highlight w:val="none"/>
        </w:rPr>
      </w:pPr>
      <w:r>
        <w:rPr>
          <w:rFonts w:hint="eastAsia"/>
          <w:color w:val="auto"/>
          <w:spacing w:val="6"/>
          <w:szCs w:val="21"/>
          <w:highlight w:val="none"/>
        </w:rPr>
        <w:t>本单位对上述承诺的真实性负责。如有虚假，将依法承担相应责任。</w:t>
      </w:r>
    </w:p>
    <w:p w14:paraId="715923C9">
      <w:pPr>
        <w:widowControl/>
        <w:spacing w:line="26" w:lineRule="atLeast"/>
        <w:ind w:left="105"/>
        <w:rPr>
          <w:color w:val="auto"/>
          <w:spacing w:val="6"/>
          <w:szCs w:val="21"/>
          <w:highlight w:val="none"/>
        </w:rPr>
      </w:pPr>
    </w:p>
    <w:p w14:paraId="5940C11E">
      <w:pPr>
        <w:widowControl/>
        <w:spacing w:line="26" w:lineRule="atLeast"/>
        <w:ind w:left="105"/>
        <w:rPr>
          <w:color w:val="auto"/>
          <w:spacing w:val="6"/>
          <w:szCs w:val="21"/>
          <w:highlight w:val="none"/>
        </w:rPr>
      </w:pPr>
    </w:p>
    <w:p w14:paraId="3A3A17B2">
      <w:pPr>
        <w:pStyle w:val="13"/>
        <w:spacing w:line="300" w:lineRule="auto"/>
        <w:rPr>
          <w:rFonts w:hAnsi="宋体" w:cs="宋体"/>
          <w:color w:val="auto"/>
          <w:sz w:val="32"/>
          <w:szCs w:val="32"/>
          <w:highlight w:val="none"/>
        </w:rPr>
      </w:pPr>
    </w:p>
    <w:p w14:paraId="483B2E85">
      <w:pPr>
        <w:pStyle w:val="13"/>
        <w:spacing w:line="320" w:lineRule="exact"/>
        <w:ind w:firstLine="420"/>
        <w:rPr>
          <w:rFonts w:hAnsi="宋体" w:cs="宋体"/>
          <w:bCs/>
          <w:color w:val="auto"/>
          <w:szCs w:val="21"/>
          <w:highlight w:val="none"/>
          <w:u w:val="single"/>
        </w:rPr>
      </w:pPr>
      <w:r>
        <w:rPr>
          <w:rFonts w:hint="eastAsia" w:hAnsi="宋体" w:cs="宋体"/>
          <w:bCs/>
          <w:color w:val="auto"/>
          <w:szCs w:val="21"/>
          <w:highlight w:val="none"/>
        </w:rPr>
        <w:t>投标人[公章(CA签章)、</w:t>
      </w:r>
      <w:r>
        <w:rPr>
          <w:rFonts w:hint="eastAsia" w:hAnsi="宋体" w:cs="宋体"/>
          <w:color w:val="auto"/>
          <w:szCs w:val="21"/>
          <w:highlight w:val="none"/>
        </w:rPr>
        <w:t>自然人签字或个人CA签章</w:t>
      </w:r>
      <w:r>
        <w:rPr>
          <w:rFonts w:hint="eastAsia" w:hAnsi="宋体" w:cs="宋体"/>
          <w:bCs/>
          <w:color w:val="auto"/>
          <w:szCs w:val="21"/>
          <w:highlight w:val="none"/>
        </w:rPr>
        <w:t>]：</w:t>
      </w:r>
      <w:r>
        <w:rPr>
          <w:rFonts w:hint="eastAsia" w:hAnsi="宋体" w:cs="宋体"/>
          <w:bCs/>
          <w:color w:val="auto"/>
          <w:szCs w:val="21"/>
          <w:highlight w:val="none"/>
          <w:u w:val="single"/>
        </w:rPr>
        <w:t xml:space="preserve">                              </w:t>
      </w:r>
    </w:p>
    <w:p w14:paraId="46549604">
      <w:pPr>
        <w:pStyle w:val="13"/>
        <w:spacing w:line="320" w:lineRule="exact"/>
        <w:ind w:firstLine="420" w:firstLineChars="200"/>
        <w:rPr>
          <w:rFonts w:hAnsi="宋体" w:cs="宋体"/>
          <w:color w:val="auto"/>
          <w:szCs w:val="21"/>
          <w:highlight w:val="none"/>
          <w:u w:val="single"/>
        </w:rPr>
      </w:pPr>
      <w:r>
        <w:rPr>
          <w:rFonts w:hint="eastAsia" w:hAnsi="宋体" w:cs="宋体"/>
          <w:color w:val="auto"/>
          <w:szCs w:val="21"/>
          <w:highlight w:val="none"/>
        </w:rPr>
        <w:t>日期：</w:t>
      </w:r>
      <w:r>
        <w:rPr>
          <w:rFonts w:hint="eastAsia" w:hAnsi="宋体" w:cs="宋体"/>
          <w:color w:val="auto"/>
          <w:szCs w:val="21"/>
          <w:highlight w:val="none"/>
          <w:u w:val="single"/>
        </w:rPr>
        <w:t xml:space="preserve">                               </w:t>
      </w:r>
    </w:p>
    <w:p w14:paraId="5EF8EF26">
      <w:pPr>
        <w:pStyle w:val="41"/>
        <w:ind w:firstLine="420"/>
        <w:rPr>
          <w:rFonts w:cs="宋体"/>
          <w:color w:val="auto"/>
          <w:highlight w:val="none"/>
        </w:rPr>
      </w:pPr>
    </w:p>
    <w:p w14:paraId="3976A0B7">
      <w:pPr>
        <w:numPr>
          <w:ilvl w:val="0"/>
          <w:numId w:val="3"/>
        </w:numPr>
        <w:spacing w:line="300" w:lineRule="auto"/>
        <w:rPr>
          <w:rFonts w:ascii="宋体" w:cs="宋体"/>
          <w:b/>
          <w:bCs/>
          <w:color w:val="auto"/>
          <w:sz w:val="28"/>
          <w:szCs w:val="28"/>
          <w:highlight w:val="none"/>
        </w:rPr>
      </w:pPr>
      <w:r>
        <w:rPr>
          <w:rFonts w:hint="eastAsia"/>
          <w:b/>
          <w:color w:val="auto"/>
          <w:sz w:val="32"/>
          <w:szCs w:val="32"/>
          <w:highlight w:val="none"/>
        </w:rPr>
        <w:br w:type="page"/>
      </w:r>
      <w:bookmarkStart w:id="97" w:name="_Toc12795"/>
      <w:bookmarkStart w:id="98" w:name="_Toc38377656"/>
    </w:p>
    <w:p w14:paraId="402E4FA5">
      <w:pPr>
        <w:pStyle w:val="21"/>
        <w:numPr>
          <w:ilvl w:val="0"/>
          <w:numId w:val="4"/>
        </w:numPr>
        <w:ind w:firstLine="0"/>
        <w:jc w:val="both"/>
        <w:rPr>
          <w:rFonts w:hint="eastAsia" w:ascii="宋体" w:cs="宋体"/>
          <w:b/>
          <w:bCs/>
          <w:color w:val="auto"/>
          <w:sz w:val="28"/>
          <w:szCs w:val="28"/>
          <w:highlight w:val="none"/>
          <w:lang w:val="en-US" w:eastAsia="zh-CN"/>
        </w:rPr>
      </w:pPr>
      <w:r>
        <w:rPr>
          <w:rFonts w:hint="eastAsia" w:ascii="宋体" w:cs="宋体"/>
          <w:b/>
          <w:bCs/>
          <w:color w:val="auto"/>
          <w:sz w:val="28"/>
          <w:szCs w:val="28"/>
          <w:highlight w:val="none"/>
          <w:lang w:val="en-US" w:eastAsia="zh-CN"/>
        </w:rPr>
        <w:t>投标保证金（必须提供）</w:t>
      </w:r>
    </w:p>
    <w:p w14:paraId="5362B382">
      <w:pPr>
        <w:pStyle w:val="21"/>
        <w:ind w:firstLine="0"/>
        <w:jc w:val="both"/>
        <w:rPr>
          <w:rFonts w:hint="eastAsia" w:ascii="宋体" w:cs="宋体"/>
          <w:b/>
          <w:bCs/>
          <w:color w:val="auto"/>
          <w:sz w:val="28"/>
          <w:szCs w:val="28"/>
          <w:highlight w:val="none"/>
          <w:lang w:val="en-US" w:eastAsia="zh-CN"/>
        </w:rPr>
      </w:pPr>
    </w:p>
    <w:p w14:paraId="70DB0999">
      <w:pPr>
        <w:pStyle w:val="21"/>
        <w:ind w:firstLine="0"/>
        <w:jc w:val="both"/>
        <w:rPr>
          <w:rFonts w:hint="eastAsia" w:ascii="宋体" w:cs="宋体"/>
          <w:b/>
          <w:bCs/>
          <w:color w:val="auto"/>
          <w:sz w:val="28"/>
          <w:szCs w:val="28"/>
          <w:highlight w:val="none"/>
          <w:lang w:val="en-US" w:eastAsia="zh-CN"/>
        </w:rPr>
      </w:pPr>
    </w:p>
    <w:p w14:paraId="778C31A1">
      <w:pPr>
        <w:pStyle w:val="21"/>
        <w:ind w:firstLine="0"/>
        <w:jc w:val="both"/>
        <w:rPr>
          <w:rFonts w:hint="eastAsia" w:ascii="宋体" w:cs="宋体"/>
          <w:b/>
          <w:bCs/>
          <w:color w:val="auto"/>
          <w:sz w:val="28"/>
          <w:szCs w:val="28"/>
          <w:highlight w:val="none"/>
          <w:lang w:val="en-US" w:eastAsia="zh-CN"/>
        </w:rPr>
      </w:pPr>
    </w:p>
    <w:p w14:paraId="60AEBDBC">
      <w:pPr>
        <w:pStyle w:val="21"/>
        <w:ind w:firstLine="0"/>
        <w:jc w:val="both"/>
        <w:rPr>
          <w:rFonts w:hint="eastAsia" w:ascii="宋体" w:cs="宋体"/>
          <w:b/>
          <w:bCs/>
          <w:color w:val="auto"/>
          <w:sz w:val="28"/>
          <w:szCs w:val="28"/>
          <w:highlight w:val="none"/>
          <w:lang w:val="en-US" w:eastAsia="zh-CN"/>
        </w:rPr>
      </w:pPr>
    </w:p>
    <w:p w14:paraId="177DD5C2">
      <w:pPr>
        <w:pStyle w:val="21"/>
        <w:ind w:firstLine="0"/>
        <w:jc w:val="both"/>
        <w:rPr>
          <w:rFonts w:hint="eastAsia" w:ascii="宋体" w:cs="宋体"/>
          <w:b/>
          <w:bCs/>
          <w:color w:val="auto"/>
          <w:sz w:val="28"/>
          <w:szCs w:val="28"/>
          <w:highlight w:val="none"/>
          <w:lang w:val="en-US" w:eastAsia="zh-CN"/>
        </w:rPr>
      </w:pPr>
    </w:p>
    <w:p w14:paraId="391D607E">
      <w:pPr>
        <w:pStyle w:val="21"/>
        <w:ind w:firstLine="0"/>
        <w:jc w:val="both"/>
        <w:rPr>
          <w:rFonts w:hint="eastAsia" w:ascii="宋体" w:cs="宋体"/>
          <w:b/>
          <w:bCs/>
          <w:color w:val="auto"/>
          <w:sz w:val="28"/>
          <w:szCs w:val="28"/>
          <w:highlight w:val="none"/>
          <w:lang w:val="en-US" w:eastAsia="zh-CN"/>
        </w:rPr>
      </w:pPr>
    </w:p>
    <w:p w14:paraId="1940B3B6">
      <w:pPr>
        <w:pStyle w:val="21"/>
        <w:ind w:firstLine="0"/>
        <w:jc w:val="both"/>
        <w:rPr>
          <w:rFonts w:ascii="宋体" w:cs="宋体"/>
          <w:b/>
          <w:color w:val="auto"/>
          <w:sz w:val="32"/>
          <w:szCs w:val="32"/>
          <w:highlight w:val="none"/>
        </w:rPr>
      </w:pPr>
      <w:r>
        <w:rPr>
          <w:rFonts w:hint="eastAsia" w:ascii="宋体" w:cs="宋体"/>
          <w:b/>
          <w:bCs/>
          <w:color w:val="auto"/>
          <w:sz w:val="28"/>
          <w:szCs w:val="28"/>
          <w:highlight w:val="none"/>
          <w:lang w:val="en-US" w:eastAsia="zh-CN"/>
        </w:rPr>
        <w:t>七、</w:t>
      </w:r>
      <w:r>
        <w:rPr>
          <w:rFonts w:hint="eastAsia" w:ascii="宋体" w:cs="宋体"/>
          <w:b/>
          <w:bCs/>
          <w:color w:val="auto"/>
          <w:sz w:val="28"/>
          <w:szCs w:val="28"/>
          <w:highlight w:val="none"/>
        </w:rPr>
        <w:t>投标人可结合本项目的评标办法视自身情况自行提交相关证明材料（如有，请提供）</w:t>
      </w:r>
      <w:r>
        <w:rPr>
          <w:rFonts w:hint="eastAsia" w:ascii="宋体" w:cs="宋体"/>
          <w:b/>
          <w:bCs/>
          <w:color w:val="auto"/>
          <w:sz w:val="28"/>
          <w:szCs w:val="28"/>
          <w:highlight w:val="none"/>
        </w:rPr>
        <w:br w:type="page"/>
      </w:r>
      <w:r>
        <w:rPr>
          <w:rFonts w:hint="eastAsia" w:ascii="宋体" w:cs="宋体"/>
          <w:b/>
          <w:color w:val="auto"/>
          <w:sz w:val="32"/>
          <w:szCs w:val="32"/>
          <w:highlight w:val="none"/>
        </w:rPr>
        <w:t>第一节  技术文件格式</w:t>
      </w:r>
    </w:p>
    <w:p w14:paraId="016A2B5E">
      <w:pPr>
        <w:pStyle w:val="13"/>
        <w:tabs>
          <w:tab w:val="left" w:pos="4410"/>
        </w:tabs>
        <w:rPr>
          <w:rFonts w:hAnsi="宋体" w:cs="宋体"/>
          <w:b/>
          <w:color w:val="auto"/>
          <w:sz w:val="32"/>
          <w:highlight w:val="none"/>
        </w:rPr>
      </w:pPr>
      <w:r>
        <w:rPr>
          <w:rFonts w:hint="eastAsia" w:hAnsi="宋体" w:cs="宋体"/>
          <w:b/>
          <w:color w:val="auto"/>
          <w:sz w:val="32"/>
          <w:szCs w:val="32"/>
          <w:highlight w:val="none"/>
        </w:rPr>
        <w:t>技术文件</w:t>
      </w:r>
      <w:r>
        <w:rPr>
          <w:rFonts w:hint="eastAsia" w:hAnsi="宋体" w:cs="宋体"/>
          <w:b/>
          <w:bCs/>
          <w:color w:val="auto"/>
          <w:sz w:val="32"/>
          <w:szCs w:val="32"/>
          <w:highlight w:val="none"/>
          <w:lang w:bidi="ar"/>
        </w:rPr>
        <w:t>封面格式</w:t>
      </w:r>
    </w:p>
    <w:p w14:paraId="29847AEA">
      <w:pPr>
        <w:adjustRightInd w:val="0"/>
        <w:snapToGrid w:val="0"/>
        <w:rPr>
          <w:rFonts w:ascii="宋体" w:hAnsi="宋体" w:cs="宋体"/>
          <w:b/>
          <w:color w:val="auto"/>
          <w:sz w:val="44"/>
          <w:szCs w:val="44"/>
          <w:highlight w:val="none"/>
        </w:rPr>
      </w:pPr>
    </w:p>
    <w:p w14:paraId="5D1A54C3">
      <w:pPr>
        <w:pStyle w:val="26"/>
        <w:rPr>
          <w:rFonts w:hAnsi="宋体"/>
          <w:color w:val="auto"/>
          <w:highlight w:val="none"/>
        </w:rPr>
      </w:pPr>
    </w:p>
    <w:p w14:paraId="60DF9154">
      <w:pPr>
        <w:snapToGrid w:val="0"/>
        <w:spacing w:before="164" w:beforeLines="50" w:after="50"/>
        <w:ind w:firstLine="482" w:firstLineChars="150"/>
        <w:jc w:val="center"/>
        <w:rPr>
          <w:rFonts w:ascii="宋体" w:hAnsi="宋体" w:cs="宋体"/>
          <w:b/>
          <w:color w:val="auto"/>
          <w:sz w:val="28"/>
          <w:szCs w:val="28"/>
          <w:highlight w:val="none"/>
        </w:rPr>
      </w:pPr>
      <w:r>
        <w:rPr>
          <w:rFonts w:hint="eastAsia" w:ascii="宋体" w:hAnsi="宋体" w:cs="宋体"/>
          <w:b/>
          <w:color w:val="auto"/>
          <w:sz w:val="32"/>
          <w:szCs w:val="32"/>
          <w:highlight w:val="none"/>
        </w:rPr>
        <w:t>技术文件</w:t>
      </w:r>
    </w:p>
    <w:p w14:paraId="47D4A2C8">
      <w:pPr>
        <w:snapToGrid w:val="0"/>
        <w:spacing w:before="164" w:beforeLines="50" w:after="50"/>
        <w:ind w:firstLine="422" w:firstLineChars="150"/>
        <w:rPr>
          <w:rFonts w:ascii="宋体" w:hAnsi="宋体" w:cs="宋体"/>
          <w:b/>
          <w:color w:val="auto"/>
          <w:sz w:val="28"/>
          <w:szCs w:val="28"/>
          <w:highlight w:val="none"/>
        </w:rPr>
      </w:pPr>
    </w:p>
    <w:p w14:paraId="1D756B68">
      <w:pPr>
        <w:snapToGrid w:val="0"/>
        <w:spacing w:before="164" w:beforeLines="50" w:after="50"/>
        <w:ind w:firstLine="422" w:firstLineChars="150"/>
        <w:rPr>
          <w:rFonts w:ascii="宋体" w:hAnsi="宋体" w:cs="宋体"/>
          <w:b/>
          <w:color w:val="auto"/>
          <w:sz w:val="28"/>
          <w:szCs w:val="28"/>
          <w:highlight w:val="none"/>
        </w:rPr>
      </w:pPr>
    </w:p>
    <w:p w14:paraId="1C759EF1">
      <w:pPr>
        <w:snapToGrid w:val="0"/>
        <w:spacing w:before="164" w:beforeLines="50" w:after="50"/>
        <w:ind w:firstLine="1405" w:firstLineChars="500"/>
        <w:rPr>
          <w:rFonts w:ascii="宋体" w:hAnsi="宋体" w:cs="宋体"/>
          <w:b/>
          <w:color w:val="auto"/>
          <w:sz w:val="28"/>
          <w:szCs w:val="28"/>
          <w:highlight w:val="none"/>
          <w:u w:val="single"/>
        </w:rPr>
      </w:pPr>
      <w:r>
        <w:rPr>
          <w:rFonts w:hint="eastAsia" w:ascii="宋体" w:hAnsi="宋体" w:cs="宋体"/>
          <w:b/>
          <w:color w:val="auto"/>
          <w:sz w:val="28"/>
          <w:szCs w:val="28"/>
          <w:highlight w:val="none"/>
        </w:rPr>
        <w:t>项目名称：</w:t>
      </w:r>
      <w:r>
        <w:rPr>
          <w:rFonts w:hint="eastAsia" w:ascii="宋体" w:hAnsi="宋体" w:cs="宋体"/>
          <w:b/>
          <w:color w:val="auto"/>
          <w:sz w:val="28"/>
          <w:szCs w:val="28"/>
          <w:highlight w:val="none"/>
          <w:u w:val="single"/>
        </w:rPr>
        <w:t xml:space="preserve">                          </w:t>
      </w:r>
    </w:p>
    <w:p w14:paraId="29A22C38">
      <w:pPr>
        <w:snapToGrid w:val="0"/>
        <w:spacing w:before="164" w:beforeLines="50" w:after="50"/>
        <w:ind w:firstLine="2704" w:firstLineChars="962"/>
        <w:rPr>
          <w:rFonts w:ascii="宋体" w:hAnsi="宋体" w:cs="宋体"/>
          <w:b/>
          <w:color w:val="auto"/>
          <w:sz w:val="28"/>
          <w:szCs w:val="28"/>
          <w:highlight w:val="none"/>
        </w:rPr>
      </w:pPr>
    </w:p>
    <w:p w14:paraId="33B9445C">
      <w:pPr>
        <w:snapToGrid w:val="0"/>
        <w:spacing w:before="164" w:beforeLines="50" w:after="50"/>
        <w:ind w:firstLine="1405" w:firstLineChars="500"/>
        <w:rPr>
          <w:rFonts w:ascii="宋体" w:hAnsi="宋体" w:cs="宋体"/>
          <w:b/>
          <w:color w:val="auto"/>
          <w:sz w:val="28"/>
          <w:szCs w:val="28"/>
          <w:highlight w:val="none"/>
          <w:u w:val="single"/>
        </w:rPr>
      </w:pPr>
      <w:r>
        <w:rPr>
          <w:rFonts w:hint="eastAsia" w:ascii="宋体" w:hAnsi="宋体" w:cs="宋体"/>
          <w:b/>
          <w:color w:val="auto"/>
          <w:sz w:val="28"/>
          <w:szCs w:val="28"/>
          <w:highlight w:val="none"/>
        </w:rPr>
        <w:t>项目编号：</w:t>
      </w:r>
      <w:r>
        <w:rPr>
          <w:rFonts w:hint="eastAsia" w:ascii="宋体" w:hAnsi="宋体" w:cs="宋体"/>
          <w:b/>
          <w:color w:val="auto"/>
          <w:sz w:val="28"/>
          <w:szCs w:val="28"/>
          <w:highlight w:val="none"/>
          <w:u w:val="single"/>
        </w:rPr>
        <w:t xml:space="preserve">                          </w:t>
      </w:r>
    </w:p>
    <w:p w14:paraId="37FF7059">
      <w:pPr>
        <w:snapToGrid w:val="0"/>
        <w:spacing w:before="164" w:beforeLines="50" w:after="50"/>
        <w:rPr>
          <w:rFonts w:ascii="宋体" w:hAnsi="宋体" w:cs="宋体"/>
          <w:b/>
          <w:color w:val="auto"/>
          <w:sz w:val="28"/>
          <w:szCs w:val="28"/>
          <w:highlight w:val="none"/>
        </w:rPr>
      </w:pPr>
    </w:p>
    <w:p w14:paraId="76A39DB2">
      <w:pPr>
        <w:snapToGrid w:val="0"/>
        <w:spacing w:before="164" w:beforeLines="50" w:after="50"/>
        <w:ind w:firstLine="1405" w:firstLineChars="500"/>
        <w:rPr>
          <w:rFonts w:ascii="宋体" w:hAnsi="宋体" w:cs="宋体"/>
          <w:b/>
          <w:color w:val="auto"/>
          <w:sz w:val="28"/>
          <w:szCs w:val="28"/>
          <w:highlight w:val="none"/>
        </w:rPr>
      </w:pPr>
      <w:r>
        <w:rPr>
          <w:rFonts w:hint="eastAsia" w:ascii="宋体" w:hAnsi="宋体" w:cs="宋体"/>
          <w:b/>
          <w:color w:val="auto"/>
          <w:sz w:val="28"/>
          <w:szCs w:val="28"/>
          <w:highlight w:val="none"/>
        </w:rPr>
        <w:t>采购代理机构：</w:t>
      </w:r>
      <w:r>
        <w:rPr>
          <w:rFonts w:hint="eastAsia" w:ascii="宋体" w:hAnsi="宋体" w:cs="宋体"/>
          <w:b/>
          <w:color w:val="auto"/>
          <w:sz w:val="28"/>
          <w:szCs w:val="28"/>
          <w:highlight w:val="none"/>
          <w:u w:val="single"/>
        </w:rPr>
        <w:t xml:space="preserve">                      </w:t>
      </w:r>
    </w:p>
    <w:p w14:paraId="5DC0D60E">
      <w:pPr>
        <w:snapToGrid w:val="0"/>
        <w:spacing w:before="164" w:beforeLines="50" w:after="50"/>
        <w:ind w:firstLine="1405" w:firstLineChars="500"/>
        <w:rPr>
          <w:rFonts w:ascii="宋体" w:hAnsi="宋体" w:cs="宋体"/>
          <w:b/>
          <w:color w:val="auto"/>
          <w:sz w:val="28"/>
          <w:szCs w:val="28"/>
          <w:highlight w:val="none"/>
        </w:rPr>
      </w:pPr>
      <w:r>
        <w:rPr>
          <w:rFonts w:hint="eastAsia" w:ascii="宋体" w:hAnsi="宋体" w:cs="宋体"/>
          <w:b/>
          <w:color w:val="auto"/>
          <w:sz w:val="28"/>
          <w:szCs w:val="28"/>
          <w:highlight w:val="none"/>
        </w:rPr>
        <w:t xml:space="preserve"> </w:t>
      </w:r>
    </w:p>
    <w:p w14:paraId="2753DCCB">
      <w:pPr>
        <w:pStyle w:val="26"/>
        <w:rPr>
          <w:rFonts w:hAnsi="宋体"/>
          <w:b/>
          <w:color w:val="auto"/>
          <w:sz w:val="28"/>
          <w:szCs w:val="28"/>
          <w:highlight w:val="none"/>
        </w:rPr>
      </w:pPr>
    </w:p>
    <w:p w14:paraId="0ED85498">
      <w:pPr>
        <w:pStyle w:val="26"/>
        <w:rPr>
          <w:rFonts w:hAnsi="宋体"/>
          <w:b/>
          <w:color w:val="auto"/>
          <w:sz w:val="28"/>
          <w:szCs w:val="28"/>
          <w:highlight w:val="none"/>
        </w:rPr>
      </w:pPr>
    </w:p>
    <w:p w14:paraId="50938DD2">
      <w:pPr>
        <w:pStyle w:val="26"/>
        <w:rPr>
          <w:rFonts w:hAnsi="宋体"/>
          <w:b/>
          <w:color w:val="auto"/>
          <w:sz w:val="28"/>
          <w:szCs w:val="28"/>
          <w:highlight w:val="none"/>
        </w:rPr>
      </w:pPr>
    </w:p>
    <w:p w14:paraId="14F34B4B">
      <w:pPr>
        <w:pStyle w:val="12"/>
        <w:ind w:firstLine="1542" w:firstLineChars="551"/>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投标人名称：</w:t>
      </w:r>
      <w:r>
        <w:rPr>
          <w:rFonts w:hint="eastAsia" w:ascii="宋体" w:hAnsi="宋体" w:eastAsia="宋体" w:cs="宋体"/>
          <w:bCs/>
          <w:color w:val="auto"/>
          <w:sz w:val="28"/>
          <w:szCs w:val="28"/>
          <w:highlight w:val="none"/>
          <w:u w:val="single"/>
        </w:rPr>
        <w:t xml:space="preserve">   [加盖公章(CA签章)、自然人除外]  </w:t>
      </w:r>
    </w:p>
    <w:p w14:paraId="4C1C8DEB">
      <w:pPr>
        <w:pStyle w:val="13"/>
        <w:spacing w:line="320" w:lineRule="exact"/>
        <w:ind w:firstLine="1400" w:firstLineChars="500"/>
        <w:rPr>
          <w:rFonts w:hAnsi="宋体" w:cs="宋体"/>
          <w:color w:val="auto"/>
          <w:sz w:val="28"/>
          <w:szCs w:val="28"/>
          <w:highlight w:val="none"/>
          <w:u w:val="single"/>
        </w:rPr>
      </w:pPr>
      <w:r>
        <w:rPr>
          <w:rFonts w:hint="eastAsia" w:hAnsi="宋体" w:cs="宋体"/>
          <w:color w:val="auto"/>
          <w:sz w:val="28"/>
          <w:szCs w:val="28"/>
          <w:highlight w:val="none"/>
        </w:rPr>
        <w:t>法定代表人、负责人、自然人或相应的委托代理人签字[或盖章(CA签章)]（属自然人的应在签名处加盖大拇指指印或个人CA签章）：</w:t>
      </w:r>
      <w:r>
        <w:rPr>
          <w:rFonts w:hint="eastAsia" w:hAnsi="宋体" w:cs="宋体"/>
          <w:color w:val="auto"/>
          <w:sz w:val="28"/>
          <w:szCs w:val="28"/>
          <w:highlight w:val="none"/>
          <w:u w:val="single"/>
        </w:rPr>
        <w:t xml:space="preserve">              </w:t>
      </w:r>
    </w:p>
    <w:p w14:paraId="37886ECF">
      <w:pPr>
        <w:pStyle w:val="12"/>
        <w:ind w:left="559" w:leftChars="266" w:firstLine="840" w:firstLineChars="300"/>
        <w:rPr>
          <w:rFonts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rPr>
        <w:t>联系电话：</w:t>
      </w:r>
      <w:r>
        <w:rPr>
          <w:rFonts w:hint="eastAsia" w:ascii="宋体" w:hAnsi="宋体" w:eastAsia="宋体" w:cs="宋体"/>
          <w:bCs/>
          <w:color w:val="auto"/>
          <w:sz w:val="28"/>
          <w:szCs w:val="28"/>
          <w:highlight w:val="none"/>
          <w:u w:val="single"/>
        </w:rPr>
        <w:t xml:space="preserve">                    </w:t>
      </w:r>
    </w:p>
    <w:p w14:paraId="7CB4B971">
      <w:pPr>
        <w:pStyle w:val="12"/>
        <w:ind w:left="559" w:leftChars="266" w:firstLine="840" w:firstLineChars="3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日期：</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w:t>
      </w:r>
    </w:p>
    <w:p w14:paraId="092B962B">
      <w:pPr>
        <w:pStyle w:val="13"/>
        <w:tabs>
          <w:tab w:val="left" w:pos="4410"/>
        </w:tabs>
        <w:rPr>
          <w:rFonts w:hAnsi="宋体" w:cs="宋体"/>
          <w:b/>
          <w:bCs/>
          <w:color w:val="auto"/>
          <w:sz w:val="24"/>
          <w:szCs w:val="24"/>
          <w:highlight w:val="none"/>
          <w:lang w:bidi="ar"/>
        </w:rPr>
      </w:pPr>
    </w:p>
    <w:p w14:paraId="0301FA93">
      <w:pPr>
        <w:pStyle w:val="13"/>
        <w:tabs>
          <w:tab w:val="left" w:pos="4410"/>
        </w:tabs>
        <w:rPr>
          <w:rFonts w:hAnsi="宋体" w:cs="宋体"/>
          <w:b/>
          <w:bCs/>
          <w:color w:val="auto"/>
          <w:sz w:val="24"/>
          <w:szCs w:val="24"/>
          <w:highlight w:val="none"/>
          <w:lang w:bidi="ar"/>
        </w:rPr>
      </w:pPr>
      <w:r>
        <w:rPr>
          <w:rFonts w:hint="eastAsia" w:hAnsi="宋体" w:cs="宋体"/>
          <w:b/>
          <w:bCs/>
          <w:color w:val="auto"/>
          <w:sz w:val="24"/>
          <w:szCs w:val="24"/>
          <w:highlight w:val="none"/>
          <w:lang w:bidi="ar"/>
        </w:rPr>
        <w:t>注：盖单位公章(CA签章)]</w:t>
      </w:r>
    </w:p>
    <w:p w14:paraId="022F625D">
      <w:pPr>
        <w:rPr>
          <w:rFonts w:ascii="宋体" w:hAnsi="宋体" w:cs="宋体"/>
          <w:b/>
          <w:color w:val="auto"/>
          <w:sz w:val="32"/>
          <w:szCs w:val="32"/>
          <w:highlight w:val="none"/>
        </w:rPr>
      </w:pPr>
    </w:p>
    <w:p w14:paraId="7C42641F">
      <w:pPr>
        <w:pStyle w:val="27"/>
        <w:rPr>
          <w:rFonts w:ascii="宋体" w:hAnsi="宋体" w:cs="宋体"/>
          <w:b/>
          <w:color w:val="auto"/>
          <w:sz w:val="32"/>
          <w:szCs w:val="32"/>
          <w:highlight w:val="none"/>
        </w:rPr>
      </w:pPr>
    </w:p>
    <w:p w14:paraId="023BCDA2">
      <w:pPr>
        <w:pStyle w:val="27"/>
        <w:rPr>
          <w:rFonts w:ascii="宋体" w:hAnsi="宋体" w:cs="宋体"/>
          <w:b/>
          <w:color w:val="auto"/>
          <w:sz w:val="32"/>
          <w:szCs w:val="32"/>
          <w:highlight w:val="none"/>
        </w:rPr>
      </w:pPr>
    </w:p>
    <w:p w14:paraId="0446F51D">
      <w:pPr>
        <w:spacing w:line="400" w:lineRule="atLeast"/>
        <w:jc w:val="left"/>
        <w:rPr>
          <w:rFonts w:ascii="宋体" w:hAnsi="宋体" w:cs="宋体"/>
          <w:b/>
          <w:color w:val="auto"/>
          <w:sz w:val="32"/>
          <w:szCs w:val="32"/>
          <w:highlight w:val="none"/>
        </w:rPr>
      </w:pPr>
      <w:r>
        <w:rPr>
          <w:rFonts w:hint="eastAsia" w:ascii="宋体" w:hAnsi="宋体" w:cs="宋体"/>
          <w:b/>
          <w:color w:val="auto"/>
          <w:sz w:val="32"/>
          <w:szCs w:val="32"/>
          <w:highlight w:val="none"/>
        </w:rPr>
        <w:t>技术文件文件目录</w:t>
      </w:r>
    </w:p>
    <w:p w14:paraId="7B85441C">
      <w:pPr>
        <w:tabs>
          <w:tab w:val="left" w:pos="1305"/>
        </w:tabs>
        <w:spacing w:line="400" w:lineRule="exact"/>
        <w:rPr>
          <w:rFonts w:ascii="宋体" w:hAnsi="宋体" w:cs="宋体"/>
          <w:b/>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、融资方案………………………………………………………………（页码）</w:t>
      </w:r>
    </w:p>
    <w:p w14:paraId="7D193DFD">
      <w:pPr>
        <w:tabs>
          <w:tab w:val="left" w:pos="1305"/>
        </w:tabs>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、运营维护方案………………………………………………………………（页码）</w:t>
      </w:r>
    </w:p>
    <w:p w14:paraId="31BF4B9D">
      <w:pPr>
        <w:tabs>
          <w:tab w:val="left" w:pos="1305"/>
        </w:tabs>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hAnsi="宋体" w:cs="宋体"/>
          <w:color w:val="auto"/>
          <w:szCs w:val="21"/>
          <w:highlight w:val="none"/>
        </w:rPr>
        <w:t>移交方案</w:t>
      </w:r>
      <w:r>
        <w:rPr>
          <w:rFonts w:hint="eastAsia" w:ascii="宋体" w:hAnsi="宋体" w:cs="宋体"/>
          <w:color w:val="auto"/>
          <w:szCs w:val="21"/>
          <w:highlight w:val="none"/>
        </w:rPr>
        <w:t>…………………………………………………………………（页码）</w:t>
      </w:r>
    </w:p>
    <w:p w14:paraId="1F65F429">
      <w:pPr>
        <w:tabs>
          <w:tab w:val="left" w:pos="1305"/>
        </w:tabs>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、投标人可结合本项目的评标办法技术方案视自身情况自行提交相关证明材料……（页码）</w:t>
      </w:r>
    </w:p>
    <w:p w14:paraId="7D570251">
      <w:pPr>
        <w:spacing w:line="300" w:lineRule="auto"/>
        <w:rPr>
          <w:rFonts w:ascii="仿宋_GB2312" w:eastAsia="仿宋_GB2312" w:cs="仿宋_GB2312"/>
          <w:b/>
          <w:bCs/>
          <w:color w:val="auto"/>
          <w:sz w:val="24"/>
          <w:highlight w:val="none"/>
          <w:lang w:bidi="ar"/>
        </w:rPr>
      </w:pPr>
    </w:p>
    <w:p w14:paraId="6CEC86D7">
      <w:pPr>
        <w:pStyle w:val="37"/>
        <w:numPr>
          <w:ilvl w:val="0"/>
          <w:numId w:val="0"/>
        </w:numPr>
        <w:spacing w:before="164" w:after="164"/>
        <w:rPr>
          <w:rFonts w:ascii="仿宋_GB2312" w:hAnsi="Times New Roman" w:eastAsia="仿宋_GB2312" w:cs="仿宋_GB2312"/>
          <w:b/>
          <w:bCs/>
          <w:color w:val="auto"/>
          <w:highlight w:val="none"/>
          <w:lang w:bidi="ar"/>
        </w:rPr>
      </w:pPr>
      <w:bookmarkStart w:id="99" w:name="_Toc28800"/>
      <w:r>
        <w:rPr>
          <w:rFonts w:hint="eastAsia" w:ascii="仿宋_GB2312" w:hAnsi="Times New Roman" w:eastAsia="仿宋_GB2312" w:cs="仿宋_GB2312"/>
          <w:b/>
          <w:bCs/>
          <w:color w:val="auto"/>
          <w:highlight w:val="none"/>
          <w:lang w:bidi="ar"/>
        </w:rPr>
        <w:t>注：以上目录格式仅供参考，各供应商可根据自身情况调整或细化</w:t>
      </w:r>
      <w:bookmarkEnd w:id="99"/>
    </w:p>
    <w:p w14:paraId="7D8CA3FA">
      <w:pPr>
        <w:pStyle w:val="37"/>
        <w:numPr>
          <w:ilvl w:val="0"/>
          <w:numId w:val="0"/>
        </w:numPr>
        <w:spacing w:before="164" w:after="164"/>
        <w:rPr>
          <w:rFonts w:ascii="宋体" w:hAnsi="宋体" w:cs="宋体"/>
          <w:b/>
          <w:bCs/>
          <w:color w:val="auto"/>
          <w:sz w:val="28"/>
          <w:szCs w:val="28"/>
          <w:highlight w:val="none"/>
        </w:rPr>
      </w:pPr>
      <w:r>
        <w:rPr>
          <w:rFonts w:hint="eastAsia" w:ascii="仿宋_GB2312" w:hAnsi="Times New Roman" w:eastAsia="仿宋_GB2312" w:cs="仿宋_GB2312"/>
          <w:b/>
          <w:bCs/>
          <w:color w:val="auto"/>
          <w:highlight w:val="none"/>
          <w:lang w:bidi="ar"/>
        </w:rPr>
        <w:br w:type="page"/>
      </w:r>
      <w:bookmarkEnd w:id="97"/>
      <w:bookmarkEnd w:id="98"/>
      <w:bookmarkStart w:id="100" w:name="_Toc2756"/>
      <w:r>
        <w:rPr>
          <w:rFonts w:hint="eastAsia" w:ascii="宋体" w:hAnsi="宋体" w:eastAsia="仿宋_GB2312" w:cs="宋体"/>
          <w:b/>
          <w:bCs/>
          <w:color w:val="auto"/>
          <w:sz w:val="28"/>
          <w:szCs w:val="28"/>
          <w:highlight w:val="none"/>
        </w:rPr>
        <w:t>一</w:t>
      </w:r>
      <w:r>
        <w:rPr>
          <w:rFonts w:hint="eastAsia" w:ascii="宋体" w:hAnsi="宋体" w:cs="宋体"/>
          <w:b/>
          <w:bCs/>
          <w:color w:val="auto"/>
          <w:sz w:val="28"/>
          <w:szCs w:val="28"/>
          <w:highlight w:val="none"/>
        </w:rPr>
        <w:t>、融资方案（</w:t>
      </w:r>
      <w:r>
        <w:rPr>
          <w:rFonts w:hint="eastAsia" w:ascii="宋体" w:hAnsi="宋体" w:cs="宋体"/>
          <w:b/>
          <w:bCs/>
          <w:color w:val="auto"/>
          <w:sz w:val="28"/>
          <w:szCs w:val="28"/>
          <w:highlight w:val="none"/>
          <w:lang w:val="en-US" w:eastAsia="zh-CN"/>
        </w:rPr>
        <w:t>如有，请提供</w:t>
      </w:r>
      <w:r>
        <w:rPr>
          <w:rFonts w:hint="eastAsia" w:ascii="宋体" w:hAnsi="宋体" w:cs="宋体"/>
          <w:b/>
          <w:bCs/>
          <w:color w:val="auto"/>
          <w:sz w:val="28"/>
          <w:szCs w:val="28"/>
          <w:highlight w:val="none"/>
        </w:rPr>
        <w:t>,格式自拟）；</w:t>
      </w:r>
      <w:bookmarkEnd w:id="100"/>
    </w:p>
    <w:p w14:paraId="3C90504D">
      <w:pPr>
        <w:pStyle w:val="37"/>
        <w:numPr>
          <w:ilvl w:val="0"/>
          <w:numId w:val="0"/>
        </w:numPr>
        <w:tabs>
          <w:tab w:val="left" w:pos="2410"/>
        </w:tabs>
        <w:spacing w:before="164" w:after="164"/>
        <w:jc w:val="center"/>
        <w:rPr>
          <w:rFonts w:ascii="宋体" w:hAnsi="宋体" w:cs="宋体"/>
          <w:b/>
          <w:bCs/>
          <w:color w:val="auto"/>
          <w:sz w:val="28"/>
          <w:szCs w:val="28"/>
          <w:highlight w:val="none"/>
        </w:rPr>
      </w:pPr>
      <w:bookmarkStart w:id="101" w:name="_Toc22417"/>
      <w:r>
        <w:rPr>
          <w:rFonts w:hint="eastAsia" w:ascii="宋体" w:hAnsi="宋体" w:cs="宋体"/>
          <w:b/>
          <w:bCs/>
          <w:color w:val="auto"/>
          <w:sz w:val="28"/>
          <w:szCs w:val="28"/>
          <w:highlight w:val="none"/>
        </w:rPr>
        <w:t>融资方案</w:t>
      </w:r>
      <w:bookmarkEnd w:id="101"/>
    </w:p>
    <w:p w14:paraId="3236B957">
      <w:pPr>
        <w:pStyle w:val="37"/>
        <w:numPr>
          <w:ilvl w:val="0"/>
          <w:numId w:val="0"/>
        </w:numPr>
        <w:tabs>
          <w:tab w:val="left" w:pos="2410"/>
        </w:tabs>
        <w:spacing w:before="164" w:after="164"/>
        <w:jc w:val="center"/>
        <w:rPr>
          <w:rFonts w:ascii="宋体" w:hAnsi="宋体" w:cs="宋体"/>
          <w:b/>
          <w:bCs/>
          <w:color w:val="auto"/>
          <w:sz w:val="28"/>
          <w:szCs w:val="28"/>
          <w:highlight w:val="none"/>
        </w:rPr>
      </w:pPr>
    </w:p>
    <w:p w14:paraId="37DD56C4">
      <w:pPr>
        <w:pStyle w:val="37"/>
        <w:numPr>
          <w:ilvl w:val="0"/>
          <w:numId w:val="0"/>
        </w:numPr>
        <w:tabs>
          <w:tab w:val="left" w:pos="2410"/>
        </w:tabs>
        <w:spacing w:before="164" w:after="164"/>
        <w:jc w:val="center"/>
        <w:rPr>
          <w:rFonts w:ascii="宋体" w:hAnsi="宋体" w:cs="宋体"/>
          <w:b/>
          <w:bCs/>
          <w:color w:val="auto"/>
          <w:sz w:val="28"/>
          <w:szCs w:val="28"/>
          <w:highlight w:val="none"/>
        </w:rPr>
      </w:pPr>
    </w:p>
    <w:p w14:paraId="3A02A04E">
      <w:pPr>
        <w:pStyle w:val="37"/>
        <w:numPr>
          <w:ilvl w:val="0"/>
          <w:numId w:val="0"/>
        </w:numPr>
        <w:tabs>
          <w:tab w:val="left" w:pos="2410"/>
        </w:tabs>
        <w:spacing w:before="164" w:after="164"/>
        <w:jc w:val="center"/>
        <w:rPr>
          <w:rFonts w:ascii="宋体" w:hAnsi="宋体" w:cs="宋体"/>
          <w:b/>
          <w:bCs/>
          <w:color w:val="auto"/>
          <w:sz w:val="28"/>
          <w:szCs w:val="28"/>
          <w:highlight w:val="none"/>
        </w:rPr>
      </w:pPr>
    </w:p>
    <w:p w14:paraId="6191FA93">
      <w:pPr>
        <w:pStyle w:val="13"/>
        <w:spacing w:line="320" w:lineRule="exact"/>
        <w:ind w:firstLine="1680" w:firstLineChars="800"/>
        <w:rPr>
          <w:rFonts w:hAnsi="宋体" w:cs="宋体"/>
          <w:bCs/>
          <w:color w:val="auto"/>
          <w:szCs w:val="21"/>
          <w:highlight w:val="none"/>
          <w:u w:val="single"/>
        </w:rPr>
      </w:pPr>
      <w:r>
        <w:rPr>
          <w:rFonts w:hint="eastAsia" w:hAnsi="宋体" w:cs="宋体"/>
          <w:bCs/>
          <w:color w:val="auto"/>
          <w:szCs w:val="21"/>
          <w:highlight w:val="none"/>
        </w:rPr>
        <w:t>投标人[公章(CA签章)、自然人除外]：</w:t>
      </w:r>
      <w:r>
        <w:rPr>
          <w:rFonts w:hint="eastAsia" w:hAnsi="宋体" w:cs="宋体"/>
          <w:bCs/>
          <w:color w:val="auto"/>
          <w:szCs w:val="21"/>
          <w:highlight w:val="none"/>
          <w:u w:val="single"/>
        </w:rPr>
        <w:t xml:space="preserve">                              </w:t>
      </w:r>
    </w:p>
    <w:p w14:paraId="4E8A85F9">
      <w:pPr>
        <w:pStyle w:val="13"/>
        <w:spacing w:line="320" w:lineRule="exact"/>
        <w:ind w:firstLine="1680" w:firstLineChars="800"/>
        <w:rPr>
          <w:rFonts w:hAnsi="宋体" w:cs="宋体"/>
          <w:color w:val="auto"/>
          <w:szCs w:val="21"/>
          <w:highlight w:val="none"/>
          <w:u w:val="single"/>
        </w:rPr>
      </w:pPr>
      <w:r>
        <w:rPr>
          <w:rFonts w:hint="eastAsia" w:hAnsi="宋体" w:cs="宋体"/>
          <w:color w:val="auto"/>
          <w:szCs w:val="21"/>
          <w:highlight w:val="none"/>
        </w:rPr>
        <w:t>日期：</w:t>
      </w:r>
      <w:r>
        <w:rPr>
          <w:rFonts w:hint="eastAsia" w:hAnsi="宋体" w:cs="宋体"/>
          <w:color w:val="auto"/>
          <w:szCs w:val="21"/>
          <w:highlight w:val="none"/>
          <w:u w:val="single"/>
        </w:rPr>
        <w:t xml:space="preserve">                               </w:t>
      </w:r>
    </w:p>
    <w:p w14:paraId="0002ABAC">
      <w:pPr>
        <w:pStyle w:val="37"/>
        <w:numPr>
          <w:ilvl w:val="0"/>
          <w:numId w:val="0"/>
        </w:numPr>
        <w:tabs>
          <w:tab w:val="left" w:pos="2410"/>
        </w:tabs>
        <w:spacing w:before="164" w:after="164"/>
        <w:jc w:val="center"/>
        <w:rPr>
          <w:rFonts w:ascii="宋体" w:hAnsi="宋体" w:cs="宋体"/>
          <w:b/>
          <w:bCs/>
          <w:color w:val="auto"/>
          <w:sz w:val="28"/>
          <w:szCs w:val="28"/>
          <w:highlight w:val="none"/>
        </w:rPr>
      </w:pPr>
    </w:p>
    <w:p w14:paraId="43DA0E8F">
      <w:pPr>
        <w:pStyle w:val="37"/>
        <w:numPr>
          <w:ilvl w:val="0"/>
          <w:numId w:val="0"/>
        </w:numPr>
        <w:tabs>
          <w:tab w:val="left" w:pos="2410"/>
        </w:tabs>
        <w:spacing w:before="164" w:after="164"/>
        <w:rPr>
          <w:rFonts w:ascii="宋体" w:hAnsi="宋体" w:cs="宋体"/>
          <w:b/>
          <w:bCs/>
          <w:color w:val="auto"/>
          <w:sz w:val="28"/>
          <w:szCs w:val="28"/>
          <w:highlight w:val="none"/>
        </w:rPr>
      </w:pPr>
    </w:p>
    <w:p w14:paraId="6D545D1D">
      <w:pPr>
        <w:pStyle w:val="37"/>
        <w:numPr>
          <w:ilvl w:val="0"/>
          <w:numId w:val="0"/>
        </w:numPr>
        <w:tabs>
          <w:tab w:val="left" w:pos="2410"/>
        </w:tabs>
        <w:spacing w:before="164" w:after="164"/>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bookmarkStart w:id="102" w:name="_Toc21005"/>
      <w:r>
        <w:rPr>
          <w:rFonts w:hint="eastAsia" w:ascii="宋体" w:hAnsi="宋体" w:cs="宋体"/>
          <w:b/>
          <w:bCs/>
          <w:color w:val="auto"/>
          <w:sz w:val="28"/>
          <w:szCs w:val="28"/>
          <w:highlight w:val="none"/>
        </w:rPr>
        <w:t>二、运营维护方案（</w:t>
      </w:r>
      <w:r>
        <w:rPr>
          <w:rFonts w:hint="eastAsia" w:ascii="宋体" w:hAnsi="宋体" w:cs="宋体"/>
          <w:b/>
          <w:bCs/>
          <w:color w:val="auto"/>
          <w:sz w:val="28"/>
          <w:szCs w:val="28"/>
          <w:highlight w:val="none"/>
          <w:lang w:val="en-US" w:eastAsia="zh-CN"/>
        </w:rPr>
        <w:t>如有，请</w:t>
      </w:r>
      <w:r>
        <w:rPr>
          <w:rFonts w:hint="eastAsia" w:ascii="宋体" w:hAnsi="宋体" w:cs="宋体"/>
          <w:b/>
          <w:bCs/>
          <w:color w:val="auto"/>
          <w:sz w:val="28"/>
          <w:szCs w:val="28"/>
          <w:highlight w:val="none"/>
        </w:rPr>
        <w:t>提供,格式自拟）；</w:t>
      </w:r>
      <w:bookmarkEnd w:id="102"/>
    </w:p>
    <w:p w14:paraId="43B7282D">
      <w:pPr>
        <w:pStyle w:val="37"/>
        <w:numPr>
          <w:ilvl w:val="0"/>
          <w:numId w:val="0"/>
        </w:numPr>
        <w:tabs>
          <w:tab w:val="left" w:pos="2410"/>
        </w:tabs>
        <w:spacing w:before="164" w:after="164"/>
        <w:rPr>
          <w:rFonts w:hint="eastAsia" w:ascii="宋体" w:hAnsi="宋体" w:eastAsia="宋体" w:cs="宋体"/>
          <w:b/>
          <w:bCs/>
          <w:color w:val="auto"/>
          <w:sz w:val="28"/>
          <w:szCs w:val="28"/>
          <w:highlight w:val="none"/>
        </w:rPr>
      </w:pPr>
    </w:p>
    <w:p w14:paraId="66458090">
      <w:pPr>
        <w:pStyle w:val="37"/>
        <w:numPr>
          <w:ilvl w:val="0"/>
          <w:numId w:val="0"/>
        </w:numPr>
        <w:tabs>
          <w:tab w:val="left" w:pos="2410"/>
        </w:tabs>
        <w:spacing w:before="164" w:after="164"/>
        <w:jc w:val="center"/>
        <w:rPr>
          <w:rFonts w:hint="eastAsia" w:ascii="宋体" w:hAnsi="宋体" w:eastAsia="宋体" w:cs="宋体"/>
          <w:b/>
          <w:bCs/>
          <w:color w:val="auto"/>
          <w:sz w:val="28"/>
          <w:szCs w:val="28"/>
          <w:highlight w:val="none"/>
        </w:rPr>
      </w:pPr>
      <w:bookmarkStart w:id="103" w:name="_Toc25820"/>
      <w:r>
        <w:rPr>
          <w:rFonts w:hint="eastAsia" w:ascii="宋体" w:hAnsi="宋体" w:eastAsia="宋体" w:cs="宋体"/>
          <w:b/>
          <w:bCs/>
          <w:color w:val="auto"/>
          <w:sz w:val="28"/>
          <w:szCs w:val="28"/>
          <w:highlight w:val="none"/>
        </w:rPr>
        <w:t>运营维护方案</w:t>
      </w:r>
      <w:bookmarkEnd w:id="103"/>
    </w:p>
    <w:p w14:paraId="2D7C2F01">
      <w:pPr>
        <w:pStyle w:val="37"/>
        <w:numPr>
          <w:ilvl w:val="0"/>
          <w:numId w:val="0"/>
        </w:numPr>
        <w:tabs>
          <w:tab w:val="left" w:pos="2410"/>
        </w:tabs>
        <w:spacing w:before="164" w:after="164"/>
        <w:rPr>
          <w:rFonts w:hint="eastAsia" w:ascii="宋体" w:hAnsi="宋体" w:eastAsia="宋体" w:cs="宋体"/>
          <w:b/>
          <w:bCs/>
          <w:color w:val="auto"/>
          <w:sz w:val="28"/>
          <w:szCs w:val="28"/>
          <w:highlight w:val="none"/>
        </w:rPr>
      </w:pPr>
    </w:p>
    <w:p w14:paraId="111BC273">
      <w:pPr>
        <w:pStyle w:val="37"/>
        <w:numPr>
          <w:ilvl w:val="0"/>
          <w:numId w:val="0"/>
        </w:numPr>
        <w:tabs>
          <w:tab w:val="left" w:pos="2410"/>
        </w:tabs>
        <w:spacing w:before="164" w:after="164"/>
        <w:rPr>
          <w:rFonts w:hint="eastAsia" w:ascii="宋体" w:hAnsi="宋体" w:eastAsia="宋体" w:cs="宋体"/>
          <w:b/>
          <w:bCs/>
          <w:color w:val="auto"/>
          <w:sz w:val="28"/>
          <w:szCs w:val="28"/>
          <w:highlight w:val="none"/>
        </w:rPr>
      </w:pPr>
    </w:p>
    <w:p w14:paraId="58CB34F4">
      <w:pPr>
        <w:pStyle w:val="13"/>
        <w:spacing w:line="320" w:lineRule="exact"/>
        <w:ind w:firstLine="1680" w:firstLineChars="800"/>
        <w:rPr>
          <w:rFonts w:hAnsi="宋体" w:cs="宋体"/>
          <w:bCs/>
          <w:color w:val="auto"/>
          <w:szCs w:val="21"/>
          <w:highlight w:val="none"/>
        </w:rPr>
      </w:pPr>
    </w:p>
    <w:p w14:paraId="6BDC66AB">
      <w:pPr>
        <w:pStyle w:val="13"/>
        <w:spacing w:line="320" w:lineRule="exact"/>
        <w:ind w:firstLine="1680" w:firstLineChars="800"/>
        <w:rPr>
          <w:rFonts w:hAnsi="宋体" w:cs="宋体"/>
          <w:bCs/>
          <w:color w:val="auto"/>
          <w:szCs w:val="21"/>
          <w:highlight w:val="none"/>
        </w:rPr>
      </w:pPr>
    </w:p>
    <w:p w14:paraId="4994BE14">
      <w:pPr>
        <w:pStyle w:val="13"/>
        <w:spacing w:line="320" w:lineRule="exact"/>
        <w:ind w:firstLine="1680" w:firstLineChars="800"/>
        <w:rPr>
          <w:rFonts w:hAnsi="宋体" w:cs="宋体"/>
          <w:bCs/>
          <w:color w:val="auto"/>
          <w:szCs w:val="21"/>
          <w:highlight w:val="none"/>
        </w:rPr>
      </w:pPr>
    </w:p>
    <w:p w14:paraId="6F770C66">
      <w:pPr>
        <w:pStyle w:val="13"/>
        <w:spacing w:line="320" w:lineRule="exact"/>
        <w:ind w:firstLine="1680" w:firstLineChars="800"/>
        <w:rPr>
          <w:rFonts w:hAnsi="宋体" w:cs="宋体"/>
          <w:bCs/>
          <w:color w:val="auto"/>
          <w:szCs w:val="21"/>
          <w:highlight w:val="none"/>
        </w:rPr>
      </w:pPr>
    </w:p>
    <w:p w14:paraId="77D5877E">
      <w:pPr>
        <w:pStyle w:val="13"/>
        <w:spacing w:line="320" w:lineRule="exact"/>
        <w:ind w:firstLine="1680" w:firstLineChars="800"/>
        <w:rPr>
          <w:rFonts w:hAnsi="宋体" w:cs="宋体"/>
          <w:bCs/>
          <w:color w:val="auto"/>
          <w:szCs w:val="21"/>
          <w:highlight w:val="none"/>
        </w:rPr>
      </w:pPr>
    </w:p>
    <w:p w14:paraId="7F06605E">
      <w:pPr>
        <w:pStyle w:val="13"/>
        <w:spacing w:line="320" w:lineRule="exact"/>
        <w:ind w:firstLine="1680" w:firstLineChars="800"/>
        <w:rPr>
          <w:rFonts w:hAnsi="宋体" w:cs="宋体"/>
          <w:bCs/>
          <w:color w:val="auto"/>
          <w:szCs w:val="21"/>
          <w:highlight w:val="none"/>
        </w:rPr>
      </w:pPr>
    </w:p>
    <w:p w14:paraId="4765935F">
      <w:pPr>
        <w:pStyle w:val="13"/>
        <w:spacing w:line="320" w:lineRule="exact"/>
        <w:ind w:firstLine="1680" w:firstLineChars="800"/>
        <w:rPr>
          <w:rFonts w:hAnsi="宋体" w:cs="宋体"/>
          <w:bCs/>
          <w:color w:val="auto"/>
          <w:szCs w:val="21"/>
          <w:highlight w:val="none"/>
        </w:rPr>
      </w:pPr>
    </w:p>
    <w:p w14:paraId="00792E8B">
      <w:pPr>
        <w:pStyle w:val="13"/>
        <w:spacing w:line="320" w:lineRule="exact"/>
        <w:ind w:firstLine="1680" w:firstLineChars="800"/>
        <w:rPr>
          <w:rFonts w:hAnsi="宋体" w:cs="宋体"/>
          <w:bCs/>
          <w:color w:val="auto"/>
          <w:szCs w:val="21"/>
          <w:highlight w:val="none"/>
        </w:rPr>
      </w:pPr>
    </w:p>
    <w:p w14:paraId="26175F22">
      <w:pPr>
        <w:pStyle w:val="13"/>
        <w:spacing w:line="320" w:lineRule="exact"/>
        <w:ind w:firstLine="1680" w:firstLineChars="800"/>
        <w:rPr>
          <w:rFonts w:hAnsi="宋体" w:cs="宋体"/>
          <w:bCs/>
          <w:color w:val="auto"/>
          <w:szCs w:val="21"/>
          <w:highlight w:val="none"/>
        </w:rPr>
      </w:pPr>
    </w:p>
    <w:p w14:paraId="0FE47253">
      <w:pPr>
        <w:pStyle w:val="13"/>
        <w:spacing w:line="320" w:lineRule="exact"/>
        <w:ind w:firstLine="1680" w:firstLineChars="800"/>
        <w:rPr>
          <w:rFonts w:hAnsi="宋体" w:cs="宋体"/>
          <w:bCs/>
          <w:color w:val="auto"/>
          <w:szCs w:val="21"/>
          <w:highlight w:val="none"/>
          <w:u w:val="single"/>
        </w:rPr>
      </w:pPr>
      <w:r>
        <w:rPr>
          <w:rFonts w:hint="eastAsia" w:hAnsi="宋体" w:cs="宋体"/>
          <w:bCs/>
          <w:color w:val="auto"/>
          <w:szCs w:val="21"/>
          <w:highlight w:val="none"/>
        </w:rPr>
        <w:t>投标人[公章(CA签章)、</w:t>
      </w:r>
      <w:r>
        <w:rPr>
          <w:rFonts w:hint="eastAsia" w:hAnsi="宋体" w:cs="宋体"/>
          <w:color w:val="auto"/>
          <w:szCs w:val="21"/>
          <w:highlight w:val="none"/>
        </w:rPr>
        <w:t>自然人签字或个人CA签章</w:t>
      </w:r>
      <w:r>
        <w:rPr>
          <w:rFonts w:hint="eastAsia" w:hAnsi="宋体" w:cs="宋体"/>
          <w:bCs/>
          <w:color w:val="auto"/>
          <w:szCs w:val="21"/>
          <w:highlight w:val="none"/>
        </w:rPr>
        <w:t>]：</w:t>
      </w:r>
      <w:r>
        <w:rPr>
          <w:rFonts w:hint="eastAsia" w:hAnsi="宋体" w:cs="宋体"/>
          <w:bCs/>
          <w:color w:val="auto"/>
          <w:szCs w:val="21"/>
          <w:highlight w:val="none"/>
          <w:u w:val="single"/>
        </w:rPr>
        <w:t xml:space="preserve">                              </w:t>
      </w:r>
    </w:p>
    <w:p w14:paraId="466D05FE">
      <w:pPr>
        <w:pStyle w:val="13"/>
        <w:spacing w:line="320" w:lineRule="exact"/>
        <w:ind w:firstLine="1680" w:firstLineChars="800"/>
        <w:rPr>
          <w:rFonts w:hAnsi="宋体" w:cs="宋体"/>
          <w:color w:val="auto"/>
          <w:szCs w:val="21"/>
          <w:highlight w:val="none"/>
          <w:u w:val="single"/>
        </w:rPr>
      </w:pPr>
      <w:r>
        <w:rPr>
          <w:rFonts w:hint="eastAsia" w:hAnsi="宋体" w:cs="宋体"/>
          <w:color w:val="auto"/>
          <w:szCs w:val="21"/>
          <w:highlight w:val="none"/>
        </w:rPr>
        <w:t>日期：</w:t>
      </w:r>
      <w:r>
        <w:rPr>
          <w:rFonts w:hint="eastAsia" w:hAnsi="宋体" w:cs="宋体"/>
          <w:color w:val="auto"/>
          <w:szCs w:val="21"/>
          <w:highlight w:val="none"/>
          <w:u w:val="single"/>
        </w:rPr>
        <w:t xml:space="preserve">                               </w:t>
      </w:r>
    </w:p>
    <w:p w14:paraId="16DF036C">
      <w:pPr>
        <w:pStyle w:val="37"/>
        <w:numPr>
          <w:ilvl w:val="0"/>
          <w:numId w:val="0"/>
        </w:numPr>
        <w:tabs>
          <w:tab w:val="left" w:pos="2410"/>
        </w:tabs>
        <w:spacing w:before="164" w:after="164"/>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bookmarkStart w:id="104" w:name="_Toc30423"/>
      <w:r>
        <w:rPr>
          <w:rFonts w:hint="eastAsia" w:ascii="宋体" w:hAnsi="宋体" w:cs="宋体"/>
          <w:b/>
          <w:bCs/>
          <w:color w:val="auto"/>
          <w:sz w:val="28"/>
          <w:szCs w:val="28"/>
          <w:highlight w:val="none"/>
        </w:rPr>
        <w:t>三、移交方案（</w:t>
      </w:r>
      <w:r>
        <w:rPr>
          <w:rFonts w:hint="eastAsia" w:ascii="宋体" w:hAnsi="宋体" w:cs="宋体"/>
          <w:b/>
          <w:bCs/>
          <w:color w:val="auto"/>
          <w:sz w:val="28"/>
          <w:szCs w:val="28"/>
          <w:highlight w:val="none"/>
          <w:lang w:val="en-US" w:eastAsia="zh-CN"/>
        </w:rPr>
        <w:t>如有，请</w:t>
      </w:r>
      <w:r>
        <w:rPr>
          <w:rFonts w:hint="eastAsia" w:ascii="宋体" w:hAnsi="宋体" w:cs="宋体"/>
          <w:b/>
          <w:bCs/>
          <w:color w:val="auto"/>
          <w:sz w:val="28"/>
          <w:szCs w:val="28"/>
          <w:highlight w:val="none"/>
        </w:rPr>
        <w:t>提供,格式自拟）；</w:t>
      </w:r>
      <w:bookmarkEnd w:id="104"/>
    </w:p>
    <w:p w14:paraId="1D023D6E">
      <w:pPr>
        <w:pStyle w:val="37"/>
        <w:numPr>
          <w:ilvl w:val="0"/>
          <w:numId w:val="0"/>
        </w:numPr>
        <w:tabs>
          <w:tab w:val="left" w:pos="2410"/>
        </w:tabs>
        <w:spacing w:before="164" w:after="164"/>
        <w:jc w:val="center"/>
        <w:rPr>
          <w:rFonts w:ascii="宋体" w:hAnsi="宋体" w:cs="宋体"/>
          <w:b/>
          <w:bCs/>
          <w:color w:val="auto"/>
          <w:sz w:val="28"/>
          <w:szCs w:val="28"/>
          <w:highlight w:val="none"/>
        </w:rPr>
      </w:pPr>
    </w:p>
    <w:p w14:paraId="2B6C1B8D">
      <w:pPr>
        <w:pStyle w:val="37"/>
        <w:numPr>
          <w:ilvl w:val="0"/>
          <w:numId w:val="0"/>
        </w:numPr>
        <w:tabs>
          <w:tab w:val="left" w:pos="2410"/>
        </w:tabs>
        <w:spacing w:before="164" w:after="164"/>
        <w:jc w:val="center"/>
        <w:rPr>
          <w:rFonts w:ascii="宋体" w:hAnsi="宋体" w:cs="宋体"/>
          <w:b/>
          <w:bCs/>
          <w:color w:val="auto"/>
          <w:sz w:val="28"/>
          <w:szCs w:val="28"/>
          <w:highlight w:val="none"/>
        </w:rPr>
      </w:pPr>
      <w:bookmarkStart w:id="105" w:name="_Toc11807"/>
      <w:r>
        <w:rPr>
          <w:rFonts w:hint="eastAsia" w:ascii="宋体" w:hAnsi="宋体" w:cs="宋体"/>
          <w:b/>
          <w:bCs/>
          <w:color w:val="auto"/>
          <w:sz w:val="28"/>
          <w:szCs w:val="28"/>
          <w:highlight w:val="none"/>
        </w:rPr>
        <w:t>移交方案</w:t>
      </w:r>
      <w:bookmarkEnd w:id="105"/>
    </w:p>
    <w:p w14:paraId="222942AC">
      <w:pPr>
        <w:pStyle w:val="37"/>
        <w:numPr>
          <w:ilvl w:val="0"/>
          <w:numId w:val="0"/>
        </w:numPr>
        <w:tabs>
          <w:tab w:val="left" w:pos="2410"/>
        </w:tabs>
        <w:spacing w:before="164" w:after="164"/>
        <w:rPr>
          <w:rFonts w:ascii="宋体" w:hAnsi="宋体" w:cs="宋体"/>
          <w:b/>
          <w:bCs/>
          <w:color w:val="auto"/>
          <w:sz w:val="28"/>
          <w:szCs w:val="28"/>
          <w:highlight w:val="none"/>
        </w:rPr>
      </w:pPr>
    </w:p>
    <w:p w14:paraId="3663EF1D">
      <w:pPr>
        <w:pStyle w:val="37"/>
        <w:numPr>
          <w:ilvl w:val="0"/>
          <w:numId w:val="0"/>
        </w:numPr>
        <w:tabs>
          <w:tab w:val="left" w:pos="2410"/>
        </w:tabs>
        <w:spacing w:before="164" w:after="164"/>
        <w:rPr>
          <w:rFonts w:ascii="宋体" w:hAnsi="宋体" w:cs="宋体"/>
          <w:b/>
          <w:bCs/>
          <w:color w:val="auto"/>
          <w:sz w:val="28"/>
          <w:szCs w:val="28"/>
          <w:highlight w:val="none"/>
        </w:rPr>
      </w:pPr>
    </w:p>
    <w:p w14:paraId="0B42C302">
      <w:pPr>
        <w:pStyle w:val="37"/>
        <w:numPr>
          <w:ilvl w:val="0"/>
          <w:numId w:val="0"/>
        </w:numPr>
        <w:tabs>
          <w:tab w:val="left" w:pos="2410"/>
        </w:tabs>
        <w:spacing w:before="164" w:after="164"/>
        <w:rPr>
          <w:rFonts w:ascii="宋体" w:hAnsi="宋体" w:cs="宋体"/>
          <w:b/>
          <w:bCs/>
          <w:color w:val="auto"/>
          <w:sz w:val="28"/>
          <w:szCs w:val="28"/>
          <w:highlight w:val="none"/>
        </w:rPr>
      </w:pPr>
    </w:p>
    <w:p w14:paraId="14B3B049">
      <w:pPr>
        <w:pStyle w:val="37"/>
        <w:numPr>
          <w:ilvl w:val="0"/>
          <w:numId w:val="0"/>
        </w:numPr>
        <w:tabs>
          <w:tab w:val="left" w:pos="2410"/>
        </w:tabs>
        <w:spacing w:before="164" w:after="164"/>
        <w:rPr>
          <w:rFonts w:ascii="宋体" w:hAnsi="宋体" w:cs="宋体"/>
          <w:b/>
          <w:bCs/>
          <w:color w:val="auto"/>
          <w:sz w:val="28"/>
          <w:szCs w:val="28"/>
          <w:highlight w:val="none"/>
        </w:rPr>
      </w:pPr>
    </w:p>
    <w:p w14:paraId="4CA46EF2">
      <w:pPr>
        <w:pStyle w:val="37"/>
        <w:numPr>
          <w:ilvl w:val="0"/>
          <w:numId w:val="0"/>
        </w:numPr>
        <w:tabs>
          <w:tab w:val="left" w:pos="2410"/>
        </w:tabs>
        <w:spacing w:before="164" w:after="164"/>
        <w:rPr>
          <w:rFonts w:ascii="宋体" w:hAnsi="宋体" w:cs="宋体"/>
          <w:b/>
          <w:bCs/>
          <w:color w:val="auto"/>
          <w:sz w:val="28"/>
          <w:szCs w:val="28"/>
          <w:highlight w:val="none"/>
        </w:rPr>
      </w:pPr>
    </w:p>
    <w:p w14:paraId="2A63CA6A">
      <w:pPr>
        <w:pStyle w:val="13"/>
        <w:spacing w:line="320" w:lineRule="exact"/>
        <w:ind w:firstLine="1680" w:firstLineChars="800"/>
        <w:rPr>
          <w:rFonts w:hAnsi="宋体" w:cs="宋体"/>
          <w:bCs/>
          <w:color w:val="auto"/>
          <w:szCs w:val="21"/>
          <w:highlight w:val="none"/>
          <w:u w:val="single"/>
        </w:rPr>
      </w:pPr>
      <w:r>
        <w:rPr>
          <w:rFonts w:hint="eastAsia" w:hAnsi="宋体" w:cs="宋体"/>
          <w:bCs/>
          <w:color w:val="auto"/>
          <w:szCs w:val="21"/>
          <w:highlight w:val="none"/>
        </w:rPr>
        <w:t>投标人[公章(CA签章)、</w:t>
      </w:r>
      <w:r>
        <w:rPr>
          <w:rFonts w:hint="eastAsia" w:hAnsi="宋体" w:cs="宋体"/>
          <w:color w:val="auto"/>
          <w:szCs w:val="21"/>
          <w:highlight w:val="none"/>
        </w:rPr>
        <w:t>自然人签字或个人CA签章</w:t>
      </w:r>
      <w:r>
        <w:rPr>
          <w:rFonts w:hint="eastAsia" w:hAnsi="宋体" w:cs="宋体"/>
          <w:bCs/>
          <w:color w:val="auto"/>
          <w:szCs w:val="21"/>
          <w:highlight w:val="none"/>
        </w:rPr>
        <w:t>]：</w:t>
      </w:r>
      <w:r>
        <w:rPr>
          <w:rFonts w:hint="eastAsia" w:hAnsi="宋体" w:cs="宋体"/>
          <w:bCs/>
          <w:color w:val="auto"/>
          <w:szCs w:val="21"/>
          <w:highlight w:val="none"/>
          <w:u w:val="single"/>
        </w:rPr>
        <w:t xml:space="preserve">                              </w:t>
      </w:r>
    </w:p>
    <w:p w14:paraId="22AF0FC2">
      <w:pPr>
        <w:pStyle w:val="13"/>
        <w:spacing w:line="320" w:lineRule="exact"/>
        <w:ind w:firstLine="1680" w:firstLineChars="800"/>
        <w:rPr>
          <w:rFonts w:hAnsi="宋体" w:cs="宋体"/>
          <w:color w:val="auto"/>
          <w:szCs w:val="21"/>
          <w:highlight w:val="none"/>
          <w:u w:val="single"/>
        </w:rPr>
      </w:pPr>
      <w:r>
        <w:rPr>
          <w:rFonts w:hint="eastAsia" w:hAnsi="宋体" w:cs="宋体"/>
          <w:color w:val="auto"/>
          <w:szCs w:val="21"/>
          <w:highlight w:val="none"/>
        </w:rPr>
        <w:t>日期：</w:t>
      </w:r>
      <w:r>
        <w:rPr>
          <w:rFonts w:hint="eastAsia" w:hAnsi="宋体" w:cs="宋体"/>
          <w:color w:val="auto"/>
          <w:szCs w:val="21"/>
          <w:highlight w:val="none"/>
          <w:u w:val="single"/>
        </w:rPr>
        <w:t xml:space="preserve">                               </w:t>
      </w:r>
    </w:p>
    <w:p w14:paraId="02339B2A">
      <w:pPr>
        <w:pStyle w:val="37"/>
        <w:numPr>
          <w:ilvl w:val="0"/>
          <w:numId w:val="0"/>
        </w:numPr>
        <w:tabs>
          <w:tab w:val="left" w:pos="2410"/>
        </w:tabs>
        <w:spacing w:before="164" w:after="164"/>
        <w:ind w:firstLine="2249" w:firstLineChars="800"/>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2819201">
      <w:pPr>
        <w:pStyle w:val="37"/>
        <w:numPr>
          <w:ilvl w:val="0"/>
          <w:numId w:val="0"/>
        </w:numPr>
        <w:tabs>
          <w:tab w:val="left" w:pos="2410"/>
        </w:tabs>
        <w:spacing w:before="164" w:after="164"/>
        <w:rPr>
          <w:rFonts w:ascii="宋体" w:hAnsi="宋体" w:cs="宋体"/>
          <w:b/>
          <w:bCs/>
          <w:color w:val="auto"/>
          <w:sz w:val="28"/>
          <w:szCs w:val="28"/>
          <w:highlight w:val="none"/>
        </w:rPr>
      </w:pPr>
      <w:bookmarkStart w:id="106" w:name="_Toc6993"/>
      <w:r>
        <w:rPr>
          <w:rFonts w:hint="eastAsia" w:ascii="宋体" w:hAnsi="宋体" w:cs="宋体"/>
          <w:b/>
          <w:bCs/>
          <w:color w:val="auto"/>
          <w:sz w:val="28"/>
          <w:szCs w:val="28"/>
          <w:highlight w:val="none"/>
          <w:lang w:val="en-US" w:eastAsia="zh-CN"/>
        </w:rPr>
        <w:t>四</w:t>
      </w:r>
      <w:r>
        <w:rPr>
          <w:rFonts w:hint="eastAsia" w:ascii="宋体" w:hAnsi="宋体" w:cs="宋体"/>
          <w:b/>
          <w:bCs/>
          <w:color w:val="auto"/>
          <w:sz w:val="28"/>
          <w:szCs w:val="28"/>
          <w:highlight w:val="none"/>
        </w:rPr>
        <w:t>、投标人可结合本项目的评标办法技术方案视自身情况自行提交相关证明材料。</w:t>
      </w:r>
      <w:bookmarkEnd w:id="106"/>
    </w:p>
    <w:p w14:paraId="1D8A6A2A">
      <w:pPr>
        <w:rPr>
          <w:color w:val="auto"/>
          <w:sz w:val="24"/>
          <w:szCs w:val="21"/>
          <w:highlight w:val="none"/>
        </w:rPr>
      </w:pPr>
    </w:p>
    <w:p w14:paraId="6D88913E">
      <w:pPr>
        <w:rPr>
          <w:color w:val="auto"/>
          <w:highlight w:val="none"/>
        </w:rPr>
      </w:pPr>
    </w:p>
    <w:p w14:paraId="77B8FA08">
      <w:pPr>
        <w:rPr>
          <w:color w:val="auto"/>
          <w:highlight w:val="none"/>
        </w:rPr>
      </w:pPr>
    </w:p>
    <w:p w14:paraId="1E7A1102">
      <w:pPr>
        <w:rPr>
          <w:color w:val="auto"/>
          <w:highlight w:val="none"/>
        </w:rPr>
      </w:pPr>
    </w:p>
    <w:p w14:paraId="5ED8CE28">
      <w:pPr>
        <w:rPr>
          <w:color w:val="auto"/>
          <w:highlight w:val="none"/>
        </w:rPr>
      </w:pPr>
    </w:p>
    <w:p w14:paraId="2ED95BA4">
      <w:pPr>
        <w:rPr>
          <w:color w:val="auto"/>
          <w:highlight w:val="none"/>
        </w:rPr>
      </w:pPr>
    </w:p>
    <w:p w14:paraId="192D2FDD">
      <w:pPr>
        <w:rPr>
          <w:highlight w:val="none"/>
        </w:rPr>
      </w:pPr>
    </w:p>
    <w:bookmarkEnd w:id="107"/>
    <w:sectPr>
      <w:headerReference r:id="rId12" w:type="default"/>
      <w:footerReference r:id="rId1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Ђˎ̥">
    <w:altName w:val="微软雅黑"/>
    <w:panose1 w:val="020B0604020202020204"/>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8B28A">
    <w:pPr>
      <w:pStyle w:val="14"/>
      <w:tabs>
        <w:tab w:val="clear" w:pos="4153"/>
      </w:tabs>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31BCB">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1B31BCB">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92AC7">
    <w:pPr>
      <w:pStyle w:val="14"/>
      <w:jc w:val="center"/>
      <w:rPr>
        <w:rFonts w:ascii="Times New Roman" w:hAnsi="Times New Roman"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65919">
                          <w:pPr>
                            <w:pStyle w:val="14"/>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eastAsia="zh-CN"/>
                            </w:rPr>
                            <w:t>V</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8C65919">
                    <w:pPr>
                      <w:pStyle w:val="14"/>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eastAsia="zh-CN"/>
                      </w:rPr>
                      <w:t>V</w:t>
                    </w:r>
                    <w:r>
                      <w:rPr>
                        <w:rFonts w:ascii="Times New Roman" w:hAnsi="Times New Roman" w:cs="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380E1">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049DC">
    <w:pPr>
      <w:pStyle w:val="14"/>
      <w:tabs>
        <w:tab w:val="center" w:pos="4156"/>
        <w:tab w:val="clear" w:pos="4153"/>
        <w:tab w:val="clear" w:pos="8306"/>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D7A174">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DD7A174">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14:paraId="5EFFB7A1">
                          <w:pPr>
                            <w:pStyle w:val="14"/>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6W/D9EAAAADAQAADwAAAAAAAAABACAAAAAiAAAAZHJzL2Rv&#10;d25yZXYueG1sUEsBAhQAFAAAAAgAh07iQBioP/zPAQAAmQMAAA4AAAAAAAAAAQAgAAAAIAEAAGRy&#10;cy9lMm9Eb2MueG1sUEsFBgAAAAAGAAYAWQEAAGEFAAAAAA==&#10;">
              <v:fill on="f" focussize="0,0"/>
              <v:stroke on="f"/>
              <v:imagedata o:title=""/>
              <o:lock v:ext="edit" aspectratio="f"/>
              <v:textbox inset="0mm,0mm,0mm,0mm" style="mso-fit-shape-to-text:t;">
                <w:txbxContent>
                  <w:p w14:paraId="5EFFB7A1">
                    <w:pPr>
                      <w:pStyle w:val="14"/>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AA492">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9022">
                          <w:pPr>
                            <w:pStyle w:val="14"/>
                          </w:pPr>
                          <w:r>
                            <w:fldChar w:fldCharType="begin"/>
                          </w:r>
                          <w:r>
                            <w:instrText xml:space="preserve"> PAGE  \* MERGEFORMAT </w:instrText>
                          </w:r>
                          <w:r>
                            <w:fldChar w:fldCharType="separate"/>
                          </w:r>
                          <w:r>
                            <w:t>213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1D1sIBAACP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8nINSDcHhMWLv1k1BFqKoZzKoymncqL8Oe9ZD3+R9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C9Q9bCAQAAjwMAAA4AAAAAAAAAAQAgAAAAHgEAAGRycy9lMm9Eb2MueG1sUEsF&#10;BgAAAAAGAAYAWQEAAFIFAAAAAA==&#10;">
              <v:fill on="f" focussize="0,0"/>
              <v:stroke on="f"/>
              <v:imagedata o:title=""/>
              <o:lock v:ext="edit" aspectratio="f"/>
              <v:textbox inset="0mm,0mm,0mm,0mm" style="mso-fit-shape-to-text:t;">
                <w:txbxContent>
                  <w:p w14:paraId="5BAD9022">
                    <w:pPr>
                      <w:pStyle w:val="14"/>
                    </w:pPr>
                    <w:r>
                      <w:fldChar w:fldCharType="begin"/>
                    </w:r>
                    <w:r>
                      <w:instrText xml:space="preserve"> PAGE  \* MERGEFORMAT </w:instrText>
                    </w:r>
                    <w:r>
                      <w:fldChar w:fldCharType="separate"/>
                    </w:r>
                    <w:r>
                      <w:t>213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F2321">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2A6B5">
    <w:pPr>
      <w:pStyle w:val="16"/>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0A65C">
    <w:pPr>
      <w:pStyle w:val="1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F9426">
    <w:pPr>
      <w:pStyle w:val="1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71101">
    <w:pPr>
      <w:pStyle w:val="1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52089">
    <w:pPr>
      <w:pStyle w:val="16"/>
      <w:pBdr>
        <w:bottom w:val="none" w:color="auto" w:sz="0" w:space="1"/>
      </w:pBdr>
      <w:jc w:val="right"/>
      <w:rPr>
        <w:rFonts w:ascii="仿宋_GB2312" w:eastAsia="仿宋_GB231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4DD44B"/>
    <w:multiLevelType w:val="singleLevel"/>
    <w:tmpl w:val="A04DD44B"/>
    <w:lvl w:ilvl="0" w:tentative="0">
      <w:start w:val="6"/>
      <w:numFmt w:val="chineseCounting"/>
      <w:suff w:val="nothing"/>
      <w:lvlText w:val="%1、"/>
      <w:lvlJc w:val="left"/>
      <w:rPr>
        <w:rFonts w:hint="eastAsia"/>
      </w:rPr>
    </w:lvl>
  </w:abstractNum>
  <w:abstractNum w:abstractNumId="1">
    <w:nsid w:val="CB731CA7"/>
    <w:multiLevelType w:val="singleLevel"/>
    <w:tmpl w:val="CB731CA7"/>
    <w:lvl w:ilvl="0" w:tentative="0">
      <w:start w:val="8"/>
      <w:numFmt w:val="chineseCounting"/>
      <w:suff w:val="nothing"/>
      <w:lvlText w:val="%1、"/>
      <w:lvlJc w:val="left"/>
      <w:rPr>
        <w:rFonts w:hint="eastAsia"/>
      </w:rPr>
    </w:lvl>
  </w:abstractNum>
  <w:abstractNum w:abstractNumId="2">
    <w:nsid w:val="07F334E0"/>
    <w:multiLevelType w:val="multilevel"/>
    <w:tmpl w:val="07F334E0"/>
    <w:lvl w:ilvl="0" w:tentative="0">
      <w:start w:val="1"/>
      <w:numFmt w:val="chineseCountingThousand"/>
      <w:suff w:val="nothing"/>
      <w:lvlText w:val="%1、"/>
      <w:lvlJc w:val="left"/>
      <w:pPr>
        <w:ind w:left="0" w:firstLine="400"/>
      </w:pPr>
      <w:rPr>
        <w:rFonts w:hint="default" w:ascii="Times New Roman" w:hAnsi="Times New Roman" w:eastAsia="宋体"/>
        <w:b/>
        <w:i w:val="0"/>
        <w:sz w:val="24"/>
      </w:rPr>
    </w:lvl>
    <w:lvl w:ilvl="1" w:tentative="0">
      <w:start w:val="1"/>
      <w:numFmt w:val="chineseCountingThousand"/>
      <w:pStyle w:val="37"/>
      <w:suff w:val="nothing"/>
      <w:lvlText w:val="（%2）"/>
      <w:lvlJc w:val="left"/>
      <w:pPr>
        <w:ind w:left="0" w:firstLine="400"/>
      </w:pPr>
      <w:rPr>
        <w:rFonts w:hint="default" w:ascii="Times New Roman" w:hAnsi="Times New Roman" w:eastAsia="宋体"/>
        <w:b w:val="0"/>
        <w:i w:val="0"/>
        <w:sz w:val="24"/>
      </w:rPr>
    </w:lvl>
    <w:lvl w:ilvl="2" w:tentative="0">
      <w:start w:val="1"/>
      <w:numFmt w:val="decimal"/>
      <w:pStyle w:val="36"/>
      <w:suff w:val="nothing"/>
      <w:lvlText w:val="%3．"/>
      <w:lvlJc w:val="left"/>
      <w:pPr>
        <w:ind w:left="168" w:firstLine="400"/>
      </w:pPr>
      <w:rPr>
        <w:rFonts w:hint="default" w:ascii="Times New Roman" w:hAnsi="Times New Roman" w:eastAsia="宋体"/>
        <w:b w:val="0"/>
        <w:i w:val="0"/>
        <w:sz w:val="24"/>
      </w:rPr>
    </w:lvl>
    <w:lvl w:ilvl="3" w:tentative="0">
      <w:start w:val="1"/>
      <w:numFmt w:val="decimal"/>
      <w:pStyle w:val="38"/>
      <w:suff w:val="nothing"/>
      <w:lvlText w:val="（%4）"/>
      <w:lvlJc w:val="left"/>
      <w:pPr>
        <w:ind w:left="0" w:firstLine="400"/>
      </w:pPr>
      <w:rPr>
        <w:rFonts w:hint="default" w:ascii="Times New Roman" w:hAnsi="Times New Roman" w:eastAsia="宋体"/>
        <w:b w:val="0"/>
        <w:i w:val="0"/>
        <w:sz w:val="24"/>
      </w:rPr>
    </w:lvl>
    <w:lvl w:ilvl="4" w:tentative="0">
      <w:start w:val="1"/>
      <w:numFmt w:val="lowerLetter"/>
      <w:suff w:val="nothing"/>
      <w:lvlText w:val="（%5）"/>
      <w:lvlJc w:val="left"/>
      <w:pPr>
        <w:ind w:left="0" w:firstLine="400"/>
      </w:pPr>
      <w:rPr>
        <w:rFonts w:hint="default" w:ascii="Times New Roman" w:hAnsi="Times New Roman" w:eastAsia="宋体" w:cs="Times New Roman"/>
        <w:b w:val="0"/>
        <w:bCs w:val="0"/>
        <w:i w:val="0"/>
        <w:iCs w:val="0"/>
        <w:caps w:val="0"/>
        <w:smallCaps w:val="0"/>
        <w:strike w:val="0"/>
        <w:dstrike w:val="0"/>
        <w:vanish w:val="0"/>
        <w:color w:val="000000"/>
        <w:spacing w:val="0"/>
        <w:position w:val="0"/>
        <w:sz w:val="24"/>
        <w:u w:val="none"/>
        <w:vertAlign w:val="baseline"/>
      </w:rPr>
    </w:lvl>
    <w:lvl w:ilvl="5" w:tentative="0">
      <w:start w:val="1"/>
      <w:numFmt w:val="decimal"/>
      <w:lvlText w:val="%1.%2.%3.%4.%5.%6"/>
      <w:lvlJc w:val="left"/>
      <w:pPr>
        <w:tabs>
          <w:tab w:val="left" w:pos="1134"/>
        </w:tabs>
        <w:ind w:left="0" w:firstLine="400"/>
      </w:pPr>
      <w:rPr>
        <w:rFonts w:hint="eastAsia"/>
      </w:rPr>
    </w:lvl>
    <w:lvl w:ilvl="6" w:tentative="0">
      <w:start w:val="1"/>
      <w:numFmt w:val="decimal"/>
      <w:lvlText w:val="%1.%2.%3.%4.%5.%6.%7"/>
      <w:lvlJc w:val="left"/>
      <w:pPr>
        <w:tabs>
          <w:tab w:val="left" w:pos="1134"/>
        </w:tabs>
        <w:ind w:left="0" w:firstLine="400"/>
      </w:pPr>
      <w:rPr>
        <w:rFonts w:hint="eastAsia"/>
      </w:rPr>
    </w:lvl>
    <w:lvl w:ilvl="7" w:tentative="0">
      <w:start w:val="1"/>
      <w:numFmt w:val="decimal"/>
      <w:lvlText w:val="%1.%2.%3.%4.%5.%6.%7.%8"/>
      <w:lvlJc w:val="left"/>
      <w:pPr>
        <w:tabs>
          <w:tab w:val="left" w:pos="1134"/>
        </w:tabs>
        <w:ind w:left="0" w:firstLine="400"/>
      </w:pPr>
      <w:rPr>
        <w:rFonts w:hint="eastAsia"/>
      </w:rPr>
    </w:lvl>
    <w:lvl w:ilvl="8" w:tentative="0">
      <w:start w:val="1"/>
      <w:numFmt w:val="decimal"/>
      <w:lvlText w:val="%1.%2.%3.%4.%5.%6.%7.%8.%9"/>
      <w:lvlJc w:val="left"/>
      <w:pPr>
        <w:tabs>
          <w:tab w:val="left" w:pos="1134"/>
        </w:tabs>
        <w:ind w:left="0" w:firstLine="400"/>
      </w:pPr>
      <w:rPr>
        <w:rFonts w:hint="eastAsia"/>
      </w:rPr>
    </w:lvl>
  </w:abstractNum>
  <w:abstractNum w:abstractNumId="3">
    <w:nsid w:val="1DF8824B"/>
    <w:multiLevelType w:val="singleLevel"/>
    <w:tmpl w:val="1DF8824B"/>
    <w:lvl w:ilvl="0" w:tentative="0">
      <w:start w:val="17"/>
      <w:numFmt w:val="decimal"/>
      <w:suff w:val="space"/>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1355CF"/>
    <w:rsid w:val="004C3D27"/>
    <w:rsid w:val="02452C04"/>
    <w:rsid w:val="030B2A3C"/>
    <w:rsid w:val="048D195A"/>
    <w:rsid w:val="067F1F30"/>
    <w:rsid w:val="07C66F31"/>
    <w:rsid w:val="0C5B0590"/>
    <w:rsid w:val="0CE00A95"/>
    <w:rsid w:val="0D4A6C69"/>
    <w:rsid w:val="10283879"/>
    <w:rsid w:val="11B732AC"/>
    <w:rsid w:val="12271B90"/>
    <w:rsid w:val="12B02CB8"/>
    <w:rsid w:val="12FC58B1"/>
    <w:rsid w:val="13655EF9"/>
    <w:rsid w:val="16A022AB"/>
    <w:rsid w:val="175D205E"/>
    <w:rsid w:val="18453C06"/>
    <w:rsid w:val="18816044"/>
    <w:rsid w:val="1A280500"/>
    <w:rsid w:val="1A295829"/>
    <w:rsid w:val="1B9238A2"/>
    <w:rsid w:val="1BD03B5C"/>
    <w:rsid w:val="1EDF052B"/>
    <w:rsid w:val="26D775F7"/>
    <w:rsid w:val="27A6429D"/>
    <w:rsid w:val="27AD2154"/>
    <w:rsid w:val="2C5B2595"/>
    <w:rsid w:val="2E2A34C6"/>
    <w:rsid w:val="2E493EAA"/>
    <w:rsid w:val="31122FAE"/>
    <w:rsid w:val="324B1B10"/>
    <w:rsid w:val="34612681"/>
    <w:rsid w:val="34966C3F"/>
    <w:rsid w:val="35C33F58"/>
    <w:rsid w:val="37071057"/>
    <w:rsid w:val="37ED60D7"/>
    <w:rsid w:val="3862667F"/>
    <w:rsid w:val="3ADB7748"/>
    <w:rsid w:val="454F3AE7"/>
    <w:rsid w:val="45D9125A"/>
    <w:rsid w:val="466E5379"/>
    <w:rsid w:val="469E62EA"/>
    <w:rsid w:val="48086415"/>
    <w:rsid w:val="484366EA"/>
    <w:rsid w:val="490200FB"/>
    <w:rsid w:val="499410ED"/>
    <w:rsid w:val="4A701245"/>
    <w:rsid w:val="4A8F2BD7"/>
    <w:rsid w:val="4BB2171A"/>
    <w:rsid w:val="4BBB137D"/>
    <w:rsid w:val="4CB1343A"/>
    <w:rsid w:val="4D8F4F60"/>
    <w:rsid w:val="55B37EAB"/>
    <w:rsid w:val="56813D4A"/>
    <w:rsid w:val="59B24A75"/>
    <w:rsid w:val="59D464F6"/>
    <w:rsid w:val="5AEE394A"/>
    <w:rsid w:val="5B721A6C"/>
    <w:rsid w:val="62DD677E"/>
    <w:rsid w:val="662E75B1"/>
    <w:rsid w:val="669B38C6"/>
    <w:rsid w:val="68B56C60"/>
    <w:rsid w:val="698536CB"/>
    <w:rsid w:val="6A2536B2"/>
    <w:rsid w:val="6A724B21"/>
    <w:rsid w:val="6C1355CF"/>
    <w:rsid w:val="6C715804"/>
    <w:rsid w:val="6C97507D"/>
    <w:rsid w:val="6D5F0371"/>
    <w:rsid w:val="6DD86FC4"/>
    <w:rsid w:val="6E0F17B6"/>
    <w:rsid w:val="794E57F6"/>
    <w:rsid w:val="797B5EB9"/>
    <w:rsid w:val="7DB24046"/>
    <w:rsid w:val="7E3641FA"/>
    <w:rsid w:val="7F25698E"/>
    <w:rsid w:val="7F4D520C"/>
    <w:rsid w:val="7FF738F9"/>
    <w:rsid w:val="BFEED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spacing w:line="394" w:lineRule="exact"/>
      <w:ind w:left="111" w:right="204"/>
      <w:jc w:val="center"/>
      <w:outlineLvl w:val="0"/>
    </w:pPr>
    <w:rPr>
      <w:b/>
      <w:bCs/>
      <w:sz w:val="32"/>
      <w:szCs w:val="32"/>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5"/>
    <w:qFormat/>
    <w:uiPriority w:val="0"/>
    <w:pPr>
      <w:keepNext/>
      <w:keepLines/>
      <w:widowControl/>
      <w:spacing w:before="260" w:after="260" w:line="416" w:lineRule="auto"/>
      <w:outlineLvl w:val="2"/>
    </w:pPr>
    <w:rPr>
      <w:b/>
      <w:bCs/>
      <w:sz w:val="24"/>
      <w:szCs w:val="32"/>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index 8"/>
    <w:basedOn w:val="1"/>
    <w:next w:val="1"/>
    <w:qFormat/>
    <w:uiPriority w:val="0"/>
    <w:pPr>
      <w:spacing w:line="400" w:lineRule="exact"/>
      <w:ind w:left="2940" w:firstLine="1044" w:firstLineChars="200"/>
      <w:jc w:val="left"/>
    </w:pPr>
  </w:style>
  <w:style w:type="paragraph" w:styleId="7">
    <w:name w:val="Normal Indent"/>
    <w:basedOn w:val="1"/>
    <w:qFormat/>
    <w:uiPriority w:val="99"/>
    <w:pPr>
      <w:spacing w:line="360" w:lineRule="auto"/>
      <w:ind w:firstLine="420"/>
      <w:jc w:val="left"/>
    </w:pPr>
    <w:rPr>
      <w:rFonts w:ascii="Times New Roman" w:hAnsi="Times New Roman"/>
      <w:sz w:val="28"/>
      <w:szCs w:val="24"/>
    </w:rPr>
  </w:style>
  <w:style w:type="paragraph" w:styleId="8">
    <w:name w:val="annotation text"/>
    <w:basedOn w:val="1"/>
    <w:qFormat/>
    <w:uiPriority w:val="0"/>
    <w:pPr>
      <w:jc w:val="left"/>
    </w:pPr>
  </w:style>
  <w:style w:type="paragraph" w:styleId="9">
    <w:name w:val="Body Text"/>
    <w:basedOn w:val="1"/>
    <w:next w:val="10"/>
    <w:qFormat/>
    <w:uiPriority w:val="0"/>
    <w:pPr>
      <w:spacing w:after="120"/>
    </w:pPr>
  </w:style>
  <w:style w:type="paragraph" w:customStyle="1" w:styleId="10">
    <w:name w:val="style4"/>
    <w:basedOn w:val="1"/>
    <w:next w:val="11"/>
    <w:qFormat/>
    <w:uiPriority w:val="0"/>
    <w:pPr>
      <w:widowControl/>
      <w:spacing w:before="280" w:after="280"/>
    </w:pPr>
    <w:rPr>
      <w:rFonts w:ascii="宋体"/>
      <w:sz w:val="18"/>
    </w:rPr>
  </w:style>
  <w:style w:type="paragraph" w:customStyle="1" w:styleId="11">
    <w:name w:val="2"/>
    <w:next w:val="1"/>
    <w:qFormat/>
    <w:uiPriority w:val="0"/>
    <w:pPr>
      <w:widowControl w:val="0"/>
      <w:jc w:val="both"/>
    </w:pPr>
    <w:rPr>
      <w:rFonts w:ascii="Calibri" w:hAnsi="Calibri" w:eastAsia="宋体" w:cs="Times New Roman"/>
      <w:sz w:val="21"/>
      <w:szCs w:val="22"/>
      <w:lang w:val="en-US" w:eastAsia="zh-CN" w:bidi="ar-SA"/>
    </w:rPr>
  </w:style>
  <w:style w:type="paragraph" w:styleId="12">
    <w:name w:val="Body Text Indent"/>
    <w:basedOn w:val="1"/>
    <w:qFormat/>
    <w:uiPriority w:val="0"/>
    <w:pPr>
      <w:ind w:firstLine="830" w:firstLineChars="352"/>
    </w:pPr>
    <w:rPr>
      <w:rFonts w:ascii="Ђˎ̥" w:eastAsia="Ђˎ̥"/>
      <w:kern w:val="0"/>
      <w:sz w:val="32"/>
      <w:szCs w:val="20"/>
    </w:rPr>
  </w:style>
  <w:style w:type="paragraph" w:styleId="13">
    <w:name w:val="Plain Text"/>
    <w:basedOn w:val="1"/>
    <w:next w:val="6"/>
    <w:qFormat/>
    <w:uiPriority w:val="0"/>
    <w:rPr>
      <w:rFonts w:ascii="宋体" w:hAnsi="Courier New"/>
      <w:szCs w:val="20"/>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envelope return"/>
    <w:basedOn w:val="1"/>
    <w:qFormat/>
    <w:uiPriority w:val="0"/>
    <w:pPr>
      <w:snapToGrid w:val="0"/>
    </w:pPr>
    <w:rPr>
      <w:rFonts w:ascii="Arial" w:hAnsi="Arial"/>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2"/>
    <w:basedOn w:val="1"/>
    <w:next w:val="1"/>
    <w:qFormat/>
    <w:uiPriority w:val="39"/>
    <w:pPr>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Body Text First Indent"/>
    <w:basedOn w:val="9"/>
    <w:qFormat/>
    <w:uiPriority w:val="0"/>
    <w:pPr>
      <w:ind w:firstLine="420" w:firstLineChars="100"/>
    </w:pPr>
    <w:rPr>
      <w:rFonts w:ascii="等线" w:hAnsi="等线"/>
      <w:sz w:val="24"/>
      <w:szCs w:val="20"/>
    </w:rPr>
  </w:style>
  <w:style w:type="paragraph" w:styleId="21">
    <w:name w:val="Body Text First Indent 2"/>
    <w:basedOn w:val="1"/>
    <w:qFormat/>
    <w:uiPriority w:val="0"/>
    <w:pPr>
      <w:ind w:firstLine="420"/>
    </w:pPr>
    <w:rPr>
      <w:rFonts w:hAnsi="宋体"/>
    </w:rPr>
  </w:style>
  <w:style w:type="character" w:styleId="24">
    <w:name w:val="page number"/>
    <w:basedOn w:val="23"/>
    <w:qFormat/>
    <w:uiPriority w:val="0"/>
  </w:style>
  <w:style w:type="character" w:styleId="25">
    <w:name w:val="Hyperlink"/>
    <w:basedOn w:val="23"/>
    <w:qFormat/>
    <w:uiPriority w:val="99"/>
    <w:rPr>
      <w:color w:val="0000FF"/>
      <w:u w:val="none"/>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kern w:val="2"/>
      <w:sz w:val="24"/>
      <w:szCs w:val="24"/>
      <w:lang w:val="en-US" w:eastAsia="zh-CN" w:bidi="ar-SA"/>
    </w:rPr>
  </w:style>
  <w:style w:type="paragraph" w:customStyle="1" w:styleId="27">
    <w:name w:val="表格文字"/>
    <w:basedOn w:val="1"/>
    <w:qFormat/>
    <w:uiPriority w:val="0"/>
    <w:pPr>
      <w:jc w:val="left"/>
    </w:pPr>
    <w:rPr>
      <w:bCs/>
      <w:spacing w:val="10"/>
      <w:kern w:val="0"/>
      <w:sz w:val="24"/>
    </w:rPr>
  </w:style>
  <w:style w:type="paragraph" w:customStyle="1" w:styleId="28">
    <w:name w:val="_Style 11"/>
    <w:basedOn w:val="2"/>
    <w:next w:val="1"/>
    <w:qFormat/>
    <w:uiPriority w:val="39"/>
    <w:pPr>
      <w:keepNext/>
      <w:keepLines/>
      <w:widowControl/>
      <w:spacing w:before="240" w:line="259" w:lineRule="auto"/>
      <w:ind w:left="0" w:right="0"/>
      <w:jc w:val="left"/>
      <w:outlineLvl w:val="9"/>
    </w:pPr>
    <w:rPr>
      <w:rFonts w:ascii="等线 Light" w:hAnsi="等线 Light" w:eastAsia="等线 Light"/>
      <w:b w:val="0"/>
      <w:bCs w:val="0"/>
      <w:color w:val="2F5496"/>
      <w:kern w:val="0"/>
    </w:rPr>
  </w:style>
  <w:style w:type="character" w:customStyle="1" w:styleId="29">
    <w:name w:val="标题 1 字符"/>
    <w:link w:val="2"/>
    <w:qFormat/>
    <w:uiPriority w:val="0"/>
    <w:rPr>
      <w:b/>
      <w:bCs/>
      <w:sz w:val="32"/>
      <w:szCs w:val="32"/>
    </w:rPr>
  </w:style>
  <w:style w:type="paragraph" w:customStyle="1" w:styleId="30">
    <w:name w:val="1"/>
    <w:basedOn w:val="1"/>
    <w:next w:val="13"/>
    <w:qFormat/>
    <w:uiPriority w:val="0"/>
    <w:rPr>
      <w:rFonts w:ascii="宋体" w:hAnsi="Courier New"/>
      <w:szCs w:val="20"/>
    </w:rPr>
  </w:style>
  <w:style w:type="paragraph" w:customStyle="1" w:styleId="31">
    <w:name w:val="Table Paragraph"/>
    <w:basedOn w:val="1"/>
    <w:qFormat/>
    <w:uiPriority w:val="1"/>
    <w:rPr>
      <w:rFonts w:ascii="宋体" w:hAnsi="宋体" w:cs="宋体"/>
      <w:lang w:val="zh-CN" w:bidi="zh-CN"/>
    </w:rPr>
  </w:style>
  <w:style w:type="paragraph" w:styleId="32">
    <w:name w:val="List Paragraph"/>
    <w:basedOn w:val="1"/>
    <w:qFormat/>
    <w:uiPriority w:val="99"/>
    <w:pPr>
      <w:ind w:firstLine="420" w:firstLineChars="200"/>
    </w:pPr>
    <w:rPr>
      <w:rFonts w:ascii="Calibri" w:hAnsi="Calibri"/>
      <w:szCs w:val="22"/>
    </w:rPr>
  </w:style>
  <w:style w:type="paragraph" w:customStyle="1" w:styleId="33">
    <w:name w:val="表格内容"/>
    <w:basedOn w:val="1"/>
    <w:unhideWhenUsed/>
    <w:qFormat/>
    <w:uiPriority w:val="0"/>
    <w:pPr>
      <w:adjustRightInd w:val="0"/>
      <w:snapToGrid w:val="0"/>
      <w:spacing w:line="360" w:lineRule="auto"/>
    </w:pPr>
    <w:rPr>
      <w:rFonts w:ascii="Calibri" w:hAnsi="Calibri"/>
      <w:sz w:val="24"/>
    </w:rPr>
  </w:style>
  <w:style w:type="paragraph" w:customStyle="1" w:styleId="34">
    <w:name w:val="05正文"/>
    <w:basedOn w:val="1"/>
    <w:qFormat/>
    <w:uiPriority w:val="0"/>
    <w:pPr>
      <w:spacing w:line="560" w:lineRule="exact"/>
      <w:ind w:firstLine="200" w:firstLineChars="200"/>
    </w:pPr>
    <w:rPr>
      <w:sz w:val="24"/>
      <w:szCs w:val="21"/>
    </w:rPr>
  </w:style>
  <w:style w:type="paragraph" w:customStyle="1" w:styleId="35">
    <w:name w:val="TOC Heading"/>
    <w:basedOn w:val="2"/>
    <w:next w:val="1"/>
    <w:qFormat/>
    <w:uiPriority w:val="99"/>
    <w:pPr>
      <w:keepNext/>
      <w:keepLines/>
      <w:spacing w:before="340" w:after="330" w:line="578" w:lineRule="auto"/>
      <w:ind w:left="0" w:right="0"/>
      <w:jc w:val="left"/>
      <w:outlineLvl w:val="9"/>
    </w:pPr>
    <w:rPr>
      <w:kern w:val="44"/>
      <w:sz w:val="44"/>
      <w:szCs w:val="44"/>
    </w:rPr>
  </w:style>
  <w:style w:type="paragraph" w:customStyle="1" w:styleId="36">
    <w:name w:val="03 三级标题"/>
    <w:basedOn w:val="37"/>
    <w:qFormat/>
    <w:uiPriority w:val="0"/>
    <w:pPr>
      <w:numPr>
        <w:ilvl w:val="2"/>
      </w:numPr>
      <w:outlineLvl w:val="2"/>
    </w:pPr>
  </w:style>
  <w:style w:type="paragraph" w:customStyle="1" w:styleId="37">
    <w:name w:val="02 二级标题"/>
    <w:basedOn w:val="1"/>
    <w:qFormat/>
    <w:uiPriority w:val="0"/>
    <w:pPr>
      <w:widowControl/>
      <w:numPr>
        <w:ilvl w:val="1"/>
        <w:numId w:val="1"/>
      </w:numPr>
      <w:spacing w:beforeLines="50" w:afterLines="50" w:line="360" w:lineRule="auto"/>
      <w:outlineLvl w:val="1"/>
    </w:pPr>
    <w:rPr>
      <w:rFonts w:ascii="Calibri" w:hAnsi="Calibri"/>
      <w:sz w:val="24"/>
    </w:rPr>
  </w:style>
  <w:style w:type="paragraph" w:customStyle="1" w:styleId="38">
    <w:name w:val="04 四级标题"/>
    <w:basedOn w:val="36"/>
    <w:qFormat/>
    <w:uiPriority w:val="0"/>
    <w:pPr>
      <w:numPr>
        <w:ilvl w:val="3"/>
      </w:numPr>
      <w:outlineLvl w:val="3"/>
    </w:pPr>
  </w:style>
  <w:style w:type="paragraph" w:customStyle="1" w:styleId="39">
    <w:name w:val="列出段落1"/>
    <w:basedOn w:val="1"/>
    <w:qFormat/>
    <w:uiPriority w:val="99"/>
    <w:pPr>
      <w:widowControl/>
      <w:ind w:firstLine="420" w:firstLineChars="200"/>
    </w:pPr>
  </w:style>
  <w:style w:type="paragraph" w:customStyle="1" w:styleId="40">
    <w:name w:val="正文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正文1"/>
    <w:basedOn w:val="42"/>
    <w:next w:val="1"/>
    <w:qFormat/>
    <w:uiPriority w:val="0"/>
    <w:pPr>
      <w:tabs>
        <w:tab w:val="left" w:pos="2190"/>
      </w:tabs>
      <w:spacing w:line="300" w:lineRule="auto"/>
      <w:ind w:firstLine="437"/>
    </w:pPr>
    <w:rPr>
      <w:color w:val="000000"/>
      <w:sz w:val="21"/>
      <w:szCs w:val="21"/>
    </w:rPr>
  </w:style>
  <w:style w:type="paragraph" w:customStyle="1" w:styleId="42">
    <w:name w:val="正文1234"/>
    <w:basedOn w:val="1"/>
    <w:qFormat/>
    <w:uiPriority w:val="0"/>
    <w:pPr>
      <w:spacing w:line="360" w:lineRule="auto"/>
      <w:ind w:firstLine="560" w:firstLineChars="200"/>
    </w:pPr>
    <w:rPr>
      <w:sz w:val="28"/>
      <w:szCs w:val="28"/>
    </w:rPr>
  </w:style>
  <w:style w:type="table" w:customStyle="1" w:styleId="43">
    <w:name w:val="Table Normal"/>
    <w:unhideWhenUsed/>
    <w:qFormat/>
    <w:uiPriority w:val="0"/>
    <w:tblPr>
      <w:tblCellMar>
        <w:top w:w="0" w:type="dxa"/>
        <w:left w:w="0" w:type="dxa"/>
        <w:bottom w:w="0" w:type="dxa"/>
        <w:right w:w="0" w:type="dxa"/>
      </w:tblCellMar>
    </w:tblPr>
  </w:style>
  <w:style w:type="paragraph" w:customStyle="1" w:styleId="44">
    <w:name w:val="首行缩进"/>
    <w:basedOn w:val="1"/>
    <w:qFormat/>
    <w:uiPriority w:val="0"/>
    <w:pPr>
      <w:ind w:firstLine="480" w:firstLineChars="200"/>
    </w:pPr>
  </w:style>
  <w:style w:type="character" w:customStyle="1" w:styleId="45">
    <w:name w:val="标题 3 字符"/>
    <w:link w:val="4"/>
    <w:qFormat/>
    <w:uiPriority w:val="0"/>
    <w:rPr>
      <w:b/>
      <w:bCs/>
      <w:sz w:val="24"/>
      <w:szCs w:val="32"/>
    </w:rPr>
  </w:style>
  <w:style w:type="paragraph" w:customStyle="1" w:styleId="46">
    <w:name w:val="BodyText"/>
    <w:basedOn w:val="1"/>
    <w:next w:val="1"/>
    <w:qFormat/>
    <w:locked/>
    <w:uiPriority w:val="0"/>
    <w:pPr>
      <w:spacing w:after="60" w:line="360" w:lineRule="atLeast"/>
      <w:ind w:left="72" w:leftChars="30" w:right="30" w:rightChars="30"/>
      <w:jc w:val="center"/>
    </w:pPr>
    <w:rPr>
      <w:kern w:val="0"/>
      <w:sz w:val="20"/>
      <w:szCs w:val="20"/>
    </w:rPr>
  </w:style>
  <w:style w:type="character" w:customStyle="1" w:styleId="47">
    <w:name w:val="标题 1 Char"/>
    <w:link w:val="2"/>
    <w:qFormat/>
    <w:uiPriority w:val="0"/>
    <w:rPr>
      <w:b/>
      <w:bCs/>
      <w:kern w:val="44"/>
      <w:sz w:val="44"/>
      <w:szCs w:val="44"/>
    </w:rPr>
  </w:style>
  <w:style w:type="paragraph" w:customStyle="1" w:styleId="48">
    <w:name w:val="PlainText"/>
    <w:basedOn w:val="1"/>
    <w:next w:val="49"/>
    <w:qFormat/>
    <w:locked/>
    <w:uiPriority w:val="0"/>
    <w:rPr>
      <w:rFonts w:ascii="宋体" w:hAnsi="Courier New"/>
      <w:szCs w:val="20"/>
    </w:rPr>
  </w:style>
  <w:style w:type="paragraph" w:customStyle="1" w:styleId="49">
    <w:name w:val="Heading4"/>
    <w:basedOn w:val="1"/>
    <w:next w:val="1"/>
    <w:qFormat/>
    <w:uiPriority w:val="0"/>
    <w:pPr>
      <w:keepNext/>
      <w:spacing w:before="240" w:after="60"/>
    </w:pPr>
    <w:rPr>
      <w:b/>
      <w:bCs/>
      <w:sz w:val="28"/>
      <w:szCs w:val="28"/>
    </w:rPr>
  </w:style>
  <w:style w:type="character" w:customStyle="1" w:styleId="50">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2780</Words>
  <Characters>3373</Characters>
  <Lines>0</Lines>
  <Paragraphs>0</Paragraphs>
  <TotalTime>6</TotalTime>
  <ScaleCrop>false</ScaleCrop>
  <LinksUpToDate>false</LinksUpToDate>
  <CharactersWithSpaces>3508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2025-08-01T11:20:00Z</dcterms:created>
  <dc:creator>M先生</dc:creator>
  <cp:lastModifiedBy>M先生</cp:lastModifiedBy>
  <cp:lastPrinted>2025-08-20T11:13:00Z</cp:lastPrinted>
  <dcterms:modified xsi:type="dcterms:W3CDTF">2025-10-11T07:34:48Z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4AAAD2B9509E40C39ED18E3D8237379D_13</vt:lpwstr>
  </property>
  <property fmtid="{D5CDD505-2E9C-101B-9397-08002B2CF9AE}" pid="4" name="KSOTemplateDocerSaveRecord">
    <vt:lpwstr>eyJoZGlkIjoiMjY3ZDIwZjA0ZDhhMGNjNjI3NmQyNDQ4ZDJlYTRjYWMiLCJ1c2VySWQiOiI0MjA0OTg4MjYifQ==</vt:lpwstr>
  </property>
</Properties>
</file>