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79037">
      <w:pPr>
        <w:pStyle w:val="15"/>
        <w:jc w:val="center"/>
        <w:rPr>
          <w:rFonts w:ascii="Times New Roman" w:hAnsi="Times New Roman" w:eastAsia="华文新魏"/>
          <w:color w:val="auto"/>
          <w:spacing w:val="30"/>
          <w:kern w:val="52"/>
          <w:sz w:val="64"/>
          <w:szCs w:val="64"/>
        </w:rPr>
      </w:pPr>
      <w:bookmarkStart w:id="37" w:name="_GoBack"/>
      <w:bookmarkEnd w:id="37"/>
      <w:r>
        <w:rPr>
          <w:color w:val="auto"/>
        </w:rPr>
        <w:drawing>
          <wp:inline distT="0" distB="0" distL="114300" distR="114300">
            <wp:extent cx="1033780" cy="962025"/>
            <wp:effectExtent l="0" t="0" r="13970" b="9525"/>
            <wp:docPr id="3" name="图片 1" descr="国泰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国泰标志"/>
                    <pic:cNvPicPr>
                      <a:picLocks noChangeAspect="1"/>
                    </pic:cNvPicPr>
                  </pic:nvPicPr>
                  <pic:blipFill>
                    <a:blip r:embed="rId7"/>
                    <a:stretch>
                      <a:fillRect/>
                    </a:stretch>
                  </pic:blipFill>
                  <pic:spPr>
                    <a:xfrm>
                      <a:off x="0" y="0"/>
                      <a:ext cx="1033780" cy="962025"/>
                    </a:xfrm>
                    <a:prstGeom prst="rect">
                      <a:avLst/>
                    </a:prstGeom>
                    <a:noFill/>
                    <a:ln>
                      <a:noFill/>
                    </a:ln>
                  </pic:spPr>
                </pic:pic>
              </a:graphicData>
            </a:graphic>
          </wp:inline>
        </w:drawing>
      </w:r>
    </w:p>
    <w:p w14:paraId="58122A9A">
      <w:pPr>
        <w:pStyle w:val="15"/>
        <w:jc w:val="center"/>
        <w:rPr>
          <w:rFonts w:hint="eastAsia" w:ascii="黑体" w:hAnsi="黑体" w:eastAsia="黑体"/>
          <w:color w:val="auto"/>
          <w:spacing w:val="30"/>
          <w:kern w:val="52"/>
          <w:sz w:val="64"/>
          <w:szCs w:val="64"/>
          <w:lang w:eastAsia="zh-CN"/>
        </w:rPr>
      </w:pPr>
      <w:r>
        <w:rPr>
          <w:rFonts w:hint="eastAsia" w:ascii="黑体" w:hAnsi="黑体" w:eastAsia="黑体"/>
          <w:color w:val="auto"/>
          <w:spacing w:val="30"/>
          <w:kern w:val="52"/>
          <w:sz w:val="64"/>
          <w:szCs w:val="64"/>
          <w:lang w:eastAsia="zh-CN"/>
        </w:rPr>
        <w:t>广西国泰招标咨询有限公司</w:t>
      </w:r>
    </w:p>
    <w:p w14:paraId="71B36E12">
      <w:pPr>
        <w:pStyle w:val="15"/>
        <w:jc w:val="center"/>
        <w:rPr>
          <w:rFonts w:ascii="黑体" w:hAnsi="黑体" w:eastAsia="黑体" w:cs="方正小标宋简体"/>
          <w:b/>
          <w:color w:val="auto"/>
          <w:sz w:val="44"/>
          <w:szCs w:val="44"/>
        </w:rPr>
      </w:pPr>
      <w:r>
        <w:rPr>
          <w:rFonts w:ascii="黑体" w:hAnsi="黑体" w:eastAsia="黑体"/>
          <w:b/>
          <w:color w:val="auto"/>
          <w:spacing w:val="-18"/>
          <w:sz w:val="64"/>
          <w:szCs w:val="64"/>
        </w:rPr>
        <mc:AlternateContent>
          <mc:Choice Requires="wps">
            <w:drawing>
              <wp:anchor distT="0" distB="0" distL="114300" distR="114300" simplePos="0" relativeHeight="251659264" behindDoc="0" locked="0" layoutInCell="1" allowOverlap="1">
                <wp:simplePos x="0" y="0"/>
                <wp:positionH relativeFrom="column">
                  <wp:posOffset>276225</wp:posOffset>
                </wp:positionH>
                <wp:positionV relativeFrom="paragraph">
                  <wp:posOffset>99060</wp:posOffset>
                </wp:positionV>
                <wp:extent cx="5486400" cy="0"/>
                <wp:effectExtent l="15240" t="7620" r="13335" b="11430"/>
                <wp:wrapNone/>
                <wp:docPr id="2" name="直线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cmpd="sng">
                          <a:solidFill>
                            <a:srgbClr val="000000"/>
                          </a:solidFill>
                          <a:round/>
                        </a:ln>
                      </wps:spPr>
                      <wps:bodyPr/>
                    </wps:wsp>
                  </a:graphicData>
                </a:graphic>
              </wp:anchor>
            </w:drawing>
          </mc:Choice>
          <mc:Fallback>
            <w:pict>
              <v:line id="直线 2" o:spid="_x0000_s1026" o:spt="20" style="position:absolute;left:0pt;margin-left:21.75pt;margin-top:7.8pt;height:0pt;width:432pt;z-index:251659264;mso-width-relative:page;mso-height-relative:page;" filled="f" stroked="t" coordsize="21600,21600" o:gfxdata="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4xLWzXAAAACAEAAA8AAAAA&#10;AAAAAQAgAAAAIgAAAGRycy9kb3ducmV2LnhtbFBLAQIUABQAAAAIAIdO4kCYrK/k3AEAAK0DAAAO&#10;AAAAAAAAAAEAIAAAACYBAABkcnMvZTJvRG9jLnhtbFBLBQYAAAAABgAGAFkBAAB0BQAAAAA=&#10;">
                <v:fill on="f" focussize="0,0"/>
                <v:stroke weight="1pt" color="#000000" joinstyle="round"/>
                <v:imagedata o:title=""/>
                <o:lock v:ext="edit" aspectratio="f"/>
              </v:line>
            </w:pict>
          </mc:Fallback>
        </mc:AlternateContent>
      </w:r>
    </w:p>
    <w:p w14:paraId="0AE079D4">
      <w:pPr>
        <w:snapToGrid w:val="0"/>
        <w:spacing w:before="156" w:beforeLines="50" w:line="360" w:lineRule="auto"/>
        <w:jc w:val="center"/>
        <w:rPr>
          <w:rFonts w:hint="eastAsia" w:ascii="黑体" w:hAnsi="黑体" w:eastAsia="黑体"/>
          <w:color w:val="auto"/>
          <w:sz w:val="84"/>
          <w:szCs w:val="84"/>
          <w:lang w:eastAsia="zh-CN"/>
        </w:rPr>
      </w:pPr>
    </w:p>
    <w:p w14:paraId="54835068">
      <w:pPr>
        <w:snapToGrid w:val="0"/>
        <w:spacing w:before="156" w:beforeLines="50" w:line="360" w:lineRule="auto"/>
        <w:jc w:val="center"/>
        <w:rPr>
          <w:rFonts w:ascii="仿宋_GB2312" w:hAnsi="宋体" w:eastAsia="仿宋_GB2312"/>
          <w:color w:val="auto"/>
          <w:sz w:val="30"/>
          <w:szCs w:val="72"/>
        </w:rPr>
      </w:pPr>
      <w:r>
        <w:rPr>
          <w:rFonts w:hint="eastAsia" w:ascii="黑体" w:hAnsi="黑体" w:eastAsia="黑体"/>
          <w:color w:val="auto"/>
          <w:sz w:val="84"/>
          <w:szCs w:val="84"/>
        </w:rPr>
        <w:t>竞争性谈判文件</w:t>
      </w:r>
    </w:p>
    <w:p w14:paraId="15AD9356">
      <w:pPr>
        <w:pStyle w:val="15"/>
        <w:snapToGrid w:val="0"/>
        <w:spacing w:line="360" w:lineRule="auto"/>
        <w:ind w:firstLine="1193" w:firstLineChars="396"/>
        <w:rPr>
          <w:rFonts w:ascii="仿宋_GB2312" w:hAnsi="宋体" w:eastAsia="仿宋_GB2312"/>
          <w:b/>
          <w:bCs/>
          <w:color w:val="auto"/>
          <w:sz w:val="30"/>
          <w:szCs w:val="30"/>
        </w:rPr>
      </w:pPr>
    </w:p>
    <w:p w14:paraId="011C7DAB">
      <w:pPr>
        <w:pStyle w:val="15"/>
        <w:snapToGrid w:val="0"/>
        <w:spacing w:line="360" w:lineRule="auto"/>
        <w:ind w:firstLine="1807" w:firstLineChars="600"/>
        <w:jc w:val="center"/>
        <w:rPr>
          <w:rFonts w:ascii="仿宋_GB2312" w:hAnsi="宋体" w:eastAsia="仿宋_GB2312"/>
          <w:b/>
          <w:bCs/>
          <w:color w:val="auto"/>
          <w:sz w:val="30"/>
          <w:szCs w:val="30"/>
        </w:rPr>
      </w:pPr>
    </w:p>
    <w:p w14:paraId="1547C84E">
      <w:pPr>
        <w:pStyle w:val="15"/>
        <w:snapToGrid w:val="0"/>
        <w:spacing w:line="360" w:lineRule="auto"/>
        <w:ind w:firstLine="2108" w:firstLineChars="700"/>
        <w:rPr>
          <w:rFonts w:hint="eastAsia" w:ascii="仿宋_GB2312" w:hAnsi="宋体" w:eastAsia="仿宋_GB2312"/>
          <w:b/>
          <w:bCs/>
          <w:color w:val="auto"/>
          <w:sz w:val="30"/>
          <w:szCs w:val="30"/>
          <w:lang w:eastAsia="zh-CN"/>
        </w:rPr>
      </w:pPr>
      <w:r>
        <w:rPr>
          <w:rFonts w:hint="eastAsia" w:ascii="仿宋_GB2312" w:hAnsi="宋体" w:eastAsia="仿宋_GB2312"/>
          <w:b/>
          <w:bCs/>
          <w:color w:val="auto"/>
          <w:sz w:val="30"/>
          <w:szCs w:val="30"/>
        </w:rPr>
        <w:t>项目</w:t>
      </w:r>
      <w:r>
        <w:rPr>
          <w:rFonts w:hint="eastAsia" w:ascii="仿宋_GB2312" w:hAnsi="宋体" w:eastAsia="仿宋_GB2312" w:cs="Courier New"/>
          <w:b/>
          <w:bCs/>
          <w:color w:val="auto"/>
          <w:w w:val="95"/>
          <w:sz w:val="30"/>
          <w:szCs w:val="30"/>
        </w:rPr>
        <w:t>名</w:t>
      </w:r>
      <w:r>
        <w:rPr>
          <w:rFonts w:hint="eastAsia" w:ascii="仿宋_GB2312" w:hAnsi="宋体" w:eastAsia="仿宋_GB2312"/>
          <w:b/>
          <w:bCs/>
          <w:color w:val="auto"/>
          <w:sz w:val="30"/>
          <w:szCs w:val="30"/>
        </w:rPr>
        <w:t>称：</w:t>
      </w:r>
      <w:r>
        <w:rPr>
          <w:rFonts w:hint="eastAsia" w:ascii="仿宋_GB2312" w:hAnsi="宋体" w:eastAsia="仿宋_GB2312"/>
          <w:b/>
          <w:bCs/>
          <w:color w:val="auto"/>
          <w:sz w:val="30"/>
          <w:szCs w:val="30"/>
          <w:lang w:eastAsia="zh-CN"/>
        </w:rPr>
        <w:t>救护车采购项目</w:t>
      </w:r>
    </w:p>
    <w:p w14:paraId="07A40679">
      <w:pPr>
        <w:pStyle w:val="15"/>
        <w:snapToGrid w:val="0"/>
        <w:spacing w:line="360" w:lineRule="auto"/>
        <w:ind w:firstLine="2084" w:firstLineChars="692"/>
        <w:rPr>
          <w:rFonts w:hint="eastAsia" w:ascii="仿宋_GB2312" w:hAnsi="宋体" w:eastAsia="仿宋_GB2312"/>
          <w:b/>
          <w:bCs/>
          <w:color w:val="auto"/>
          <w:sz w:val="30"/>
          <w:szCs w:val="30"/>
        </w:rPr>
      </w:pPr>
      <w:r>
        <w:rPr>
          <w:rFonts w:hint="eastAsia" w:ascii="仿宋_GB2312" w:hAnsi="宋体" w:eastAsia="仿宋_GB2312"/>
          <w:b/>
          <w:bCs/>
          <w:color w:val="auto"/>
          <w:sz w:val="30"/>
          <w:szCs w:val="30"/>
        </w:rPr>
        <w:t>项目编号：</w:t>
      </w:r>
      <w:r>
        <w:rPr>
          <w:rFonts w:hint="eastAsia" w:ascii="仿宋_GB2312" w:hAnsi="宋体" w:eastAsia="仿宋_GB2312"/>
          <w:b/>
          <w:bCs/>
          <w:color w:val="auto"/>
          <w:sz w:val="30"/>
          <w:szCs w:val="30"/>
          <w:lang w:eastAsia="zh-CN"/>
        </w:rPr>
        <w:t>YLZC2025-J1-230209-GTZB</w:t>
      </w:r>
    </w:p>
    <w:p w14:paraId="3F23448D">
      <w:pPr>
        <w:pStyle w:val="15"/>
        <w:snapToGrid w:val="0"/>
        <w:spacing w:line="360" w:lineRule="auto"/>
        <w:rPr>
          <w:rFonts w:ascii="仿宋_GB2312" w:hAnsi="宋体" w:eastAsia="仿宋_GB2312"/>
          <w:b/>
          <w:bCs/>
          <w:color w:val="auto"/>
          <w:w w:val="95"/>
          <w:sz w:val="32"/>
          <w:szCs w:val="32"/>
        </w:rPr>
      </w:pPr>
    </w:p>
    <w:p w14:paraId="705CD3CD">
      <w:pPr>
        <w:pStyle w:val="15"/>
        <w:snapToGrid w:val="0"/>
        <w:spacing w:line="360" w:lineRule="auto"/>
        <w:ind w:firstLine="1125" w:firstLineChars="393"/>
        <w:rPr>
          <w:rFonts w:ascii="仿宋_GB2312" w:hAnsi="宋体" w:eastAsia="仿宋_GB2312"/>
          <w:b/>
          <w:bCs/>
          <w:color w:val="auto"/>
          <w:w w:val="95"/>
          <w:sz w:val="30"/>
          <w:szCs w:val="30"/>
        </w:rPr>
      </w:pPr>
    </w:p>
    <w:p w14:paraId="57660634">
      <w:pPr>
        <w:pStyle w:val="15"/>
        <w:snapToGrid w:val="0"/>
        <w:spacing w:line="360" w:lineRule="auto"/>
        <w:ind w:firstLine="1125" w:firstLineChars="393"/>
        <w:rPr>
          <w:rFonts w:ascii="仿宋_GB2312" w:hAnsi="宋体" w:eastAsia="仿宋_GB2312"/>
          <w:b/>
          <w:bCs/>
          <w:color w:val="auto"/>
          <w:w w:val="95"/>
          <w:sz w:val="30"/>
          <w:szCs w:val="30"/>
        </w:rPr>
      </w:pPr>
    </w:p>
    <w:p w14:paraId="4E60E48D">
      <w:pPr>
        <w:pStyle w:val="15"/>
        <w:snapToGrid w:val="0"/>
        <w:spacing w:line="360" w:lineRule="auto"/>
        <w:ind w:firstLine="2003" w:firstLineChars="700"/>
        <w:rPr>
          <w:rFonts w:hint="eastAsia" w:ascii="仿宋_GB2312" w:hAnsi="宋体" w:eastAsia="仿宋_GB2312"/>
          <w:b/>
          <w:bCs/>
          <w:color w:val="auto"/>
          <w:w w:val="95"/>
          <w:sz w:val="30"/>
          <w:szCs w:val="30"/>
          <w:lang w:eastAsia="zh-CN"/>
        </w:rPr>
      </w:pPr>
      <w:r>
        <w:rPr>
          <w:rFonts w:hint="eastAsia" w:ascii="仿宋_GB2312" w:hAnsi="宋体" w:eastAsia="仿宋_GB2312"/>
          <w:b/>
          <w:bCs/>
          <w:color w:val="auto"/>
          <w:w w:val="95"/>
          <w:sz w:val="30"/>
          <w:szCs w:val="30"/>
        </w:rPr>
        <w:t>采   购   人：</w:t>
      </w:r>
      <w:r>
        <w:rPr>
          <w:rFonts w:hint="eastAsia" w:ascii="仿宋_GB2312" w:hAnsi="宋体" w:eastAsia="仿宋_GB2312"/>
          <w:b/>
          <w:color w:val="auto"/>
          <w:sz w:val="32"/>
          <w:szCs w:val="32"/>
          <w:lang w:eastAsia="zh-CN"/>
        </w:rPr>
        <w:t>博白县人民医院</w:t>
      </w:r>
    </w:p>
    <w:p w14:paraId="6162C693">
      <w:pPr>
        <w:pStyle w:val="15"/>
        <w:snapToGrid w:val="0"/>
        <w:spacing w:line="360" w:lineRule="auto"/>
        <w:ind w:firstLine="2003" w:firstLineChars="700"/>
        <w:rPr>
          <w:rFonts w:hint="eastAsia" w:ascii="仿宋_GB2312" w:hAnsi="宋体" w:eastAsia="仿宋_GB2312"/>
          <w:b/>
          <w:bCs/>
          <w:color w:val="auto"/>
          <w:w w:val="95"/>
          <w:sz w:val="30"/>
          <w:szCs w:val="30"/>
          <w:lang w:eastAsia="zh-CN"/>
        </w:rPr>
      </w:pPr>
      <w:r>
        <w:rPr>
          <w:rFonts w:hint="eastAsia" w:ascii="仿宋_GB2312" w:hAnsi="宋体" w:eastAsia="仿宋_GB2312"/>
          <w:b/>
          <w:bCs/>
          <w:color w:val="auto"/>
          <w:w w:val="95"/>
          <w:sz w:val="30"/>
          <w:szCs w:val="30"/>
        </w:rPr>
        <w:t>采购代理机构：</w:t>
      </w:r>
      <w:r>
        <w:rPr>
          <w:rFonts w:hint="eastAsia" w:ascii="仿宋_GB2312" w:hAnsi="宋体" w:eastAsia="仿宋_GB2312"/>
          <w:b/>
          <w:color w:val="auto"/>
          <w:sz w:val="32"/>
          <w:szCs w:val="32"/>
          <w:lang w:eastAsia="zh-CN"/>
        </w:rPr>
        <w:t>广西国泰招标咨询有限公司</w:t>
      </w:r>
    </w:p>
    <w:p w14:paraId="02138E17">
      <w:pPr>
        <w:pStyle w:val="15"/>
        <w:snapToGrid w:val="0"/>
        <w:spacing w:line="360" w:lineRule="auto"/>
        <w:ind w:firstLine="1125" w:firstLineChars="393"/>
        <w:rPr>
          <w:rFonts w:ascii="仿宋_GB2312" w:hAnsi="宋体" w:eastAsia="仿宋_GB2312"/>
          <w:b/>
          <w:bCs/>
          <w:color w:val="auto"/>
          <w:w w:val="95"/>
          <w:sz w:val="30"/>
          <w:szCs w:val="30"/>
        </w:rPr>
      </w:pPr>
    </w:p>
    <w:p w14:paraId="179198C5">
      <w:pPr>
        <w:pStyle w:val="15"/>
        <w:snapToGrid w:val="0"/>
        <w:spacing w:line="360" w:lineRule="auto"/>
        <w:jc w:val="center"/>
        <w:rPr>
          <w:rFonts w:ascii="仿宋_GB2312" w:eastAsia="仿宋_GB2312"/>
          <w:color w:val="auto"/>
          <w:szCs w:val="20"/>
        </w:rPr>
      </w:pPr>
      <w:r>
        <w:rPr>
          <w:rFonts w:hint="eastAsia" w:ascii="仿宋_GB2312" w:hAnsi="宋体" w:eastAsia="仿宋_GB2312"/>
          <w:b/>
          <w:bCs/>
          <w:color w:val="auto"/>
          <w:w w:val="95"/>
          <w:sz w:val="30"/>
          <w:szCs w:val="30"/>
          <w:lang w:eastAsia="zh-CN"/>
        </w:rPr>
        <w:t>2025年</w:t>
      </w:r>
      <w:r>
        <w:rPr>
          <w:rFonts w:hint="eastAsia" w:ascii="仿宋_GB2312" w:hAnsi="宋体" w:eastAsia="仿宋_GB2312"/>
          <w:b/>
          <w:bCs/>
          <w:color w:val="auto"/>
          <w:w w:val="95"/>
          <w:sz w:val="30"/>
          <w:szCs w:val="30"/>
          <w:lang w:val="en-US" w:eastAsia="zh-CN"/>
        </w:rPr>
        <w:t>12月</w:t>
      </w:r>
    </w:p>
    <w:p w14:paraId="7FE829C3">
      <w:pPr>
        <w:spacing w:line="360" w:lineRule="auto"/>
        <w:rPr>
          <w:rFonts w:ascii="宋体" w:hAnsi="宋体"/>
          <w:b/>
          <w:color w:val="auto"/>
          <w:sz w:val="44"/>
          <w:szCs w:val="44"/>
        </w:rPr>
      </w:pPr>
    </w:p>
    <w:p w14:paraId="76F3FB5A">
      <w:pPr>
        <w:spacing w:line="360" w:lineRule="auto"/>
        <w:jc w:val="center"/>
        <w:rPr>
          <w:rFonts w:ascii="宋体" w:hAnsi="宋体"/>
          <w:b/>
          <w:color w:val="auto"/>
          <w:sz w:val="44"/>
          <w:szCs w:val="44"/>
        </w:rPr>
      </w:pPr>
    </w:p>
    <w:p w14:paraId="5C7094B4">
      <w:pPr>
        <w:pStyle w:val="3"/>
        <w:rPr>
          <w:color w:val="auto"/>
        </w:rPr>
      </w:pPr>
    </w:p>
    <w:p w14:paraId="78EC6D5C">
      <w:pPr>
        <w:spacing w:line="360" w:lineRule="auto"/>
        <w:jc w:val="center"/>
        <w:rPr>
          <w:rFonts w:ascii="宋体" w:hAnsi="宋体"/>
          <w:b/>
          <w:color w:val="auto"/>
          <w:sz w:val="44"/>
          <w:szCs w:val="44"/>
        </w:rPr>
      </w:pPr>
      <w:r>
        <w:rPr>
          <w:rFonts w:hint="eastAsia" w:ascii="宋体" w:hAnsi="宋体"/>
          <w:b/>
          <w:color w:val="auto"/>
          <w:sz w:val="44"/>
          <w:szCs w:val="44"/>
        </w:rPr>
        <w:t>目  录</w:t>
      </w:r>
    </w:p>
    <w:p w14:paraId="21D43940">
      <w:pPr>
        <w:spacing w:line="400" w:lineRule="exact"/>
        <w:jc w:val="center"/>
        <w:rPr>
          <w:rFonts w:ascii="宋体" w:hAnsi="宋体"/>
          <w:b/>
          <w:color w:val="auto"/>
          <w:sz w:val="44"/>
          <w:szCs w:val="44"/>
        </w:rPr>
      </w:pPr>
    </w:p>
    <w:p w14:paraId="073E9BBD">
      <w:pPr>
        <w:pStyle w:val="20"/>
        <w:tabs>
          <w:tab w:val="right" w:leader="dot" w:pos="8869"/>
        </w:tabs>
        <w:snapToGrid w:val="0"/>
        <w:spacing w:line="500" w:lineRule="atLeast"/>
        <w:jc w:val="center"/>
        <w:rPr>
          <w:rFonts w:ascii="宋体" w:hAnsi="宋体"/>
          <w:b/>
          <w:color w:val="auto"/>
          <w:sz w:val="24"/>
        </w:rPr>
      </w:pPr>
      <w:r>
        <w:rPr>
          <w:rFonts w:ascii="宋体" w:hAnsi="宋体"/>
          <w:b/>
          <w:color w:val="auto"/>
          <w:sz w:val="24"/>
        </w:rPr>
        <w:fldChar w:fldCharType="begin"/>
      </w:r>
      <w:r>
        <w:rPr>
          <w:rFonts w:ascii="宋体" w:hAnsi="宋体"/>
          <w:b/>
          <w:color w:val="auto"/>
          <w:sz w:val="24"/>
        </w:rPr>
        <w:instrText xml:space="preserve"> </w:instrText>
      </w:r>
      <w:r>
        <w:rPr>
          <w:rFonts w:hint="eastAsia" w:ascii="宋体" w:hAnsi="宋体"/>
          <w:b/>
          <w:color w:val="auto"/>
          <w:sz w:val="24"/>
        </w:rPr>
        <w:instrText xml:space="preserve">TOC \o "1-3" \h \z \u</w:instrText>
      </w:r>
      <w:r>
        <w:rPr>
          <w:rFonts w:ascii="宋体" w:hAnsi="宋体"/>
          <w:b/>
          <w:color w:val="auto"/>
          <w:sz w:val="24"/>
        </w:rPr>
        <w:instrText xml:space="preserve"> </w:instrText>
      </w:r>
      <w:r>
        <w:rPr>
          <w:rFonts w:ascii="宋体" w:hAnsi="宋体"/>
          <w:b/>
          <w:color w:val="auto"/>
          <w:sz w:val="24"/>
        </w:rPr>
        <w:fldChar w:fldCharType="separate"/>
      </w:r>
      <w:r>
        <w:rPr>
          <w:color w:val="auto"/>
        </w:rPr>
        <w:fldChar w:fldCharType="begin"/>
      </w:r>
      <w:r>
        <w:rPr>
          <w:color w:val="auto"/>
        </w:rPr>
        <w:instrText xml:space="preserve"> HYPERLINK \l "_Toc74322008" </w:instrText>
      </w:r>
      <w:r>
        <w:rPr>
          <w:color w:val="auto"/>
        </w:rPr>
        <w:fldChar w:fldCharType="separate"/>
      </w:r>
      <w:r>
        <w:rPr>
          <w:rStyle w:val="30"/>
          <w:rFonts w:hint="eastAsia" w:ascii="宋体" w:hAnsi="宋体"/>
          <w:b/>
          <w:color w:val="auto"/>
          <w:sz w:val="24"/>
        </w:rPr>
        <w:t>第一章</w:t>
      </w:r>
      <w:r>
        <w:rPr>
          <w:rStyle w:val="30"/>
          <w:rFonts w:ascii="宋体" w:hAnsi="宋体"/>
          <w:b/>
          <w:color w:val="auto"/>
          <w:sz w:val="24"/>
        </w:rPr>
        <w:t xml:space="preserve"> </w:t>
      </w:r>
      <w:r>
        <w:rPr>
          <w:rStyle w:val="30"/>
          <w:rFonts w:hint="eastAsia" w:ascii="宋体" w:hAnsi="宋体"/>
          <w:b/>
          <w:color w:val="auto"/>
          <w:sz w:val="24"/>
        </w:rPr>
        <w:t>竞争性谈判公告</w:t>
      </w:r>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_Toc74322008 \h </w:instrText>
      </w:r>
      <w:r>
        <w:rPr>
          <w:rFonts w:ascii="宋体" w:hAnsi="宋体"/>
          <w:b/>
          <w:color w:val="auto"/>
          <w:sz w:val="24"/>
        </w:rPr>
        <w:fldChar w:fldCharType="separate"/>
      </w:r>
      <w:r>
        <w:rPr>
          <w:rFonts w:ascii="宋体" w:hAnsi="宋体"/>
          <w:b/>
          <w:color w:val="auto"/>
          <w:sz w:val="24"/>
        </w:rPr>
        <w:t>2</w:t>
      </w:r>
      <w:r>
        <w:rPr>
          <w:rFonts w:ascii="宋体" w:hAnsi="宋体"/>
          <w:b/>
          <w:color w:val="auto"/>
          <w:sz w:val="24"/>
        </w:rPr>
        <w:fldChar w:fldCharType="end"/>
      </w:r>
      <w:r>
        <w:rPr>
          <w:rFonts w:ascii="宋体" w:hAnsi="宋体"/>
          <w:b/>
          <w:color w:val="auto"/>
          <w:sz w:val="24"/>
        </w:rPr>
        <w:fldChar w:fldCharType="end"/>
      </w:r>
    </w:p>
    <w:p w14:paraId="40EE6F41">
      <w:pPr>
        <w:pStyle w:val="20"/>
        <w:tabs>
          <w:tab w:val="right" w:leader="dot" w:pos="8869"/>
        </w:tabs>
        <w:snapToGrid w:val="0"/>
        <w:spacing w:line="500" w:lineRule="atLeast"/>
        <w:jc w:val="center"/>
        <w:rPr>
          <w:rFonts w:hint="eastAsia" w:ascii="宋体" w:hAnsi="宋体" w:eastAsia="宋体"/>
          <w:b/>
          <w:color w:val="auto"/>
          <w:sz w:val="24"/>
          <w:lang w:val="en-US" w:eastAsia="zh-CN"/>
        </w:rPr>
      </w:pPr>
      <w:r>
        <w:rPr>
          <w:color w:val="auto"/>
        </w:rPr>
        <w:fldChar w:fldCharType="begin"/>
      </w:r>
      <w:r>
        <w:rPr>
          <w:color w:val="auto"/>
        </w:rPr>
        <w:instrText xml:space="preserve"> HYPERLINK \l "_Toc74322009" </w:instrText>
      </w:r>
      <w:r>
        <w:rPr>
          <w:color w:val="auto"/>
        </w:rPr>
        <w:fldChar w:fldCharType="separate"/>
      </w:r>
      <w:r>
        <w:rPr>
          <w:rStyle w:val="30"/>
          <w:rFonts w:hint="eastAsia" w:ascii="宋体" w:hAnsi="宋体"/>
          <w:b/>
          <w:color w:val="auto"/>
          <w:sz w:val="24"/>
        </w:rPr>
        <w:t>第二章</w:t>
      </w:r>
      <w:r>
        <w:rPr>
          <w:rStyle w:val="30"/>
          <w:rFonts w:ascii="宋体" w:hAnsi="宋体"/>
          <w:b/>
          <w:color w:val="auto"/>
          <w:sz w:val="24"/>
        </w:rPr>
        <w:t xml:space="preserve"> </w:t>
      </w:r>
      <w:r>
        <w:rPr>
          <w:rStyle w:val="30"/>
          <w:rFonts w:hint="eastAsia" w:ascii="宋体" w:hAnsi="宋体"/>
          <w:b/>
          <w:color w:val="auto"/>
          <w:sz w:val="24"/>
        </w:rPr>
        <w:t>供应商须知</w:t>
      </w:r>
      <w:r>
        <w:rPr>
          <w:rFonts w:ascii="宋体" w:hAnsi="宋体"/>
          <w:b/>
          <w:color w:val="auto"/>
          <w:sz w:val="24"/>
        </w:rPr>
        <w:tab/>
      </w:r>
      <w:r>
        <w:rPr>
          <w:rFonts w:hint="eastAsia" w:ascii="宋体" w:hAnsi="宋体"/>
          <w:b/>
          <w:color w:val="auto"/>
          <w:sz w:val="24"/>
        </w:rPr>
        <w:fldChar w:fldCharType="end"/>
      </w:r>
      <w:r>
        <w:rPr>
          <w:rFonts w:hint="eastAsia" w:ascii="宋体" w:hAnsi="宋体"/>
          <w:b/>
          <w:color w:val="auto"/>
          <w:sz w:val="24"/>
          <w:lang w:val="en-US" w:eastAsia="zh-CN"/>
        </w:rPr>
        <w:t>6</w:t>
      </w:r>
    </w:p>
    <w:p w14:paraId="1D497F7D">
      <w:pPr>
        <w:pStyle w:val="20"/>
        <w:tabs>
          <w:tab w:val="right" w:leader="dot" w:pos="8869"/>
        </w:tabs>
        <w:snapToGrid w:val="0"/>
        <w:spacing w:line="500" w:lineRule="atLeast"/>
        <w:jc w:val="center"/>
        <w:rPr>
          <w:rFonts w:hint="default" w:ascii="宋体" w:hAnsi="宋体" w:eastAsia="宋体"/>
          <w:b/>
          <w:color w:val="auto"/>
          <w:sz w:val="24"/>
          <w:lang w:val="en-US" w:eastAsia="zh-CN"/>
        </w:rPr>
      </w:pPr>
      <w:r>
        <w:rPr>
          <w:color w:val="auto"/>
        </w:rPr>
        <w:fldChar w:fldCharType="begin"/>
      </w:r>
      <w:r>
        <w:rPr>
          <w:color w:val="auto"/>
        </w:rPr>
        <w:instrText xml:space="preserve"> HYPERLINK \l "_Toc74322010" </w:instrText>
      </w:r>
      <w:r>
        <w:rPr>
          <w:color w:val="auto"/>
        </w:rPr>
        <w:fldChar w:fldCharType="separate"/>
      </w:r>
      <w:r>
        <w:rPr>
          <w:rStyle w:val="30"/>
          <w:rFonts w:hint="eastAsia" w:ascii="宋体" w:hAnsi="宋体"/>
          <w:b/>
          <w:color w:val="auto"/>
          <w:sz w:val="24"/>
        </w:rPr>
        <w:t>第三章</w:t>
      </w:r>
      <w:r>
        <w:rPr>
          <w:rStyle w:val="30"/>
          <w:rFonts w:ascii="宋体" w:hAnsi="宋体"/>
          <w:b/>
          <w:color w:val="auto"/>
          <w:sz w:val="24"/>
        </w:rPr>
        <w:t xml:space="preserve"> </w:t>
      </w:r>
      <w:r>
        <w:rPr>
          <w:rStyle w:val="30"/>
          <w:rFonts w:hint="eastAsia" w:ascii="宋体" w:hAnsi="宋体"/>
          <w:b/>
          <w:color w:val="auto"/>
          <w:sz w:val="24"/>
        </w:rPr>
        <w:t>采购需求</w:t>
      </w:r>
      <w:bookmarkStart w:id="0" w:name="_Hlt82166985"/>
      <w:r>
        <w:rPr>
          <w:rFonts w:ascii="宋体" w:hAnsi="宋体"/>
          <w:b/>
          <w:color w:val="auto"/>
          <w:sz w:val="24"/>
        </w:rPr>
        <w:tab/>
      </w:r>
      <w:bookmarkEnd w:id="0"/>
      <w:r>
        <w:rPr>
          <w:rFonts w:ascii="宋体" w:hAnsi="宋体"/>
          <w:b/>
          <w:color w:val="auto"/>
          <w:sz w:val="24"/>
        </w:rPr>
        <w:fldChar w:fldCharType="end"/>
      </w:r>
      <w:r>
        <w:rPr>
          <w:rFonts w:hint="eastAsia" w:ascii="宋体" w:hAnsi="宋体"/>
          <w:b/>
          <w:color w:val="auto"/>
          <w:sz w:val="24"/>
          <w:lang w:val="en-US" w:eastAsia="zh-CN"/>
        </w:rPr>
        <w:t>21</w:t>
      </w:r>
    </w:p>
    <w:p w14:paraId="362C1C50">
      <w:pPr>
        <w:pStyle w:val="20"/>
        <w:tabs>
          <w:tab w:val="right" w:leader="dot" w:pos="8869"/>
        </w:tabs>
        <w:snapToGrid w:val="0"/>
        <w:spacing w:line="500" w:lineRule="atLeast"/>
        <w:jc w:val="center"/>
        <w:rPr>
          <w:rFonts w:hint="default" w:ascii="宋体" w:hAnsi="宋体" w:eastAsia="宋体"/>
          <w:b/>
          <w:color w:val="auto"/>
          <w:sz w:val="24"/>
          <w:lang w:val="en-US" w:eastAsia="zh-CN"/>
        </w:rPr>
      </w:pPr>
      <w:r>
        <w:rPr>
          <w:color w:val="auto"/>
        </w:rPr>
        <w:fldChar w:fldCharType="begin"/>
      </w:r>
      <w:r>
        <w:rPr>
          <w:color w:val="auto"/>
        </w:rPr>
        <w:instrText xml:space="preserve"> HYPERLINK \l "_Toc74322011" </w:instrText>
      </w:r>
      <w:r>
        <w:rPr>
          <w:color w:val="auto"/>
        </w:rPr>
        <w:fldChar w:fldCharType="separate"/>
      </w:r>
      <w:r>
        <w:rPr>
          <w:rStyle w:val="30"/>
          <w:rFonts w:hint="eastAsia" w:ascii="宋体" w:hAnsi="宋体"/>
          <w:b/>
          <w:color w:val="auto"/>
          <w:sz w:val="24"/>
        </w:rPr>
        <w:t>第四章</w:t>
      </w:r>
      <w:r>
        <w:rPr>
          <w:rStyle w:val="30"/>
          <w:rFonts w:ascii="宋体" w:hAnsi="宋体"/>
          <w:b/>
          <w:color w:val="auto"/>
          <w:sz w:val="24"/>
        </w:rPr>
        <w:t xml:space="preserve"> </w:t>
      </w:r>
      <w:r>
        <w:rPr>
          <w:rStyle w:val="30"/>
          <w:rFonts w:hint="eastAsia" w:ascii="宋体" w:hAnsi="宋体"/>
          <w:b/>
          <w:color w:val="auto"/>
          <w:sz w:val="24"/>
        </w:rPr>
        <w:t>评审程序和评定成交的标准</w:t>
      </w:r>
      <w:r>
        <w:rPr>
          <w:rFonts w:ascii="宋体" w:hAnsi="宋体"/>
          <w:b/>
          <w:color w:val="auto"/>
          <w:sz w:val="24"/>
        </w:rPr>
        <w:tab/>
      </w:r>
      <w:r>
        <w:rPr>
          <w:rFonts w:ascii="宋体" w:hAnsi="宋体"/>
          <w:b/>
          <w:color w:val="auto"/>
          <w:sz w:val="24"/>
        </w:rPr>
        <w:fldChar w:fldCharType="end"/>
      </w:r>
      <w:r>
        <w:rPr>
          <w:rFonts w:hint="eastAsia" w:ascii="宋体" w:hAnsi="宋体"/>
          <w:b/>
          <w:color w:val="auto"/>
          <w:sz w:val="24"/>
          <w:lang w:val="en-US" w:eastAsia="zh-CN"/>
        </w:rPr>
        <w:t>40</w:t>
      </w:r>
    </w:p>
    <w:p w14:paraId="0DD6D275">
      <w:pPr>
        <w:pStyle w:val="20"/>
        <w:tabs>
          <w:tab w:val="right" w:leader="dot" w:pos="8869"/>
        </w:tabs>
        <w:snapToGrid w:val="0"/>
        <w:spacing w:line="500" w:lineRule="atLeast"/>
        <w:jc w:val="center"/>
        <w:rPr>
          <w:rFonts w:hint="default" w:ascii="宋体" w:hAnsi="宋体" w:eastAsia="宋体"/>
          <w:b/>
          <w:color w:val="auto"/>
          <w:sz w:val="24"/>
          <w:lang w:val="en-US" w:eastAsia="zh-CN"/>
        </w:rPr>
      </w:pPr>
      <w:r>
        <w:rPr>
          <w:color w:val="auto"/>
        </w:rPr>
        <w:fldChar w:fldCharType="begin"/>
      </w:r>
      <w:r>
        <w:rPr>
          <w:color w:val="auto"/>
        </w:rPr>
        <w:instrText xml:space="preserve"> HYPERLINK \l "_Toc74322012" </w:instrText>
      </w:r>
      <w:r>
        <w:rPr>
          <w:color w:val="auto"/>
        </w:rPr>
        <w:fldChar w:fldCharType="separate"/>
      </w:r>
      <w:r>
        <w:rPr>
          <w:rStyle w:val="30"/>
          <w:rFonts w:hint="eastAsia" w:ascii="宋体" w:hAnsi="宋体"/>
          <w:b/>
          <w:color w:val="auto"/>
          <w:sz w:val="24"/>
        </w:rPr>
        <w:t>第五章</w:t>
      </w:r>
      <w:r>
        <w:rPr>
          <w:rStyle w:val="30"/>
          <w:rFonts w:ascii="宋体" w:hAnsi="宋体"/>
          <w:b/>
          <w:color w:val="auto"/>
          <w:sz w:val="24"/>
        </w:rPr>
        <w:t xml:space="preserve"> </w:t>
      </w:r>
      <w:r>
        <w:rPr>
          <w:rStyle w:val="30"/>
          <w:rFonts w:hint="eastAsia" w:ascii="宋体" w:hAnsi="宋体"/>
          <w:b/>
          <w:color w:val="auto"/>
          <w:sz w:val="24"/>
        </w:rPr>
        <w:t>响应文件格式</w:t>
      </w:r>
      <w:r>
        <w:rPr>
          <w:rFonts w:ascii="宋体" w:hAnsi="宋体"/>
          <w:b/>
          <w:color w:val="auto"/>
          <w:sz w:val="24"/>
        </w:rPr>
        <w:tab/>
      </w:r>
      <w:r>
        <w:rPr>
          <w:rFonts w:ascii="宋体" w:hAnsi="宋体"/>
          <w:b/>
          <w:color w:val="auto"/>
          <w:sz w:val="24"/>
        </w:rPr>
        <w:fldChar w:fldCharType="end"/>
      </w:r>
      <w:r>
        <w:rPr>
          <w:rFonts w:hint="eastAsia" w:ascii="宋体" w:hAnsi="宋体"/>
          <w:b/>
          <w:color w:val="auto"/>
          <w:sz w:val="24"/>
          <w:lang w:val="en-US" w:eastAsia="zh-CN"/>
        </w:rPr>
        <w:t>44</w:t>
      </w:r>
    </w:p>
    <w:p w14:paraId="59D4435C">
      <w:pPr>
        <w:pStyle w:val="20"/>
        <w:tabs>
          <w:tab w:val="right" w:leader="dot" w:pos="8869"/>
        </w:tabs>
        <w:snapToGrid w:val="0"/>
        <w:spacing w:line="500" w:lineRule="atLeast"/>
        <w:jc w:val="center"/>
        <w:rPr>
          <w:rFonts w:hint="default" w:ascii="宋体" w:hAnsi="宋体" w:eastAsia="宋体"/>
          <w:b/>
          <w:color w:val="auto"/>
          <w:sz w:val="24"/>
          <w:lang w:val="en-US" w:eastAsia="zh-CN"/>
        </w:rPr>
      </w:pPr>
      <w:r>
        <w:rPr>
          <w:color w:val="auto"/>
        </w:rPr>
        <w:fldChar w:fldCharType="begin"/>
      </w:r>
      <w:r>
        <w:rPr>
          <w:color w:val="auto"/>
        </w:rPr>
        <w:instrText xml:space="preserve"> HYPERLINK \l "_Toc74322013" </w:instrText>
      </w:r>
      <w:r>
        <w:rPr>
          <w:color w:val="auto"/>
        </w:rPr>
        <w:fldChar w:fldCharType="separate"/>
      </w:r>
      <w:r>
        <w:rPr>
          <w:rStyle w:val="30"/>
          <w:rFonts w:hint="eastAsia" w:ascii="宋体" w:hAnsi="宋体"/>
          <w:b/>
          <w:color w:val="auto"/>
          <w:sz w:val="24"/>
        </w:rPr>
        <w:t>第六章</w:t>
      </w:r>
      <w:r>
        <w:rPr>
          <w:rStyle w:val="30"/>
          <w:rFonts w:ascii="宋体" w:hAnsi="宋体"/>
          <w:b/>
          <w:color w:val="auto"/>
          <w:sz w:val="24"/>
        </w:rPr>
        <w:t xml:space="preserve"> </w:t>
      </w:r>
      <w:r>
        <w:rPr>
          <w:rStyle w:val="30"/>
          <w:rFonts w:hint="eastAsia" w:ascii="宋体" w:hAnsi="宋体"/>
          <w:b/>
          <w:color w:val="auto"/>
          <w:sz w:val="24"/>
        </w:rPr>
        <w:t>合同文本</w:t>
      </w:r>
      <w:r>
        <w:rPr>
          <w:rFonts w:ascii="宋体" w:hAnsi="宋体"/>
          <w:b/>
          <w:color w:val="auto"/>
          <w:sz w:val="24"/>
        </w:rPr>
        <w:tab/>
      </w:r>
      <w:r>
        <w:rPr>
          <w:rFonts w:ascii="宋体" w:hAnsi="宋体"/>
          <w:b/>
          <w:color w:val="auto"/>
          <w:sz w:val="24"/>
        </w:rPr>
        <w:fldChar w:fldCharType="end"/>
      </w:r>
      <w:r>
        <w:rPr>
          <w:rFonts w:hint="eastAsia" w:ascii="宋体" w:hAnsi="宋体"/>
          <w:b/>
          <w:color w:val="auto"/>
          <w:sz w:val="24"/>
          <w:lang w:val="en-US" w:eastAsia="zh-CN"/>
        </w:rPr>
        <w:t>58</w:t>
      </w:r>
    </w:p>
    <w:p w14:paraId="1A2D16B2">
      <w:pPr>
        <w:pStyle w:val="21"/>
        <w:tabs>
          <w:tab w:val="right" w:leader="dot" w:pos="8931"/>
          <w:tab w:val="clear" w:pos="8296"/>
        </w:tabs>
        <w:snapToGrid w:val="0"/>
        <w:spacing w:line="500" w:lineRule="atLeast"/>
        <w:ind w:left="0" w:leftChars="0"/>
        <w:jc w:val="center"/>
        <w:rPr>
          <w:rFonts w:ascii="宋体" w:hAnsi="宋体"/>
          <w:b/>
          <w:color w:val="auto"/>
          <w:sz w:val="24"/>
        </w:rPr>
      </w:pPr>
      <w:r>
        <w:rPr>
          <w:rFonts w:ascii="宋体" w:hAnsi="宋体"/>
          <w:b/>
          <w:color w:val="auto"/>
          <w:sz w:val="24"/>
        </w:rPr>
        <w:fldChar w:fldCharType="end"/>
      </w:r>
    </w:p>
    <w:p w14:paraId="0E3B7ABA">
      <w:pPr>
        <w:spacing w:line="400" w:lineRule="exact"/>
        <w:jc w:val="left"/>
        <w:rPr>
          <w:rFonts w:ascii="宋体" w:hAnsi="宋体"/>
          <w:b/>
          <w:color w:val="auto"/>
          <w:sz w:val="32"/>
          <w:szCs w:val="32"/>
        </w:rPr>
      </w:pPr>
    </w:p>
    <w:p w14:paraId="675546A1">
      <w:pPr>
        <w:spacing w:line="400" w:lineRule="exact"/>
        <w:jc w:val="center"/>
        <w:rPr>
          <w:rFonts w:ascii="宋体" w:hAnsi="宋体"/>
          <w:b/>
          <w:color w:val="auto"/>
          <w:sz w:val="32"/>
          <w:szCs w:val="32"/>
        </w:rPr>
      </w:pPr>
    </w:p>
    <w:p w14:paraId="2CAAEB2B">
      <w:pPr>
        <w:spacing w:line="400" w:lineRule="exact"/>
        <w:jc w:val="center"/>
        <w:rPr>
          <w:rFonts w:ascii="宋体" w:hAnsi="宋体"/>
          <w:b/>
          <w:color w:val="auto"/>
          <w:sz w:val="32"/>
          <w:szCs w:val="32"/>
        </w:rPr>
      </w:pPr>
    </w:p>
    <w:p w14:paraId="4655A130">
      <w:pPr>
        <w:spacing w:line="400" w:lineRule="exact"/>
        <w:jc w:val="center"/>
        <w:rPr>
          <w:rFonts w:ascii="宋体" w:hAnsi="宋体"/>
          <w:b/>
          <w:color w:val="auto"/>
          <w:sz w:val="32"/>
          <w:szCs w:val="32"/>
        </w:rPr>
      </w:pPr>
    </w:p>
    <w:p w14:paraId="61BDD4D8">
      <w:pPr>
        <w:spacing w:line="400" w:lineRule="exact"/>
        <w:jc w:val="center"/>
        <w:rPr>
          <w:rFonts w:ascii="宋体" w:hAnsi="宋体"/>
          <w:b/>
          <w:color w:val="auto"/>
          <w:sz w:val="32"/>
          <w:szCs w:val="32"/>
        </w:rPr>
      </w:pPr>
    </w:p>
    <w:p w14:paraId="68D9AF6A">
      <w:pPr>
        <w:spacing w:line="400" w:lineRule="exact"/>
        <w:rPr>
          <w:rFonts w:ascii="宋体" w:hAnsi="宋体"/>
          <w:b/>
          <w:color w:val="auto"/>
          <w:sz w:val="32"/>
          <w:szCs w:val="32"/>
        </w:rPr>
        <w:sectPr>
          <w:headerReference r:id="rId3" w:type="default"/>
          <w:footerReference r:id="rId4" w:type="default"/>
          <w:pgSz w:w="11906" w:h="16838"/>
          <w:pgMar w:top="1134" w:right="1134" w:bottom="1134" w:left="1134" w:header="851" w:footer="992" w:gutter="0"/>
          <w:pgNumType w:start="0"/>
          <w:cols w:space="720" w:num="1"/>
          <w:titlePg/>
          <w:docGrid w:type="lines" w:linePitch="312" w:charSpace="0"/>
        </w:sectPr>
      </w:pPr>
    </w:p>
    <w:p w14:paraId="06A23D18">
      <w:pPr>
        <w:pStyle w:val="2"/>
        <w:spacing w:line="360" w:lineRule="atLeast"/>
        <w:jc w:val="center"/>
        <w:rPr>
          <w:rFonts w:ascii="宋体" w:hAnsi="宋体"/>
          <w:b w:val="0"/>
          <w:bCs w:val="0"/>
          <w:color w:val="auto"/>
          <w:sz w:val="32"/>
          <w:szCs w:val="32"/>
        </w:rPr>
      </w:pPr>
      <w:bookmarkStart w:id="1" w:name="_Toc74322008"/>
      <w:r>
        <w:rPr>
          <w:rFonts w:hint="eastAsia"/>
          <w:color w:val="auto"/>
        </w:rPr>
        <w:t>第一章 竞争性谈判公告</w:t>
      </w:r>
      <w:bookmarkEnd w:id="1"/>
    </w:p>
    <w:p w14:paraId="6A99DABD">
      <w:pPr>
        <w:pStyle w:val="15"/>
        <w:spacing w:line="360" w:lineRule="atLeast"/>
        <w:jc w:val="center"/>
        <w:rPr>
          <w:rFonts w:hint="eastAsia" w:eastAsia="宋体"/>
          <w:b/>
          <w:color w:val="auto"/>
          <w:sz w:val="32"/>
          <w:szCs w:val="32"/>
          <w:lang w:eastAsia="zh-CN"/>
        </w:rPr>
      </w:pPr>
      <w:r>
        <w:rPr>
          <w:rFonts w:hint="eastAsia"/>
          <w:b/>
          <w:color w:val="auto"/>
          <w:sz w:val="32"/>
          <w:szCs w:val="32"/>
          <w:lang w:eastAsia="zh-CN"/>
        </w:rPr>
        <w:t>广西国泰招标咨询有限公司</w:t>
      </w:r>
    </w:p>
    <w:p w14:paraId="444C0C02">
      <w:pPr>
        <w:spacing w:line="360" w:lineRule="atLeast"/>
        <w:jc w:val="center"/>
        <w:rPr>
          <w:rFonts w:hint="eastAsia" w:ascii="宋体" w:hAnsi="Courier New"/>
          <w:b/>
          <w:color w:val="auto"/>
          <w:kern w:val="0"/>
          <w:sz w:val="32"/>
          <w:szCs w:val="32"/>
          <w:lang w:eastAsia="zh-CN"/>
        </w:rPr>
      </w:pPr>
      <w:r>
        <w:rPr>
          <w:rFonts w:hint="eastAsia" w:ascii="宋体" w:hAnsi="Courier New"/>
          <w:b/>
          <w:color w:val="auto"/>
          <w:kern w:val="0"/>
          <w:sz w:val="32"/>
          <w:szCs w:val="32"/>
          <w:lang w:eastAsia="zh-CN"/>
        </w:rPr>
        <w:t>救护车采购项目</w:t>
      </w:r>
      <w:r>
        <w:rPr>
          <w:rFonts w:hint="eastAsia" w:ascii="宋体" w:hAnsi="Courier New"/>
          <w:b/>
          <w:color w:val="auto"/>
          <w:kern w:val="0"/>
          <w:sz w:val="32"/>
          <w:szCs w:val="32"/>
          <w:lang w:val="en-US" w:eastAsia="zh-CN"/>
        </w:rPr>
        <w:t>(</w:t>
      </w:r>
      <w:r>
        <w:rPr>
          <w:rFonts w:hint="eastAsia" w:ascii="宋体" w:hAnsi="Courier New"/>
          <w:b/>
          <w:color w:val="auto"/>
          <w:kern w:val="0"/>
          <w:sz w:val="32"/>
          <w:szCs w:val="32"/>
          <w:lang w:eastAsia="zh-CN"/>
        </w:rPr>
        <w:t>YLZC2025-J1-230209-GTZB</w:t>
      </w:r>
      <w:r>
        <w:rPr>
          <w:rFonts w:hint="eastAsia" w:ascii="宋体" w:hAnsi="Courier New"/>
          <w:b/>
          <w:color w:val="auto"/>
          <w:kern w:val="0"/>
          <w:sz w:val="32"/>
          <w:szCs w:val="32"/>
          <w:lang w:val="en-US" w:eastAsia="zh-CN"/>
        </w:rPr>
        <w:t>)</w:t>
      </w:r>
    </w:p>
    <w:p w14:paraId="1AD3C003">
      <w:pPr>
        <w:spacing w:line="360" w:lineRule="atLeast"/>
        <w:jc w:val="center"/>
        <w:rPr>
          <w:rFonts w:ascii="宋体" w:hAnsi="Courier New"/>
          <w:b/>
          <w:color w:val="auto"/>
          <w:kern w:val="0"/>
          <w:sz w:val="32"/>
          <w:szCs w:val="32"/>
        </w:rPr>
      </w:pPr>
      <w:r>
        <w:rPr>
          <w:rFonts w:hint="eastAsia" w:ascii="宋体" w:hAnsi="Courier New"/>
          <w:b/>
          <w:color w:val="auto"/>
          <w:kern w:val="0"/>
          <w:sz w:val="32"/>
          <w:szCs w:val="32"/>
        </w:rPr>
        <w:t>竞争性谈判公告</w:t>
      </w:r>
    </w:p>
    <w:p w14:paraId="482F0CC2">
      <w:pPr>
        <w:spacing w:line="360" w:lineRule="auto"/>
        <w:rPr>
          <w:rFonts w:ascii="宋体" w:hAnsi="宋体"/>
          <w:color w:val="auto"/>
          <w:szCs w:val="21"/>
        </w:rPr>
      </w:pPr>
    </w:p>
    <w:p w14:paraId="295954F6">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bookmarkStart w:id="2" w:name="_Hlk37430271"/>
      <w:r>
        <w:rPr>
          <w:rFonts w:hint="eastAsia" w:ascii="宋体" w:hAnsi="宋体"/>
          <w:color w:val="auto"/>
          <w:szCs w:val="21"/>
        </w:rPr>
        <w:t>项目概况</w:t>
      </w:r>
    </w:p>
    <w:p w14:paraId="77C0368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rPr>
      </w:pPr>
      <w:r>
        <w:rPr>
          <w:rFonts w:hint="eastAsia" w:ascii="宋体" w:hAnsi="宋体"/>
          <w:color w:val="auto"/>
          <w:szCs w:val="21"/>
          <w:lang w:eastAsia="zh-CN"/>
        </w:rPr>
        <w:t>救护车采购项目</w:t>
      </w:r>
      <w:r>
        <w:rPr>
          <w:rFonts w:hint="eastAsia" w:ascii="宋体" w:hAnsi="宋体"/>
          <w:color w:val="auto"/>
          <w:szCs w:val="21"/>
        </w:rPr>
        <w:t>项目的潜在供应商应在</w:t>
      </w:r>
      <w:r>
        <w:rPr>
          <w:rFonts w:hint="eastAsia" w:ascii="宋体" w:hAnsi="宋体"/>
          <w:color w:val="auto"/>
          <w:szCs w:val="21"/>
          <w:lang w:eastAsia="zh-CN"/>
        </w:rPr>
        <w:t>广西政府采购云平台</w:t>
      </w:r>
      <w:r>
        <w:rPr>
          <w:rFonts w:hint="eastAsia" w:ascii="宋体" w:hAnsi="宋体"/>
          <w:color w:val="auto"/>
          <w:szCs w:val="21"/>
        </w:rPr>
        <w:t>（https://</w:t>
      </w:r>
      <w:r>
        <w:rPr>
          <w:rFonts w:hint="eastAsia" w:ascii="宋体" w:hAnsi="宋体"/>
          <w:color w:val="auto"/>
          <w:szCs w:val="21"/>
          <w:lang w:val="en-US" w:eastAsia="zh-CN"/>
        </w:rPr>
        <w:t>www</w:t>
      </w:r>
      <w:r>
        <w:rPr>
          <w:rFonts w:hint="eastAsia" w:ascii="宋体" w:hAnsi="宋体"/>
          <w:color w:val="auto"/>
          <w:szCs w:val="21"/>
        </w:rPr>
        <w:t>.gcy.zfcg.gxzf.gov.cn/）获取（下载）竞争性谈判文件，并于</w:t>
      </w:r>
      <w:r>
        <w:rPr>
          <w:rFonts w:hint="eastAsia" w:ascii="宋体" w:hAnsi="宋体"/>
          <w:color w:val="auto"/>
          <w:szCs w:val="21"/>
          <w:lang w:eastAsia="zh-CN"/>
        </w:rPr>
        <w:t>2025年12月15日</w:t>
      </w:r>
      <w:r>
        <w:rPr>
          <w:rFonts w:hint="eastAsia" w:ascii="宋体" w:hAnsi="宋体"/>
          <w:color w:val="auto"/>
          <w:szCs w:val="21"/>
          <w:lang w:val="en-US" w:eastAsia="zh-CN"/>
        </w:rPr>
        <w:t>9时00分</w:t>
      </w:r>
      <w:r>
        <w:rPr>
          <w:rFonts w:hint="eastAsia" w:ascii="宋体" w:hAnsi="宋体"/>
          <w:color w:val="auto"/>
          <w:szCs w:val="21"/>
        </w:rPr>
        <w:t>（北京时间）前提交响应文件。</w:t>
      </w:r>
    </w:p>
    <w:p w14:paraId="1D359C9F">
      <w:pPr>
        <w:spacing w:line="360" w:lineRule="auto"/>
        <w:ind w:firstLine="361" w:firstLineChars="150"/>
        <w:rPr>
          <w:rFonts w:ascii="黑体" w:hAnsi="黑体" w:eastAsia="黑体"/>
          <w:b/>
          <w:bCs/>
          <w:color w:val="auto"/>
          <w:sz w:val="24"/>
        </w:rPr>
      </w:pPr>
      <w:bookmarkStart w:id="3" w:name="_Toc28359018"/>
      <w:bookmarkStart w:id="4" w:name="_Toc35393636"/>
      <w:bookmarkStart w:id="5" w:name="_Toc71366047"/>
      <w:bookmarkStart w:id="6" w:name="_Toc28359095"/>
      <w:bookmarkStart w:id="7" w:name="_Toc35393805"/>
      <w:bookmarkStart w:id="8" w:name="_Toc71365369"/>
      <w:r>
        <w:rPr>
          <w:rFonts w:hint="eastAsia" w:ascii="黑体" w:hAnsi="黑体" w:eastAsia="黑体"/>
          <w:b/>
          <w:bCs/>
          <w:color w:val="auto"/>
          <w:sz w:val="24"/>
        </w:rPr>
        <w:t>一、项目基本情况</w:t>
      </w:r>
    </w:p>
    <w:p w14:paraId="4AB378EA">
      <w:pPr>
        <w:spacing w:line="360" w:lineRule="auto"/>
        <w:ind w:firstLine="420" w:firstLineChars="200"/>
        <w:rPr>
          <w:rFonts w:hint="eastAsia" w:ascii="宋体" w:hAnsi="宋体" w:eastAsia="宋体" w:cs="Times New Roman"/>
          <w:color w:val="auto"/>
          <w:szCs w:val="21"/>
          <w:lang w:eastAsia="zh-CN"/>
        </w:rPr>
      </w:pPr>
      <w:r>
        <w:rPr>
          <w:rFonts w:hint="eastAsia" w:ascii="宋体" w:hAnsi="宋体"/>
          <w:color w:val="auto"/>
          <w:szCs w:val="21"/>
        </w:rPr>
        <w:t>项目</w:t>
      </w:r>
      <w:r>
        <w:rPr>
          <w:rFonts w:hint="eastAsia" w:ascii="宋体" w:hAnsi="宋体" w:eastAsia="宋体" w:cs="Times New Roman"/>
          <w:color w:val="auto"/>
          <w:szCs w:val="21"/>
        </w:rPr>
        <w:t>编号：</w:t>
      </w:r>
      <w:r>
        <w:rPr>
          <w:rFonts w:hint="eastAsia" w:ascii="宋体" w:hAnsi="宋体" w:cs="Times New Roman"/>
          <w:color w:val="auto"/>
          <w:szCs w:val="21"/>
          <w:lang w:eastAsia="zh-CN"/>
        </w:rPr>
        <w:t>YLZC2025-J1-230209-GTZB</w:t>
      </w:r>
    </w:p>
    <w:p w14:paraId="3142ED25">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项目名称：</w:t>
      </w:r>
      <w:r>
        <w:rPr>
          <w:rFonts w:hint="eastAsia" w:ascii="宋体" w:hAnsi="宋体"/>
          <w:color w:val="auto"/>
          <w:szCs w:val="21"/>
          <w:lang w:eastAsia="zh-CN"/>
        </w:rPr>
        <w:t>救护车采购项目</w:t>
      </w:r>
    </w:p>
    <w:p w14:paraId="43D0E858">
      <w:pPr>
        <w:spacing w:line="360" w:lineRule="auto"/>
        <w:ind w:firstLine="420" w:firstLineChars="200"/>
        <w:rPr>
          <w:rFonts w:ascii="宋体" w:hAnsi="宋体"/>
          <w:color w:val="auto"/>
          <w:szCs w:val="21"/>
        </w:rPr>
      </w:pPr>
      <w:r>
        <w:rPr>
          <w:rFonts w:hint="eastAsia" w:ascii="宋体" w:hAnsi="宋体"/>
          <w:color w:val="auto"/>
          <w:szCs w:val="21"/>
        </w:rPr>
        <w:t>采购方式：竞争性谈判</w:t>
      </w:r>
    </w:p>
    <w:p w14:paraId="75DB6B3C">
      <w:pPr>
        <w:spacing w:line="360" w:lineRule="auto"/>
        <w:ind w:firstLine="420" w:firstLineChars="200"/>
        <w:rPr>
          <w:rFonts w:ascii="宋体" w:hAnsi="宋体"/>
          <w:color w:val="auto"/>
          <w:szCs w:val="21"/>
        </w:rPr>
      </w:pPr>
      <w:r>
        <w:rPr>
          <w:rFonts w:hint="eastAsia" w:ascii="宋体" w:hAnsi="宋体"/>
          <w:color w:val="auto"/>
          <w:szCs w:val="21"/>
        </w:rPr>
        <w:t>预算金额：</w:t>
      </w:r>
      <w:r>
        <w:rPr>
          <w:rFonts w:hint="eastAsia" w:ascii="宋体" w:hAnsi="宋体"/>
          <w:color w:val="auto"/>
          <w:szCs w:val="21"/>
          <w:lang w:val="en-US" w:eastAsia="zh-CN"/>
        </w:rPr>
        <w:t>154.60</w:t>
      </w:r>
      <w:r>
        <w:rPr>
          <w:rFonts w:hint="eastAsia" w:ascii="宋体" w:hAnsi="宋体"/>
          <w:color w:val="auto"/>
          <w:szCs w:val="21"/>
          <w:lang w:eastAsia="zh-CN"/>
        </w:rPr>
        <w:t>万</w:t>
      </w:r>
      <w:r>
        <w:rPr>
          <w:rFonts w:hint="eastAsia" w:ascii="宋体" w:hAnsi="宋体"/>
          <w:color w:val="auto"/>
          <w:szCs w:val="21"/>
        </w:rPr>
        <w:t>元</w:t>
      </w:r>
    </w:p>
    <w:p w14:paraId="56760B75">
      <w:pPr>
        <w:spacing w:line="360" w:lineRule="auto"/>
        <w:ind w:firstLine="420" w:firstLineChars="200"/>
        <w:rPr>
          <w:rFonts w:ascii="宋体" w:hAnsi="宋体"/>
          <w:color w:val="auto"/>
          <w:szCs w:val="21"/>
        </w:rPr>
      </w:pPr>
      <w:r>
        <w:rPr>
          <w:rFonts w:hint="eastAsia" w:ascii="宋体" w:hAnsi="宋体"/>
          <w:color w:val="auto"/>
          <w:szCs w:val="21"/>
        </w:rPr>
        <w:t>最高限价：</w:t>
      </w:r>
      <w:r>
        <w:rPr>
          <w:rFonts w:hint="eastAsia" w:ascii="宋体" w:hAnsi="宋体"/>
          <w:color w:val="auto"/>
          <w:szCs w:val="21"/>
          <w:lang w:val="en-US" w:eastAsia="zh-CN"/>
        </w:rPr>
        <w:t>154.60</w:t>
      </w:r>
      <w:r>
        <w:rPr>
          <w:rFonts w:hint="eastAsia" w:ascii="宋体" w:hAnsi="宋体"/>
          <w:color w:val="auto"/>
          <w:szCs w:val="21"/>
          <w:lang w:eastAsia="zh-CN"/>
        </w:rPr>
        <w:t>万</w:t>
      </w:r>
      <w:r>
        <w:rPr>
          <w:rFonts w:hint="eastAsia" w:ascii="宋体" w:hAnsi="宋体"/>
          <w:color w:val="auto"/>
          <w:szCs w:val="21"/>
        </w:rPr>
        <w:t>元</w:t>
      </w:r>
    </w:p>
    <w:p w14:paraId="50BAF216">
      <w:pPr>
        <w:pStyle w:val="10"/>
        <w:rPr>
          <w:rFonts w:ascii="宋体" w:hAnsi="宋体"/>
          <w:color w:val="auto"/>
          <w:szCs w:val="21"/>
        </w:rPr>
      </w:pPr>
      <w:r>
        <w:rPr>
          <w:rFonts w:hint="eastAsia" w:ascii="宋体" w:hAnsi="宋体"/>
          <w:color w:val="auto"/>
          <w:szCs w:val="21"/>
        </w:rPr>
        <w:t>采购需求：</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1552"/>
        <w:gridCol w:w="1360"/>
        <w:gridCol w:w="6160"/>
      </w:tblGrid>
      <w:tr w14:paraId="21143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9790" w:type="dxa"/>
            <w:gridSpan w:val="4"/>
            <w:tcBorders>
              <w:top w:val="single" w:color="auto" w:sz="4" w:space="0"/>
              <w:left w:val="single" w:color="auto" w:sz="4" w:space="0"/>
              <w:bottom w:val="single" w:color="auto" w:sz="4" w:space="0"/>
              <w:right w:val="single" w:color="auto" w:sz="4" w:space="0"/>
            </w:tcBorders>
            <w:vAlign w:val="bottom"/>
          </w:tcPr>
          <w:p w14:paraId="35F236D0">
            <w:pPr>
              <w:snapToGrid w:val="0"/>
              <w:spacing w:line="360" w:lineRule="auto"/>
              <w:jc w:val="left"/>
              <w:rPr>
                <w:rFonts w:ascii="宋体" w:hAnsi="宋体"/>
                <w:color w:val="auto"/>
                <w:szCs w:val="21"/>
              </w:rPr>
            </w:pPr>
            <w:r>
              <w:rPr>
                <w:rFonts w:hint="eastAsia" w:ascii="宋体" w:hAnsi="宋体"/>
                <w:color w:val="auto"/>
                <w:szCs w:val="21"/>
              </w:rPr>
              <w:t>预算金额：</w:t>
            </w:r>
            <w:r>
              <w:rPr>
                <w:rFonts w:hint="eastAsia" w:ascii="宋体" w:hAnsi="宋体"/>
                <w:color w:val="auto"/>
                <w:szCs w:val="21"/>
                <w:lang w:val="en-US" w:eastAsia="zh-CN"/>
              </w:rPr>
              <w:t>154.60</w:t>
            </w:r>
            <w:r>
              <w:rPr>
                <w:rFonts w:hint="eastAsia" w:ascii="宋体" w:hAnsi="宋体"/>
                <w:color w:val="auto"/>
                <w:szCs w:val="21"/>
              </w:rPr>
              <w:t>万元</w:t>
            </w:r>
          </w:p>
        </w:tc>
      </w:tr>
      <w:tr w14:paraId="3904AC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18" w:type="dxa"/>
            <w:tcBorders>
              <w:top w:val="single" w:color="auto" w:sz="4" w:space="0"/>
              <w:left w:val="single" w:color="auto" w:sz="4" w:space="0"/>
              <w:bottom w:val="single" w:color="auto" w:sz="4" w:space="0"/>
              <w:right w:val="single" w:color="auto" w:sz="4" w:space="0"/>
            </w:tcBorders>
            <w:vAlign w:val="bottom"/>
          </w:tcPr>
          <w:p w14:paraId="7EF37B14">
            <w:pPr>
              <w:snapToGrid w:val="0"/>
              <w:spacing w:line="360" w:lineRule="auto"/>
              <w:jc w:val="center"/>
              <w:rPr>
                <w:rFonts w:ascii="宋体" w:hAnsi="宋体"/>
                <w:color w:val="auto"/>
                <w:szCs w:val="21"/>
              </w:rPr>
            </w:pPr>
            <w:r>
              <w:rPr>
                <w:rFonts w:hint="eastAsia" w:ascii="宋体" w:hAnsi="宋体"/>
                <w:color w:val="auto"/>
                <w:szCs w:val="21"/>
              </w:rPr>
              <w:t>序号</w:t>
            </w:r>
          </w:p>
        </w:tc>
        <w:tc>
          <w:tcPr>
            <w:tcW w:w="1552" w:type="dxa"/>
            <w:tcBorders>
              <w:top w:val="single" w:color="auto" w:sz="4" w:space="0"/>
              <w:left w:val="single" w:color="auto" w:sz="4" w:space="0"/>
              <w:bottom w:val="single" w:color="auto" w:sz="4" w:space="0"/>
              <w:right w:val="single" w:color="auto" w:sz="4" w:space="0"/>
            </w:tcBorders>
            <w:vAlign w:val="bottom"/>
          </w:tcPr>
          <w:p w14:paraId="614917B8">
            <w:pPr>
              <w:snapToGrid w:val="0"/>
              <w:spacing w:line="360" w:lineRule="auto"/>
              <w:jc w:val="center"/>
              <w:rPr>
                <w:rFonts w:ascii="宋体" w:hAnsi="宋体"/>
                <w:color w:val="auto"/>
                <w:szCs w:val="21"/>
              </w:rPr>
            </w:pPr>
            <w:r>
              <w:rPr>
                <w:rFonts w:hint="eastAsia" w:ascii="宋体" w:hAnsi="宋体"/>
                <w:color w:val="auto"/>
                <w:szCs w:val="21"/>
              </w:rPr>
              <w:t>标的的名称</w:t>
            </w:r>
          </w:p>
        </w:tc>
        <w:tc>
          <w:tcPr>
            <w:tcW w:w="1360" w:type="dxa"/>
            <w:tcBorders>
              <w:top w:val="single" w:color="auto" w:sz="4" w:space="0"/>
              <w:left w:val="single" w:color="auto" w:sz="4" w:space="0"/>
              <w:bottom w:val="single" w:color="auto" w:sz="4" w:space="0"/>
              <w:right w:val="single" w:color="auto" w:sz="4" w:space="0"/>
            </w:tcBorders>
            <w:vAlign w:val="bottom"/>
          </w:tcPr>
          <w:p w14:paraId="2AD992EE">
            <w:pPr>
              <w:snapToGrid w:val="0"/>
              <w:spacing w:line="360" w:lineRule="auto"/>
              <w:jc w:val="center"/>
              <w:rPr>
                <w:rFonts w:ascii="宋体" w:hAnsi="宋体"/>
                <w:color w:val="auto"/>
                <w:szCs w:val="21"/>
              </w:rPr>
            </w:pPr>
            <w:r>
              <w:rPr>
                <w:rFonts w:hint="eastAsia" w:ascii="宋体" w:hAnsi="宋体"/>
                <w:color w:val="auto"/>
                <w:szCs w:val="21"/>
              </w:rPr>
              <w:t>数量/单位</w:t>
            </w:r>
          </w:p>
        </w:tc>
        <w:tc>
          <w:tcPr>
            <w:tcW w:w="6160" w:type="dxa"/>
            <w:tcBorders>
              <w:top w:val="single" w:color="auto" w:sz="4" w:space="0"/>
              <w:left w:val="single" w:color="auto" w:sz="4" w:space="0"/>
              <w:bottom w:val="single" w:color="auto" w:sz="4" w:space="0"/>
              <w:right w:val="single" w:color="auto" w:sz="4" w:space="0"/>
            </w:tcBorders>
            <w:vAlign w:val="bottom"/>
          </w:tcPr>
          <w:p w14:paraId="734ABFBA">
            <w:pPr>
              <w:snapToGrid w:val="0"/>
              <w:spacing w:line="360" w:lineRule="auto"/>
              <w:jc w:val="center"/>
              <w:rPr>
                <w:rFonts w:ascii="宋体" w:hAnsi="宋体"/>
                <w:color w:val="auto"/>
                <w:szCs w:val="21"/>
              </w:rPr>
            </w:pPr>
            <w:r>
              <w:rPr>
                <w:rFonts w:hint="eastAsia" w:ascii="宋体" w:hAnsi="宋体"/>
                <w:color w:val="auto"/>
                <w:szCs w:val="21"/>
              </w:rPr>
              <w:t>简要技术需求或者货物要求</w:t>
            </w:r>
          </w:p>
        </w:tc>
      </w:tr>
      <w:tr w14:paraId="74B51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6EF1058C">
            <w:pPr>
              <w:snapToGrid w:val="0"/>
              <w:spacing w:line="360" w:lineRule="auto"/>
              <w:jc w:val="center"/>
              <w:rPr>
                <w:rFonts w:hint="eastAsia" w:ascii="宋体" w:hAnsi="宋体"/>
                <w:color w:val="auto"/>
                <w:szCs w:val="21"/>
              </w:rPr>
            </w:pPr>
            <w:r>
              <w:rPr>
                <w:rFonts w:hint="eastAsia" w:ascii="宋体" w:hAnsi="宋体"/>
                <w:color w:val="auto"/>
                <w:szCs w:val="21"/>
                <w:lang w:val="en-US" w:eastAsia="zh-CN"/>
              </w:rPr>
              <w:t>1</w:t>
            </w:r>
          </w:p>
        </w:tc>
        <w:tc>
          <w:tcPr>
            <w:tcW w:w="1552" w:type="dxa"/>
            <w:tcBorders>
              <w:top w:val="single" w:color="auto" w:sz="4" w:space="0"/>
              <w:left w:val="single" w:color="auto" w:sz="4" w:space="0"/>
              <w:bottom w:val="single" w:color="auto" w:sz="4" w:space="0"/>
              <w:right w:val="single" w:color="auto" w:sz="4" w:space="0"/>
            </w:tcBorders>
            <w:vAlign w:val="center"/>
          </w:tcPr>
          <w:p w14:paraId="53B4CBE9">
            <w:pPr>
              <w:jc w:val="center"/>
              <w:rPr>
                <w:rFonts w:hint="eastAsia" w:ascii="宋体" w:hAnsi="宋体"/>
                <w:color w:val="auto"/>
                <w:szCs w:val="21"/>
              </w:rPr>
            </w:pPr>
            <w:r>
              <w:rPr>
                <w:rFonts w:hint="eastAsia" w:ascii="Calibri" w:hAnsi="Calibri"/>
                <w:color w:val="auto"/>
                <w:szCs w:val="21"/>
                <w:lang w:val="en-US" w:eastAsia="zh-CN"/>
              </w:rPr>
              <w:t>重症型救护车</w:t>
            </w:r>
          </w:p>
        </w:tc>
        <w:tc>
          <w:tcPr>
            <w:tcW w:w="1360" w:type="dxa"/>
            <w:tcBorders>
              <w:top w:val="single" w:color="auto" w:sz="4" w:space="0"/>
              <w:left w:val="single" w:color="auto" w:sz="4" w:space="0"/>
              <w:bottom w:val="single" w:color="auto" w:sz="4" w:space="0"/>
              <w:right w:val="single" w:color="auto" w:sz="4" w:space="0"/>
            </w:tcBorders>
            <w:vAlign w:val="center"/>
          </w:tcPr>
          <w:p w14:paraId="0046637D">
            <w:pPr>
              <w:widowControl/>
              <w:jc w:val="center"/>
              <w:textAlignment w:val="center"/>
              <w:rPr>
                <w:rFonts w:hint="eastAsia" w:ascii="宋体" w:hAnsi="宋体" w:eastAsia="宋体"/>
                <w:color w:val="auto"/>
                <w:szCs w:val="21"/>
                <w:lang w:val="en-US" w:eastAsia="zh-CN"/>
              </w:rPr>
            </w:pPr>
            <w:r>
              <w:rPr>
                <w:rFonts w:hint="eastAsia" w:ascii="宋体" w:hAnsi="宋体"/>
                <w:color w:val="auto"/>
                <w:szCs w:val="21"/>
                <w:lang w:val="en-US" w:eastAsia="zh-CN"/>
              </w:rPr>
              <w:t>1辆</w:t>
            </w:r>
          </w:p>
        </w:tc>
        <w:tc>
          <w:tcPr>
            <w:tcW w:w="6160" w:type="dxa"/>
            <w:tcBorders>
              <w:top w:val="single" w:color="auto" w:sz="4" w:space="0"/>
              <w:left w:val="single" w:color="auto" w:sz="4" w:space="0"/>
              <w:bottom w:val="single" w:color="auto" w:sz="4" w:space="0"/>
              <w:right w:val="single" w:color="auto" w:sz="4" w:space="0"/>
            </w:tcBorders>
            <w:vAlign w:val="center"/>
          </w:tcPr>
          <w:p w14:paraId="065E163D">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一、基本要求：</w:t>
            </w:r>
          </w:p>
          <w:p w14:paraId="5D02F916">
            <w:pPr>
              <w:widowControl/>
              <w:spacing w:line="440" w:lineRule="exact"/>
              <w:textAlignment w:val="baseline"/>
              <w:rPr>
                <w:rFonts w:hint="eastAsia" w:ascii="宋体" w:hAnsi="宋体" w:eastAsia="宋体" w:cs="Arial"/>
                <w:bCs/>
                <w:color w:val="auto"/>
                <w:szCs w:val="21"/>
              </w:rPr>
            </w:pPr>
            <w:r>
              <w:rPr>
                <w:rFonts w:hint="eastAsia" w:hAnsi="宋体"/>
                <w:b/>
                <w:bCs/>
                <w:color w:val="auto"/>
              </w:rPr>
              <w:t>▲</w:t>
            </w:r>
            <w:r>
              <w:rPr>
                <w:rFonts w:hint="eastAsia" w:ascii="宋体" w:hAnsi="宋体" w:cs="Arial"/>
                <w:bCs/>
                <w:color w:val="auto"/>
                <w:szCs w:val="21"/>
              </w:rPr>
              <w:t>1、在本次救护车底盘选型</w:t>
            </w:r>
            <w:r>
              <w:rPr>
                <w:rFonts w:hint="eastAsia" w:ascii="宋体" w:hAnsi="宋体" w:cs="Arial"/>
                <w:bCs/>
                <w:color w:val="auto"/>
                <w:szCs w:val="21"/>
                <w:lang w:eastAsia="zh-CN"/>
              </w:rPr>
              <w:t>采购</w:t>
            </w:r>
            <w:r>
              <w:rPr>
                <w:rFonts w:hint="eastAsia" w:ascii="宋体" w:hAnsi="宋体" w:cs="Arial"/>
                <w:bCs/>
                <w:color w:val="auto"/>
                <w:szCs w:val="21"/>
              </w:rPr>
              <w:t>项目中，底盘车型须为客</w:t>
            </w:r>
            <w:r>
              <w:rPr>
                <w:rFonts w:hint="eastAsia" w:ascii="宋体" w:hAnsi="宋体" w:eastAsia="宋体" w:cs="Arial"/>
                <w:bCs/>
                <w:color w:val="auto"/>
                <w:szCs w:val="21"/>
              </w:rPr>
              <w:t>车。</w:t>
            </w:r>
          </w:p>
          <w:p w14:paraId="73F6CFDD">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2、功能：主要用于运输和抢救病人。</w:t>
            </w:r>
          </w:p>
          <w:p w14:paraId="0969AF55">
            <w:pPr>
              <w:rPr>
                <w:rFonts w:hint="eastAsia" w:ascii="宋体" w:hAnsi="宋体" w:eastAsia="宋体"/>
                <w:color w:val="auto"/>
                <w:szCs w:val="21"/>
                <w:lang w:val="en-US" w:eastAsia="zh-CN"/>
              </w:rPr>
            </w:pPr>
            <w:r>
              <w:rPr>
                <w:rFonts w:hint="eastAsia" w:ascii="宋体" w:hAnsi="宋体" w:eastAsia="宋体"/>
                <w:color w:val="auto"/>
                <w:szCs w:val="21"/>
              </w:rPr>
              <w:t>……</w:t>
            </w:r>
          </w:p>
        </w:tc>
      </w:tr>
      <w:tr w14:paraId="17324F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57F44514">
            <w:pPr>
              <w:snapToGrid w:val="0"/>
              <w:spacing w:line="360" w:lineRule="auto"/>
              <w:jc w:val="center"/>
              <w:rPr>
                <w:rFonts w:hint="default" w:ascii="宋体" w:hAnsi="宋体"/>
                <w:color w:val="auto"/>
                <w:szCs w:val="21"/>
                <w:lang w:val="en-US" w:eastAsia="zh-CN"/>
              </w:rPr>
            </w:pPr>
            <w:r>
              <w:rPr>
                <w:rFonts w:hint="eastAsia" w:ascii="宋体" w:hAnsi="宋体"/>
                <w:color w:val="auto"/>
                <w:szCs w:val="21"/>
                <w:lang w:val="en-US" w:eastAsia="zh-CN"/>
              </w:rPr>
              <w:t>2</w:t>
            </w:r>
          </w:p>
        </w:tc>
        <w:tc>
          <w:tcPr>
            <w:tcW w:w="1552" w:type="dxa"/>
            <w:tcBorders>
              <w:top w:val="single" w:color="auto" w:sz="4" w:space="0"/>
              <w:left w:val="single" w:color="auto" w:sz="4" w:space="0"/>
              <w:bottom w:val="single" w:color="auto" w:sz="4" w:space="0"/>
              <w:right w:val="single" w:color="auto" w:sz="4" w:space="0"/>
            </w:tcBorders>
            <w:vAlign w:val="center"/>
          </w:tcPr>
          <w:p w14:paraId="5EF3F82F">
            <w:pPr>
              <w:snapToGrid w:val="0"/>
              <w:spacing w:line="360" w:lineRule="auto"/>
              <w:jc w:val="center"/>
              <w:rPr>
                <w:rFonts w:hint="eastAsia" w:ascii="宋体" w:hAnsi="宋体"/>
                <w:color w:val="auto"/>
                <w:szCs w:val="21"/>
                <w:lang w:eastAsia="zh-CN"/>
              </w:rPr>
            </w:pPr>
            <w:r>
              <w:rPr>
                <w:rFonts w:hint="eastAsia" w:ascii="Calibri" w:hAnsi="Calibri"/>
                <w:color w:val="auto"/>
                <w:szCs w:val="21"/>
                <w:lang w:val="en-US" w:eastAsia="zh-CN"/>
              </w:rPr>
              <w:t>监护</w:t>
            </w:r>
            <w:r>
              <w:rPr>
                <w:rFonts w:hint="eastAsia" w:ascii="Calibri" w:hAnsi="Calibri"/>
                <w:color w:val="auto"/>
                <w:szCs w:val="21"/>
              </w:rPr>
              <w:t>型救护车</w:t>
            </w:r>
          </w:p>
        </w:tc>
        <w:tc>
          <w:tcPr>
            <w:tcW w:w="1360" w:type="dxa"/>
            <w:tcBorders>
              <w:top w:val="single" w:color="auto" w:sz="4" w:space="0"/>
              <w:left w:val="single" w:color="auto" w:sz="4" w:space="0"/>
              <w:bottom w:val="single" w:color="auto" w:sz="4" w:space="0"/>
              <w:right w:val="single" w:color="auto" w:sz="4" w:space="0"/>
            </w:tcBorders>
            <w:vAlign w:val="center"/>
          </w:tcPr>
          <w:p w14:paraId="257F99A6">
            <w:pPr>
              <w:widowControl/>
              <w:jc w:val="center"/>
              <w:textAlignment w:val="center"/>
              <w:rPr>
                <w:rFonts w:hint="default" w:ascii="宋体" w:hAnsi="宋体"/>
                <w:color w:val="auto"/>
                <w:szCs w:val="21"/>
                <w:lang w:val="en-US" w:eastAsia="zh-CN"/>
              </w:rPr>
            </w:pPr>
            <w:r>
              <w:rPr>
                <w:rFonts w:hint="eastAsia" w:ascii="宋体" w:hAnsi="宋体"/>
                <w:color w:val="auto"/>
                <w:szCs w:val="21"/>
                <w:lang w:val="en-US" w:eastAsia="zh-CN"/>
              </w:rPr>
              <w:t>4辆</w:t>
            </w:r>
          </w:p>
        </w:tc>
        <w:tc>
          <w:tcPr>
            <w:tcW w:w="6160" w:type="dxa"/>
            <w:tcBorders>
              <w:top w:val="single" w:color="auto" w:sz="4" w:space="0"/>
              <w:left w:val="single" w:color="auto" w:sz="4" w:space="0"/>
              <w:bottom w:val="single" w:color="auto" w:sz="4" w:space="0"/>
              <w:right w:val="single" w:color="auto" w:sz="4" w:space="0"/>
            </w:tcBorders>
            <w:vAlign w:val="center"/>
          </w:tcPr>
          <w:p w14:paraId="4B3D5BD4">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一、基本要求：</w:t>
            </w:r>
          </w:p>
          <w:p w14:paraId="55580183">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1、车型：</w:t>
            </w:r>
            <w:r>
              <w:rPr>
                <w:rFonts w:hint="eastAsia" w:ascii="宋体" w:hAnsi="宋体" w:cs="Arial"/>
                <w:bCs/>
                <w:color w:val="auto"/>
                <w:szCs w:val="21"/>
                <w:lang w:eastAsia="zh-CN"/>
              </w:rPr>
              <w:t>竞标</w:t>
            </w:r>
            <w:r>
              <w:rPr>
                <w:rFonts w:hint="eastAsia" w:ascii="宋体" w:hAnsi="宋体" w:cs="Arial"/>
                <w:bCs/>
                <w:color w:val="auto"/>
                <w:szCs w:val="21"/>
              </w:rPr>
              <w:t>车型必须为救护车。</w:t>
            </w:r>
          </w:p>
          <w:p w14:paraId="2AC920ED">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2、功能：主要用于运输和抢救病人。</w:t>
            </w:r>
          </w:p>
          <w:p w14:paraId="49BE1691">
            <w:pPr>
              <w:rPr>
                <w:rFonts w:hint="eastAsia" w:ascii="宋体" w:hAnsi="宋体" w:eastAsia="宋体"/>
                <w:color w:val="auto"/>
                <w:szCs w:val="21"/>
              </w:rPr>
            </w:pPr>
            <w:r>
              <w:rPr>
                <w:rFonts w:hint="eastAsia" w:ascii="宋体" w:hAnsi="宋体" w:eastAsia="宋体"/>
                <w:color w:val="auto"/>
                <w:szCs w:val="21"/>
              </w:rPr>
              <w:t>……</w:t>
            </w:r>
          </w:p>
        </w:tc>
      </w:tr>
    </w:tbl>
    <w:p w14:paraId="1583F6F5">
      <w:pPr>
        <w:pStyle w:val="10"/>
        <w:rPr>
          <w:rFonts w:ascii="宋体" w:hAnsi="宋体"/>
          <w:color w:val="auto"/>
          <w:szCs w:val="21"/>
        </w:rPr>
      </w:pPr>
    </w:p>
    <w:p w14:paraId="1FA4B85E">
      <w:pPr>
        <w:pStyle w:val="10"/>
        <w:ind w:firstLine="420" w:firstLineChars="200"/>
        <w:rPr>
          <w:rFonts w:hint="eastAsia" w:ascii="宋体" w:hAnsi="宋体" w:eastAsia="宋体"/>
          <w:color w:val="auto"/>
          <w:szCs w:val="21"/>
          <w:lang w:eastAsia="zh-CN"/>
        </w:rPr>
      </w:pPr>
      <w:r>
        <w:rPr>
          <w:rFonts w:hint="eastAsia" w:ascii="宋体" w:hAnsi="宋体"/>
          <w:color w:val="auto"/>
          <w:szCs w:val="21"/>
          <w:lang w:eastAsia="zh-CN"/>
        </w:rPr>
        <w:t>合同履约期限</w:t>
      </w:r>
      <w:r>
        <w:rPr>
          <w:rFonts w:hint="eastAsia" w:ascii="宋体" w:hAnsi="宋体"/>
          <w:color w:val="auto"/>
          <w:szCs w:val="21"/>
        </w:rPr>
        <w:t>：</w:t>
      </w:r>
      <w:r>
        <w:rPr>
          <w:rFonts w:hint="eastAsia" w:ascii="宋体" w:hAnsi="宋体"/>
          <w:color w:val="auto"/>
          <w:szCs w:val="21"/>
          <w:lang w:eastAsia="zh-CN"/>
        </w:rPr>
        <w:t>自签订合同之日起30天（日历天）内交货安装调试完毕。</w:t>
      </w:r>
    </w:p>
    <w:p w14:paraId="254A4E8E">
      <w:pPr>
        <w:spacing w:line="360" w:lineRule="auto"/>
        <w:ind w:firstLine="420" w:firstLineChars="200"/>
        <w:rPr>
          <w:rFonts w:ascii="宋体" w:hAnsi="宋体"/>
          <w:color w:val="auto"/>
          <w:szCs w:val="21"/>
        </w:rPr>
      </w:pPr>
      <w:r>
        <w:rPr>
          <w:rFonts w:hint="eastAsia" w:ascii="宋体" w:hAnsi="宋体"/>
          <w:color w:val="auto"/>
          <w:szCs w:val="21"/>
        </w:rPr>
        <w:t>本项目不接受联合体。</w:t>
      </w:r>
    </w:p>
    <w:p w14:paraId="789624F2">
      <w:pPr>
        <w:spacing w:line="360" w:lineRule="auto"/>
        <w:ind w:firstLine="361" w:firstLineChars="150"/>
        <w:rPr>
          <w:rFonts w:ascii="黑体" w:hAnsi="黑体" w:eastAsia="黑体"/>
          <w:b/>
          <w:bCs/>
          <w:color w:val="auto"/>
          <w:sz w:val="24"/>
        </w:rPr>
      </w:pPr>
      <w:r>
        <w:rPr>
          <w:rFonts w:hint="eastAsia" w:ascii="黑体" w:hAnsi="黑体" w:eastAsia="黑体"/>
          <w:b/>
          <w:bCs/>
          <w:color w:val="auto"/>
          <w:sz w:val="24"/>
        </w:rPr>
        <w:t>二、申请人的资格条件：</w:t>
      </w:r>
    </w:p>
    <w:p w14:paraId="0B55BE80">
      <w:pPr>
        <w:spacing w:line="360" w:lineRule="auto"/>
        <w:ind w:firstLine="420" w:firstLineChars="200"/>
        <w:rPr>
          <w:rFonts w:ascii="宋体" w:hAnsi="宋体" w:cs="宋体"/>
          <w:bCs/>
          <w:color w:val="auto"/>
          <w:kern w:val="0"/>
          <w:szCs w:val="21"/>
        </w:rPr>
      </w:pPr>
      <w:bookmarkStart w:id="9" w:name="_Hlk51746371"/>
      <w:r>
        <w:rPr>
          <w:rFonts w:hint="eastAsia" w:ascii="宋体" w:hAnsi="宋体" w:cs="宋体"/>
          <w:bCs/>
          <w:color w:val="auto"/>
          <w:kern w:val="0"/>
          <w:szCs w:val="21"/>
        </w:rPr>
        <w:t xml:space="preserve">1、满足《中华人民共和国政府采购法》第二十二条规定；                                                                    </w:t>
      </w:r>
    </w:p>
    <w:p w14:paraId="16649C34">
      <w:pPr>
        <w:spacing w:line="360" w:lineRule="auto"/>
        <w:ind w:firstLine="420" w:firstLineChars="200"/>
        <w:rPr>
          <w:rFonts w:hint="eastAsia" w:ascii="宋体" w:hAnsi="宋体" w:eastAsia="宋体" w:cs="Times New Roman"/>
          <w:color w:val="auto"/>
          <w:szCs w:val="21"/>
          <w:lang w:eastAsia="zh-CN"/>
        </w:rPr>
      </w:pPr>
      <w:r>
        <w:rPr>
          <w:rFonts w:hint="eastAsia" w:ascii="宋体" w:hAnsi="宋体" w:cs="宋体"/>
          <w:bCs/>
          <w:color w:val="auto"/>
          <w:kern w:val="0"/>
          <w:szCs w:val="21"/>
        </w:rPr>
        <w:t>2、落实政府采购政策需满足的资格要求：</w:t>
      </w:r>
      <w:r>
        <w:rPr>
          <w:rFonts w:hint="eastAsia" w:ascii="宋体" w:hAnsi="宋体" w:cs="宋体"/>
          <w:bCs/>
          <w:color w:val="auto"/>
          <w:kern w:val="0"/>
          <w:szCs w:val="21"/>
          <w:lang w:val="en-US" w:eastAsia="zh-CN"/>
        </w:rPr>
        <w:t>本项目专门面向中小企业</w:t>
      </w:r>
      <w:r>
        <w:rPr>
          <w:rFonts w:hint="eastAsia" w:ascii="宋体" w:hAnsi="宋体" w:cs="宋体"/>
          <w:color w:val="auto"/>
          <w:szCs w:val="21"/>
          <w:lang w:val="en-US" w:eastAsia="zh-CN"/>
        </w:rPr>
        <w:t>（</w:t>
      </w:r>
      <w:r>
        <w:rPr>
          <w:rFonts w:hint="eastAsia" w:ascii="宋体" w:hAnsi="宋体" w:eastAsia="宋体" w:cs="宋体"/>
          <w:color w:val="auto"/>
          <w:szCs w:val="21"/>
        </w:rPr>
        <w:t>货物制造商</w:t>
      </w:r>
      <w:r>
        <w:rPr>
          <w:rFonts w:hint="eastAsia" w:ascii="宋体" w:hAnsi="宋体" w:cs="宋体"/>
          <w:color w:val="auto"/>
          <w:szCs w:val="21"/>
          <w:lang w:val="en-US" w:eastAsia="zh-CN"/>
        </w:rPr>
        <w:t>应为中小微企业或监狱企业或残疾人福利性单位）</w:t>
      </w:r>
      <w:r>
        <w:rPr>
          <w:rFonts w:hint="eastAsia" w:ascii="宋体" w:hAnsi="宋体" w:eastAsia="宋体" w:cs="Times New Roman"/>
          <w:color w:val="auto"/>
          <w:szCs w:val="21"/>
          <w:lang w:eastAsia="zh-CN"/>
        </w:rPr>
        <w:t>；</w:t>
      </w:r>
    </w:p>
    <w:p w14:paraId="19EF798F">
      <w:pPr>
        <w:spacing w:line="360" w:lineRule="auto"/>
        <w:ind w:firstLine="420" w:firstLineChars="200"/>
        <w:rPr>
          <w:rFonts w:hint="eastAsia" w:ascii="宋体" w:hAnsi="宋体" w:cs="宋体"/>
          <w:bCs/>
          <w:color w:val="auto"/>
          <w:kern w:val="0"/>
          <w:szCs w:val="21"/>
        </w:rPr>
      </w:pPr>
      <w:r>
        <w:rPr>
          <w:rFonts w:hint="eastAsia" w:ascii="宋体" w:hAnsi="宋体" w:cs="宋体"/>
          <w:bCs/>
          <w:color w:val="auto"/>
          <w:kern w:val="0"/>
          <w:szCs w:val="21"/>
        </w:rPr>
        <w:t>3、本项目的特定资格要求：</w:t>
      </w:r>
      <w:bookmarkEnd w:id="9"/>
      <w:r>
        <w:rPr>
          <w:rFonts w:hint="eastAsia" w:ascii="宋体" w:hAnsi="宋体" w:cs="宋体"/>
          <w:bCs/>
          <w:color w:val="auto"/>
          <w:kern w:val="0"/>
          <w:szCs w:val="21"/>
          <w:lang w:val="en-US" w:eastAsia="zh-CN"/>
        </w:rPr>
        <w:t>无。</w:t>
      </w:r>
    </w:p>
    <w:p w14:paraId="7B36F370">
      <w:pPr>
        <w:spacing w:line="360" w:lineRule="auto"/>
        <w:ind w:firstLine="361" w:firstLineChars="150"/>
        <w:rPr>
          <w:rFonts w:ascii="黑体" w:hAnsi="黑体" w:eastAsia="黑体"/>
          <w:b/>
          <w:bCs/>
          <w:color w:val="auto"/>
          <w:sz w:val="24"/>
        </w:rPr>
      </w:pPr>
      <w:r>
        <w:rPr>
          <w:rFonts w:hint="eastAsia" w:ascii="黑体" w:hAnsi="黑体" w:eastAsia="黑体"/>
          <w:b/>
          <w:bCs/>
          <w:color w:val="auto"/>
          <w:sz w:val="24"/>
        </w:rPr>
        <w:t>三、获取竞争性谈判文件</w:t>
      </w:r>
    </w:p>
    <w:p w14:paraId="20036741">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时间：</w:t>
      </w:r>
      <w:r>
        <w:rPr>
          <w:rFonts w:hint="eastAsia" w:ascii="宋体" w:hAnsi="宋体" w:cs="Arial"/>
          <w:color w:val="auto"/>
          <w:lang w:eastAsia="zh-CN"/>
        </w:rPr>
        <w:t>2025年</w:t>
      </w:r>
      <w:r>
        <w:rPr>
          <w:rFonts w:hint="eastAsia" w:ascii="宋体" w:hAnsi="宋体" w:cs="Arial"/>
          <w:color w:val="auto"/>
          <w:lang w:val="en-US" w:eastAsia="zh-CN"/>
        </w:rPr>
        <w:t>12月9日</w:t>
      </w:r>
      <w:r>
        <w:rPr>
          <w:rFonts w:hint="eastAsia" w:ascii="宋体" w:hAnsi="宋体" w:cs="Arial"/>
          <w:color w:val="auto"/>
          <w:szCs w:val="21"/>
        </w:rPr>
        <w:t>至</w:t>
      </w:r>
      <w:r>
        <w:rPr>
          <w:rFonts w:hint="eastAsia" w:ascii="宋体" w:hAnsi="宋体" w:cs="Arial"/>
          <w:color w:val="auto"/>
          <w:lang w:eastAsia="zh-CN"/>
        </w:rPr>
        <w:t>2025年</w:t>
      </w:r>
      <w:r>
        <w:rPr>
          <w:rFonts w:hint="eastAsia" w:ascii="宋体" w:hAnsi="宋体" w:cs="Arial"/>
          <w:color w:val="auto"/>
          <w:lang w:val="en-US" w:eastAsia="zh-CN"/>
        </w:rPr>
        <w:t>12月12日</w:t>
      </w:r>
      <w:r>
        <w:rPr>
          <w:rFonts w:hint="eastAsia" w:ascii="宋体" w:hAnsi="宋体" w:cs="Arial"/>
          <w:color w:val="auto"/>
          <w:szCs w:val="21"/>
        </w:rPr>
        <w:t>，每天08:00-12:00；1</w:t>
      </w:r>
      <w:r>
        <w:rPr>
          <w:rFonts w:hint="eastAsia" w:ascii="宋体" w:hAnsi="宋体" w:cs="Arial"/>
          <w:color w:val="auto"/>
        </w:rPr>
        <w:t>5</w:t>
      </w:r>
      <w:r>
        <w:rPr>
          <w:rFonts w:hint="eastAsia" w:ascii="宋体" w:hAnsi="宋体" w:cs="Arial"/>
          <w:color w:val="auto"/>
          <w:szCs w:val="21"/>
        </w:rPr>
        <w:t>:</w:t>
      </w:r>
      <w:r>
        <w:rPr>
          <w:rFonts w:hint="eastAsia" w:ascii="宋体" w:hAnsi="宋体" w:cs="Arial"/>
          <w:color w:val="auto"/>
        </w:rPr>
        <w:t>00</w:t>
      </w:r>
      <w:r>
        <w:rPr>
          <w:rFonts w:hint="eastAsia" w:ascii="宋体" w:hAnsi="宋体" w:cs="Arial"/>
          <w:color w:val="auto"/>
          <w:szCs w:val="21"/>
        </w:rPr>
        <w:t>-18:</w:t>
      </w:r>
      <w:r>
        <w:rPr>
          <w:rFonts w:hint="eastAsia" w:ascii="宋体" w:hAnsi="宋体" w:cs="Arial"/>
          <w:color w:val="auto"/>
        </w:rPr>
        <w:t>00</w:t>
      </w:r>
      <w:r>
        <w:rPr>
          <w:rFonts w:hint="eastAsia" w:ascii="宋体" w:hAnsi="宋体" w:cs="Arial"/>
          <w:color w:val="auto"/>
          <w:szCs w:val="21"/>
        </w:rPr>
        <w:t>（北京时间，</w:t>
      </w:r>
      <w:r>
        <w:rPr>
          <w:rFonts w:ascii="宋体" w:hAnsi="宋体" w:cs="Arial"/>
          <w:color w:val="auto"/>
          <w:szCs w:val="21"/>
        </w:rPr>
        <w:t>法定节假日</w:t>
      </w:r>
      <w:r>
        <w:rPr>
          <w:rFonts w:hint="eastAsia" w:ascii="宋体" w:hAnsi="宋体" w:cs="Arial"/>
          <w:color w:val="auto"/>
          <w:szCs w:val="21"/>
        </w:rPr>
        <w:t>除外）。</w:t>
      </w:r>
    </w:p>
    <w:p w14:paraId="3268B471">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地点：</w:t>
      </w:r>
      <w:r>
        <w:rPr>
          <w:rFonts w:hint="eastAsia" w:ascii="宋体" w:hAnsi="宋体"/>
          <w:color w:val="auto"/>
          <w:szCs w:val="21"/>
          <w:lang w:eastAsia="zh-CN"/>
        </w:rPr>
        <w:t>广西政府采购云平台</w:t>
      </w:r>
      <w:r>
        <w:rPr>
          <w:rFonts w:hint="eastAsia" w:ascii="宋体" w:hAnsi="宋体"/>
          <w:color w:val="auto"/>
          <w:szCs w:val="21"/>
        </w:rPr>
        <w:t>（https://</w:t>
      </w:r>
      <w:r>
        <w:rPr>
          <w:rFonts w:hint="eastAsia" w:ascii="宋体" w:hAnsi="宋体"/>
          <w:color w:val="auto"/>
          <w:szCs w:val="21"/>
          <w:lang w:val="en-US" w:eastAsia="zh-CN"/>
        </w:rPr>
        <w:t>www</w:t>
      </w:r>
      <w:r>
        <w:rPr>
          <w:rFonts w:hint="eastAsia" w:ascii="宋体" w:hAnsi="宋体"/>
          <w:color w:val="auto"/>
          <w:szCs w:val="21"/>
        </w:rPr>
        <w:t>.gcy.zfcg.gxzf.gov.cn/）</w:t>
      </w:r>
      <w:r>
        <w:rPr>
          <w:rFonts w:hint="eastAsia" w:ascii="宋体" w:hAnsi="宋体" w:cs="宋体"/>
          <w:bCs/>
          <w:color w:val="auto"/>
          <w:kern w:val="0"/>
          <w:szCs w:val="21"/>
        </w:rPr>
        <w:t>。</w:t>
      </w:r>
    </w:p>
    <w:p w14:paraId="094CC778">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方式：网上下载。本项目不发放纸质文件，供应商应自行在</w:t>
      </w:r>
      <w:r>
        <w:rPr>
          <w:rFonts w:hint="eastAsia" w:ascii="宋体" w:hAnsi="宋体"/>
          <w:color w:val="auto"/>
          <w:szCs w:val="21"/>
          <w:lang w:eastAsia="zh-CN"/>
        </w:rPr>
        <w:t>广西政府采购云平台</w:t>
      </w:r>
      <w:r>
        <w:rPr>
          <w:rFonts w:hint="eastAsia" w:ascii="宋体" w:hAnsi="宋体"/>
          <w:color w:val="auto"/>
          <w:szCs w:val="21"/>
        </w:rPr>
        <w:t>（https://</w:t>
      </w:r>
      <w:r>
        <w:rPr>
          <w:rFonts w:hint="eastAsia" w:ascii="宋体" w:hAnsi="宋体"/>
          <w:color w:val="auto"/>
          <w:szCs w:val="21"/>
          <w:lang w:val="en-US" w:eastAsia="zh-CN"/>
        </w:rPr>
        <w:t>www</w:t>
      </w:r>
      <w:r>
        <w:rPr>
          <w:rFonts w:hint="eastAsia" w:ascii="宋体" w:hAnsi="宋体"/>
          <w:color w:val="auto"/>
          <w:szCs w:val="21"/>
        </w:rPr>
        <w:t>.gcy.zfcg.gxzf.gov.cn/）</w:t>
      </w:r>
      <w:r>
        <w:rPr>
          <w:rFonts w:hint="eastAsia" w:ascii="宋体" w:hAnsi="宋体" w:cs="宋体"/>
          <w:bCs/>
          <w:color w:val="auto"/>
          <w:kern w:val="0"/>
          <w:szCs w:val="21"/>
        </w:rPr>
        <w:t>下载竞争性谈判文件（操作路径：登录</w:t>
      </w:r>
      <w:r>
        <w:rPr>
          <w:rFonts w:hint="eastAsia" w:ascii="宋体" w:hAnsi="宋体"/>
          <w:color w:val="auto"/>
          <w:szCs w:val="21"/>
          <w:lang w:eastAsia="zh-CN"/>
        </w:rPr>
        <w:t>广西政府采购云平台</w:t>
      </w:r>
      <w:r>
        <w:rPr>
          <w:rFonts w:hint="eastAsia" w:ascii="宋体" w:hAnsi="宋体" w:cs="宋体"/>
          <w:bCs/>
          <w:color w:val="auto"/>
          <w:kern w:val="0"/>
          <w:szCs w:val="21"/>
        </w:rPr>
        <w:t>-项目采购-获取采购文件-找到本项目-点击“申请获取采购文件”），电子响应文件制作需要基于</w:t>
      </w:r>
      <w:r>
        <w:rPr>
          <w:rFonts w:hint="eastAsia" w:ascii="宋体" w:hAnsi="宋体"/>
          <w:color w:val="auto"/>
          <w:szCs w:val="21"/>
          <w:lang w:eastAsia="zh-CN"/>
        </w:rPr>
        <w:t>广西政府采购云平台</w:t>
      </w:r>
      <w:r>
        <w:rPr>
          <w:rFonts w:hint="eastAsia" w:ascii="宋体" w:hAnsi="宋体" w:cs="宋体"/>
          <w:bCs/>
          <w:color w:val="auto"/>
          <w:kern w:val="0"/>
          <w:szCs w:val="21"/>
        </w:rPr>
        <w:t>获取的竞争性谈判文件编制。</w:t>
      </w:r>
    </w:p>
    <w:p w14:paraId="63A4984A">
      <w:pPr>
        <w:spacing w:line="360" w:lineRule="auto"/>
        <w:ind w:firstLine="420" w:firstLineChars="200"/>
        <w:rPr>
          <w:rFonts w:ascii="宋体" w:hAnsi="宋体" w:cs="宋体"/>
          <w:color w:val="auto"/>
          <w:szCs w:val="21"/>
        </w:rPr>
      </w:pPr>
      <w:r>
        <w:rPr>
          <w:rFonts w:hint="eastAsia" w:ascii="宋体" w:hAnsi="宋体" w:cs="宋体"/>
          <w:bCs/>
          <w:color w:val="auto"/>
          <w:kern w:val="0"/>
          <w:szCs w:val="21"/>
        </w:rPr>
        <w:t>售价：0</w:t>
      </w:r>
      <w:r>
        <w:rPr>
          <w:rFonts w:hint="eastAsia" w:ascii="宋体" w:hAnsi="宋体" w:cs="宋体"/>
          <w:bCs/>
          <w:color w:val="auto"/>
          <w:kern w:val="0"/>
          <w:szCs w:val="21"/>
          <w:lang w:val="en-US" w:eastAsia="zh-CN"/>
        </w:rPr>
        <w:t>.00</w:t>
      </w:r>
      <w:r>
        <w:rPr>
          <w:rFonts w:hint="eastAsia" w:ascii="宋体" w:hAnsi="宋体" w:cs="宋体"/>
          <w:bCs/>
          <w:color w:val="auto"/>
          <w:kern w:val="0"/>
          <w:szCs w:val="21"/>
        </w:rPr>
        <w:t>元。</w:t>
      </w:r>
    </w:p>
    <w:p w14:paraId="52D7FC0C">
      <w:pPr>
        <w:spacing w:line="360" w:lineRule="auto"/>
        <w:ind w:firstLine="361" w:firstLineChars="150"/>
        <w:rPr>
          <w:rFonts w:ascii="黑体" w:hAnsi="黑体" w:eastAsia="黑体"/>
          <w:b/>
          <w:bCs/>
          <w:color w:val="auto"/>
          <w:sz w:val="24"/>
        </w:rPr>
      </w:pPr>
      <w:r>
        <w:rPr>
          <w:rFonts w:hint="eastAsia" w:ascii="黑体" w:hAnsi="黑体" w:eastAsia="黑体"/>
          <w:b/>
          <w:bCs/>
          <w:color w:val="auto"/>
          <w:sz w:val="24"/>
        </w:rPr>
        <w:t>四、响应文件提交</w:t>
      </w:r>
    </w:p>
    <w:p w14:paraId="3218BEA2">
      <w:pPr>
        <w:spacing w:line="360" w:lineRule="auto"/>
        <w:ind w:left="422"/>
        <w:rPr>
          <w:rFonts w:ascii="宋体" w:hAnsi="宋体"/>
          <w:bCs/>
          <w:color w:val="auto"/>
          <w:szCs w:val="21"/>
          <w:u w:val="single"/>
        </w:rPr>
      </w:pPr>
      <w:r>
        <w:rPr>
          <w:rFonts w:hint="eastAsia" w:ascii="宋体" w:hAnsi="宋体" w:cs="宋体"/>
          <w:color w:val="auto"/>
          <w:szCs w:val="21"/>
        </w:rPr>
        <w:t>1、首次响应文件提交截止时间</w:t>
      </w:r>
      <w:r>
        <w:rPr>
          <w:rFonts w:hint="eastAsia" w:ascii="宋体" w:hAnsi="宋体"/>
          <w:color w:val="auto"/>
          <w:szCs w:val="21"/>
        </w:rPr>
        <w:t>：</w:t>
      </w:r>
      <w:r>
        <w:rPr>
          <w:rFonts w:hint="eastAsia" w:ascii="宋体" w:hAnsi="宋体"/>
          <w:color w:val="auto"/>
          <w:szCs w:val="21"/>
          <w:lang w:eastAsia="zh-CN"/>
        </w:rPr>
        <w:t>2025年12月15日</w:t>
      </w:r>
      <w:r>
        <w:rPr>
          <w:rFonts w:hint="eastAsia" w:ascii="宋体" w:hAnsi="宋体"/>
          <w:color w:val="auto"/>
          <w:szCs w:val="21"/>
          <w:lang w:val="en-US" w:eastAsia="zh-CN"/>
        </w:rPr>
        <w:t>9时00分</w:t>
      </w:r>
      <w:r>
        <w:rPr>
          <w:rFonts w:hint="eastAsia" w:ascii="宋体" w:hAnsi="宋体"/>
          <w:color w:val="auto"/>
          <w:szCs w:val="21"/>
        </w:rPr>
        <w:t>（北京时间）</w:t>
      </w:r>
    </w:p>
    <w:p w14:paraId="737A3673">
      <w:pPr>
        <w:spacing w:line="360" w:lineRule="auto"/>
        <w:ind w:left="422"/>
        <w:rPr>
          <w:rFonts w:ascii="宋体" w:hAnsi="宋体"/>
          <w:color w:val="auto"/>
          <w:szCs w:val="21"/>
        </w:rPr>
      </w:pPr>
      <w:r>
        <w:rPr>
          <w:rFonts w:hint="eastAsia" w:ascii="宋体" w:hAnsi="宋体"/>
          <w:color w:val="auto"/>
          <w:szCs w:val="21"/>
        </w:rPr>
        <w:t>2、地点：</w:t>
      </w:r>
      <w:r>
        <w:rPr>
          <w:rFonts w:hint="eastAsia" w:ascii="宋体" w:hAnsi="宋体" w:cs="宋体"/>
          <w:color w:val="auto"/>
          <w:szCs w:val="21"/>
          <w:lang w:bidi="ar"/>
        </w:rPr>
        <w:t>通过</w:t>
      </w:r>
      <w:r>
        <w:rPr>
          <w:rFonts w:hint="eastAsia" w:ascii="宋体" w:hAnsi="宋体" w:cs="宋体"/>
          <w:color w:val="auto"/>
          <w:szCs w:val="21"/>
          <w:lang w:eastAsia="zh-CN" w:bidi="ar"/>
        </w:rPr>
        <w:t>广西政府采购云平台</w:t>
      </w:r>
      <w:r>
        <w:rPr>
          <w:rFonts w:hint="eastAsia" w:ascii="宋体" w:hAnsi="宋体" w:cs="宋体"/>
          <w:color w:val="auto"/>
          <w:szCs w:val="21"/>
          <w:lang w:bidi="ar"/>
        </w:rPr>
        <w:t>在线提交。</w:t>
      </w:r>
    </w:p>
    <w:p w14:paraId="402CD0FA">
      <w:pPr>
        <w:spacing w:line="360" w:lineRule="auto"/>
        <w:ind w:firstLine="361" w:firstLineChars="150"/>
        <w:rPr>
          <w:rFonts w:ascii="黑体" w:hAnsi="黑体" w:eastAsia="黑体"/>
          <w:b/>
          <w:bCs/>
          <w:color w:val="auto"/>
          <w:sz w:val="24"/>
        </w:rPr>
      </w:pPr>
      <w:r>
        <w:rPr>
          <w:rFonts w:hint="eastAsia" w:ascii="黑体" w:hAnsi="黑体" w:eastAsia="黑体"/>
          <w:b/>
          <w:bCs/>
          <w:color w:val="auto"/>
          <w:sz w:val="24"/>
        </w:rPr>
        <w:t>五、开启</w:t>
      </w:r>
    </w:p>
    <w:p w14:paraId="268A53BE">
      <w:pPr>
        <w:spacing w:line="360" w:lineRule="auto"/>
        <w:ind w:firstLine="420" w:firstLineChars="200"/>
        <w:rPr>
          <w:rFonts w:ascii="宋体" w:hAnsi="宋体"/>
          <w:bCs/>
          <w:color w:val="auto"/>
          <w:szCs w:val="21"/>
          <w:u w:val="single"/>
        </w:rPr>
      </w:pPr>
      <w:r>
        <w:rPr>
          <w:rFonts w:hint="eastAsia" w:ascii="宋体" w:hAnsi="宋体"/>
          <w:color w:val="auto"/>
          <w:szCs w:val="21"/>
        </w:rPr>
        <w:t>1、首次响应文件开启时间：</w:t>
      </w:r>
      <w:r>
        <w:rPr>
          <w:rFonts w:hint="eastAsia" w:ascii="宋体" w:hAnsi="宋体" w:cs="宋体"/>
          <w:bCs/>
          <w:color w:val="auto"/>
          <w:kern w:val="0"/>
          <w:szCs w:val="21"/>
          <w:lang w:eastAsia="zh-CN"/>
        </w:rPr>
        <w:t>2025年12月15日</w:t>
      </w:r>
      <w:r>
        <w:rPr>
          <w:rFonts w:hint="eastAsia" w:ascii="宋体" w:hAnsi="宋体" w:cs="宋体"/>
          <w:bCs/>
          <w:color w:val="auto"/>
          <w:kern w:val="0"/>
          <w:szCs w:val="21"/>
          <w:lang w:val="en-US" w:eastAsia="zh-CN"/>
        </w:rPr>
        <w:t>9时00分</w:t>
      </w:r>
      <w:r>
        <w:rPr>
          <w:rFonts w:hint="eastAsia" w:ascii="宋体" w:hAnsi="宋体" w:cs="宋体"/>
          <w:bCs/>
          <w:color w:val="auto"/>
          <w:kern w:val="0"/>
          <w:szCs w:val="21"/>
        </w:rPr>
        <w:t>（北京时间）</w:t>
      </w:r>
    </w:p>
    <w:p w14:paraId="75B28973">
      <w:pPr>
        <w:spacing w:line="360" w:lineRule="auto"/>
        <w:ind w:firstLine="420" w:firstLineChars="200"/>
        <w:rPr>
          <w:rFonts w:ascii="宋体" w:hAnsi="宋体"/>
          <w:color w:val="auto"/>
          <w:szCs w:val="21"/>
        </w:rPr>
      </w:pPr>
      <w:r>
        <w:rPr>
          <w:rFonts w:hint="eastAsia" w:ascii="宋体" w:hAnsi="宋体"/>
          <w:color w:val="auto"/>
          <w:szCs w:val="21"/>
        </w:rPr>
        <w:t>2、地点：</w:t>
      </w:r>
      <w:r>
        <w:rPr>
          <w:rFonts w:hint="eastAsia" w:ascii="宋体" w:hAnsi="宋体" w:cs="宋体"/>
          <w:color w:val="auto"/>
          <w:szCs w:val="21"/>
          <w:lang w:bidi="ar"/>
        </w:rPr>
        <w:t>本项目将在</w:t>
      </w:r>
      <w:r>
        <w:rPr>
          <w:rFonts w:hint="eastAsia" w:ascii="宋体" w:hAnsi="宋体"/>
          <w:color w:val="auto"/>
          <w:szCs w:val="21"/>
          <w:lang w:eastAsia="zh-CN"/>
        </w:rPr>
        <w:t>广西政府采购云平台</w:t>
      </w:r>
      <w:r>
        <w:rPr>
          <w:rFonts w:hint="eastAsia" w:ascii="宋体" w:hAnsi="宋体" w:cs="宋体"/>
          <w:color w:val="auto"/>
          <w:szCs w:val="21"/>
          <w:lang w:bidi="ar"/>
        </w:rPr>
        <w:t>电子开标大厅解密、开启。</w:t>
      </w:r>
    </w:p>
    <w:p w14:paraId="5CE98A2A">
      <w:pPr>
        <w:spacing w:line="360" w:lineRule="auto"/>
        <w:ind w:firstLine="361" w:firstLineChars="150"/>
        <w:rPr>
          <w:rFonts w:ascii="黑体" w:hAnsi="黑体" w:eastAsia="黑体"/>
          <w:b/>
          <w:bCs/>
          <w:color w:val="auto"/>
          <w:sz w:val="24"/>
        </w:rPr>
      </w:pPr>
      <w:r>
        <w:rPr>
          <w:rFonts w:hint="eastAsia" w:ascii="黑体" w:hAnsi="黑体" w:eastAsia="黑体"/>
          <w:b/>
          <w:bCs/>
          <w:color w:val="auto"/>
          <w:sz w:val="24"/>
        </w:rPr>
        <w:t>六、公告期限</w:t>
      </w:r>
    </w:p>
    <w:p w14:paraId="15A41E28">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自本公告发布之日起3个工作日。</w:t>
      </w:r>
    </w:p>
    <w:p w14:paraId="66F90333">
      <w:pPr>
        <w:spacing w:line="360" w:lineRule="auto"/>
        <w:ind w:firstLine="361" w:firstLineChars="150"/>
        <w:rPr>
          <w:rFonts w:ascii="黑体" w:hAnsi="黑体" w:eastAsia="黑体"/>
          <w:b/>
          <w:bCs/>
          <w:color w:val="auto"/>
          <w:sz w:val="24"/>
        </w:rPr>
      </w:pPr>
      <w:r>
        <w:rPr>
          <w:rFonts w:hint="eastAsia" w:ascii="黑体" w:hAnsi="黑体" w:eastAsia="黑体"/>
          <w:b/>
          <w:bCs/>
          <w:color w:val="auto"/>
          <w:sz w:val="24"/>
        </w:rPr>
        <w:t>七、其他补充事宜</w:t>
      </w:r>
    </w:p>
    <w:p w14:paraId="253B5241">
      <w:pPr>
        <w:widowControl/>
        <w:spacing w:line="360" w:lineRule="auto"/>
        <w:ind w:firstLine="420" w:firstLineChars="200"/>
        <w:rPr>
          <w:rFonts w:ascii="宋体" w:hAnsi="宋体" w:cs="宋体"/>
          <w:color w:val="auto"/>
          <w:szCs w:val="21"/>
          <w:lang w:bidi="ar"/>
        </w:rPr>
      </w:pPr>
      <w:r>
        <w:rPr>
          <w:rFonts w:hint="eastAsia" w:ascii="宋体" w:hAnsi="宋体" w:cs="宋体"/>
          <w:color w:val="auto"/>
          <w:szCs w:val="21"/>
          <w:lang w:bidi="ar"/>
        </w:rPr>
        <w:t>1、竞标保证金（人民币）：</w:t>
      </w:r>
      <w:r>
        <w:rPr>
          <w:rFonts w:hint="eastAsia" w:ascii="宋体" w:hAnsi="宋体" w:cs="宋体"/>
          <w:color w:val="auto"/>
          <w:szCs w:val="21"/>
          <w:lang w:val="en-US" w:eastAsia="zh-CN" w:bidi="ar"/>
        </w:rPr>
        <w:t>15000.00元。</w:t>
      </w:r>
    </w:p>
    <w:p w14:paraId="7EBF1454">
      <w:pPr>
        <w:widowControl/>
        <w:spacing w:line="360" w:lineRule="auto"/>
        <w:ind w:firstLine="420" w:firstLineChars="200"/>
        <w:rPr>
          <w:rFonts w:ascii="宋体" w:hAnsi="宋体" w:cs="宋体"/>
          <w:color w:val="auto"/>
          <w:szCs w:val="21"/>
          <w:lang w:bidi="ar"/>
        </w:rPr>
      </w:pPr>
      <w:r>
        <w:rPr>
          <w:rFonts w:hint="eastAsia" w:ascii="宋体" w:hAnsi="宋体" w:cs="宋体"/>
          <w:color w:val="auto"/>
          <w:szCs w:val="21"/>
          <w:lang w:bidi="ar"/>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8528F8D">
      <w:pPr>
        <w:widowControl/>
        <w:spacing w:line="360" w:lineRule="auto"/>
        <w:ind w:firstLine="420" w:firstLineChars="200"/>
        <w:rPr>
          <w:rFonts w:ascii="宋体" w:hAnsi="宋体" w:cs="宋体"/>
          <w:color w:val="auto"/>
          <w:szCs w:val="21"/>
          <w:lang w:bidi="ar"/>
        </w:rPr>
      </w:pPr>
      <w:r>
        <w:rPr>
          <w:rFonts w:hint="eastAsia" w:ascii="宋体" w:hAnsi="宋体" w:cs="宋体"/>
          <w:color w:val="auto"/>
          <w:szCs w:val="21"/>
          <w:lang w:bidi="ar"/>
        </w:rPr>
        <w:t>3、根据财政部《关于在政府采购活动中查询及使用信用记录有关问题的通知》（财库〔2016〕125号）的规定，对在“信用中国”网站(www.creditchina.gov.cn)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D937533">
      <w:pPr>
        <w:widowControl/>
        <w:spacing w:line="360" w:lineRule="auto"/>
        <w:ind w:firstLine="420" w:firstLineChars="200"/>
        <w:rPr>
          <w:rFonts w:ascii="宋体" w:hAnsi="宋体" w:cs="宋体"/>
          <w:color w:val="auto"/>
          <w:szCs w:val="21"/>
          <w:lang w:bidi="ar"/>
        </w:rPr>
      </w:pPr>
      <w:r>
        <w:rPr>
          <w:rFonts w:hint="eastAsia" w:ascii="宋体" w:hAnsi="宋体" w:cs="宋体"/>
          <w:color w:val="auto"/>
          <w:szCs w:val="21"/>
          <w:lang w:bidi="ar"/>
        </w:rPr>
        <w:t>4、网上查询地址：中国政府采购网（www.ccgp.gov.cn）、</w:t>
      </w:r>
      <w:r>
        <w:rPr>
          <w:rFonts w:hint="eastAsia" w:ascii="宋体" w:hAnsi="宋体" w:cs="宋体"/>
          <w:color w:val="auto"/>
          <w:szCs w:val="21"/>
          <w:lang w:eastAsia="zh-CN" w:bidi="ar"/>
        </w:rPr>
        <w:t>广西壮族自治区政府采购网</w:t>
      </w:r>
      <w:r>
        <w:rPr>
          <w:rFonts w:hint="eastAsia" w:ascii="宋体" w:hAnsi="宋体" w:cs="宋体"/>
          <w:color w:val="auto"/>
          <w:szCs w:val="21"/>
          <w:lang w:bidi="ar"/>
        </w:rPr>
        <w:t>（zfcg.gxzf.gov.cn）</w:t>
      </w:r>
      <w:r>
        <w:rPr>
          <w:rFonts w:hint="eastAsia" w:ascii="宋体" w:hAnsi="宋体" w:cs="宋体"/>
          <w:color w:val="auto"/>
          <w:szCs w:val="21"/>
          <w:lang w:eastAsia="zh-CN" w:bidi="ar"/>
        </w:rPr>
        <w:t>、全国</w:t>
      </w:r>
      <w:r>
        <w:rPr>
          <w:rFonts w:hint="eastAsia" w:ascii="宋体" w:hAnsi="宋体" w:cs="宋体"/>
          <w:color w:val="auto"/>
          <w:szCs w:val="21"/>
          <w:lang w:val="en-US" w:eastAsia="zh-CN" w:bidi="ar"/>
        </w:rPr>
        <w:t>公共资源交易平台（广西·博白）（ggzy.jgswj.gxzf.gov.cn）</w:t>
      </w:r>
      <w:r>
        <w:rPr>
          <w:rFonts w:hint="eastAsia" w:ascii="宋体" w:hAnsi="宋体" w:eastAsia="宋体" w:cs="宋体"/>
          <w:color w:val="auto"/>
          <w:szCs w:val="21"/>
          <w:lang w:bidi="ar"/>
        </w:rPr>
        <w:t>。</w:t>
      </w:r>
    </w:p>
    <w:p w14:paraId="39F4FA17">
      <w:pPr>
        <w:widowControl/>
        <w:spacing w:line="360" w:lineRule="auto"/>
        <w:ind w:firstLine="420" w:firstLineChars="200"/>
        <w:rPr>
          <w:rFonts w:ascii="宋体" w:hAnsi="宋体" w:cs="宋体"/>
          <w:color w:val="auto"/>
          <w:szCs w:val="21"/>
          <w:lang w:bidi="ar"/>
        </w:rPr>
      </w:pPr>
      <w:r>
        <w:rPr>
          <w:rFonts w:hint="eastAsia" w:ascii="宋体" w:hAnsi="宋体" w:cs="宋体"/>
          <w:color w:val="auto"/>
          <w:szCs w:val="21"/>
          <w:lang w:bidi="ar"/>
        </w:rPr>
        <w:t>5、本项目需要落实的政府采购政策：</w:t>
      </w:r>
    </w:p>
    <w:p w14:paraId="602BCC2C">
      <w:pPr>
        <w:widowControl/>
        <w:spacing w:line="360" w:lineRule="auto"/>
        <w:ind w:firstLine="420" w:firstLineChars="200"/>
        <w:rPr>
          <w:rFonts w:ascii="宋体" w:hAnsi="宋体" w:cs="宋体"/>
          <w:color w:val="auto"/>
          <w:szCs w:val="21"/>
          <w:lang w:bidi="ar"/>
        </w:rPr>
      </w:pPr>
      <w:r>
        <w:rPr>
          <w:rFonts w:hint="eastAsia" w:ascii="宋体" w:hAnsi="宋体" w:cs="宋体"/>
          <w:color w:val="auto"/>
          <w:szCs w:val="21"/>
          <w:lang w:bidi="ar"/>
        </w:rPr>
        <w:t>（1）政府采购促进中小企业发展。</w:t>
      </w:r>
    </w:p>
    <w:p w14:paraId="219FBF9A">
      <w:pPr>
        <w:widowControl/>
        <w:spacing w:line="360" w:lineRule="auto"/>
        <w:ind w:firstLine="420" w:firstLineChars="200"/>
        <w:rPr>
          <w:rFonts w:ascii="宋体" w:hAnsi="宋体" w:cs="宋体"/>
          <w:color w:val="auto"/>
          <w:szCs w:val="21"/>
          <w:lang w:bidi="ar"/>
        </w:rPr>
      </w:pPr>
      <w:r>
        <w:rPr>
          <w:rFonts w:hint="eastAsia" w:ascii="宋体" w:hAnsi="宋体" w:cs="宋体"/>
          <w:color w:val="auto"/>
          <w:szCs w:val="21"/>
          <w:lang w:bidi="ar"/>
        </w:rPr>
        <w:t>（2）政府采购支持采用本国产品的政策。</w:t>
      </w:r>
    </w:p>
    <w:p w14:paraId="0A195830">
      <w:pPr>
        <w:widowControl/>
        <w:spacing w:line="360" w:lineRule="auto"/>
        <w:ind w:firstLine="420" w:firstLineChars="200"/>
        <w:rPr>
          <w:rFonts w:ascii="宋体" w:hAnsi="宋体" w:cs="宋体"/>
          <w:color w:val="auto"/>
          <w:szCs w:val="21"/>
          <w:lang w:bidi="ar"/>
        </w:rPr>
      </w:pPr>
      <w:r>
        <w:rPr>
          <w:rFonts w:hint="eastAsia" w:ascii="宋体" w:hAnsi="宋体" w:cs="宋体"/>
          <w:color w:val="auto"/>
          <w:szCs w:val="21"/>
          <w:lang w:bidi="ar"/>
        </w:rPr>
        <w:t>（3）强制采购节能产品；优先采购节能产品、环境标志产品。</w:t>
      </w:r>
    </w:p>
    <w:p w14:paraId="68A8DC2F">
      <w:pPr>
        <w:widowControl/>
        <w:spacing w:line="360" w:lineRule="auto"/>
        <w:ind w:firstLine="420" w:firstLineChars="200"/>
        <w:rPr>
          <w:rFonts w:ascii="宋体" w:hAnsi="宋体" w:cs="宋体"/>
          <w:color w:val="auto"/>
          <w:szCs w:val="21"/>
          <w:lang w:bidi="ar"/>
        </w:rPr>
      </w:pPr>
      <w:r>
        <w:rPr>
          <w:rFonts w:hint="eastAsia" w:ascii="宋体" w:hAnsi="宋体" w:cs="宋体"/>
          <w:color w:val="auto"/>
          <w:szCs w:val="21"/>
          <w:lang w:bidi="ar"/>
        </w:rPr>
        <w:t>（4）政府采购促进残疾人就业政策。</w:t>
      </w:r>
    </w:p>
    <w:p w14:paraId="3EADF4BC">
      <w:pPr>
        <w:widowControl/>
        <w:spacing w:line="360" w:lineRule="auto"/>
        <w:ind w:firstLine="420" w:firstLineChars="200"/>
        <w:rPr>
          <w:rFonts w:ascii="宋体" w:hAnsi="宋体" w:cs="宋体"/>
          <w:color w:val="auto"/>
          <w:szCs w:val="21"/>
          <w:lang w:bidi="ar"/>
        </w:rPr>
      </w:pPr>
      <w:r>
        <w:rPr>
          <w:rFonts w:hint="eastAsia" w:ascii="宋体" w:hAnsi="宋体" w:cs="宋体"/>
          <w:color w:val="auto"/>
          <w:szCs w:val="21"/>
          <w:lang w:bidi="ar"/>
        </w:rPr>
        <w:t>（5）政府采购支持监狱企业发展。</w:t>
      </w:r>
    </w:p>
    <w:p w14:paraId="070F94B2">
      <w:pPr>
        <w:widowControl/>
        <w:spacing w:line="360" w:lineRule="auto"/>
        <w:ind w:firstLine="420" w:firstLineChars="200"/>
        <w:rPr>
          <w:rFonts w:ascii="宋体" w:hAnsi="宋体" w:cs="宋体"/>
          <w:color w:val="auto"/>
          <w:szCs w:val="21"/>
          <w:lang w:bidi="ar"/>
        </w:rPr>
      </w:pPr>
      <w:r>
        <w:rPr>
          <w:rFonts w:hint="eastAsia" w:ascii="宋体" w:hAnsi="宋体" w:cs="宋体"/>
          <w:color w:val="auto"/>
          <w:szCs w:val="21"/>
          <w:lang w:bidi="ar"/>
        </w:rPr>
        <w:t>6、谈判注意事项：</w:t>
      </w:r>
    </w:p>
    <w:p w14:paraId="4C95B66B">
      <w:pPr>
        <w:widowControl/>
        <w:spacing w:line="360" w:lineRule="auto"/>
        <w:ind w:firstLine="420" w:firstLineChars="200"/>
        <w:rPr>
          <w:rFonts w:ascii="宋体" w:hAnsi="宋体" w:cs="宋体"/>
          <w:bCs/>
          <w:color w:val="auto"/>
          <w:szCs w:val="21"/>
        </w:rPr>
      </w:pPr>
      <w:r>
        <w:rPr>
          <w:rFonts w:hint="eastAsia" w:ascii="宋体" w:hAnsi="宋体" w:cs="宋体"/>
          <w:color w:val="auto"/>
          <w:szCs w:val="21"/>
          <w:lang w:bidi="ar"/>
        </w:rPr>
        <w:t>（1）</w:t>
      </w:r>
      <w:r>
        <w:rPr>
          <w:rFonts w:hint="eastAsia" w:ascii="宋体" w:hAnsi="宋体" w:cs="宋体"/>
          <w:color w:val="auto"/>
          <w:szCs w:val="21"/>
        </w:rPr>
        <w:t>响应文件</w:t>
      </w:r>
      <w:r>
        <w:rPr>
          <w:rFonts w:hint="eastAsia" w:ascii="宋体" w:hAnsi="宋体" w:cs="宋体"/>
          <w:color w:val="auto"/>
          <w:szCs w:val="21"/>
          <w:lang w:bidi="ar"/>
        </w:rPr>
        <w:t>提交方式：本项目为全流程电子化政府采购项目，通过</w:t>
      </w:r>
      <w:r>
        <w:rPr>
          <w:rFonts w:hint="eastAsia" w:ascii="宋体" w:hAnsi="宋体" w:cs="宋体"/>
          <w:color w:val="auto"/>
          <w:szCs w:val="21"/>
          <w:highlight w:val="none"/>
          <w:lang w:eastAsia="zh-CN" w:bidi="ar"/>
        </w:rPr>
        <w:t>广西政府采购云平台（https://www.gcy.zfcg.gxzf.gov.cn/）</w:t>
      </w:r>
      <w:r>
        <w:rPr>
          <w:rFonts w:hint="eastAsia" w:ascii="宋体" w:hAnsi="宋体" w:cs="宋体"/>
          <w:color w:val="auto"/>
          <w:szCs w:val="21"/>
          <w:lang w:bidi="ar"/>
        </w:rPr>
        <w:t>实行在线电子竞标，供应商应先安装“</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电子交易客户端</w:t>
      </w:r>
      <w:r>
        <w:rPr>
          <w:rFonts w:hint="eastAsia" w:ascii="宋体" w:hAnsi="宋体" w:cs="宋体"/>
          <w:color w:val="auto"/>
          <w:szCs w:val="21"/>
          <w:lang w:bidi="ar"/>
        </w:rPr>
        <w:t>”（请自行前往</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电子交易客户端</w:t>
      </w:r>
      <w:r>
        <w:rPr>
          <w:rFonts w:hint="eastAsia" w:ascii="宋体" w:hAnsi="宋体" w:cs="宋体"/>
          <w:color w:val="auto"/>
          <w:szCs w:val="21"/>
          <w:lang w:bidi="ar"/>
        </w:rPr>
        <w:t>进行下载），并按照本项目竞争性谈判文件和</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lang w:bidi="ar"/>
        </w:rPr>
        <w:t>的要求编制、加密后在</w:t>
      </w:r>
      <w:r>
        <w:rPr>
          <w:rFonts w:hint="eastAsia" w:ascii="宋体" w:hAnsi="宋体" w:cs="宋体"/>
          <w:color w:val="auto"/>
          <w:szCs w:val="21"/>
        </w:rPr>
        <w:t>首次响应文件提交截止时间</w:t>
      </w:r>
      <w:r>
        <w:rPr>
          <w:rFonts w:hint="eastAsia" w:ascii="宋体" w:hAnsi="宋体" w:cs="宋体"/>
          <w:color w:val="auto"/>
          <w:szCs w:val="21"/>
          <w:lang w:bidi="ar"/>
        </w:rPr>
        <w:t>前通过网络上传至</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lang w:bidi="ar"/>
        </w:rPr>
        <w:t>，</w:t>
      </w:r>
      <w:r>
        <w:rPr>
          <w:rFonts w:hint="eastAsia" w:ascii="宋体" w:hAnsi="宋体" w:cs="宋体"/>
          <w:b/>
          <w:color w:val="auto"/>
          <w:szCs w:val="21"/>
          <w:lang w:bidi="ar"/>
        </w:rPr>
        <w:t>供应商在</w:t>
      </w:r>
      <w:r>
        <w:rPr>
          <w:rFonts w:hint="eastAsia" w:ascii="宋体" w:hAnsi="宋体" w:cs="宋体"/>
          <w:b/>
          <w:color w:val="auto"/>
          <w:szCs w:val="21"/>
          <w:lang w:eastAsia="zh-CN" w:bidi="ar"/>
        </w:rPr>
        <w:t>广西政府采购云平台</w:t>
      </w:r>
      <w:r>
        <w:rPr>
          <w:rFonts w:hint="eastAsia" w:ascii="宋体" w:hAnsi="宋体" w:cs="宋体"/>
          <w:b/>
          <w:color w:val="auto"/>
          <w:szCs w:val="21"/>
          <w:lang w:bidi="ar"/>
        </w:rPr>
        <w:t>提交电子版响应文件时，请填写参加远程开标活动经办人联系方式。</w:t>
      </w:r>
    </w:p>
    <w:p w14:paraId="790EBBDE">
      <w:pPr>
        <w:widowControl/>
        <w:spacing w:line="360" w:lineRule="auto"/>
        <w:ind w:firstLine="420" w:firstLineChars="200"/>
        <w:rPr>
          <w:rFonts w:ascii="宋体" w:hAnsi="宋体" w:cs="宋体"/>
          <w:color w:val="auto"/>
          <w:szCs w:val="21"/>
          <w:lang w:bidi="ar"/>
        </w:rPr>
      </w:pPr>
      <w:r>
        <w:rPr>
          <w:rFonts w:hint="eastAsia" w:ascii="宋体" w:hAnsi="宋体" w:cs="宋体"/>
          <w:color w:val="auto"/>
          <w:szCs w:val="21"/>
          <w:lang w:bidi="ar"/>
        </w:rPr>
        <w:t>（2）</w:t>
      </w:r>
      <w:r>
        <w:rPr>
          <w:rFonts w:ascii="宋体" w:hAnsi="宋体" w:cs="宋体"/>
          <w:color w:val="auto"/>
          <w:szCs w:val="21"/>
          <w:lang w:bidi="ar"/>
        </w:rPr>
        <w:t>供应商应及时熟悉掌握电子标系统操作指南（见</w:t>
      </w:r>
      <w:r>
        <w:rPr>
          <w:rFonts w:hint="eastAsia" w:ascii="宋体" w:hAnsi="宋体" w:cs="宋体"/>
          <w:color w:val="auto"/>
          <w:szCs w:val="21"/>
          <w:highlight w:val="none"/>
          <w:lang w:eastAsia="zh-CN" w:bidi="ar"/>
        </w:rPr>
        <w:t>广西政府采购云平台</w:t>
      </w:r>
      <w:r>
        <w:rPr>
          <w:rFonts w:ascii="宋体" w:hAnsi="宋体" w:cs="宋体"/>
          <w:color w:val="auto"/>
          <w:szCs w:val="21"/>
          <w:lang w:bidi="ar"/>
        </w:rPr>
        <w:t>电子卖场首页右上角—服务中心—帮助文档—项目采购）：</w:t>
      </w:r>
      <w:r>
        <w:rPr>
          <w:color w:val="auto"/>
        </w:rPr>
        <w:fldChar w:fldCharType="begin"/>
      </w:r>
      <w:r>
        <w:rPr>
          <w:color w:val="auto"/>
        </w:rPr>
        <w:instrText xml:space="preserve"> HYPERLINK "https://service.zcygov.cn/" \l "/knowledges/tree?tag=AG1DtGwBFdiHxlNdhY0r" </w:instrText>
      </w:r>
      <w:r>
        <w:rPr>
          <w:color w:val="auto"/>
        </w:rPr>
        <w:fldChar w:fldCharType="separate"/>
      </w:r>
      <w:r>
        <w:rPr>
          <w:color w:val="auto"/>
          <w:lang w:bidi="ar"/>
        </w:rPr>
        <w:t>https://service.zcygov.cn/#/knowledges/tree?tag=AG1DtGwBFdiHxlNdhY0r</w:t>
      </w:r>
      <w:r>
        <w:rPr>
          <w:color w:val="auto"/>
          <w:lang w:bidi="ar"/>
        </w:rPr>
        <w:fldChar w:fldCharType="end"/>
      </w:r>
      <w:r>
        <w:rPr>
          <w:rFonts w:hint="eastAsia" w:ascii="宋体" w:hAnsi="宋体" w:cs="宋体"/>
          <w:color w:val="auto"/>
          <w:szCs w:val="21"/>
          <w:lang w:bidi="ar"/>
        </w:rPr>
        <w:t>；</w:t>
      </w:r>
      <w:r>
        <w:rPr>
          <w:rFonts w:ascii="宋体" w:hAnsi="宋体" w:cs="宋体"/>
          <w:color w:val="auto"/>
          <w:szCs w:val="21"/>
          <w:lang w:bidi="ar"/>
        </w:rPr>
        <w:t>及时完成CA申领和绑定（见广西壮族自治区政府采购网—办事服务—下载专区-</w:t>
      </w:r>
      <w:r>
        <w:rPr>
          <w:rFonts w:hint="eastAsia" w:ascii="宋体" w:hAnsi="宋体" w:cs="宋体"/>
          <w:color w:val="auto"/>
          <w:szCs w:val="21"/>
          <w:highlight w:val="none"/>
          <w:lang w:eastAsia="zh-CN" w:bidi="ar"/>
        </w:rPr>
        <w:t>广西政府采购云平台</w:t>
      </w:r>
      <w:r>
        <w:rPr>
          <w:rFonts w:ascii="宋体" w:hAnsi="宋体" w:cs="宋体"/>
          <w:color w:val="auto"/>
          <w:szCs w:val="21"/>
          <w:lang w:bidi="ar"/>
        </w:rPr>
        <w:t>CA证书办理操作指南）。</w:t>
      </w:r>
    </w:p>
    <w:p w14:paraId="6DC794A4">
      <w:pPr>
        <w:widowControl/>
        <w:spacing w:line="360" w:lineRule="auto"/>
        <w:ind w:firstLine="420" w:firstLineChars="200"/>
        <w:rPr>
          <w:rFonts w:ascii="宋体" w:hAnsi="宋体" w:cs="宋体"/>
          <w:color w:val="auto"/>
          <w:szCs w:val="21"/>
        </w:rPr>
      </w:pPr>
      <w:r>
        <w:rPr>
          <w:rFonts w:hint="eastAsia" w:ascii="宋体" w:hAnsi="宋体" w:cs="宋体"/>
          <w:color w:val="auto"/>
          <w:szCs w:val="21"/>
          <w:lang w:bidi="ar"/>
        </w:rPr>
        <w:t>（3）未进行网上注册并办理数字证书（CA认证）的供应商将无法参与本项目政府采购活动，潜在供应商应当在</w:t>
      </w:r>
      <w:r>
        <w:rPr>
          <w:rFonts w:hint="eastAsia" w:ascii="宋体" w:hAnsi="宋体" w:cs="宋体"/>
          <w:color w:val="auto"/>
          <w:szCs w:val="21"/>
        </w:rPr>
        <w:t>首次响应文件提交截止时间</w:t>
      </w:r>
      <w:r>
        <w:rPr>
          <w:rFonts w:hint="eastAsia" w:ascii="宋体" w:hAnsi="宋体" w:cs="宋体"/>
          <w:color w:val="auto"/>
          <w:szCs w:val="21"/>
          <w:lang w:bidi="ar"/>
        </w:rPr>
        <w:t>前，完成电子交易平台上的CA数字证书办理及响应文件的提交。完成CA数字证书办理预计7日左右，供应商只需办理其中一家CA数字证书及签章，建议各供应商抓紧时间办理。</w:t>
      </w:r>
    </w:p>
    <w:p w14:paraId="28F77437">
      <w:pPr>
        <w:widowControl/>
        <w:spacing w:line="360" w:lineRule="auto"/>
        <w:ind w:firstLine="420" w:firstLineChars="200"/>
        <w:rPr>
          <w:rFonts w:ascii="宋体" w:hAnsi="宋体" w:cs="宋体"/>
          <w:color w:val="auto"/>
          <w:szCs w:val="21"/>
        </w:rPr>
      </w:pPr>
      <w:r>
        <w:rPr>
          <w:rFonts w:hint="eastAsia" w:ascii="宋体" w:hAnsi="宋体" w:cs="宋体"/>
          <w:color w:val="auto"/>
          <w:szCs w:val="21"/>
          <w:lang w:bidi="ar"/>
        </w:rPr>
        <w:t>（4）为确保网上操作合法、有效和安全，请供应商确保在电子竞标过程中能够对相关数据电文进行加密和使用电子签章，妥善保管CA数字证书并使用有效的CA数字证书参与整个采购活动。</w:t>
      </w:r>
    </w:p>
    <w:p w14:paraId="1378B762">
      <w:pPr>
        <w:spacing w:line="360" w:lineRule="auto"/>
        <w:ind w:firstLine="422" w:firstLineChars="200"/>
        <w:rPr>
          <w:rFonts w:ascii="宋体" w:hAnsi="宋体" w:cs="宋体"/>
          <w:b/>
          <w:bCs/>
          <w:color w:val="auto"/>
          <w:szCs w:val="21"/>
          <w:lang w:bidi="ar"/>
        </w:rPr>
      </w:pPr>
      <w:r>
        <w:rPr>
          <w:rFonts w:hint="eastAsia" w:ascii="宋体" w:hAnsi="宋体" w:cs="宋体"/>
          <w:b/>
          <w:bCs/>
          <w:color w:val="auto"/>
          <w:szCs w:val="21"/>
          <w:lang w:bidi="ar"/>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Pr>
          <w:rFonts w:hint="eastAsia" w:ascii="宋体" w:hAnsi="宋体" w:cs="宋体"/>
          <w:b/>
          <w:bCs/>
          <w:color w:val="auto"/>
          <w:szCs w:val="21"/>
          <w:lang w:eastAsia="zh-CN" w:bidi="ar"/>
        </w:rPr>
        <w:t>广西政府采购云平台</w:t>
      </w:r>
      <w:r>
        <w:rPr>
          <w:rFonts w:hint="eastAsia" w:ascii="宋体" w:hAnsi="宋体" w:cs="宋体"/>
          <w:b/>
          <w:bCs/>
          <w:color w:val="auto"/>
          <w:szCs w:val="21"/>
          <w:lang w:bidi="ar"/>
        </w:rPr>
        <w:t>将予以拒收。</w:t>
      </w:r>
    </w:p>
    <w:p w14:paraId="3793EB2D">
      <w:pPr>
        <w:widowControl/>
        <w:spacing w:line="360" w:lineRule="auto"/>
        <w:ind w:firstLine="420" w:firstLineChars="200"/>
        <w:rPr>
          <w:rFonts w:ascii="宋体" w:hAnsi="宋体" w:cs="宋体"/>
          <w:color w:val="auto"/>
          <w:szCs w:val="21"/>
          <w:lang w:bidi="ar"/>
        </w:rPr>
      </w:pPr>
      <w:r>
        <w:rPr>
          <w:rFonts w:hint="eastAsia" w:ascii="宋体" w:hAnsi="宋体" w:cs="宋体"/>
          <w:color w:val="auto"/>
          <w:szCs w:val="21"/>
          <w:lang w:bidi="ar"/>
        </w:rPr>
        <w:t>7、CA证书在线解密：首次响应文件开启时，须要供应商携带制作响应文件时用来加密的有效数字证书（CA认证）登录</w:t>
      </w:r>
      <w:r>
        <w:rPr>
          <w:rFonts w:hint="eastAsia" w:ascii="宋体" w:hAnsi="宋体" w:cs="宋体"/>
          <w:color w:val="auto"/>
          <w:szCs w:val="21"/>
          <w:lang w:eastAsia="zh-CN" w:bidi="ar"/>
        </w:rPr>
        <w:t>广西政府采购云平台</w:t>
      </w:r>
      <w:r>
        <w:rPr>
          <w:rFonts w:hint="eastAsia" w:ascii="宋体" w:hAnsi="宋体" w:cs="宋体"/>
          <w:color w:val="auto"/>
          <w:szCs w:val="21"/>
          <w:lang w:bidi="ar"/>
        </w:rPr>
        <w:t>电子开标大厅现场按规定时间对加密的响应文件进行解密，否则后果自负。</w:t>
      </w:r>
    </w:p>
    <w:p w14:paraId="598BF828">
      <w:pPr>
        <w:widowControl/>
        <w:spacing w:line="360" w:lineRule="auto"/>
        <w:ind w:firstLine="420" w:firstLineChars="200"/>
        <w:rPr>
          <w:rFonts w:ascii="宋体" w:hAnsi="宋体"/>
          <w:bCs/>
          <w:color w:val="auto"/>
          <w:szCs w:val="21"/>
          <w:u w:val="single"/>
        </w:rPr>
      </w:pPr>
      <w:r>
        <w:rPr>
          <w:rFonts w:hint="eastAsia" w:ascii="宋体" w:hAnsi="宋体" w:cs="宋体"/>
          <w:color w:val="auto"/>
          <w:szCs w:val="21"/>
          <w:lang w:bidi="ar"/>
        </w:rPr>
        <w:t>8、供应商需要在具备有摄像头及语音功能且互联网网络状况良好的电脑登录</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lang w:bidi="ar"/>
        </w:rPr>
        <w:t>远程开标大厅参与本次谈判，否则后果自负。</w:t>
      </w:r>
    </w:p>
    <w:p w14:paraId="1C29A62F">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9、若对项目采购电子交易系统操作有疑问，可登录</w:t>
      </w:r>
      <w:r>
        <w:rPr>
          <w:rFonts w:hint="eastAsia" w:ascii="宋体" w:hAnsi="宋体" w:cs="宋体"/>
          <w:color w:val="auto"/>
          <w:szCs w:val="21"/>
          <w:lang w:bidi="ar"/>
        </w:rPr>
        <w:fldChar w:fldCharType="begin"/>
      </w:r>
      <w:r>
        <w:rPr>
          <w:rFonts w:hint="eastAsia" w:ascii="宋体" w:hAnsi="宋体" w:cs="宋体"/>
          <w:color w:val="auto"/>
          <w:szCs w:val="21"/>
          <w:lang w:bidi="ar"/>
        </w:rPr>
        <w:instrText xml:space="preserve"> HYPERLINK "" </w:instrText>
      </w:r>
      <w:r>
        <w:rPr>
          <w:rFonts w:hint="eastAsia" w:ascii="宋体" w:hAnsi="宋体" w:cs="宋体"/>
          <w:color w:val="auto"/>
          <w:szCs w:val="21"/>
          <w:lang w:bidi="ar"/>
        </w:rPr>
        <w:fldChar w:fldCharType="separate"/>
      </w:r>
      <w:r>
        <w:rPr>
          <w:rFonts w:hint="eastAsia" w:ascii="宋体" w:hAnsi="宋体" w:cs="宋体"/>
          <w:color w:val="auto"/>
          <w:szCs w:val="21"/>
          <w:lang w:bidi="ar"/>
        </w:rPr>
        <w:fldChar w:fldCharType="end"/>
      </w:r>
      <w:r>
        <w:rPr>
          <w:rFonts w:hint="eastAsia" w:ascii="宋体" w:hAnsi="宋体" w:cs="宋体"/>
          <w:color w:val="auto"/>
          <w:szCs w:val="21"/>
          <w:lang w:eastAsia="zh-CN" w:bidi="ar"/>
        </w:rPr>
        <w:t>广西政府采购云平台（https://www.gcy.zfcg.gxzf.gov.cn/）</w:t>
      </w:r>
      <w:r>
        <w:rPr>
          <w:rFonts w:hint="eastAsia" w:ascii="宋体" w:hAnsi="宋体" w:cs="宋体"/>
          <w:color w:val="auto"/>
          <w:szCs w:val="21"/>
          <w:lang w:bidi="ar"/>
        </w:rPr>
        <w:t>，点击右侧咨询小采，获取采小蜜智能服务管家帮助，或拨打</w:t>
      </w:r>
      <w:r>
        <w:rPr>
          <w:rFonts w:hint="eastAsia" w:ascii="宋体" w:hAnsi="宋体" w:cs="宋体"/>
          <w:color w:val="auto"/>
          <w:szCs w:val="21"/>
          <w:lang w:bidi="ar"/>
        </w:rPr>
        <w:fldChar w:fldCharType="begin"/>
      </w:r>
      <w:r>
        <w:rPr>
          <w:rFonts w:hint="eastAsia" w:ascii="宋体" w:hAnsi="宋体" w:cs="宋体"/>
          <w:color w:val="auto"/>
          <w:szCs w:val="21"/>
          <w:lang w:bidi="ar"/>
        </w:rPr>
        <w:instrText xml:space="preserve"> HYPERLINK "" </w:instrText>
      </w:r>
      <w:r>
        <w:rPr>
          <w:rFonts w:hint="eastAsia" w:ascii="宋体" w:hAnsi="宋体" w:cs="宋体"/>
          <w:color w:val="auto"/>
          <w:szCs w:val="21"/>
          <w:lang w:bidi="ar"/>
        </w:rPr>
        <w:fldChar w:fldCharType="separate"/>
      </w:r>
      <w:r>
        <w:rPr>
          <w:rFonts w:hint="eastAsia" w:ascii="宋体" w:hAnsi="宋体" w:cs="宋体"/>
          <w:color w:val="auto"/>
          <w:szCs w:val="21"/>
          <w:lang w:bidi="ar"/>
        </w:rPr>
        <w:fldChar w:fldCharType="end"/>
      </w:r>
      <w:r>
        <w:rPr>
          <w:rFonts w:hint="eastAsia" w:ascii="宋体" w:hAnsi="宋体" w:cs="宋体"/>
          <w:color w:val="auto"/>
          <w:szCs w:val="21"/>
          <w:lang w:eastAsia="zh-CN" w:bidi="ar"/>
        </w:rPr>
        <w:t>广西政府采购云平台</w:t>
      </w:r>
      <w:r>
        <w:rPr>
          <w:rFonts w:hint="eastAsia" w:ascii="宋体" w:hAnsi="宋体" w:cs="宋体"/>
          <w:color w:val="auto"/>
          <w:szCs w:val="21"/>
          <w:lang w:bidi="ar"/>
        </w:rPr>
        <w:t>服务热线95763获取热线服务帮助。</w:t>
      </w:r>
    </w:p>
    <w:p w14:paraId="19D66CB0">
      <w:pPr>
        <w:widowControl/>
        <w:spacing w:line="360" w:lineRule="auto"/>
        <w:ind w:firstLine="420" w:firstLineChars="200"/>
        <w:rPr>
          <w:rFonts w:hint="eastAsia" w:ascii="宋体" w:hAnsi="宋体" w:cs="宋体"/>
          <w:color w:val="auto"/>
          <w:szCs w:val="21"/>
          <w:lang w:val="en-US" w:eastAsia="zh-CN" w:bidi="ar"/>
        </w:rPr>
      </w:pPr>
      <w:r>
        <w:rPr>
          <w:rFonts w:hint="eastAsia" w:ascii="宋体" w:hAnsi="宋体" w:cs="宋体"/>
          <w:color w:val="auto"/>
          <w:szCs w:val="21"/>
          <w:lang w:val="en-US" w:eastAsia="zh-CN" w:bidi="ar"/>
        </w:rPr>
        <w:t>10、评审方式：本项目采用远程异地评审。</w:t>
      </w:r>
    </w:p>
    <w:p w14:paraId="10628665">
      <w:pPr>
        <w:spacing w:line="360" w:lineRule="auto"/>
        <w:ind w:firstLine="361" w:firstLineChars="150"/>
        <w:rPr>
          <w:rFonts w:ascii="黑体" w:hAnsi="黑体" w:eastAsia="黑体"/>
          <w:b/>
          <w:bCs/>
          <w:color w:val="auto"/>
          <w:sz w:val="24"/>
        </w:rPr>
      </w:pPr>
      <w:r>
        <w:rPr>
          <w:rFonts w:hint="eastAsia" w:ascii="黑体" w:hAnsi="黑体" w:eastAsia="黑体"/>
          <w:b/>
          <w:bCs/>
          <w:color w:val="auto"/>
          <w:sz w:val="24"/>
        </w:rPr>
        <w:t>八、凡对本次采购提出询问，请按以下方式联系。</w:t>
      </w:r>
      <w:bookmarkEnd w:id="3"/>
      <w:bookmarkEnd w:id="4"/>
      <w:bookmarkEnd w:id="5"/>
      <w:bookmarkEnd w:id="6"/>
      <w:bookmarkEnd w:id="7"/>
      <w:bookmarkEnd w:id="8"/>
      <w:bookmarkStart w:id="10" w:name="_Toc35393806"/>
      <w:bookmarkStart w:id="11" w:name="_Toc35393637"/>
      <w:bookmarkStart w:id="12" w:name="_Toc28359019"/>
      <w:bookmarkStart w:id="13" w:name="_Toc28359096"/>
    </w:p>
    <w:p w14:paraId="1AC5B48B">
      <w:pPr>
        <w:keepNext w:val="0"/>
        <w:keepLines w:val="0"/>
        <w:pageBreakBefore w:val="0"/>
        <w:kinsoku/>
        <w:wordWrap/>
        <w:overflowPunct/>
        <w:topLinePunct w:val="0"/>
        <w:autoSpaceDE/>
        <w:autoSpaceDN/>
        <w:bidi w:val="0"/>
        <w:adjustRightInd/>
        <w:spacing w:line="390" w:lineRule="exact"/>
        <w:ind w:firstLine="567" w:firstLineChars="270"/>
        <w:jc w:val="left"/>
        <w:textAlignment w:val="auto"/>
        <w:rPr>
          <w:rFonts w:hint="eastAsia" w:ascii="宋体" w:hAnsi="宋体" w:cs="宋体"/>
          <w:color w:val="auto"/>
          <w:szCs w:val="21"/>
        </w:rPr>
      </w:pPr>
      <w:r>
        <w:rPr>
          <w:rFonts w:hint="eastAsia" w:ascii="宋体" w:hAnsi="宋体" w:cs="宋体"/>
          <w:color w:val="auto"/>
          <w:szCs w:val="21"/>
        </w:rPr>
        <w:t>1.采购人信息</w:t>
      </w:r>
    </w:p>
    <w:p w14:paraId="6FE7FA24">
      <w:pPr>
        <w:keepNext w:val="0"/>
        <w:keepLines w:val="0"/>
        <w:pageBreakBefore w:val="0"/>
        <w:kinsoku/>
        <w:wordWrap/>
        <w:overflowPunct/>
        <w:topLinePunct w:val="0"/>
        <w:autoSpaceDE/>
        <w:autoSpaceDN/>
        <w:bidi w:val="0"/>
        <w:adjustRightInd/>
        <w:spacing w:line="390" w:lineRule="exact"/>
        <w:ind w:firstLine="777" w:firstLineChars="370"/>
        <w:jc w:val="left"/>
        <w:textAlignment w:val="auto"/>
        <w:rPr>
          <w:rFonts w:hint="eastAsia" w:ascii="宋体" w:hAnsi="宋体" w:eastAsia="宋体"/>
          <w:color w:val="auto"/>
          <w:szCs w:val="21"/>
          <w:lang w:eastAsia="zh-CN"/>
        </w:rPr>
      </w:pPr>
      <w:r>
        <w:rPr>
          <w:rFonts w:hint="eastAsia" w:ascii="宋体" w:hAnsi="宋体"/>
          <w:color w:val="auto"/>
          <w:szCs w:val="21"/>
        </w:rPr>
        <w:t>名称：</w:t>
      </w:r>
      <w:r>
        <w:rPr>
          <w:rFonts w:hint="eastAsia" w:ascii="宋体" w:hAnsi="宋体"/>
          <w:color w:val="auto"/>
          <w:szCs w:val="21"/>
          <w:lang w:eastAsia="zh-CN"/>
        </w:rPr>
        <w:t>博白县人民医院</w:t>
      </w:r>
    </w:p>
    <w:p w14:paraId="062AF09A">
      <w:pPr>
        <w:keepNext w:val="0"/>
        <w:keepLines w:val="0"/>
        <w:pageBreakBefore w:val="0"/>
        <w:kinsoku/>
        <w:wordWrap/>
        <w:overflowPunct/>
        <w:topLinePunct w:val="0"/>
        <w:autoSpaceDE/>
        <w:autoSpaceDN/>
        <w:bidi w:val="0"/>
        <w:adjustRightInd/>
        <w:spacing w:line="390" w:lineRule="exact"/>
        <w:ind w:firstLine="777" w:firstLineChars="370"/>
        <w:jc w:val="left"/>
        <w:textAlignment w:val="auto"/>
        <w:rPr>
          <w:rFonts w:hint="eastAsia" w:ascii="宋体" w:hAnsi="宋体" w:eastAsia="宋体"/>
          <w:color w:val="auto"/>
          <w:szCs w:val="21"/>
          <w:u w:val="none"/>
          <w:lang w:val="en-US" w:eastAsia="zh-CN"/>
        </w:rPr>
      </w:pPr>
      <w:bookmarkStart w:id="14" w:name="_Toc28359009"/>
      <w:bookmarkStart w:id="15" w:name="_Toc28359086"/>
      <w:r>
        <w:rPr>
          <w:rFonts w:hint="eastAsia" w:ascii="宋体" w:hAnsi="宋体"/>
          <w:color w:val="auto"/>
          <w:szCs w:val="21"/>
        </w:rPr>
        <w:t>地址</w:t>
      </w:r>
      <w:r>
        <w:rPr>
          <w:rFonts w:hint="eastAsia" w:ascii="宋体" w:hAnsi="宋体"/>
          <w:color w:val="auto"/>
          <w:szCs w:val="21"/>
          <w:u w:val="none"/>
        </w:rPr>
        <w:t>：</w:t>
      </w:r>
      <w:r>
        <w:rPr>
          <w:rFonts w:hint="eastAsia" w:ascii="宋体" w:hAnsi="宋体" w:cs="宋体"/>
          <w:color w:val="auto"/>
          <w:kern w:val="0"/>
          <w:szCs w:val="21"/>
        </w:rPr>
        <w:t>博白县博白镇兴隆东路009号</w:t>
      </w:r>
    </w:p>
    <w:p w14:paraId="4F2F051E">
      <w:pPr>
        <w:keepNext w:val="0"/>
        <w:keepLines w:val="0"/>
        <w:pageBreakBefore w:val="0"/>
        <w:kinsoku/>
        <w:wordWrap/>
        <w:overflowPunct/>
        <w:topLinePunct w:val="0"/>
        <w:autoSpaceDE/>
        <w:autoSpaceDN/>
        <w:bidi w:val="0"/>
        <w:adjustRightInd/>
        <w:spacing w:line="390" w:lineRule="exact"/>
        <w:ind w:firstLine="777" w:firstLineChars="370"/>
        <w:jc w:val="left"/>
        <w:textAlignment w:val="auto"/>
        <w:rPr>
          <w:rFonts w:hint="eastAsia" w:ascii="宋体" w:hAnsi="宋体" w:cs="宋体"/>
          <w:color w:val="auto"/>
          <w:szCs w:val="21"/>
          <w:lang w:val="en-US" w:eastAsia="zh-CN"/>
        </w:rPr>
      </w:pPr>
      <w:r>
        <w:rPr>
          <w:rFonts w:hint="eastAsia" w:ascii="宋体" w:hAnsi="宋体" w:cs="宋体"/>
          <w:color w:val="auto"/>
          <w:szCs w:val="21"/>
          <w:lang w:eastAsia="zh-CN"/>
        </w:rPr>
        <w:t>联系人：冯学营</w:t>
      </w:r>
    </w:p>
    <w:p w14:paraId="49C6021D">
      <w:pPr>
        <w:keepNext w:val="0"/>
        <w:keepLines w:val="0"/>
        <w:pageBreakBefore w:val="0"/>
        <w:kinsoku/>
        <w:wordWrap/>
        <w:overflowPunct/>
        <w:topLinePunct w:val="0"/>
        <w:autoSpaceDE/>
        <w:autoSpaceDN/>
        <w:bidi w:val="0"/>
        <w:adjustRightInd/>
        <w:spacing w:line="390" w:lineRule="exact"/>
        <w:ind w:firstLine="777" w:firstLineChars="370"/>
        <w:jc w:val="left"/>
        <w:textAlignment w:val="auto"/>
        <w:rPr>
          <w:rFonts w:hint="default" w:ascii="宋体" w:hAnsi="宋体" w:eastAsia="宋体" w:cs="Times New Roman"/>
          <w:color w:val="auto"/>
          <w:szCs w:val="21"/>
          <w:u w:val="none"/>
          <w:lang w:val="en-US" w:eastAsia="zh-CN"/>
        </w:rPr>
      </w:pPr>
      <w:r>
        <w:rPr>
          <w:rFonts w:hint="eastAsia" w:ascii="宋体" w:hAnsi="宋体" w:cs="宋体"/>
          <w:color w:val="auto"/>
          <w:szCs w:val="21"/>
        </w:rPr>
        <w:t>联系方</w:t>
      </w:r>
      <w:r>
        <w:rPr>
          <w:rFonts w:hint="eastAsia" w:ascii="宋体" w:hAnsi="宋体" w:eastAsia="宋体" w:cs="宋体"/>
          <w:color w:val="auto"/>
          <w:szCs w:val="21"/>
        </w:rPr>
        <w:t>式：</w:t>
      </w:r>
      <w:r>
        <w:rPr>
          <w:rFonts w:hint="eastAsia" w:ascii="宋体" w:hAnsi="宋体" w:eastAsia="宋体" w:cs="宋体"/>
          <w:color w:val="auto"/>
          <w:szCs w:val="21"/>
          <w:lang w:val="en-US" w:eastAsia="zh-CN"/>
        </w:rPr>
        <w:t>0775-8328624</w:t>
      </w:r>
    </w:p>
    <w:bookmarkEnd w:id="14"/>
    <w:bookmarkEnd w:id="15"/>
    <w:p w14:paraId="4010CDBA">
      <w:pPr>
        <w:keepNext w:val="0"/>
        <w:keepLines w:val="0"/>
        <w:pageBreakBefore w:val="0"/>
        <w:kinsoku/>
        <w:wordWrap/>
        <w:overflowPunct/>
        <w:topLinePunct w:val="0"/>
        <w:autoSpaceDE/>
        <w:autoSpaceDN/>
        <w:bidi w:val="0"/>
        <w:adjustRightInd/>
        <w:spacing w:line="390" w:lineRule="exact"/>
        <w:ind w:firstLine="567" w:firstLineChars="270"/>
        <w:jc w:val="left"/>
        <w:textAlignment w:val="auto"/>
        <w:rPr>
          <w:rFonts w:ascii="宋体" w:hAnsi="宋体"/>
          <w:color w:val="auto"/>
          <w:szCs w:val="21"/>
        </w:rPr>
      </w:pPr>
      <w:r>
        <w:rPr>
          <w:rFonts w:hint="eastAsia" w:ascii="宋体" w:hAnsi="宋体" w:cs="宋体"/>
          <w:color w:val="auto"/>
          <w:szCs w:val="21"/>
        </w:rPr>
        <w:t>2.</w:t>
      </w:r>
      <w:r>
        <w:rPr>
          <w:rFonts w:hint="eastAsia" w:ascii="宋体" w:hAnsi="宋体" w:cs="宋体"/>
          <w:color w:val="auto"/>
          <w:szCs w:val="21"/>
          <w:lang w:eastAsia="zh-CN"/>
        </w:rPr>
        <w:t>招标代理</w:t>
      </w:r>
      <w:r>
        <w:rPr>
          <w:rFonts w:hint="eastAsia" w:ascii="宋体" w:hAnsi="宋体" w:cs="宋体"/>
          <w:color w:val="auto"/>
          <w:szCs w:val="21"/>
        </w:rPr>
        <w:t>机构信息</w:t>
      </w:r>
    </w:p>
    <w:p w14:paraId="3EEC28D1">
      <w:pPr>
        <w:keepNext w:val="0"/>
        <w:keepLines w:val="0"/>
        <w:pageBreakBefore w:val="0"/>
        <w:kinsoku/>
        <w:wordWrap/>
        <w:overflowPunct/>
        <w:topLinePunct w:val="0"/>
        <w:autoSpaceDE/>
        <w:autoSpaceDN/>
        <w:bidi w:val="0"/>
        <w:adjustRightInd/>
        <w:spacing w:line="390" w:lineRule="exact"/>
        <w:ind w:firstLine="777" w:firstLineChars="370"/>
        <w:textAlignment w:val="auto"/>
        <w:rPr>
          <w:rFonts w:hint="eastAsia" w:ascii="宋体" w:hAnsi="宋体" w:eastAsia="宋体"/>
          <w:color w:val="auto"/>
          <w:szCs w:val="21"/>
          <w:u w:val="none"/>
          <w:lang w:eastAsia="zh-CN"/>
        </w:rPr>
      </w:pPr>
      <w:r>
        <w:rPr>
          <w:rFonts w:hint="eastAsia" w:ascii="宋体" w:hAnsi="宋体"/>
          <w:color w:val="auto"/>
          <w:szCs w:val="21"/>
        </w:rPr>
        <w:t>名</w:t>
      </w:r>
      <w:r>
        <w:rPr>
          <w:rFonts w:hint="eastAsia" w:ascii="宋体" w:hAnsi="宋体"/>
          <w:color w:val="auto"/>
          <w:szCs w:val="21"/>
          <w:u w:val="none"/>
        </w:rPr>
        <w:t>称：</w:t>
      </w:r>
      <w:r>
        <w:rPr>
          <w:rFonts w:hint="eastAsia" w:ascii="宋体" w:hAnsi="宋体" w:cs="Arial"/>
          <w:color w:val="auto"/>
          <w:szCs w:val="21"/>
          <w:u w:val="none"/>
          <w:lang w:eastAsia="zh-CN"/>
        </w:rPr>
        <w:t>广西国泰招标咨询有限公司</w:t>
      </w:r>
    </w:p>
    <w:p w14:paraId="2EB9E0DB">
      <w:pPr>
        <w:keepNext w:val="0"/>
        <w:keepLines w:val="0"/>
        <w:pageBreakBefore w:val="0"/>
        <w:kinsoku/>
        <w:wordWrap/>
        <w:overflowPunct/>
        <w:topLinePunct w:val="0"/>
        <w:autoSpaceDE/>
        <w:autoSpaceDN/>
        <w:bidi w:val="0"/>
        <w:adjustRightInd/>
        <w:spacing w:line="390" w:lineRule="exact"/>
        <w:ind w:firstLine="777" w:firstLineChars="370"/>
        <w:textAlignment w:val="auto"/>
        <w:rPr>
          <w:rFonts w:hint="default" w:ascii="宋体" w:hAnsi="宋体" w:eastAsia="宋体" w:cs="Times New Roman"/>
          <w:color w:val="auto"/>
          <w:szCs w:val="21"/>
          <w:u w:val="none"/>
          <w:lang w:val="en-US" w:eastAsia="zh-CN"/>
        </w:rPr>
      </w:pPr>
      <w:r>
        <w:rPr>
          <w:rFonts w:hint="eastAsia" w:ascii="宋体" w:hAnsi="宋体" w:eastAsia="宋体" w:cs="Times New Roman"/>
          <w:color w:val="auto"/>
          <w:szCs w:val="21"/>
          <w:u w:val="none"/>
        </w:rPr>
        <w:t>地址：</w:t>
      </w:r>
      <w:r>
        <w:rPr>
          <w:rFonts w:hint="eastAsia" w:ascii="宋体" w:hAnsi="宋体" w:eastAsia="宋体" w:cs="Times New Roman"/>
          <w:color w:val="auto"/>
          <w:szCs w:val="21"/>
          <w:u w:val="none"/>
          <w:lang w:val="en-US" w:eastAsia="zh-CN"/>
        </w:rPr>
        <w:t>广西南宁市民族大道 141 号中鼎万象东方大厦 D 区六层 D607</w:t>
      </w:r>
    </w:p>
    <w:p w14:paraId="516D574D">
      <w:pPr>
        <w:keepNext w:val="0"/>
        <w:keepLines w:val="0"/>
        <w:pageBreakBefore w:val="0"/>
        <w:kinsoku/>
        <w:wordWrap/>
        <w:overflowPunct/>
        <w:topLinePunct w:val="0"/>
        <w:autoSpaceDE/>
        <w:autoSpaceDN/>
        <w:bidi w:val="0"/>
        <w:adjustRightInd/>
        <w:spacing w:line="390" w:lineRule="exact"/>
        <w:ind w:firstLine="777" w:firstLineChars="370"/>
        <w:textAlignment w:val="auto"/>
        <w:rPr>
          <w:rFonts w:hint="eastAsia" w:ascii="宋体" w:hAnsi="宋体" w:eastAsia="宋体" w:cs="Times New Roman"/>
          <w:color w:val="auto"/>
          <w:szCs w:val="21"/>
          <w:u w:val="none"/>
          <w:lang w:eastAsia="zh-CN"/>
        </w:rPr>
      </w:pPr>
      <w:r>
        <w:rPr>
          <w:rFonts w:hint="eastAsia" w:ascii="宋体" w:hAnsi="宋体" w:eastAsia="宋体" w:cs="Times New Roman"/>
          <w:color w:val="auto"/>
          <w:szCs w:val="21"/>
          <w:u w:val="none"/>
        </w:rPr>
        <w:t>项目联系人：</w:t>
      </w:r>
      <w:r>
        <w:rPr>
          <w:rFonts w:hint="eastAsia" w:ascii="宋体" w:hAnsi="宋体" w:cs="Times New Roman"/>
          <w:color w:val="auto"/>
          <w:szCs w:val="21"/>
          <w:u w:val="none"/>
          <w:lang w:eastAsia="zh-CN"/>
        </w:rPr>
        <w:t>谭小莉</w:t>
      </w:r>
    </w:p>
    <w:p w14:paraId="198CAFE8">
      <w:pPr>
        <w:keepNext w:val="0"/>
        <w:keepLines w:val="0"/>
        <w:pageBreakBefore w:val="0"/>
        <w:kinsoku/>
        <w:wordWrap/>
        <w:overflowPunct/>
        <w:topLinePunct w:val="0"/>
        <w:autoSpaceDE/>
        <w:autoSpaceDN/>
        <w:bidi w:val="0"/>
        <w:adjustRightInd/>
        <w:spacing w:line="390" w:lineRule="exact"/>
        <w:ind w:firstLine="777" w:firstLineChars="370"/>
        <w:textAlignment w:val="auto"/>
        <w:rPr>
          <w:rFonts w:hint="eastAsia" w:ascii="宋体" w:hAnsi="宋体"/>
          <w:color w:val="auto"/>
          <w:szCs w:val="21"/>
          <w:u w:val="none"/>
          <w:lang w:val="en-US" w:eastAsia="zh-CN"/>
        </w:rPr>
      </w:pPr>
      <w:r>
        <w:rPr>
          <w:rFonts w:hint="eastAsia" w:ascii="宋体" w:hAnsi="宋体"/>
          <w:color w:val="auto"/>
          <w:szCs w:val="21"/>
          <w:lang w:eastAsia="zh-CN"/>
        </w:rPr>
        <w:t>联系方式</w:t>
      </w:r>
      <w:r>
        <w:rPr>
          <w:rFonts w:hint="eastAsia" w:ascii="宋体" w:hAnsi="宋体"/>
          <w:color w:val="auto"/>
          <w:szCs w:val="21"/>
          <w:u w:val="none"/>
        </w:rPr>
        <w:t>：</w:t>
      </w:r>
      <w:r>
        <w:rPr>
          <w:rFonts w:hint="eastAsia" w:ascii="宋体" w:hAnsi="宋体"/>
          <w:color w:val="auto"/>
          <w:szCs w:val="21"/>
          <w:u w:val="none"/>
          <w:lang w:val="en-US" w:eastAsia="zh-CN"/>
        </w:rPr>
        <w:t>0775-2699135</w:t>
      </w:r>
    </w:p>
    <w:p w14:paraId="5D0AA84A">
      <w:pPr>
        <w:keepNext w:val="0"/>
        <w:keepLines w:val="0"/>
        <w:pageBreakBefore w:val="0"/>
        <w:numPr>
          <w:ilvl w:val="0"/>
          <w:numId w:val="2"/>
        </w:numPr>
        <w:kinsoku/>
        <w:wordWrap/>
        <w:overflowPunct/>
        <w:topLinePunct w:val="0"/>
        <w:autoSpaceDE/>
        <w:autoSpaceDN/>
        <w:bidi w:val="0"/>
        <w:adjustRightInd/>
        <w:spacing w:line="390" w:lineRule="exact"/>
        <w:ind w:firstLine="567" w:firstLineChars="270"/>
        <w:textAlignment w:val="auto"/>
        <w:rPr>
          <w:rFonts w:hint="eastAsia" w:ascii="宋体" w:hAnsi="宋体"/>
          <w:color w:val="auto"/>
          <w:szCs w:val="21"/>
          <w:u w:val="none"/>
          <w:lang w:val="en-US" w:eastAsia="zh-CN"/>
        </w:rPr>
      </w:pPr>
      <w:r>
        <w:rPr>
          <w:rFonts w:hint="eastAsia" w:ascii="宋体" w:hAnsi="宋体"/>
          <w:color w:val="auto"/>
          <w:szCs w:val="21"/>
          <w:u w:val="none"/>
          <w:lang w:val="en-US" w:eastAsia="zh-CN"/>
        </w:rPr>
        <w:t>监督部门</w:t>
      </w:r>
    </w:p>
    <w:p w14:paraId="235D1368">
      <w:pPr>
        <w:pStyle w:val="15"/>
        <w:keepNext w:val="0"/>
        <w:keepLines w:val="0"/>
        <w:pageBreakBefore w:val="0"/>
        <w:kinsoku/>
        <w:wordWrap/>
        <w:overflowPunct/>
        <w:topLinePunct w:val="0"/>
        <w:autoSpaceDE/>
        <w:autoSpaceDN/>
        <w:bidi w:val="0"/>
        <w:adjustRightInd/>
        <w:spacing w:line="390" w:lineRule="exact"/>
        <w:ind w:firstLine="540" w:firstLineChars="270"/>
        <w:textAlignment w:val="auto"/>
        <w:rPr>
          <w:rFonts w:hint="default" w:ascii="宋体" w:hAnsi="宋体" w:eastAsia="宋体" w:cs="Times New Roman"/>
          <w:color w:val="auto"/>
          <w:sz w:val="21"/>
          <w:lang w:val="en-US" w:eastAsia="zh-CN"/>
        </w:rPr>
      </w:pPr>
      <w:r>
        <w:rPr>
          <w:rFonts w:hint="eastAsia" w:ascii="宋体" w:hAnsi="宋体"/>
          <w:color w:val="auto"/>
          <w:szCs w:val="21"/>
          <w:u w:val="none"/>
          <w:lang w:val="en-US" w:eastAsia="zh-CN"/>
        </w:rPr>
        <w:t xml:space="preserve">  </w:t>
      </w:r>
      <w:r>
        <w:rPr>
          <w:rFonts w:hint="default" w:ascii="宋体" w:hAnsi="宋体" w:eastAsia="宋体" w:cs="Times New Roman"/>
          <w:color w:val="auto"/>
          <w:sz w:val="21"/>
          <w:lang w:val="en-US" w:eastAsia="zh-CN"/>
        </w:rPr>
        <w:t>名 称：</w:t>
      </w:r>
      <w:r>
        <w:rPr>
          <w:rFonts w:hint="eastAsia" w:ascii="宋体" w:hAnsi="宋体" w:eastAsia="宋体" w:cs="Times New Roman"/>
          <w:color w:val="auto"/>
          <w:sz w:val="21"/>
          <w:lang w:val="en-US" w:eastAsia="zh-CN"/>
        </w:rPr>
        <w:t>博白县</w:t>
      </w:r>
      <w:r>
        <w:rPr>
          <w:rFonts w:hint="default" w:ascii="宋体" w:hAnsi="宋体" w:eastAsia="宋体" w:cs="Times New Roman"/>
          <w:color w:val="auto"/>
          <w:sz w:val="21"/>
          <w:lang w:val="en-US" w:eastAsia="zh-CN"/>
        </w:rPr>
        <w:t xml:space="preserve">财政局 </w:t>
      </w:r>
    </w:p>
    <w:p w14:paraId="11A094B6">
      <w:pPr>
        <w:pStyle w:val="15"/>
        <w:keepNext w:val="0"/>
        <w:keepLines w:val="0"/>
        <w:pageBreakBefore w:val="0"/>
        <w:kinsoku/>
        <w:wordWrap/>
        <w:overflowPunct/>
        <w:topLinePunct w:val="0"/>
        <w:autoSpaceDE/>
        <w:autoSpaceDN/>
        <w:bidi w:val="0"/>
        <w:adjustRightInd/>
        <w:spacing w:line="390" w:lineRule="exact"/>
        <w:ind w:firstLine="777" w:firstLineChars="370"/>
        <w:textAlignment w:val="auto"/>
        <w:rPr>
          <w:rFonts w:hint="eastAsia" w:ascii="宋体" w:hAnsi="宋体" w:eastAsia="宋体" w:cs="Times New Roman"/>
          <w:color w:val="auto"/>
          <w:sz w:val="21"/>
          <w:lang w:val="en-US" w:eastAsia="zh-CN"/>
        </w:rPr>
      </w:pPr>
      <w:r>
        <w:rPr>
          <w:rFonts w:hint="default" w:ascii="宋体" w:hAnsi="宋体" w:eastAsia="宋体" w:cs="Times New Roman"/>
          <w:color w:val="auto"/>
          <w:sz w:val="21"/>
          <w:lang w:val="en-US" w:eastAsia="zh-CN"/>
        </w:rPr>
        <w:t>电 话：0775-</w:t>
      </w:r>
      <w:r>
        <w:rPr>
          <w:rFonts w:hint="eastAsia" w:ascii="宋体" w:hAnsi="宋体" w:eastAsia="宋体" w:cs="Times New Roman"/>
          <w:color w:val="auto"/>
          <w:sz w:val="21"/>
          <w:lang w:val="en-US" w:eastAsia="zh-CN"/>
        </w:rPr>
        <w:t>8331612</w:t>
      </w:r>
    </w:p>
    <w:p w14:paraId="04430DCC">
      <w:pPr>
        <w:spacing w:line="380" w:lineRule="exact"/>
        <w:ind w:firstLine="7035" w:firstLineChars="3350"/>
        <w:rPr>
          <w:rFonts w:hint="eastAsia" w:ascii="宋体" w:hAnsi="宋体" w:cs="Arial"/>
          <w:color w:val="auto"/>
          <w:szCs w:val="21"/>
          <w:lang w:eastAsia="zh-CN"/>
        </w:rPr>
      </w:pPr>
    </w:p>
    <w:p w14:paraId="7331340A">
      <w:pPr>
        <w:spacing w:line="380" w:lineRule="exact"/>
        <w:ind w:firstLine="7035" w:firstLineChars="3350"/>
        <w:rPr>
          <w:rFonts w:hint="eastAsia" w:ascii="宋体" w:hAnsi="宋体" w:cs="Arial"/>
          <w:color w:val="auto"/>
          <w:szCs w:val="21"/>
          <w:lang w:eastAsia="zh-CN"/>
        </w:rPr>
      </w:pPr>
    </w:p>
    <w:p w14:paraId="49EE3B2D">
      <w:pPr>
        <w:keepNext w:val="0"/>
        <w:keepLines w:val="0"/>
        <w:pageBreakBefore w:val="0"/>
        <w:widowControl w:val="0"/>
        <w:kinsoku/>
        <w:wordWrap/>
        <w:overflowPunct/>
        <w:topLinePunct w:val="0"/>
        <w:autoSpaceDE/>
        <w:autoSpaceDN/>
        <w:bidi w:val="0"/>
        <w:adjustRightInd/>
        <w:snapToGrid/>
        <w:spacing w:line="400" w:lineRule="exact"/>
        <w:ind w:firstLine="6930" w:firstLineChars="3300"/>
        <w:textAlignment w:val="auto"/>
        <w:rPr>
          <w:rFonts w:hint="eastAsia" w:ascii="宋体" w:hAnsi="宋体" w:eastAsia="宋体"/>
          <w:color w:val="auto"/>
          <w:szCs w:val="21"/>
          <w:lang w:eastAsia="zh-CN"/>
        </w:rPr>
      </w:pPr>
      <w:r>
        <w:rPr>
          <w:rFonts w:hint="eastAsia" w:ascii="宋体" w:hAnsi="宋体" w:cs="Arial"/>
          <w:color w:val="auto"/>
          <w:szCs w:val="21"/>
          <w:lang w:eastAsia="zh-CN"/>
        </w:rPr>
        <w:t>广西国泰招标咨询有限公司</w:t>
      </w:r>
    </w:p>
    <w:bookmarkEnd w:id="2"/>
    <w:bookmarkEnd w:id="10"/>
    <w:bookmarkEnd w:id="11"/>
    <w:bookmarkEnd w:id="12"/>
    <w:bookmarkEnd w:id="13"/>
    <w:p w14:paraId="41447F3D">
      <w:pPr>
        <w:keepNext w:val="0"/>
        <w:keepLines w:val="0"/>
        <w:pageBreakBefore w:val="0"/>
        <w:widowControl w:val="0"/>
        <w:kinsoku/>
        <w:wordWrap/>
        <w:overflowPunct/>
        <w:topLinePunct w:val="0"/>
        <w:autoSpaceDE/>
        <w:autoSpaceDN/>
        <w:bidi w:val="0"/>
        <w:adjustRightInd/>
        <w:snapToGrid/>
        <w:spacing w:line="400" w:lineRule="exact"/>
        <w:ind w:firstLine="7665" w:firstLineChars="3650"/>
        <w:jc w:val="left"/>
        <w:textAlignment w:val="auto"/>
        <w:rPr>
          <w:rFonts w:hint="eastAsia" w:ascii="宋体" w:hAnsi="宋体"/>
          <w:b/>
          <w:color w:val="auto"/>
          <w:sz w:val="32"/>
          <w:szCs w:val="32"/>
        </w:rPr>
      </w:pPr>
      <w:r>
        <w:rPr>
          <w:rFonts w:hint="eastAsia" w:ascii="宋体" w:hAnsi="宋体"/>
          <w:color w:val="auto"/>
          <w:lang w:eastAsia="zh-CN"/>
        </w:rPr>
        <w:t>2025年</w:t>
      </w:r>
      <w:r>
        <w:rPr>
          <w:rFonts w:hint="eastAsia" w:ascii="宋体" w:hAnsi="宋体"/>
          <w:color w:val="auto"/>
          <w:lang w:val="en-US" w:eastAsia="zh-CN"/>
        </w:rPr>
        <w:t>12月9日</w:t>
      </w:r>
    </w:p>
    <w:p w14:paraId="2E89F9B4">
      <w:pPr>
        <w:spacing w:line="280" w:lineRule="atLeast"/>
        <w:jc w:val="center"/>
        <w:rPr>
          <w:rFonts w:hint="eastAsia" w:ascii="宋体" w:hAnsi="宋体"/>
          <w:b/>
          <w:color w:val="auto"/>
          <w:sz w:val="44"/>
          <w:szCs w:val="44"/>
          <w:lang w:eastAsia="zh-CN"/>
        </w:rPr>
      </w:pPr>
    </w:p>
    <w:p w14:paraId="6858960E">
      <w:pPr>
        <w:spacing w:line="280" w:lineRule="atLeast"/>
        <w:jc w:val="center"/>
        <w:rPr>
          <w:rFonts w:hint="eastAsia" w:ascii="宋体" w:hAnsi="宋体"/>
          <w:b/>
          <w:color w:val="auto"/>
          <w:sz w:val="44"/>
          <w:szCs w:val="44"/>
          <w:lang w:eastAsia="zh-CN"/>
        </w:rPr>
      </w:pPr>
    </w:p>
    <w:p w14:paraId="2A7E8AED">
      <w:pPr>
        <w:spacing w:line="280" w:lineRule="atLeast"/>
        <w:jc w:val="center"/>
        <w:rPr>
          <w:rFonts w:hint="eastAsia" w:ascii="宋体" w:hAnsi="宋体"/>
          <w:b/>
          <w:color w:val="auto"/>
          <w:sz w:val="44"/>
          <w:szCs w:val="44"/>
          <w:lang w:eastAsia="zh-CN"/>
        </w:rPr>
      </w:pPr>
    </w:p>
    <w:p w14:paraId="4C433CB6">
      <w:pPr>
        <w:spacing w:line="280" w:lineRule="atLeast"/>
        <w:jc w:val="center"/>
        <w:rPr>
          <w:rFonts w:hint="eastAsia" w:ascii="宋体" w:hAnsi="宋体"/>
          <w:b/>
          <w:color w:val="auto"/>
          <w:sz w:val="44"/>
          <w:szCs w:val="44"/>
          <w:lang w:eastAsia="zh-CN"/>
        </w:rPr>
      </w:pPr>
    </w:p>
    <w:p w14:paraId="5D7981C9">
      <w:pPr>
        <w:spacing w:line="280" w:lineRule="atLeast"/>
        <w:jc w:val="center"/>
        <w:rPr>
          <w:rFonts w:hint="eastAsia" w:ascii="宋体" w:hAnsi="宋体"/>
          <w:b/>
          <w:color w:val="auto"/>
          <w:sz w:val="44"/>
          <w:szCs w:val="44"/>
          <w:lang w:eastAsia="zh-CN"/>
        </w:rPr>
      </w:pPr>
    </w:p>
    <w:p w14:paraId="53BB2138">
      <w:pPr>
        <w:spacing w:line="280" w:lineRule="atLeast"/>
        <w:jc w:val="center"/>
        <w:rPr>
          <w:rFonts w:hint="eastAsia" w:ascii="宋体" w:hAnsi="宋体"/>
          <w:b/>
          <w:color w:val="auto"/>
          <w:sz w:val="44"/>
          <w:szCs w:val="44"/>
          <w:lang w:eastAsia="zh-CN"/>
        </w:rPr>
      </w:pPr>
    </w:p>
    <w:p w14:paraId="4D89CACD">
      <w:pPr>
        <w:spacing w:line="280" w:lineRule="atLeast"/>
        <w:jc w:val="center"/>
        <w:rPr>
          <w:rFonts w:hint="eastAsia" w:ascii="宋体" w:hAnsi="宋体"/>
          <w:b/>
          <w:color w:val="auto"/>
          <w:sz w:val="44"/>
          <w:szCs w:val="44"/>
          <w:lang w:eastAsia="zh-CN"/>
        </w:rPr>
      </w:pPr>
    </w:p>
    <w:p w14:paraId="213C6FC1">
      <w:pPr>
        <w:spacing w:line="280" w:lineRule="atLeast"/>
        <w:jc w:val="center"/>
        <w:rPr>
          <w:rFonts w:hint="eastAsia" w:ascii="宋体" w:hAnsi="宋体"/>
          <w:b/>
          <w:color w:val="auto"/>
          <w:sz w:val="44"/>
          <w:szCs w:val="44"/>
          <w:lang w:eastAsia="zh-CN"/>
        </w:rPr>
      </w:pPr>
    </w:p>
    <w:p w14:paraId="25D939AF">
      <w:pPr>
        <w:spacing w:line="280" w:lineRule="atLeast"/>
        <w:jc w:val="center"/>
        <w:rPr>
          <w:rFonts w:hint="eastAsia" w:ascii="宋体" w:hAnsi="宋体"/>
          <w:b/>
          <w:color w:val="auto"/>
          <w:sz w:val="44"/>
          <w:szCs w:val="44"/>
          <w:lang w:eastAsia="zh-CN"/>
        </w:rPr>
      </w:pPr>
    </w:p>
    <w:p w14:paraId="66769217">
      <w:pPr>
        <w:spacing w:line="280" w:lineRule="atLeast"/>
        <w:jc w:val="center"/>
        <w:rPr>
          <w:rFonts w:hint="eastAsia" w:ascii="宋体" w:hAnsi="宋体"/>
          <w:b/>
          <w:color w:val="auto"/>
          <w:sz w:val="44"/>
          <w:szCs w:val="44"/>
          <w:lang w:eastAsia="zh-CN"/>
        </w:rPr>
      </w:pPr>
    </w:p>
    <w:p w14:paraId="0392F3E6">
      <w:pPr>
        <w:spacing w:line="280" w:lineRule="atLeast"/>
        <w:jc w:val="center"/>
        <w:rPr>
          <w:rFonts w:hint="eastAsia" w:ascii="宋体" w:hAnsi="宋体"/>
          <w:b/>
          <w:color w:val="auto"/>
          <w:sz w:val="44"/>
          <w:szCs w:val="44"/>
          <w:lang w:eastAsia="zh-CN"/>
        </w:rPr>
      </w:pPr>
    </w:p>
    <w:p w14:paraId="7B0E2066">
      <w:pPr>
        <w:spacing w:line="280" w:lineRule="atLeast"/>
        <w:jc w:val="center"/>
        <w:rPr>
          <w:rFonts w:hint="eastAsia" w:ascii="宋体" w:hAnsi="宋体"/>
          <w:b/>
          <w:color w:val="auto"/>
          <w:sz w:val="44"/>
          <w:szCs w:val="44"/>
          <w:lang w:eastAsia="zh-CN"/>
        </w:rPr>
      </w:pPr>
    </w:p>
    <w:p w14:paraId="5C76D287">
      <w:pPr>
        <w:spacing w:line="280" w:lineRule="atLeast"/>
        <w:jc w:val="center"/>
        <w:rPr>
          <w:rFonts w:hint="eastAsia" w:ascii="宋体" w:hAnsi="宋体"/>
          <w:b/>
          <w:color w:val="auto"/>
          <w:sz w:val="44"/>
          <w:szCs w:val="44"/>
          <w:lang w:eastAsia="zh-CN"/>
        </w:rPr>
      </w:pPr>
    </w:p>
    <w:p w14:paraId="46E28640">
      <w:pPr>
        <w:spacing w:line="280" w:lineRule="atLeast"/>
        <w:jc w:val="center"/>
        <w:rPr>
          <w:rFonts w:hint="eastAsia" w:ascii="宋体" w:hAnsi="宋体"/>
          <w:b/>
          <w:color w:val="auto"/>
          <w:sz w:val="44"/>
          <w:szCs w:val="44"/>
          <w:lang w:eastAsia="zh-CN"/>
        </w:rPr>
      </w:pPr>
    </w:p>
    <w:p w14:paraId="35DEBAE5">
      <w:pPr>
        <w:spacing w:line="280" w:lineRule="atLeast"/>
        <w:jc w:val="center"/>
        <w:rPr>
          <w:rFonts w:hint="eastAsia" w:ascii="宋体" w:hAnsi="宋体"/>
          <w:b/>
          <w:color w:val="auto"/>
          <w:sz w:val="44"/>
          <w:szCs w:val="44"/>
          <w:lang w:eastAsia="zh-CN"/>
        </w:rPr>
      </w:pPr>
    </w:p>
    <w:p w14:paraId="3368AEA4">
      <w:pPr>
        <w:spacing w:line="280" w:lineRule="atLeast"/>
        <w:jc w:val="center"/>
        <w:rPr>
          <w:rFonts w:hint="eastAsia" w:ascii="宋体" w:hAnsi="宋体"/>
          <w:b/>
          <w:color w:val="auto"/>
          <w:sz w:val="44"/>
          <w:szCs w:val="44"/>
          <w:lang w:eastAsia="zh-CN"/>
        </w:rPr>
      </w:pPr>
    </w:p>
    <w:p w14:paraId="6874F09C">
      <w:pPr>
        <w:spacing w:line="280" w:lineRule="atLeast"/>
        <w:jc w:val="both"/>
        <w:rPr>
          <w:rFonts w:hint="eastAsia" w:ascii="宋体" w:hAnsi="宋体"/>
          <w:b/>
          <w:color w:val="auto"/>
          <w:sz w:val="44"/>
          <w:szCs w:val="44"/>
          <w:lang w:eastAsia="zh-CN"/>
        </w:rPr>
      </w:pPr>
    </w:p>
    <w:p w14:paraId="3476D957">
      <w:pPr>
        <w:spacing w:line="280" w:lineRule="atLeast"/>
        <w:jc w:val="center"/>
        <w:rPr>
          <w:rFonts w:hint="default" w:ascii="宋体" w:hAnsi="宋体" w:eastAsia="宋体"/>
          <w:b/>
          <w:color w:val="auto"/>
          <w:sz w:val="44"/>
          <w:szCs w:val="44"/>
          <w:lang w:val="en-US" w:eastAsia="zh-CN"/>
        </w:rPr>
      </w:pPr>
      <w:r>
        <w:rPr>
          <w:rFonts w:hint="eastAsia" w:ascii="宋体" w:hAnsi="宋体"/>
          <w:b/>
          <w:color w:val="auto"/>
          <w:sz w:val="44"/>
          <w:szCs w:val="44"/>
          <w:lang w:eastAsia="zh-CN"/>
        </w:rPr>
        <w:t>第二章</w:t>
      </w:r>
      <w:r>
        <w:rPr>
          <w:rFonts w:hint="eastAsia" w:ascii="宋体" w:hAnsi="宋体"/>
          <w:b/>
          <w:color w:val="auto"/>
          <w:sz w:val="44"/>
          <w:szCs w:val="44"/>
          <w:lang w:val="en-US" w:eastAsia="zh-CN"/>
        </w:rPr>
        <w:t xml:space="preserve"> 供应商须知</w:t>
      </w:r>
    </w:p>
    <w:p w14:paraId="23E9C615">
      <w:pPr>
        <w:spacing w:line="280" w:lineRule="atLeast"/>
        <w:jc w:val="center"/>
        <w:rPr>
          <w:rFonts w:hint="eastAsia" w:ascii="宋体" w:hAnsi="宋体"/>
          <w:b/>
          <w:color w:val="auto"/>
          <w:sz w:val="32"/>
          <w:szCs w:val="32"/>
        </w:rPr>
      </w:pPr>
    </w:p>
    <w:p w14:paraId="597817D0">
      <w:pPr>
        <w:spacing w:line="280" w:lineRule="atLeast"/>
        <w:jc w:val="center"/>
        <w:rPr>
          <w:rFonts w:ascii="宋体" w:hAnsi="宋体"/>
          <w:b/>
          <w:color w:val="auto"/>
          <w:sz w:val="32"/>
          <w:szCs w:val="32"/>
        </w:rPr>
      </w:pPr>
      <w:r>
        <w:rPr>
          <w:rFonts w:hint="eastAsia" w:ascii="宋体" w:hAnsi="宋体"/>
          <w:b/>
          <w:color w:val="auto"/>
          <w:sz w:val="32"/>
          <w:szCs w:val="32"/>
        </w:rPr>
        <w:t>供应商须知前附表</w:t>
      </w:r>
    </w:p>
    <w:p w14:paraId="4606548D">
      <w:pPr>
        <w:spacing w:line="280" w:lineRule="atLeast"/>
        <w:jc w:val="center"/>
        <w:rPr>
          <w:rFonts w:ascii="宋体" w:hAnsi="宋体"/>
          <w:b/>
          <w:color w:val="auto"/>
          <w:sz w:val="32"/>
          <w:szCs w:val="32"/>
        </w:rPr>
      </w:pPr>
    </w:p>
    <w:tbl>
      <w:tblPr>
        <w:tblStyle w:val="27"/>
        <w:tblW w:w="96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95"/>
      </w:tblGrid>
      <w:tr w14:paraId="549C5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34D41908">
            <w:pPr>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8695" w:type="dxa"/>
          </w:tcPr>
          <w:p w14:paraId="13E59691">
            <w:pPr>
              <w:spacing w:line="360" w:lineRule="auto"/>
              <w:jc w:val="center"/>
              <w:rPr>
                <w:rFonts w:ascii="宋体" w:hAnsi="宋体" w:cs="宋体"/>
                <w:b/>
                <w:color w:val="auto"/>
                <w:szCs w:val="21"/>
              </w:rPr>
            </w:pPr>
            <w:r>
              <w:rPr>
                <w:rFonts w:hint="eastAsia" w:ascii="宋体" w:hAnsi="宋体" w:cs="宋体"/>
                <w:b/>
                <w:color w:val="auto"/>
                <w:szCs w:val="21"/>
              </w:rPr>
              <w:t>内    容</w:t>
            </w:r>
          </w:p>
        </w:tc>
      </w:tr>
      <w:tr w14:paraId="1C518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02FF358">
            <w:pPr>
              <w:spacing w:line="360" w:lineRule="auto"/>
              <w:jc w:val="center"/>
              <w:rPr>
                <w:rFonts w:ascii="宋体" w:hAnsi="宋体" w:cs="宋体"/>
                <w:color w:val="auto"/>
                <w:szCs w:val="21"/>
              </w:rPr>
            </w:pPr>
            <w:r>
              <w:rPr>
                <w:rFonts w:hint="eastAsia" w:ascii="宋体" w:hAnsi="宋体" w:cs="宋体"/>
                <w:color w:val="auto"/>
                <w:szCs w:val="21"/>
              </w:rPr>
              <w:t>3</w:t>
            </w:r>
          </w:p>
        </w:tc>
        <w:tc>
          <w:tcPr>
            <w:tcW w:w="8695" w:type="dxa"/>
            <w:vAlign w:val="center"/>
          </w:tcPr>
          <w:p w14:paraId="0DD3E96B">
            <w:pPr>
              <w:spacing w:line="360" w:lineRule="auto"/>
              <w:rPr>
                <w:rFonts w:ascii="宋体" w:hAnsi="宋体" w:cs="宋体"/>
                <w:color w:val="auto"/>
                <w:szCs w:val="21"/>
              </w:rPr>
            </w:pPr>
            <w:r>
              <w:rPr>
                <w:rFonts w:hint="eastAsia" w:ascii="宋体" w:hAnsi="宋体" w:cs="宋体"/>
                <w:color w:val="auto"/>
                <w:szCs w:val="21"/>
              </w:rPr>
              <w:t>供应商的资格条件：详见竞争性谈判公告</w:t>
            </w:r>
          </w:p>
        </w:tc>
      </w:tr>
      <w:tr w14:paraId="293D1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1D4BAE3">
            <w:pPr>
              <w:spacing w:line="360" w:lineRule="auto"/>
              <w:jc w:val="center"/>
              <w:rPr>
                <w:rFonts w:ascii="宋体" w:hAnsi="宋体" w:cs="宋体"/>
                <w:color w:val="auto"/>
                <w:szCs w:val="21"/>
              </w:rPr>
            </w:pPr>
            <w:r>
              <w:rPr>
                <w:rFonts w:hint="eastAsia" w:ascii="宋体" w:hAnsi="宋体" w:cs="宋体"/>
                <w:color w:val="auto"/>
                <w:szCs w:val="21"/>
              </w:rPr>
              <w:t>5.1</w:t>
            </w:r>
          </w:p>
        </w:tc>
        <w:tc>
          <w:tcPr>
            <w:tcW w:w="8695" w:type="dxa"/>
            <w:vAlign w:val="center"/>
          </w:tcPr>
          <w:p w14:paraId="6254BDD8">
            <w:pPr>
              <w:spacing w:line="360" w:lineRule="auto"/>
              <w:rPr>
                <w:rFonts w:ascii="宋体" w:hAnsi="宋体" w:cs="宋体"/>
                <w:color w:val="auto"/>
                <w:szCs w:val="21"/>
              </w:rPr>
            </w:pPr>
            <w:r>
              <w:rPr>
                <w:rFonts w:hint="eastAsia" w:ascii="宋体" w:hAnsi="宋体" w:cs="宋体"/>
                <w:color w:val="auto"/>
                <w:szCs w:val="21"/>
              </w:rPr>
              <w:t>是否接受联合体竞标: 详见竞争性谈判公告</w:t>
            </w:r>
          </w:p>
        </w:tc>
      </w:tr>
      <w:tr w14:paraId="49A80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983CFB0">
            <w:pPr>
              <w:spacing w:line="360" w:lineRule="auto"/>
              <w:jc w:val="center"/>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.2</w:t>
            </w:r>
          </w:p>
        </w:tc>
        <w:tc>
          <w:tcPr>
            <w:tcW w:w="8695" w:type="dxa"/>
            <w:vAlign w:val="center"/>
          </w:tcPr>
          <w:p w14:paraId="43DBA78D">
            <w:pPr>
              <w:spacing w:line="360" w:lineRule="auto"/>
              <w:rPr>
                <w:rFonts w:ascii="宋体" w:hAnsi="宋体" w:cs="宋体"/>
                <w:color w:val="auto"/>
                <w:szCs w:val="21"/>
              </w:rPr>
            </w:pPr>
            <w:r>
              <w:rPr>
                <w:rFonts w:hint="eastAsia" w:ascii="宋体" w:hAnsi="宋体"/>
                <w:color w:val="auto"/>
                <w:szCs w:val="21"/>
              </w:rPr>
              <w:t>如接受联合体竞标，联合体竞标要求如下：</w:t>
            </w:r>
          </w:p>
          <w:p w14:paraId="4606E4E2">
            <w:pPr>
              <w:autoSpaceDE w:val="0"/>
              <w:autoSpaceDN w:val="0"/>
              <w:snapToGrid w:val="0"/>
              <w:spacing w:line="400" w:lineRule="exact"/>
              <w:textAlignment w:val="bottom"/>
              <w:rPr>
                <w:rFonts w:ascii="宋体" w:hAnsi="宋体"/>
                <w:color w:val="auto"/>
                <w:szCs w:val="21"/>
              </w:rPr>
            </w:pPr>
            <w:r>
              <w:rPr>
                <w:rFonts w:hint="eastAsia" w:ascii="宋体" w:hAnsi="宋体"/>
                <w:color w:val="auto"/>
                <w:szCs w:val="21"/>
              </w:rPr>
              <w:t>1、两个以上供应商可以组成一个竞标联合体，以一个供应商的身份共同参加竞标，联合体供应商的名称应统一按“XXX 公司与 XXX 公司的联合体”的规则填写。</w:t>
            </w:r>
            <w:r>
              <w:rPr>
                <w:rFonts w:hint="eastAsia" w:ascii="宋体" w:hAnsi="宋体"/>
                <w:color w:val="auto"/>
                <w:szCs w:val="21"/>
              </w:rPr>
              <w:tab/>
            </w:r>
          </w:p>
          <w:p w14:paraId="5109216C">
            <w:pPr>
              <w:autoSpaceDE w:val="0"/>
              <w:autoSpaceDN w:val="0"/>
              <w:snapToGrid w:val="0"/>
              <w:spacing w:line="400" w:lineRule="exact"/>
              <w:textAlignment w:val="bottom"/>
              <w:rPr>
                <w:rFonts w:ascii="宋体" w:hAnsi="宋体"/>
                <w:color w:val="auto"/>
                <w:szCs w:val="21"/>
              </w:rPr>
            </w:pPr>
            <w:r>
              <w:rPr>
                <w:rFonts w:hint="eastAsia" w:ascii="宋体" w:hAnsi="宋体"/>
                <w:color w:val="auto"/>
                <w:szCs w:val="21"/>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谈判公告“申请人的资格条件”第3点 “3、本项目的特定资格要求”的要求。</w:t>
            </w:r>
          </w:p>
          <w:p w14:paraId="06597FAB">
            <w:pPr>
              <w:autoSpaceDE w:val="0"/>
              <w:autoSpaceDN w:val="0"/>
              <w:snapToGrid w:val="0"/>
              <w:spacing w:line="400" w:lineRule="exact"/>
              <w:textAlignment w:val="bottom"/>
              <w:rPr>
                <w:rFonts w:ascii="宋体" w:hAnsi="宋体"/>
                <w:color w:val="auto"/>
                <w:szCs w:val="21"/>
              </w:rPr>
            </w:pPr>
            <w:r>
              <w:rPr>
                <w:rFonts w:hint="eastAsia" w:ascii="宋体" w:hAnsi="宋体"/>
                <w:color w:val="auto"/>
                <w:szCs w:val="21"/>
              </w:rPr>
              <w:t>3、联合体竞标的，须提供《联合体竞标协议书》（格式后附），协议书必须明确主体方（或者牵头方）并明确约定联合体各方承担的工作和相应的责任（各方承担责任与义务的分工必须符合采购需求，否则，联合体响应无效），并将联合竞标协议放入响应文件。联合体各方必须共同与采购人签订采购合同，就采购合同约定的事项对采购人承担连带责任。</w:t>
            </w:r>
            <w:r>
              <w:rPr>
                <w:rFonts w:hint="eastAsia" w:ascii="宋体" w:hAnsi="宋体"/>
                <w:color w:val="auto"/>
                <w:szCs w:val="21"/>
              </w:rPr>
              <w:tab/>
            </w:r>
          </w:p>
          <w:p w14:paraId="30D5F568">
            <w:pPr>
              <w:autoSpaceDE w:val="0"/>
              <w:autoSpaceDN w:val="0"/>
              <w:snapToGrid w:val="0"/>
              <w:spacing w:line="400" w:lineRule="exact"/>
              <w:textAlignment w:val="bottom"/>
              <w:rPr>
                <w:rFonts w:ascii="宋体" w:hAnsi="宋体"/>
                <w:color w:val="auto"/>
                <w:szCs w:val="21"/>
              </w:rPr>
            </w:pPr>
            <w:r>
              <w:rPr>
                <w:rFonts w:hint="eastAsia" w:ascii="宋体" w:hAnsi="宋体"/>
                <w:color w:val="auto"/>
                <w:szCs w:val="21"/>
              </w:rPr>
              <w:t>4、以联合体形式参加政府采购活动的，联合体各方不得再单独参加或者与其他供应商另外组成联合体参加同一合同项下的政府采购活动，否则与之相关的响应文件作废。</w:t>
            </w:r>
            <w:r>
              <w:rPr>
                <w:rFonts w:hint="eastAsia" w:ascii="宋体" w:hAnsi="宋体"/>
                <w:color w:val="auto"/>
                <w:szCs w:val="21"/>
              </w:rPr>
              <w:tab/>
            </w:r>
            <w:r>
              <w:rPr>
                <w:rFonts w:hint="eastAsia" w:ascii="宋体" w:hAnsi="宋体"/>
                <w:color w:val="auto"/>
                <w:szCs w:val="21"/>
              </w:rPr>
              <w:tab/>
            </w:r>
          </w:p>
          <w:p w14:paraId="4E001D02">
            <w:pPr>
              <w:autoSpaceDE w:val="0"/>
              <w:autoSpaceDN w:val="0"/>
              <w:snapToGrid w:val="0"/>
              <w:spacing w:line="400" w:lineRule="exact"/>
              <w:textAlignment w:val="bottom"/>
              <w:rPr>
                <w:rFonts w:ascii="宋体" w:hAnsi="宋体"/>
                <w:color w:val="auto"/>
                <w:szCs w:val="21"/>
              </w:rPr>
            </w:pPr>
            <w:r>
              <w:rPr>
                <w:rFonts w:hint="eastAsia" w:ascii="宋体" w:hAnsi="宋体"/>
                <w:color w:val="auto"/>
                <w:szCs w:val="21"/>
              </w:rPr>
              <w:t>5、联合体中有同类资质的供应商按照联合体分工承担相同工作的，应当按照资质等级较低的供应商确定资质等级。</w:t>
            </w:r>
            <w:r>
              <w:rPr>
                <w:rFonts w:hint="eastAsia" w:ascii="宋体" w:hAnsi="宋体"/>
                <w:color w:val="auto"/>
                <w:szCs w:val="21"/>
              </w:rPr>
              <w:tab/>
            </w:r>
            <w:r>
              <w:rPr>
                <w:rFonts w:hint="eastAsia" w:ascii="宋体" w:hAnsi="宋体"/>
                <w:color w:val="auto"/>
                <w:szCs w:val="21"/>
              </w:rPr>
              <w:tab/>
            </w:r>
          </w:p>
          <w:p w14:paraId="50265CF3">
            <w:pPr>
              <w:autoSpaceDE w:val="0"/>
              <w:autoSpaceDN w:val="0"/>
              <w:snapToGrid w:val="0"/>
              <w:spacing w:line="400" w:lineRule="exact"/>
              <w:textAlignment w:val="bottom"/>
              <w:rPr>
                <w:rFonts w:ascii="宋体" w:hAnsi="宋体"/>
                <w:color w:val="auto"/>
                <w:szCs w:val="21"/>
              </w:rPr>
            </w:pPr>
            <w:r>
              <w:rPr>
                <w:rFonts w:hint="eastAsia" w:ascii="宋体" w:hAnsi="宋体"/>
                <w:color w:val="auto"/>
                <w:szCs w:val="21"/>
              </w:rPr>
              <w:t>6、联合体竞标业绩、履约能力按照联合体各方其中较高的一方认定并计算（竞争性谈判文件另有规定的除外）。</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p>
          <w:p w14:paraId="6D1B0FBB">
            <w:pPr>
              <w:spacing w:line="360" w:lineRule="auto"/>
              <w:rPr>
                <w:rFonts w:ascii="宋体" w:hAnsi="宋体" w:cs="宋体"/>
                <w:color w:val="auto"/>
                <w:szCs w:val="21"/>
              </w:rPr>
            </w:pPr>
            <w:r>
              <w:rPr>
                <w:rFonts w:hint="eastAsia" w:ascii="宋体" w:hAnsi="宋体"/>
                <w:color w:val="auto"/>
                <w:szCs w:val="21"/>
              </w:rPr>
              <w:t>7、联合体各方均应按照竞争性谈判文件的规定提交资格证明文件。</w:t>
            </w:r>
          </w:p>
        </w:tc>
      </w:tr>
      <w:tr w14:paraId="31046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900529C">
            <w:pPr>
              <w:spacing w:line="360" w:lineRule="auto"/>
              <w:jc w:val="center"/>
              <w:rPr>
                <w:rFonts w:ascii="宋体" w:hAnsi="宋体" w:cs="宋体"/>
                <w:color w:val="auto"/>
                <w:szCs w:val="21"/>
              </w:rPr>
            </w:pPr>
            <w:r>
              <w:rPr>
                <w:rFonts w:hint="eastAsia" w:ascii="宋体" w:hAnsi="宋体" w:cs="宋体"/>
                <w:color w:val="auto"/>
                <w:szCs w:val="21"/>
              </w:rPr>
              <w:t>6.2</w:t>
            </w:r>
          </w:p>
        </w:tc>
        <w:tc>
          <w:tcPr>
            <w:tcW w:w="8695" w:type="dxa"/>
            <w:vAlign w:val="center"/>
          </w:tcPr>
          <w:p w14:paraId="31164BBE">
            <w:pPr>
              <w:pStyle w:val="10"/>
              <w:spacing w:line="400" w:lineRule="exact"/>
              <w:rPr>
                <w:rFonts w:ascii="宋体" w:hAnsi="宋体"/>
                <w:color w:val="auto"/>
                <w:szCs w:val="21"/>
                <w:u w:val="single"/>
              </w:rPr>
            </w:pPr>
            <w:r>
              <w:rPr>
                <w:rFonts w:hint="eastAsia" w:ascii="宋体" w:hAnsi="宋体"/>
                <w:color w:val="auto"/>
                <w:szCs w:val="21"/>
              </w:rPr>
              <w:t>本项目不允许分包。</w:t>
            </w:r>
          </w:p>
        </w:tc>
      </w:tr>
      <w:tr w14:paraId="6D1BB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51AA78">
            <w:pPr>
              <w:spacing w:line="360" w:lineRule="auto"/>
              <w:jc w:val="center"/>
              <w:rPr>
                <w:rFonts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8695" w:type="dxa"/>
            <w:vAlign w:val="center"/>
          </w:tcPr>
          <w:p w14:paraId="5699FEF1">
            <w:pPr>
              <w:snapToGrid w:val="0"/>
              <w:spacing w:line="360" w:lineRule="auto"/>
              <w:jc w:val="left"/>
              <w:rPr>
                <w:rFonts w:ascii="宋体" w:hAnsi="宋体" w:cs="宋体"/>
                <w:b/>
                <w:color w:val="auto"/>
                <w:szCs w:val="21"/>
              </w:rPr>
            </w:pPr>
            <w:r>
              <w:rPr>
                <w:rFonts w:hint="eastAsia" w:ascii="宋体" w:hAnsi="宋体" w:cs="宋体"/>
                <w:b/>
                <w:color w:val="auto"/>
                <w:szCs w:val="21"/>
              </w:rPr>
              <w:t>资格证明文件</w:t>
            </w:r>
          </w:p>
          <w:p w14:paraId="6D8EC61D">
            <w:pPr>
              <w:snapToGrid w:val="0"/>
              <w:spacing w:line="360" w:lineRule="auto"/>
              <w:jc w:val="left"/>
              <w:rPr>
                <w:rFonts w:ascii="宋体" w:hAnsi="宋体" w:cs="宋体"/>
                <w:color w:val="auto"/>
                <w:szCs w:val="21"/>
              </w:rPr>
            </w:pPr>
            <w:r>
              <w:rPr>
                <w:rFonts w:hint="eastAsia" w:ascii="宋体" w:hAnsi="宋体" w:cs="宋体"/>
                <w:color w:val="auto"/>
                <w:szCs w:val="21"/>
              </w:rPr>
              <w:t>1、供应商为法人或者其他组织的，</w:t>
            </w:r>
            <w:r>
              <w:rPr>
                <w:rFonts w:hint="eastAsia" w:ascii="宋体" w:hAnsi="宋体"/>
                <w:color w:val="auto"/>
                <w:szCs w:val="21"/>
              </w:rPr>
              <w:t>证明文件为其营业执照复印件（如营业执照或者事业单位法人证书或者执业许可证等）；供应商为自然人的，证明文件为其身份证复印件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115CD1B">
            <w:pPr>
              <w:spacing w:line="360" w:lineRule="auto"/>
              <w:contextualSpacing/>
              <w:jc w:val="left"/>
              <w:rPr>
                <w:rFonts w:ascii="宋体" w:hAnsi="宋体" w:cs="宋体"/>
                <w:color w:val="auto"/>
                <w:szCs w:val="21"/>
              </w:rPr>
            </w:pPr>
            <w:r>
              <w:rPr>
                <w:rFonts w:hint="eastAsia" w:ascii="宋体" w:hAnsi="宋体" w:cs="宋体"/>
                <w:color w:val="auto"/>
                <w:szCs w:val="21"/>
              </w:rPr>
              <w:t>2、供应商依法缴纳税收的相关材料（</w:t>
            </w:r>
            <w:r>
              <w:rPr>
                <w:rFonts w:hint="eastAsia" w:ascii="宋体" w:hAnsi="宋体" w:cs="宋体"/>
                <w:color w:val="auto"/>
                <w:szCs w:val="21"/>
                <w:lang w:eastAsia="zh-CN"/>
              </w:rPr>
              <w:t>2025年</w:t>
            </w:r>
            <w:r>
              <w:rPr>
                <w:rFonts w:hint="eastAsia" w:ascii="宋体" w:hAnsi="宋体" w:cs="宋体"/>
                <w:color w:val="auto"/>
                <w:szCs w:val="21"/>
                <w:lang w:val="en-US" w:eastAsia="zh-CN"/>
              </w:rPr>
              <w:t>6</w:t>
            </w:r>
            <w:r>
              <w:rPr>
                <w:rFonts w:hint="eastAsia" w:ascii="宋体" w:hAnsi="宋体" w:cs="宋体"/>
                <w:color w:val="auto"/>
                <w:szCs w:val="21"/>
              </w:rPr>
              <w:t>月至截标前任意1个月的依法缴纳税收的凭据复印件；</w:t>
            </w:r>
            <w:r>
              <w:rPr>
                <w:rFonts w:hint="eastAsia"/>
                <w:color w:val="auto"/>
              </w:rPr>
              <w:t>依法免税的，必须提供相应文件证明其依法免税。</w:t>
            </w:r>
            <w:r>
              <w:rPr>
                <w:rFonts w:hint="eastAsia" w:ascii="宋体" w:hAnsi="宋体" w:cs="宋体"/>
                <w:color w:val="auto"/>
                <w:szCs w:val="21"/>
              </w:rPr>
              <w:t>从</w:t>
            </w:r>
            <w:r>
              <w:rPr>
                <w:color w:val="auto"/>
                <w:szCs w:val="21"/>
              </w:rPr>
              <w:t>成立</w:t>
            </w:r>
            <w:r>
              <w:rPr>
                <w:rFonts w:hint="eastAsia"/>
                <w:color w:val="auto"/>
                <w:szCs w:val="21"/>
              </w:rPr>
              <w:t>之日起</w:t>
            </w:r>
            <w:r>
              <w:rPr>
                <w:rFonts w:hint="eastAsia" w:ascii="宋体" w:hAnsi="宋体" w:cs="宋体"/>
                <w:color w:val="auto"/>
                <w:szCs w:val="21"/>
              </w:rPr>
              <w:t>到响应文件提交截止时间止不足要求月数的，只需提供从</w:t>
            </w:r>
            <w:r>
              <w:rPr>
                <w:color w:val="auto"/>
                <w:szCs w:val="21"/>
              </w:rPr>
              <w:t>成立</w:t>
            </w:r>
            <w:r>
              <w:rPr>
                <w:rFonts w:hint="eastAsia"/>
                <w:color w:val="auto"/>
                <w:szCs w:val="21"/>
              </w:rPr>
              <w:t>之日起</w:t>
            </w:r>
            <w:r>
              <w:rPr>
                <w:rFonts w:hint="eastAsia" w:ascii="宋体" w:hAnsi="宋体" w:cs="宋体"/>
                <w:color w:val="auto"/>
                <w:szCs w:val="21"/>
              </w:rPr>
              <w:t>的依法缴纳税收</w:t>
            </w:r>
            <w:r>
              <w:rPr>
                <w:rFonts w:hint="eastAsia"/>
                <w:color w:val="auto"/>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B3E6B38">
            <w:pPr>
              <w:spacing w:line="360" w:lineRule="auto"/>
              <w:contextualSpacing/>
              <w:jc w:val="left"/>
              <w:rPr>
                <w:rFonts w:ascii="宋体" w:hAnsi="宋体" w:cs="宋体"/>
                <w:color w:val="auto"/>
                <w:szCs w:val="21"/>
              </w:rPr>
            </w:pPr>
            <w:r>
              <w:rPr>
                <w:rFonts w:hint="eastAsia" w:ascii="宋体" w:hAnsi="宋体" w:cs="宋体"/>
                <w:color w:val="auto"/>
                <w:szCs w:val="21"/>
              </w:rPr>
              <w:t>3、供应商依法缴纳社会保障资金的相关材料（</w:t>
            </w:r>
            <w:r>
              <w:rPr>
                <w:rFonts w:hint="eastAsia" w:ascii="宋体" w:hAnsi="宋体" w:cs="宋体"/>
                <w:color w:val="auto"/>
                <w:szCs w:val="21"/>
                <w:lang w:eastAsia="zh-CN"/>
              </w:rPr>
              <w:t>2025年</w:t>
            </w:r>
            <w:r>
              <w:rPr>
                <w:rFonts w:hint="eastAsia" w:ascii="宋体" w:hAnsi="宋体" w:cs="宋体"/>
                <w:color w:val="auto"/>
                <w:szCs w:val="21"/>
                <w:lang w:val="en-US" w:eastAsia="zh-CN"/>
              </w:rPr>
              <w:t>6</w:t>
            </w:r>
            <w:r>
              <w:rPr>
                <w:rFonts w:hint="eastAsia" w:ascii="宋体" w:hAnsi="宋体" w:cs="宋体"/>
                <w:color w:val="auto"/>
                <w:szCs w:val="21"/>
              </w:rPr>
              <w:t>月至截标前任意1个月的依法缴纳社会保障资金的缴费凭证（完税证明或者社会保险缴费证明）复印件。供应商</w:t>
            </w:r>
            <w:r>
              <w:rPr>
                <w:rFonts w:hint="eastAsia"/>
                <w:color w:val="auto"/>
              </w:rPr>
              <w:t>依法不需要缴纳社会保障资金的，必须提供相应文件证明不需要缴纳社会保障资金。</w:t>
            </w:r>
            <w:r>
              <w:rPr>
                <w:rFonts w:hint="eastAsia" w:ascii="宋体" w:hAnsi="宋体" w:cs="宋体"/>
                <w:color w:val="auto"/>
                <w:szCs w:val="21"/>
              </w:rPr>
              <w:t>从</w:t>
            </w:r>
            <w:r>
              <w:rPr>
                <w:color w:val="auto"/>
                <w:szCs w:val="21"/>
              </w:rPr>
              <w:t>成立</w:t>
            </w:r>
            <w:r>
              <w:rPr>
                <w:rFonts w:hint="eastAsia"/>
                <w:color w:val="auto"/>
                <w:szCs w:val="21"/>
              </w:rPr>
              <w:t>之日起</w:t>
            </w:r>
            <w:r>
              <w:rPr>
                <w:rFonts w:hint="eastAsia" w:ascii="宋体" w:hAnsi="宋体" w:cs="宋体"/>
                <w:color w:val="auto"/>
                <w:szCs w:val="21"/>
              </w:rPr>
              <w:t>到响应文件提交截止时间止不足要求月数的只需提供从</w:t>
            </w:r>
            <w:r>
              <w:rPr>
                <w:color w:val="auto"/>
                <w:szCs w:val="21"/>
              </w:rPr>
              <w:t>成立</w:t>
            </w:r>
            <w:r>
              <w:rPr>
                <w:rFonts w:hint="eastAsia"/>
                <w:color w:val="auto"/>
                <w:szCs w:val="21"/>
              </w:rPr>
              <w:t>之日起</w:t>
            </w:r>
            <w:r>
              <w:rPr>
                <w:rFonts w:hint="eastAsia" w:ascii="宋体" w:hAnsi="宋体" w:cs="宋体"/>
                <w:color w:val="auto"/>
                <w:szCs w:val="21"/>
              </w:rPr>
              <w:t>的依法缴纳社会保障资金的</w:t>
            </w:r>
            <w:r>
              <w:rPr>
                <w:rFonts w:hint="eastAsia"/>
                <w:color w:val="auto"/>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1923F50E">
            <w:pPr>
              <w:spacing w:line="360" w:lineRule="auto"/>
              <w:contextualSpacing/>
              <w:jc w:val="left"/>
              <w:rPr>
                <w:rFonts w:ascii="宋体" w:hAnsi="宋体" w:cs="宋体"/>
                <w:b/>
                <w:color w:val="auto"/>
                <w:szCs w:val="21"/>
              </w:rPr>
            </w:pPr>
            <w:r>
              <w:rPr>
                <w:rFonts w:hint="eastAsia" w:ascii="宋体" w:hAnsi="宋体" w:cs="宋体"/>
                <w:color w:val="auto"/>
                <w:szCs w:val="21"/>
              </w:rPr>
              <w:t>4、竞标人财务状况报告（</w:t>
            </w:r>
            <w:r>
              <w:rPr>
                <w:rFonts w:hint="eastAsia" w:ascii="宋体" w:hAnsi="宋体" w:cs="宋体"/>
                <w:color w:val="auto"/>
                <w:szCs w:val="21"/>
                <w:lang w:val="en-US" w:eastAsia="zh-CN"/>
              </w:rPr>
              <w:t>2024年度</w:t>
            </w:r>
            <w:r>
              <w:rPr>
                <w:rFonts w:hint="eastAsia" w:ascii="宋体" w:hAnsi="宋体" w:cs="宋体"/>
                <w:color w:val="auto"/>
                <w:szCs w:val="21"/>
              </w:rPr>
              <w:t>财务报表复印件或者银行出具的资信证明；竞标人属于成立</w:t>
            </w:r>
            <w:r>
              <w:rPr>
                <w:rFonts w:ascii="宋体" w:hAnsi="宋体" w:cs="宋体"/>
                <w:color w:val="auto"/>
                <w:szCs w:val="21"/>
              </w:rPr>
              <w:t>时间</w:t>
            </w:r>
            <w:r>
              <w:rPr>
                <w:rFonts w:hint="eastAsia" w:ascii="宋体" w:hAnsi="宋体" w:cs="宋体"/>
                <w:color w:val="auto"/>
                <w:szCs w:val="21"/>
              </w:rPr>
              <w:t>在规定年度之后</w:t>
            </w:r>
            <w:r>
              <w:rPr>
                <w:rFonts w:ascii="宋体" w:hAnsi="宋体" w:cs="宋体"/>
                <w:color w:val="auto"/>
                <w:szCs w:val="21"/>
              </w:rPr>
              <w:t>的</w:t>
            </w:r>
            <w:r>
              <w:rPr>
                <w:rFonts w:hint="eastAsia" w:ascii="宋体" w:hAnsi="宋体" w:cs="宋体"/>
                <w:color w:val="auto"/>
                <w:szCs w:val="21"/>
              </w:rPr>
              <w:t>法人或其他组织</w:t>
            </w:r>
            <w:r>
              <w:rPr>
                <w:rFonts w:ascii="宋体" w:hAnsi="宋体" w:cs="宋体"/>
                <w:color w:val="auto"/>
                <w:szCs w:val="21"/>
              </w:rPr>
              <w:t>，需提供成立</w:t>
            </w:r>
            <w:r>
              <w:rPr>
                <w:rFonts w:hint="eastAsia" w:ascii="宋体" w:hAnsi="宋体" w:cs="宋体"/>
                <w:color w:val="auto"/>
                <w:szCs w:val="21"/>
              </w:rPr>
              <w:t>之日起至</w:t>
            </w:r>
            <w:r>
              <w:rPr>
                <w:rFonts w:hint="eastAsia" w:ascii="宋体" w:hAnsi="宋体" w:cs="宋体"/>
                <w:color w:val="auto"/>
                <w:szCs w:val="21"/>
                <w:lang w:eastAsia="zh-CN"/>
              </w:rPr>
              <w:t>竞标</w:t>
            </w:r>
            <w:r>
              <w:rPr>
                <w:rFonts w:hint="eastAsia" w:ascii="宋体" w:hAnsi="宋体" w:cs="宋体"/>
                <w:color w:val="auto"/>
                <w:szCs w:val="21"/>
              </w:rPr>
              <w:t>截止时间前</w:t>
            </w:r>
            <w:r>
              <w:rPr>
                <w:rFonts w:ascii="宋体" w:hAnsi="宋体" w:cs="宋体"/>
                <w:color w:val="auto"/>
                <w:szCs w:val="21"/>
              </w:rPr>
              <w:t>的月报表</w:t>
            </w:r>
            <w:r>
              <w:rPr>
                <w:rFonts w:hint="eastAsia" w:ascii="宋体" w:hAnsi="宋体" w:cs="宋体"/>
                <w:color w:val="auto"/>
                <w:szCs w:val="21"/>
              </w:rPr>
              <w:t>或银行出具的资信证明；资信证明应在有效期内，未注明有效期的，银行出具时间至</w:t>
            </w:r>
            <w:r>
              <w:rPr>
                <w:rFonts w:hint="eastAsia" w:ascii="宋体" w:hAnsi="宋体" w:cs="宋体"/>
                <w:color w:val="auto"/>
                <w:szCs w:val="21"/>
                <w:lang w:eastAsia="zh-CN"/>
              </w:rPr>
              <w:t>竞标</w:t>
            </w:r>
            <w:r>
              <w:rPr>
                <w:rFonts w:hint="eastAsia" w:ascii="宋体" w:hAnsi="宋体" w:cs="宋体"/>
                <w:color w:val="auto"/>
                <w:szCs w:val="21"/>
              </w:rPr>
              <w:t>截止时间不超过一年；</w:t>
            </w:r>
            <w:r>
              <w:rPr>
                <w:rFonts w:hint="eastAsia" w:ascii="宋体" w:hAnsi="宋体" w:cs="宋体"/>
                <w:bCs/>
                <w:color w:val="auto"/>
                <w:szCs w:val="21"/>
              </w:rPr>
              <w:t>（</w:t>
            </w:r>
            <w:r>
              <w:rPr>
                <w:rFonts w:hint="eastAsia" w:ascii="宋体" w:hAnsi="宋体"/>
                <w:b/>
                <w:color w:val="auto"/>
                <w:szCs w:val="21"/>
              </w:rPr>
              <w:t>除自然人外必须提供</w:t>
            </w:r>
            <w:r>
              <w:rPr>
                <w:rFonts w:hint="eastAsia" w:ascii="宋体" w:hAnsi="宋体" w:cs="宋体"/>
                <w:b/>
                <w:color w:val="auto"/>
                <w:szCs w:val="21"/>
              </w:rPr>
              <w:t>，否则响应文件按无效响应处理</w:t>
            </w:r>
            <w:r>
              <w:rPr>
                <w:rFonts w:hint="eastAsia" w:ascii="宋体" w:hAnsi="宋体" w:cs="宋体"/>
                <w:bCs/>
                <w:color w:val="auto"/>
                <w:szCs w:val="21"/>
              </w:rPr>
              <w:t>）</w:t>
            </w:r>
          </w:p>
          <w:p w14:paraId="787AF226">
            <w:pPr>
              <w:snapToGrid w:val="0"/>
              <w:spacing w:line="360" w:lineRule="auto"/>
              <w:jc w:val="left"/>
              <w:rPr>
                <w:rFonts w:ascii="宋体" w:hAnsi="宋体" w:cs="宋体"/>
                <w:color w:val="auto"/>
                <w:szCs w:val="21"/>
              </w:rPr>
            </w:pPr>
            <w:r>
              <w:rPr>
                <w:rFonts w:hint="eastAsia" w:ascii="宋体" w:hAnsi="宋体" w:cs="宋体"/>
                <w:color w:val="auto"/>
                <w:szCs w:val="21"/>
              </w:rPr>
              <w:t>5、供应商直接控股、管理关系信息表（格式后附）；（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1DEEAACF">
            <w:pPr>
              <w:snapToGrid w:val="0"/>
              <w:spacing w:line="360" w:lineRule="auto"/>
              <w:jc w:val="left"/>
              <w:rPr>
                <w:rFonts w:hint="eastAsia" w:ascii="宋体" w:hAnsi="宋体" w:cs="宋体"/>
                <w:color w:val="auto"/>
                <w:szCs w:val="21"/>
              </w:rPr>
            </w:pPr>
            <w:r>
              <w:rPr>
                <w:rFonts w:hint="eastAsia" w:ascii="宋体" w:hAnsi="宋体" w:cs="宋体"/>
                <w:color w:val="auto"/>
                <w:szCs w:val="21"/>
              </w:rPr>
              <w:t>6、竞标声明（格式后附）；（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58021E5">
            <w:pPr>
              <w:autoSpaceDE w:val="0"/>
              <w:autoSpaceDN w:val="0"/>
              <w:snapToGrid w:val="0"/>
              <w:spacing w:line="400" w:lineRule="exact"/>
              <w:textAlignment w:val="bottom"/>
              <w:rPr>
                <w:rFonts w:hint="eastAsia" w:ascii="宋体" w:hAnsi="宋体" w:eastAsia="宋体" w:cs="宋体"/>
                <w:b w:val="0"/>
                <w:bCs/>
                <w:color w:val="auto"/>
                <w:szCs w:val="21"/>
                <w:highlight w:val="none"/>
                <w:lang w:val="en-US" w:eastAsia="zh-CN"/>
              </w:rPr>
            </w:pPr>
            <w:r>
              <w:rPr>
                <w:rFonts w:hint="eastAsia" w:ascii="宋体" w:hAnsi="宋体" w:cs="宋体"/>
                <w:color w:val="auto"/>
                <w:szCs w:val="21"/>
                <w:lang w:val="en-US" w:eastAsia="zh-CN"/>
              </w:rPr>
              <w:t>7、</w:t>
            </w:r>
            <w:r>
              <w:rPr>
                <w:rFonts w:hint="eastAsia" w:ascii="宋体" w:hAnsi="宋体" w:eastAsia="宋体" w:cs="宋体"/>
                <w:color w:val="auto"/>
                <w:szCs w:val="21"/>
              </w:rPr>
              <w:t>货物制造商为中小</w:t>
            </w:r>
            <w:r>
              <w:rPr>
                <w:rFonts w:hint="eastAsia" w:ascii="宋体" w:hAnsi="宋体" w:cs="宋体"/>
                <w:color w:val="auto"/>
                <w:szCs w:val="21"/>
              </w:rPr>
              <w:t>企业或监狱企业或残疾人福利企业；</w:t>
            </w:r>
            <w:r>
              <w:rPr>
                <w:rFonts w:hint="eastAsia" w:ascii="宋体" w:hAnsi="宋体" w:cs="宋体"/>
                <w:color w:val="auto"/>
                <w:szCs w:val="21"/>
                <w:lang w:eastAsia="zh-CN"/>
              </w:rPr>
              <w:t>【</w:t>
            </w:r>
            <w:r>
              <w:rPr>
                <w:rFonts w:hint="eastAsia" w:ascii="宋体" w:hAnsi="宋体" w:eastAsia="宋体" w:cs="宋体"/>
                <w:color w:val="auto"/>
                <w:szCs w:val="21"/>
              </w:rPr>
              <w:t>货物制造商</w:t>
            </w:r>
            <w:r>
              <w:rPr>
                <w:rFonts w:hint="eastAsia" w:ascii="宋体" w:hAnsi="宋体" w:cs="宋体"/>
                <w:color w:val="auto"/>
                <w:szCs w:val="21"/>
                <w:lang w:eastAsia="zh-CN"/>
              </w:rPr>
              <w:t>为中小微企业的应当提供《中小企业声明函》；</w:t>
            </w:r>
            <w:r>
              <w:rPr>
                <w:rFonts w:hint="eastAsia" w:ascii="宋体" w:hAnsi="宋体" w:eastAsia="宋体" w:cs="宋体"/>
                <w:color w:val="auto"/>
                <w:szCs w:val="21"/>
              </w:rPr>
              <w:t>货物制造商</w:t>
            </w:r>
            <w:r>
              <w:rPr>
                <w:rFonts w:hint="eastAsia" w:ascii="宋体" w:hAnsi="宋体" w:cs="宋体"/>
                <w:color w:val="auto"/>
                <w:szCs w:val="21"/>
                <w:lang w:eastAsia="zh-CN"/>
              </w:rPr>
              <w:t>为残疾人福利企业的应当提供《残疾人福利性单位声明函》；</w:t>
            </w:r>
            <w:r>
              <w:rPr>
                <w:rFonts w:hint="eastAsia" w:ascii="宋体" w:hAnsi="宋体" w:eastAsia="宋体" w:cs="宋体"/>
                <w:color w:val="auto"/>
                <w:szCs w:val="21"/>
              </w:rPr>
              <w:t>货物制造商</w:t>
            </w:r>
            <w:r>
              <w:rPr>
                <w:rFonts w:hint="eastAsia" w:ascii="宋体" w:hAnsi="宋体" w:cs="宋体"/>
                <w:color w:val="auto"/>
                <w:szCs w:val="21"/>
                <w:lang w:eastAsia="zh-CN"/>
              </w:rPr>
              <w:t>为监狱企业的应当提供由省级以上监狱管理局、戒毒管理局（含新疆生产建设兵团）出具的属于监狱企业的证明文件】（声明函格式后附）</w:t>
            </w:r>
            <w:r>
              <w:rPr>
                <w:rFonts w:hint="eastAsia" w:ascii="宋体" w:hAnsi="宋体" w:cs="宋体"/>
                <w:b/>
                <w:bCs/>
                <w:color w:val="auto"/>
                <w:szCs w:val="21"/>
              </w:rPr>
              <w:t>（必须提供，否则响应文件按无效响应处理）</w:t>
            </w:r>
          </w:p>
          <w:p w14:paraId="357C440F">
            <w:pPr>
              <w:autoSpaceDE w:val="0"/>
              <w:autoSpaceDN w:val="0"/>
              <w:snapToGrid w:val="0"/>
              <w:spacing w:line="400" w:lineRule="exact"/>
              <w:textAlignment w:val="bottom"/>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8、除谈判文件规定必须提供以外，供应商认为需要提供的其他证明材料。</w:t>
            </w:r>
          </w:p>
          <w:p w14:paraId="2D6A5C33">
            <w:pPr>
              <w:snapToGrid w:val="0"/>
              <w:spacing w:line="360" w:lineRule="auto"/>
              <w:ind w:firstLine="422" w:firstLineChars="200"/>
              <w:jc w:val="left"/>
              <w:rPr>
                <w:rFonts w:ascii="宋体" w:hAnsi="宋体" w:cs="宋体"/>
                <w:b/>
                <w:color w:val="auto"/>
                <w:szCs w:val="21"/>
              </w:rPr>
            </w:pPr>
            <w:r>
              <w:rPr>
                <w:rFonts w:hint="eastAsia" w:ascii="宋体" w:hAnsi="宋体" w:cs="宋体"/>
                <w:b/>
                <w:color w:val="auto"/>
                <w:szCs w:val="21"/>
              </w:rPr>
              <w:t>注：</w:t>
            </w:r>
          </w:p>
          <w:p w14:paraId="1D46333F">
            <w:pPr>
              <w:snapToGrid w:val="0"/>
              <w:spacing w:line="360" w:lineRule="auto"/>
              <w:ind w:firstLine="413" w:firstLineChars="196"/>
              <w:jc w:val="left"/>
              <w:rPr>
                <w:rFonts w:ascii="宋体" w:hAnsi="宋体" w:cs="宋体"/>
                <w:b/>
                <w:color w:val="auto"/>
                <w:szCs w:val="21"/>
              </w:rPr>
            </w:pPr>
            <w:r>
              <w:rPr>
                <w:rFonts w:hint="eastAsia" w:ascii="宋体" w:hAnsi="宋体" w:cs="宋体"/>
                <w:b/>
                <w:color w:val="auto"/>
                <w:szCs w:val="21"/>
              </w:rPr>
              <w:t>1.以上标明“必须提供”的材料属于复印件的，必须加盖供应商公章，否则响应文件按无效响应处理。</w:t>
            </w:r>
          </w:p>
          <w:p w14:paraId="2A1B51E7">
            <w:pPr>
              <w:snapToGrid w:val="0"/>
              <w:spacing w:line="360" w:lineRule="auto"/>
              <w:ind w:firstLine="422" w:firstLineChars="200"/>
              <w:jc w:val="left"/>
              <w:rPr>
                <w:rFonts w:ascii="宋体" w:hAnsi="宋体" w:cs="宋体"/>
                <w:b/>
                <w:color w:val="auto"/>
                <w:szCs w:val="21"/>
              </w:rPr>
            </w:pPr>
            <w:r>
              <w:rPr>
                <w:rFonts w:hint="eastAsia" w:ascii="宋体" w:hAnsi="宋体" w:cs="宋体"/>
                <w:b/>
                <w:color w:val="auto"/>
                <w:szCs w:val="21"/>
              </w:rPr>
              <w:t>2.竞标声明必须由法定代表人在规定签章处逐一签字并加盖供应商公章，否则响应文件按无效响应处理。</w:t>
            </w:r>
          </w:p>
          <w:p w14:paraId="49814BCF">
            <w:pPr>
              <w:snapToGrid w:val="0"/>
              <w:spacing w:line="360" w:lineRule="auto"/>
              <w:ind w:firstLine="422" w:firstLineChars="200"/>
              <w:jc w:val="left"/>
              <w:rPr>
                <w:rFonts w:ascii="宋体" w:hAnsi="宋体" w:cs="宋体"/>
                <w:b/>
                <w:color w:val="auto"/>
                <w:szCs w:val="21"/>
              </w:rPr>
            </w:pPr>
            <w:r>
              <w:rPr>
                <w:rFonts w:hint="eastAsia" w:ascii="宋体" w:hAnsi="宋体" w:cs="宋体"/>
                <w:b/>
                <w:color w:val="auto"/>
                <w:szCs w:val="21"/>
              </w:rPr>
              <w:t>3.供应商直接控股、管理关系信息表必须由法定代表人或者委托代理人在规定签章处逐一签字并加盖供应商公章，否则响应文件按无效响应处理。</w:t>
            </w:r>
          </w:p>
          <w:p w14:paraId="502DBEE2">
            <w:pPr>
              <w:snapToGrid w:val="0"/>
              <w:spacing w:line="360" w:lineRule="auto"/>
              <w:ind w:firstLine="422" w:firstLineChars="200"/>
              <w:jc w:val="left"/>
              <w:rPr>
                <w:rFonts w:ascii="宋体" w:hAnsi="宋体" w:cs="宋体"/>
                <w:b/>
                <w:color w:val="auto"/>
                <w:szCs w:val="21"/>
              </w:rPr>
            </w:pPr>
            <w:r>
              <w:rPr>
                <w:rFonts w:hint="eastAsia" w:ascii="宋体" w:hAnsi="宋体" w:cs="宋体"/>
                <w:b/>
                <w:color w:val="auto"/>
                <w:szCs w:val="21"/>
              </w:rPr>
              <w:t>4.联合体竞标时，第1-5项资格证明文件联合体各方均必须分别提供，联合体各方分别盖章和签字，否则响应文件按无效响应处理。</w:t>
            </w:r>
          </w:p>
        </w:tc>
      </w:tr>
      <w:tr w14:paraId="548F5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24D3407">
            <w:pPr>
              <w:spacing w:line="360" w:lineRule="auto"/>
              <w:jc w:val="center"/>
              <w:rPr>
                <w:rFonts w:hint="eastAsia"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2</w:t>
            </w:r>
          </w:p>
        </w:tc>
        <w:tc>
          <w:tcPr>
            <w:tcW w:w="8695" w:type="dxa"/>
            <w:vAlign w:val="center"/>
          </w:tcPr>
          <w:p w14:paraId="37BE1AAB">
            <w:pPr>
              <w:spacing w:line="360" w:lineRule="auto"/>
              <w:rPr>
                <w:rFonts w:ascii="宋体" w:hAnsi="宋体" w:cs="宋体"/>
                <w:color w:val="auto"/>
                <w:szCs w:val="21"/>
              </w:rPr>
            </w:pPr>
            <w:r>
              <w:rPr>
                <w:rFonts w:hint="eastAsia" w:ascii="宋体" w:hAnsi="宋体" w:cs="宋体"/>
                <w:b/>
                <w:color w:val="auto"/>
                <w:szCs w:val="21"/>
              </w:rPr>
              <w:t>报价文件</w:t>
            </w:r>
          </w:p>
          <w:p w14:paraId="00DC1246">
            <w:pPr>
              <w:spacing w:line="360" w:lineRule="auto"/>
              <w:rPr>
                <w:rFonts w:ascii="宋体" w:hAnsi="宋体" w:cs="宋体"/>
                <w:color w:val="auto"/>
                <w:szCs w:val="21"/>
              </w:rPr>
            </w:pPr>
            <w:r>
              <w:rPr>
                <w:rFonts w:hint="eastAsia" w:ascii="宋体" w:hAnsi="宋体" w:cs="宋体"/>
                <w:color w:val="auto"/>
                <w:szCs w:val="21"/>
              </w:rPr>
              <w:t>1、竞标报价表（格式后附）；（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555F8FF">
            <w:pPr>
              <w:snapToGrid w:val="0"/>
              <w:spacing w:line="360" w:lineRule="auto"/>
              <w:jc w:val="left"/>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、供应商认为需要提供的其他有关资料。</w:t>
            </w:r>
          </w:p>
          <w:p w14:paraId="42C14A05">
            <w:pPr>
              <w:snapToGrid w:val="0"/>
              <w:spacing w:line="360" w:lineRule="auto"/>
              <w:jc w:val="left"/>
              <w:rPr>
                <w:rFonts w:hint="eastAsia" w:ascii="宋体" w:hAnsi="宋体" w:cs="宋体"/>
                <w:b/>
                <w:color w:val="auto"/>
                <w:szCs w:val="21"/>
              </w:rPr>
            </w:pPr>
            <w:r>
              <w:rPr>
                <w:rFonts w:hint="eastAsia" w:ascii="宋体" w:hAnsi="宋体" w:cs="宋体"/>
                <w:b/>
                <w:color w:val="auto"/>
                <w:szCs w:val="21"/>
              </w:rPr>
              <w:t>注：以上标明“必须提供”材料复印件的，必须加盖供应商公章，否则响应文件按无效响应处理。</w:t>
            </w:r>
          </w:p>
        </w:tc>
      </w:tr>
      <w:tr w14:paraId="477B0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6B3072CC">
            <w:pPr>
              <w:spacing w:line="360" w:lineRule="auto"/>
              <w:jc w:val="center"/>
              <w:rPr>
                <w:rFonts w:hint="eastAsia" w:ascii="宋体" w:hAnsi="宋体" w:eastAsia="宋体" w:cs="宋体"/>
                <w:color w:val="auto"/>
                <w:szCs w:val="21"/>
                <w:lang w:val="en-US" w:eastAsia="zh-CN"/>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lang w:val="en-US" w:eastAsia="zh-CN"/>
              </w:rPr>
              <w:t>3</w:t>
            </w:r>
          </w:p>
        </w:tc>
        <w:tc>
          <w:tcPr>
            <w:tcW w:w="8695" w:type="dxa"/>
            <w:vAlign w:val="center"/>
          </w:tcPr>
          <w:p w14:paraId="18F2069E">
            <w:pPr>
              <w:spacing w:line="360" w:lineRule="auto"/>
              <w:rPr>
                <w:rFonts w:ascii="宋体" w:hAnsi="宋体" w:cs="宋体"/>
                <w:color w:val="auto"/>
                <w:szCs w:val="21"/>
              </w:rPr>
            </w:pPr>
            <w:r>
              <w:rPr>
                <w:rFonts w:hint="eastAsia" w:ascii="宋体" w:hAnsi="宋体" w:cs="宋体"/>
                <w:b/>
                <w:color w:val="auto"/>
                <w:szCs w:val="21"/>
              </w:rPr>
              <w:t>商务技术文件</w:t>
            </w:r>
          </w:p>
          <w:p w14:paraId="13AD0D25">
            <w:pPr>
              <w:spacing w:line="360" w:lineRule="auto"/>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、无串通竞标行为的承诺函（格式后附）；（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0486A10">
            <w:pPr>
              <w:snapToGrid w:val="0"/>
              <w:spacing w:line="360" w:lineRule="auto"/>
              <w:jc w:val="left"/>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、法定代表人身份证明及法定代表人有效身份证正反面复印件（格式后附）；（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5753518">
            <w:pPr>
              <w:spacing w:line="360" w:lineRule="auto"/>
              <w:rPr>
                <w:rFonts w:ascii="宋体" w:hAnsi="宋体" w:cs="宋体"/>
                <w:b/>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、授权委托书及委托代理人有效身份证正反面复印件（格式后附）；（</w:t>
            </w:r>
            <w:r>
              <w:rPr>
                <w:rFonts w:hint="eastAsia" w:ascii="宋体" w:hAnsi="宋体" w:cs="宋体"/>
                <w:b/>
                <w:color w:val="auto"/>
                <w:szCs w:val="21"/>
              </w:rPr>
              <w:t>委托时必须提供，否则响应文件按无效响应处理</w:t>
            </w:r>
            <w:r>
              <w:rPr>
                <w:rFonts w:hint="eastAsia" w:ascii="宋体" w:hAnsi="宋体" w:cs="宋体"/>
                <w:color w:val="auto"/>
                <w:szCs w:val="21"/>
              </w:rPr>
              <w:t>）</w:t>
            </w:r>
          </w:p>
          <w:p w14:paraId="0C02F8DA">
            <w:pPr>
              <w:spacing w:line="360" w:lineRule="auto"/>
              <w:rPr>
                <w:rFonts w:hint="eastAsia" w:ascii="宋体" w:hAnsi="宋体" w:eastAsia="宋体" w:cs="宋体"/>
                <w:color w:val="auto"/>
                <w:szCs w:val="21"/>
                <w:lang w:eastAsia="zh-CN"/>
              </w:rPr>
            </w:pP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s="宋体"/>
                <w:color w:val="auto"/>
                <w:szCs w:val="21"/>
                <w:lang w:eastAsia="zh-CN"/>
              </w:rPr>
              <w:t>竞标保证金提交凭证；</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B4B9379">
            <w:pPr>
              <w:spacing w:line="360" w:lineRule="auto"/>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、商务要求偏离表（格式后附）；（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2FE4AFB">
            <w:pPr>
              <w:snapToGrid w:val="0"/>
              <w:spacing w:line="360" w:lineRule="auto"/>
              <w:jc w:val="left"/>
              <w:rPr>
                <w:rFonts w:ascii="宋体" w:hAnsi="宋体" w:cs="宋体"/>
                <w:b/>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、售后服务承诺（格式自拟）；（</w:t>
            </w:r>
            <w:r>
              <w:rPr>
                <w:rFonts w:hint="eastAsia" w:ascii="宋体" w:hAnsi="宋体" w:cs="宋体"/>
                <w:b/>
                <w:color w:val="auto"/>
                <w:szCs w:val="21"/>
              </w:rPr>
              <w:t>必须提供，否则响应文件按无效响应处理）</w:t>
            </w:r>
          </w:p>
          <w:p w14:paraId="7B04BF85">
            <w:pPr>
              <w:snapToGrid w:val="0"/>
              <w:spacing w:line="360" w:lineRule="auto"/>
              <w:jc w:val="left"/>
              <w:rPr>
                <w:rFonts w:ascii="宋体" w:hAnsi="宋体" w:cs="宋体"/>
                <w:b/>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货物配置清单（均不含报价）（格式后附）；</w:t>
            </w:r>
            <w:r>
              <w:rPr>
                <w:rFonts w:hint="eastAsia" w:ascii="宋体" w:hAnsi="宋体" w:cs="宋体"/>
                <w:b/>
                <w:color w:val="auto"/>
                <w:szCs w:val="21"/>
              </w:rPr>
              <w:t xml:space="preserve"> </w:t>
            </w:r>
            <w:r>
              <w:rPr>
                <w:rFonts w:hint="eastAsia" w:ascii="宋体" w:hAnsi="宋体" w:cs="宋体"/>
                <w:color w:val="auto"/>
                <w:szCs w:val="21"/>
              </w:rPr>
              <w:t>（</w:t>
            </w:r>
            <w:r>
              <w:rPr>
                <w:rFonts w:hint="eastAsia" w:ascii="宋体" w:hAnsi="宋体" w:cs="宋体"/>
                <w:b/>
                <w:color w:val="auto"/>
                <w:szCs w:val="21"/>
              </w:rPr>
              <w:t>必须提供，否则响应文件按无效响应处理）</w:t>
            </w:r>
          </w:p>
          <w:p w14:paraId="5B1ABD86">
            <w:pPr>
              <w:snapToGrid w:val="0"/>
              <w:spacing w:line="360" w:lineRule="auto"/>
              <w:jc w:val="left"/>
              <w:rPr>
                <w:rFonts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、技术偏离表（格式后附）；</w:t>
            </w:r>
            <w:r>
              <w:rPr>
                <w:rFonts w:hint="eastAsia" w:ascii="宋体" w:hAnsi="宋体" w:cs="宋体"/>
                <w:b/>
                <w:color w:val="auto"/>
                <w:szCs w:val="21"/>
              </w:rPr>
              <w:t>（必须提供，否则响应文件按无效响应处理）</w:t>
            </w:r>
          </w:p>
          <w:p w14:paraId="5FE930DC">
            <w:pPr>
              <w:snapToGrid w:val="0"/>
              <w:spacing w:line="360" w:lineRule="auto"/>
              <w:jc w:val="left"/>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、对应采购需求的技术要求、商务要求提供的其他文件资料（格式自拟）(</w:t>
            </w:r>
            <w:r>
              <w:rPr>
                <w:rFonts w:hint="eastAsia" w:ascii="宋体" w:hAnsi="宋体" w:cs="宋体"/>
                <w:b/>
                <w:color w:val="auto"/>
                <w:szCs w:val="21"/>
              </w:rPr>
              <w:t>如有要求提交的则必须提供，否则响应文件按无效响应处理）</w:t>
            </w:r>
            <w:r>
              <w:rPr>
                <w:rFonts w:hint="eastAsia" w:ascii="宋体" w:hAnsi="宋体" w:cs="宋体"/>
                <w:color w:val="auto"/>
                <w:szCs w:val="21"/>
              </w:rPr>
              <w:t>；</w:t>
            </w:r>
          </w:p>
          <w:p w14:paraId="1BCF3D2C">
            <w:pPr>
              <w:snapToGrid w:val="0"/>
              <w:spacing w:line="360" w:lineRule="auto"/>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、供应商认为需要提供的其他有关资料。</w:t>
            </w:r>
          </w:p>
          <w:p w14:paraId="438E8F53">
            <w:pPr>
              <w:snapToGrid w:val="0"/>
              <w:spacing w:line="360" w:lineRule="exact"/>
              <w:ind w:firstLine="422" w:firstLineChars="200"/>
              <w:jc w:val="left"/>
              <w:rPr>
                <w:rFonts w:ascii="宋体" w:hAnsi="宋体" w:cs="宋体"/>
                <w:b/>
                <w:color w:val="auto"/>
                <w:szCs w:val="21"/>
              </w:rPr>
            </w:pPr>
            <w:r>
              <w:rPr>
                <w:rFonts w:hint="eastAsia" w:ascii="宋体" w:hAnsi="宋体" w:cs="宋体"/>
                <w:b/>
                <w:color w:val="auto"/>
                <w:szCs w:val="21"/>
              </w:rPr>
              <w:t>注：以上标明“必须提供”材料复印件的，必须加盖供应商公章，否则响应文件按无效响应处理。</w:t>
            </w:r>
          </w:p>
        </w:tc>
      </w:tr>
      <w:tr w14:paraId="38F9D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4" w:hRule="atLeast"/>
          <w:jc w:val="center"/>
        </w:trPr>
        <w:tc>
          <w:tcPr>
            <w:tcW w:w="992" w:type="dxa"/>
            <w:vAlign w:val="center"/>
          </w:tcPr>
          <w:p w14:paraId="6D67641E">
            <w:pPr>
              <w:spacing w:line="360" w:lineRule="auto"/>
              <w:jc w:val="center"/>
              <w:rPr>
                <w:rFonts w:ascii="宋体" w:hAnsi="宋体" w:cs="宋体"/>
                <w:color w:val="auto"/>
                <w:szCs w:val="21"/>
              </w:rPr>
            </w:pPr>
            <w:r>
              <w:rPr>
                <w:rFonts w:hint="eastAsia" w:ascii="宋体" w:hAnsi="宋体" w:cs="宋体"/>
                <w:color w:val="auto"/>
                <w:szCs w:val="21"/>
              </w:rPr>
              <w:t>15.2</w:t>
            </w:r>
          </w:p>
        </w:tc>
        <w:tc>
          <w:tcPr>
            <w:tcW w:w="8695" w:type="dxa"/>
            <w:vAlign w:val="center"/>
          </w:tcPr>
          <w:p w14:paraId="74425BCD">
            <w:pPr>
              <w:snapToGrid w:val="0"/>
              <w:spacing w:line="400" w:lineRule="exact"/>
              <w:jc w:val="left"/>
              <w:rPr>
                <w:rFonts w:ascii="宋体" w:hAnsi="宋体" w:cs="宋体"/>
                <w:color w:val="auto"/>
                <w:szCs w:val="21"/>
              </w:rPr>
            </w:pPr>
            <w:r>
              <w:rPr>
                <w:rFonts w:hint="eastAsia" w:ascii="宋体" w:hAnsi="宋体"/>
                <w:color w:val="auto"/>
                <w:szCs w:val="21"/>
              </w:rPr>
              <w:t>竞标报价包含设备、随配附件、备品备件、辅助材料、工具、运抵指定交货地点、保险、现场安装、调试及验收、售后服务、培训费、人工费、税金、产品检测费、产品质保期内维护等及其他所有成本费用的总和，合同履行过程中，采购人不再支付合同以外的其他费用。供应商负责工人人身、设备安全责任，验收前，设备丢失自行负责。</w:t>
            </w:r>
          </w:p>
        </w:tc>
      </w:tr>
      <w:tr w14:paraId="6CFB8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635E886">
            <w:pPr>
              <w:spacing w:line="360" w:lineRule="auto"/>
              <w:jc w:val="center"/>
              <w:rPr>
                <w:rFonts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8695" w:type="dxa"/>
            <w:vAlign w:val="center"/>
          </w:tcPr>
          <w:p w14:paraId="38DC2A5A">
            <w:pPr>
              <w:pStyle w:val="9"/>
              <w:widowControl w:val="0"/>
              <w:tabs>
                <w:tab w:val="clear" w:pos="454"/>
              </w:tabs>
              <w:snapToGrid w:val="0"/>
              <w:spacing w:afterLines="0" w:line="400" w:lineRule="exact"/>
              <w:ind w:left="283" w:hanging="283" w:hangingChars="135"/>
              <w:rPr>
                <w:rFonts w:ascii="宋体" w:hAnsi="宋体" w:cs="宋体"/>
                <w:color w:val="auto"/>
                <w:kern w:val="2"/>
                <w:sz w:val="21"/>
                <w:szCs w:val="21"/>
              </w:rPr>
            </w:pPr>
            <w:r>
              <w:rPr>
                <w:rFonts w:hint="eastAsia" w:ascii="宋体" w:hAnsi="宋体" w:cs="宋体"/>
                <w:color w:val="auto"/>
                <w:kern w:val="2"/>
                <w:sz w:val="21"/>
                <w:szCs w:val="21"/>
              </w:rPr>
              <w:t xml:space="preserve">竞标有效期：首次响应文件提交截止之日起60天内。 </w:t>
            </w:r>
          </w:p>
        </w:tc>
      </w:tr>
      <w:tr w14:paraId="0D3C4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6A1A0E6">
            <w:pPr>
              <w:spacing w:line="360" w:lineRule="auto"/>
              <w:jc w:val="center"/>
              <w:rPr>
                <w:rFonts w:ascii="宋体" w:hAnsi="宋体" w:cs="宋体"/>
                <w:color w:val="auto"/>
                <w:szCs w:val="21"/>
              </w:rPr>
            </w:pPr>
            <w:r>
              <w:rPr>
                <w:rFonts w:hint="eastAsia" w:ascii="宋体" w:hAnsi="宋体" w:cs="宋体"/>
                <w:color w:val="auto"/>
                <w:szCs w:val="21"/>
              </w:rPr>
              <w:t>17.1</w:t>
            </w:r>
          </w:p>
        </w:tc>
        <w:tc>
          <w:tcPr>
            <w:tcW w:w="8695" w:type="dxa"/>
            <w:vAlign w:val="center"/>
          </w:tcPr>
          <w:p w14:paraId="5829C34D">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□本项目不收取</w:t>
            </w:r>
            <w:r>
              <w:rPr>
                <w:rFonts w:hint="eastAsia" w:ascii="宋体" w:hAnsi="宋体" w:cs="宋体"/>
                <w:color w:val="auto"/>
                <w:szCs w:val="21"/>
                <w:lang w:val="en-US" w:eastAsia="zh-CN"/>
              </w:rPr>
              <w:t>竞标保证金</w:t>
            </w:r>
            <w:r>
              <w:rPr>
                <w:rFonts w:hint="eastAsia" w:ascii="宋体" w:hAnsi="宋体" w:eastAsia="宋体" w:cs="宋体"/>
                <w:color w:val="auto"/>
                <w:szCs w:val="21"/>
                <w:lang w:val="en-US" w:eastAsia="zh-CN"/>
              </w:rPr>
              <w:t xml:space="preserve">。 </w:t>
            </w:r>
          </w:p>
          <w:p w14:paraId="1AF0420F">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☑本项目收取</w:t>
            </w:r>
            <w:r>
              <w:rPr>
                <w:rFonts w:hint="eastAsia" w:ascii="宋体" w:hAnsi="宋体" w:cs="宋体"/>
                <w:color w:val="auto"/>
                <w:szCs w:val="21"/>
                <w:lang w:val="en-US" w:eastAsia="zh-CN"/>
              </w:rPr>
              <w:t>竞标保证金</w:t>
            </w:r>
            <w:r>
              <w:rPr>
                <w:rFonts w:hint="eastAsia" w:ascii="宋体" w:hAnsi="宋体" w:cs="宋体"/>
                <w:color w:val="auto"/>
                <w:szCs w:val="21"/>
                <w:u w:val="single"/>
                <w:lang w:val="en-US" w:eastAsia="zh-CN"/>
              </w:rPr>
              <w:t>15000</w:t>
            </w:r>
            <w:r>
              <w:rPr>
                <w:rFonts w:hint="eastAsia" w:ascii="宋体" w:hAnsi="宋体" w:eastAsia="宋体" w:cs="宋体"/>
                <w:color w:val="auto"/>
                <w:szCs w:val="21"/>
                <w:u w:val="single"/>
                <w:lang w:val="en-US" w:eastAsia="zh-CN"/>
              </w:rPr>
              <w:t xml:space="preserve">.00 </w:t>
            </w:r>
            <w:r>
              <w:rPr>
                <w:rFonts w:hint="eastAsia" w:ascii="宋体" w:hAnsi="宋体" w:eastAsia="宋体" w:cs="宋体"/>
                <w:color w:val="auto"/>
                <w:szCs w:val="21"/>
                <w:lang w:val="en-US" w:eastAsia="zh-CN"/>
              </w:rPr>
              <w:t xml:space="preserve">元。 </w:t>
            </w:r>
          </w:p>
          <w:p w14:paraId="4FEB7D5B">
            <w:pPr>
              <w:spacing w:line="360" w:lineRule="auto"/>
              <w:rPr>
                <w:rFonts w:hint="eastAsia" w:ascii="宋体" w:hAnsi="宋体" w:eastAsia="宋体" w:cs="宋体"/>
                <w:color w:val="auto"/>
                <w:szCs w:val="21"/>
              </w:rPr>
            </w:pPr>
            <w:r>
              <w:rPr>
                <w:rFonts w:hint="eastAsia" w:ascii="宋体" w:hAnsi="宋体" w:cs="宋体"/>
                <w:color w:val="auto"/>
                <w:szCs w:val="21"/>
                <w:lang w:val="en-US" w:eastAsia="zh-CN"/>
              </w:rPr>
              <w:t>竞标保证金</w:t>
            </w:r>
            <w:r>
              <w:rPr>
                <w:rFonts w:hint="eastAsia" w:ascii="宋体" w:hAnsi="宋体" w:eastAsia="宋体" w:cs="宋体"/>
                <w:color w:val="auto"/>
                <w:szCs w:val="21"/>
                <w:lang w:val="en-US" w:eastAsia="zh-CN"/>
              </w:rPr>
              <w:t xml:space="preserve">的交纳方式：银行转账、支票、汇票、本票或者银行、保险机构出具的保函（包 </w:t>
            </w:r>
          </w:p>
          <w:p w14:paraId="190CD4D0">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含电子保函），禁止采用现钞方式。采用银行转账方式的，在响应文件提交截止时间前从竞标人账户交至指定账户并且到账（开户名称：广西国泰招标咨询有限公司玉林分公司，开户银行：农业银行玉林金玉路支行，银行账号：20410801040003746）。 </w:t>
            </w:r>
          </w:p>
          <w:p w14:paraId="521EBEBB">
            <w:pPr>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相关要求： </w:t>
            </w:r>
          </w:p>
          <w:p w14:paraId="3AC0E16D">
            <w:pPr>
              <w:spacing w:line="360" w:lineRule="auto"/>
              <w:rPr>
                <w:rFonts w:hint="eastAsia" w:ascii="宋体" w:hAnsi="宋体" w:eastAsia="宋体" w:cs="宋体"/>
                <w:b/>
                <w:bCs/>
                <w:color w:val="auto"/>
                <w:szCs w:val="21"/>
              </w:rPr>
            </w:pP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竞标保证金</w:t>
            </w:r>
            <w:r>
              <w:rPr>
                <w:rFonts w:hint="eastAsia" w:ascii="宋体" w:hAnsi="宋体" w:eastAsia="宋体" w:cs="宋体"/>
                <w:color w:val="auto"/>
                <w:szCs w:val="21"/>
                <w:lang w:val="en-US" w:eastAsia="zh-CN"/>
              </w:rPr>
              <w:t>采用银行转账交纳方式，在</w:t>
            </w:r>
            <w:r>
              <w:rPr>
                <w:rFonts w:hint="eastAsia" w:ascii="宋体" w:hAnsi="宋体" w:cs="宋体"/>
                <w:color w:val="auto"/>
                <w:szCs w:val="21"/>
                <w:lang w:eastAsia="zh-CN"/>
              </w:rPr>
              <w:t>响应文件</w:t>
            </w:r>
            <w:r>
              <w:rPr>
                <w:rFonts w:hint="eastAsia" w:ascii="宋体" w:hAnsi="宋体" w:cs="宋体"/>
                <w:color w:val="auto"/>
                <w:szCs w:val="21"/>
              </w:rPr>
              <w:t>提交截止时间</w:t>
            </w:r>
            <w:r>
              <w:rPr>
                <w:rFonts w:hint="eastAsia" w:ascii="宋体" w:hAnsi="宋体" w:eastAsia="宋体" w:cs="宋体"/>
                <w:color w:val="auto"/>
                <w:szCs w:val="21"/>
                <w:lang w:val="en-US" w:eastAsia="zh-CN"/>
              </w:rPr>
              <w:t>前交至指定账户并且到账，</w:t>
            </w:r>
            <w:r>
              <w:rPr>
                <w:rFonts w:hint="eastAsia" w:ascii="宋体" w:hAnsi="宋体" w:cs="宋体"/>
                <w:color w:val="auto"/>
                <w:szCs w:val="21"/>
                <w:lang w:val="en-US" w:eastAsia="zh-CN"/>
              </w:rPr>
              <w:t>供应商</w:t>
            </w:r>
            <w:r>
              <w:rPr>
                <w:rFonts w:hint="eastAsia" w:ascii="宋体" w:hAnsi="宋体" w:eastAsia="宋体" w:cs="宋体"/>
                <w:color w:val="auto"/>
                <w:szCs w:val="21"/>
                <w:lang w:val="en-US" w:eastAsia="zh-CN"/>
              </w:rPr>
              <w:t>应将银行转账底单的复印件作为</w:t>
            </w:r>
            <w:r>
              <w:rPr>
                <w:rFonts w:hint="eastAsia" w:ascii="宋体" w:hAnsi="宋体" w:cs="宋体"/>
                <w:color w:val="auto"/>
                <w:szCs w:val="21"/>
                <w:lang w:val="en-US" w:eastAsia="zh-CN"/>
              </w:rPr>
              <w:t>竞标保证金</w:t>
            </w:r>
            <w:r>
              <w:rPr>
                <w:rFonts w:hint="eastAsia" w:ascii="宋体" w:hAnsi="宋体" w:eastAsia="宋体" w:cs="宋体"/>
                <w:color w:val="auto"/>
                <w:szCs w:val="21"/>
                <w:lang w:val="en-US" w:eastAsia="zh-CN"/>
              </w:rPr>
              <w:t>提交凭证，放置于商务及技术文件中，</w:t>
            </w:r>
            <w:r>
              <w:rPr>
                <w:rFonts w:hint="eastAsia" w:ascii="宋体" w:hAnsi="宋体" w:eastAsia="宋体" w:cs="宋体"/>
                <w:b/>
                <w:bCs/>
                <w:color w:val="auto"/>
                <w:szCs w:val="21"/>
                <w:lang w:val="en-US" w:eastAsia="zh-CN"/>
              </w:rPr>
              <w:t>否则</w:t>
            </w:r>
            <w:r>
              <w:rPr>
                <w:rFonts w:hint="eastAsia" w:ascii="宋体" w:hAnsi="宋体" w:cs="宋体"/>
                <w:b/>
                <w:bCs/>
                <w:color w:val="auto"/>
                <w:szCs w:val="21"/>
                <w:lang w:val="en-US" w:eastAsia="zh-CN"/>
              </w:rPr>
              <w:t>竞标无效</w:t>
            </w:r>
            <w:r>
              <w:rPr>
                <w:rFonts w:hint="eastAsia" w:ascii="宋体" w:hAnsi="宋体" w:eastAsia="宋体" w:cs="宋体"/>
                <w:b/>
                <w:bCs/>
                <w:color w:val="auto"/>
                <w:szCs w:val="21"/>
                <w:lang w:val="en-US" w:eastAsia="zh-CN"/>
              </w:rPr>
              <w:t xml:space="preserve">。 </w:t>
            </w:r>
          </w:p>
          <w:p w14:paraId="7AB218CF">
            <w:pPr>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lang w:val="en-US" w:eastAsia="zh-CN"/>
              </w:rPr>
              <w:t>竞标保证金</w:t>
            </w:r>
            <w:r>
              <w:rPr>
                <w:rFonts w:hint="eastAsia" w:ascii="宋体" w:hAnsi="宋体" w:eastAsia="宋体" w:cs="宋体"/>
                <w:color w:val="auto"/>
                <w:szCs w:val="21"/>
                <w:lang w:val="en-US" w:eastAsia="zh-CN"/>
              </w:rPr>
              <w:t xml:space="preserve">采用支票、汇票、本票或者银行、保险机构出具的保函（包含电子保函）交纳 </w:t>
            </w:r>
          </w:p>
          <w:p w14:paraId="7F683331">
            <w:pPr>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方式的，</w:t>
            </w:r>
            <w:r>
              <w:rPr>
                <w:rFonts w:hint="eastAsia" w:ascii="宋体" w:hAnsi="宋体" w:cs="宋体"/>
                <w:color w:val="auto"/>
                <w:szCs w:val="21"/>
                <w:lang w:val="en-US" w:eastAsia="zh-CN"/>
              </w:rPr>
              <w:t>供应商</w:t>
            </w:r>
            <w:r>
              <w:rPr>
                <w:rFonts w:hint="eastAsia" w:ascii="宋体" w:hAnsi="宋体" w:eastAsia="宋体" w:cs="宋体"/>
                <w:color w:val="auto"/>
                <w:szCs w:val="21"/>
                <w:lang w:val="en-US" w:eastAsia="zh-CN"/>
              </w:rPr>
              <w:t xml:space="preserve">应将支票、汇票、本票或者银行、保险机构出具的保函（包含电子保函）的 </w:t>
            </w:r>
          </w:p>
          <w:p w14:paraId="219AFD49">
            <w:pPr>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复印件作为</w:t>
            </w:r>
            <w:r>
              <w:rPr>
                <w:rFonts w:hint="eastAsia" w:ascii="宋体" w:hAnsi="宋体" w:cs="宋体"/>
                <w:color w:val="auto"/>
                <w:szCs w:val="21"/>
                <w:lang w:val="en-US" w:eastAsia="zh-CN"/>
              </w:rPr>
              <w:t>竞标保证金</w:t>
            </w:r>
            <w:r>
              <w:rPr>
                <w:rFonts w:hint="eastAsia" w:ascii="宋体" w:hAnsi="宋体" w:eastAsia="宋体" w:cs="宋体"/>
                <w:color w:val="auto"/>
                <w:szCs w:val="21"/>
                <w:lang w:val="en-US" w:eastAsia="zh-CN"/>
              </w:rPr>
              <w:t>提交凭证，放置于商务及技术文件中，</w:t>
            </w:r>
            <w:r>
              <w:rPr>
                <w:rFonts w:hint="eastAsia" w:ascii="宋体" w:hAnsi="宋体" w:eastAsia="宋体" w:cs="宋体"/>
                <w:b/>
                <w:bCs/>
                <w:color w:val="auto"/>
                <w:szCs w:val="21"/>
                <w:lang w:val="en-US" w:eastAsia="zh-CN"/>
              </w:rPr>
              <w:t>否则</w:t>
            </w:r>
            <w:r>
              <w:rPr>
                <w:rFonts w:hint="eastAsia" w:ascii="宋体" w:hAnsi="宋体" w:cs="宋体"/>
                <w:b/>
                <w:bCs/>
                <w:color w:val="auto"/>
                <w:szCs w:val="21"/>
                <w:lang w:val="en-US" w:eastAsia="zh-CN"/>
              </w:rPr>
              <w:t>竞标无效</w:t>
            </w:r>
            <w:r>
              <w:rPr>
                <w:rFonts w:hint="eastAsia" w:ascii="宋体" w:hAnsi="宋体" w:eastAsia="宋体" w:cs="宋体"/>
                <w:color w:val="auto"/>
                <w:szCs w:val="21"/>
                <w:lang w:val="en-US" w:eastAsia="zh-CN"/>
              </w:rPr>
              <w:t>。</w:t>
            </w:r>
          </w:p>
          <w:p w14:paraId="4E1B79C2">
            <w:pPr>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lang w:val="en-US" w:eastAsia="zh-CN"/>
              </w:rPr>
              <w:t>竞标人</w:t>
            </w:r>
            <w:r>
              <w:rPr>
                <w:rFonts w:hint="eastAsia" w:ascii="宋体" w:hAnsi="宋体" w:eastAsia="宋体" w:cs="宋体"/>
                <w:color w:val="auto"/>
                <w:szCs w:val="21"/>
                <w:lang w:val="en-US" w:eastAsia="zh-CN"/>
              </w:rPr>
              <w:t>为联合体的，可以由联合体中的一方或者多方共同交纳</w:t>
            </w:r>
            <w:r>
              <w:rPr>
                <w:rFonts w:hint="eastAsia" w:ascii="宋体" w:hAnsi="宋体" w:cs="宋体"/>
                <w:color w:val="auto"/>
                <w:szCs w:val="21"/>
                <w:lang w:val="en-US" w:eastAsia="zh-CN"/>
              </w:rPr>
              <w:t>竞标保证金</w:t>
            </w:r>
            <w:r>
              <w:rPr>
                <w:rFonts w:hint="eastAsia" w:ascii="宋体" w:hAnsi="宋体" w:eastAsia="宋体" w:cs="宋体"/>
                <w:color w:val="auto"/>
                <w:szCs w:val="21"/>
                <w:lang w:val="en-US" w:eastAsia="zh-CN"/>
              </w:rPr>
              <w:t xml:space="preserve">，其交纳的保证 </w:t>
            </w:r>
          </w:p>
          <w:p w14:paraId="54034F3B">
            <w:pPr>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金对联合体各方均具有约束力。 </w:t>
            </w:r>
          </w:p>
          <w:p w14:paraId="5EC70973">
            <w:pPr>
              <w:spacing w:line="360" w:lineRule="auto"/>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 xml:space="preserve">备注： </w:t>
            </w:r>
          </w:p>
          <w:p w14:paraId="70119056">
            <w:pPr>
              <w:spacing w:line="360" w:lineRule="auto"/>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 xml:space="preserve">1. </w:t>
            </w:r>
            <w:r>
              <w:rPr>
                <w:rFonts w:hint="eastAsia" w:ascii="宋体" w:hAnsi="宋体" w:cs="宋体"/>
                <w:b/>
                <w:bCs/>
                <w:color w:val="auto"/>
                <w:szCs w:val="21"/>
                <w:lang w:val="en-US" w:eastAsia="zh-CN"/>
              </w:rPr>
              <w:t>竞标保证金</w:t>
            </w:r>
            <w:r>
              <w:rPr>
                <w:rFonts w:hint="eastAsia" w:ascii="宋体" w:hAnsi="宋体" w:eastAsia="宋体" w:cs="宋体"/>
                <w:b/>
                <w:bCs/>
                <w:color w:val="auto"/>
                <w:szCs w:val="21"/>
                <w:lang w:val="en-US" w:eastAsia="zh-CN"/>
              </w:rPr>
              <w:t>在</w:t>
            </w:r>
            <w:r>
              <w:rPr>
                <w:rFonts w:hint="eastAsia" w:ascii="宋体" w:hAnsi="宋体" w:cs="宋体"/>
                <w:b/>
                <w:bCs/>
                <w:color w:val="auto"/>
                <w:szCs w:val="21"/>
                <w:lang w:eastAsia="zh-CN"/>
              </w:rPr>
              <w:t>响应文件</w:t>
            </w:r>
            <w:r>
              <w:rPr>
                <w:rFonts w:hint="eastAsia" w:ascii="宋体" w:hAnsi="宋体" w:cs="宋体"/>
                <w:b/>
                <w:bCs/>
                <w:color w:val="auto"/>
                <w:szCs w:val="21"/>
              </w:rPr>
              <w:t>提交截止时间</w:t>
            </w:r>
            <w:r>
              <w:rPr>
                <w:rFonts w:hint="eastAsia" w:ascii="宋体" w:hAnsi="宋体" w:eastAsia="宋体" w:cs="宋体"/>
                <w:b/>
                <w:bCs/>
                <w:color w:val="auto"/>
                <w:szCs w:val="21"/>
                <w:lang w:val="en-US" w:eastAsia="zh-CN"/>
              </w:rPr>
              <w:t>后提交的，或者不按规定交纳方式交纳的，或者未足额交纳的（包含保函额度不足的），视为无效</w:t>
            </w:r>
            <w:r>
              <w:rPr>
                <w:rFonts w:hint="eastAsia" w:ascii="宋体" w:hAnsi="宋体" w:cs="宋体"/>
                <w:b/>
                <w:bCs/>
                <w:color w:val="auto"/>
                <w:szCs w:val="21"/>
                <w:lang w:val="en-US" w:eastAsia="zh-CN"/>
              </w:rPr>
              <w:t>竞标保证金</w:t>
            </w:r>
            <w:r>
              <w:rPr>
                <w:rFonts w:hint="eastAsia" w:ascii="宋体" w:hAnsi="宋体" w:eastAsia="宋体" w:cs="宋体"/>
                <w:b/>
                <w:bCs/>
                <w:color w:val="auto"/>
                <w:szCs w:val="21"/>
                <w:lang w:val="en-US" w:eastAsia="zh-CN"/>
              </w:rPr>
              <w:t xml:space="preserve">。 </w:t>
            </w:r>
          </w:p>
          <w:p w14:paraId="18C28952">
            <w:pPr>
              <w:spacing w:line="360" w:lineRule="auto"/>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2.</w:t>
            </w:r>
            <w:r>
              <w:rPr>
                <w:rFonts w:hint="eastAsia" w:ascii="宋体" w:hAnsi="宋体" w:cs="宋体"/>
                <w:b/>
                <w:bCs/>
                <w:color w:val="auto"/>
                <w:szCs w:val="21"/>
                <w:lang w:val="en-US" w:eastAsia="zh-CN"/>
              </w:rPr>
              <w:t>竞标人</w:t>
            </w:r>
            <w:r>
              <w:rPr>
                <w:rFonts w:hint="eastAsia" w:ascii="宋体" w:hAnsi="宋体" w:eastAsia="宋体" w:cs="宋体"/>
                <w:b/>
                <w:bCs/>
                <w:color w:val="auto"/>
                <w:szCs w:val="21"/>
                <w:lang w:val="en-US" w:eastAsia="zh-CN"/>
              </w:rPr>
              <w:t>采用现钞方式或者从个人账户（自然人</w:t>
            </w:r>
            <w:r>
              <w:rPr>
                <w:rFonts w:hint="eastAsia" w:ascii="宋体" w:hAnsi="宋体" w:cs="宋体"/>
                <w:b/>
                <w:bCs/>
                <w:color w:val="auto"/>
                <w:szCs w:val="21"/>
                <w:lang w:val="en-US" w:eastAsia="zh-CN"/>
              </w:rPr>
              <w:t>竞</w:t>
            </w:r>
            <w:r>
              <w:rPr>
                <w:rFonts w:hint="eastAsia" w:ascii="宋体" w:hAnsi="宋体" w:eastAsia="宋体" w:cs="宋体"/>
                <w:b/>
                <w:bCs/>
                <w:color w:val="auto"/>
                <w:szCs w:val="21"/>
                <w:lang w:val="en-US" w:eastAsia="zh-CN"/>
              </w:rPr>
              <w:t>标除外）转出的</w:t>
            </w:r>
            <w:r>
              <w:rPr>
                <w:rFonts w:hint="eastAsia" w:ascii="宋体" w:hAnsi="宋体" w:cs="宋体"/>
                <w:b/>
                <w:bCs/>
                <w:color w:val="auto"/>
                <w:szCs w:val="21"/>
                <w:lang w:val="en-US" w:eastAsia="zh-CN"/>
              </w:rPr>
              <w:t>竞标保证金</w:t>
            </w:r>
            <w:r>
              <w:rPr>
                <w:rFonts w:hint="eastAsia" w:ascii="宋体" w:hAnsi="宋体" w:eastAsia="宋体" w:cs="宋体"/>
                <w:b/>
                <w:bCs/>
                <w:color w:val="auto"/>
                <w:szCs w:val="21"/>
                <w:lang w:val="en-US" w:eastAsia="zh-CN"/>
              </w:rPr>
              <w:t xml:space="preserve">，视为无效竞 </w:t>
            </w:r>
          </w:p>
          <w:p w14:paraId="39EA0A46">
            <w:pPr>
              <w:spacing w:line="360" w:lineRule="auto"/>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 xml:space="preserve">标保证金。 </w:t>
            </w:r>
          </w:p>
          <w:p w14:paraId="630202AA">
            <w:pPr>
              <w:spacing w:line="360" w:lineRule="auto"/>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3.支票、汇票或者本票出现无效或者背书情形的，视为无效</w:t>
            </w:r>
            <w:r>
              <w:rPr>
                <w:rFonts w:hint="eastAsia" w:ascii="宋体" w:hAnsi="宋体" w:cs="宋体"/>
                <w:b/>
                <w:bCs/>
                <w:color w:val="auto"/>
                <w:szCs w:val="21"/>
                <w:lang w:val="en-US" w:eastAsia="zh-CN"/>
              </w:rPr>
              <w:t>竞标保证金</w:t>
            </w:r>
            <w:r>
              <w:rPr>
                <w:rFonts w:hint="eastAsia" w:ascii="宋体" w:hAnsi="宋体" w:eastAsia="宋体" w:cs="宋体"/>
                <w:b/>
                <w:bCs/>
                <w:color w:val="auto"/>
                <w:szCs w:val="21"/>
                <w:lang w:val="en-US" w:eastAsia="zh-CN"/>
              </w:rPr>
              <w:t xml:space="preserve">。 </w:t>
            </w:r>
          </w:p>
          <w:p w14:paraId="1D880D56">
            <w:pPr>
              <w:spacing w:line="360" w:lineRule="auto"/>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4.保函有效期低于</w:t>
            </w:r>
            <w:r>
              <w:rPr>
                <w:rFonts w:hint="eastAsia" w:ascii="宋体" w:hAnsi="宋体" w:cs="宋体"/>
                <w:b/>
                <w:bCs/>
                <w:color w:val="auto"/>
                <w:szCs w:val="21"/>
                <w:lang w:val="en-US" w:eastAsia="zh-CN"/>
              </w:rPr>
              <w:t>竞标</w:t>
            </w:r>
            <w:r>
              <w:rPr>
                <w:rFonts w:hint="eastAsia" w:ascii="宋体" w:hAnsi="宋体" w:eastAsia="宋体" w:cs="宋体"/>
                <w:b/>
                <w:bCs/>
                <w:color w:val="auto"/>
                <w:szCs w:val="21"/>
                <w:lang w:val="en-US" w:eastAsia="zh-CN"/>
              </w:rPr>
              <w:t>有效期的，视为无效</w:t>
            </w:r>
            <w:r>
              <w:rPr>
                <w:rFonts w:hint="eastAsia" w:ascii="宋体" w:hAnsi="宋体" w:cs="宋体"/>
                <w:b/>
                <w:bCs/>
                <w:color w:val="auto"/>
                <w:szCs w:val="21"/>
                <w:lang w:val="en-US" w:eastAsia="zh-CN"/>
              </w:rPr>
              <w:t>竞标保证金</w:t>
            </w:r>
            <w:r>
              <w:rPr>
                <w:rFonts w:hint="eastAsia" w:ascii="宋体" w:hAnsi="宋体" w:eastAsia="宋体" w:cs="宋体"/>
                <w:b/>
                <w:bCs/>
                <w:color w:val="auto"/>
                <w:szCs w:val="21"/>
                <w:lang w:val="en-US" w:eastAsia="zh-CN"/>
              </w:rPr>
              <w:t xml:space="preserve">。 </w:t>
            </w:r>
          </w:p>
          <w:p w14:paraId="4E3FAE18">
            <w:pPr>
              <w:autoSpaceDE w:val="0"/>
              <w:autoSpaceDN w:val="0"/>
              <w:snapToGrid w:val="0"/>
              <w:spacing w:line="400" w:lineRule="exact"/>
              <w:textAlignment w:val="bottom"/>
              <w:rPr>
                <w:rFonts w:ascii="宋体" w:hAnsi="宋体" w:cs="宋体"/>
                <w:color w:val="auto"/>
                <w:szCs w:val="21"/>
              </w:rPr>
            </w:pPr>
            <w:r>
              <w:rPr>
                <w:rFonts w:hint="eastAsia" w:ascii="宋体" w:hAnsi="宋体" w:eastAsia="宋体" w:cs="宋体"/>
                <w:b/>
                <w:bCs/>
                <w:color w:val="auto"/>
                <w:szCs w:val="21"/>
                <w:lang w:val="en-US" w:eastAsia="zh-CN"/>
              </w:rPr>
              <w:t>5.采用银行、保险机构出具保函的，必须为无条件保函，否则视为无效</w:t>
            </w:r>
            <w:r>
              <w:rPr>
                <w:rFonts w:hint="eastAsia" w:ascii="宋体" w:hAnsi="宋体" w:cs="宋体"/>
                <w:b/>
                <w:bCs/>
                <w:color w:val="auto"/>
                <w:szCs w:val="21"/>
                <w:lang w:val="en-US" w:eastAsia="zh-CN"/>
              </w:rPr>
              <w:t>竞标保证金</w:t>
            </w:r>
            <w:r>
              <w:rPr>
                <w:rFonts w:hint="eastAsia" w:ascii="宋体" w:hAnsi="宋体" w:eastAsia="宋体" w:cs="宋体"/>
                <w:b/>
                <w:bCs/>
                <w:color w:val="auto"/>
                <w:szCs w:val="21"/>
                <w:lang w:val="en-US" w:eastAsia="zh-CN"/>
              </w:rPr>
              <w:t xml:space="preserve">。 </w:t>
            </w:r>
          </w:p>
        </w:tc>
      </w:tr>
      <w:tr w14:paraId="0183A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992" w:type="dxa"/>
            <w:vAlign w:val="center"/>
          </w:tcPr>
          <w:p w14:paraId="3D1A0670">
            <w:pPr>
              <w:spacing w:line="360" w:lineRule="auto"/>
              <w:jc w:val="center"/>
              <w:rPr>
                <w:rFonts w:ascii="宋体" w:hAnsi="宋体" w:cs="宋体"/>
                <w:color w:val="auto"/>
                <w:szCs w:val="21"/>
              </w:rPr>
            </w:pPr>
            <w:r>
              <w:rPr>
                <w:rFonts w:hint="eastAsia" w:ascii="宋体" w:hAnsi="宋体" w:cs="宋体"/>
                <w:color w:val="auto"/>
                <w:szCs w:val="21"/>
              </w:rPr>
              <w:t>18.2</w:t>
            </w:r>
          </w:p>
        </w:tc>
        <w:tc>
          <w:tcPr>
            <w:tcW w:w="8695" w:type="dxa"/>
            <w:vAlign w:val="center"/>
          </w:tcPr>
          <w:p w14:paraId="2FC0AD39">
            <w:pPr>
              <w:spacing w:line="400" w:lineRule="exact"/>
              <w:rPr>
                <w:rFonts w:ascii="宋体" w:hAnsi="宋体" w:cs="宋体"/>
                <w:color w:val="auto"/>
                <w:szCs w:val="21"/>
              </w:rPr>
            </w:pPr>
            <w:r>
              <w:rPr>
                <w:rFonts w:hint="eastAsia" w:ascii="宋体" w:hAnsi="宋体" w:cs="宋体"/>
                <w:color w:val="auto"/>
                <w:szCs w:val="21"/>
              </w:rPr>
              <w:t>响应文件应按资格证明文件、报价</w:t>
            </w:r>
            <w:r>
              <w:rPr>
                <w:rFonts w:hint="eastAsia" w:ascii="宋体" w:hAnsi="宋体" w:cs="宋体"/>
                <w:color w:val="auto"/>
                <w:szCs w:val="21"/>
                <w:lang w:eastAsia="zh-CN"/>
              </w:rPr>
              <w:t>文件及</w:t>
            </w:r>
            <w:r>
              <w:rPr>
                <w:rFonts w:hint="eastAsia" w:ascii="宋体" w:hAnsi="宋体" w:cs="宋体"/>
                <w:color w:val="auto"/>
                <w:szCs w:val="21"/>
              </w:rPr>
              <w:t>商务技术文件分别编制，</w:t>
            </w:r>
            <w:r>
              <w:rPr>
                <w:rFonts w:hint="eastAsia" w:ascii="宋体" w:hAnsi="宋体" w:cs="宋体"/>
                <w:color w:val="auto"/>
                <w:szCs w:val="21"/>
                <w:lang w:bidi="ar"/>
              </w:rPr>
              <w:t>并按</w:t>
            </w:r>
            <w:r>
              <w:rPr>
                <w:rFonts w:hint="eastAsia" w:ascii="宋体" w:hAnsi="宋体" w:cs="宋体"/>
                <w:bCs/>
                <w:color w:val="auto"/>
                <w:kern w:val="0"/>
                <w:szCs w:val="21"/>
                <w:highlight w:val="none"/>
              </w:rPr>
              <w:fldChar w:fldCharType="begin"/>
            </w:r>
            <w:r>
              <w:rPr>
                <w:rFonts w:hint="eastAsia" w:ascii="宋体" w:hAnsi="宋体" w:cs="宋体"/>
                <w:bCs/>
                <w:color w:val="auto"/>
                <w:kern w:val="0"/>
                <w:szCs w:val="21"/>
                <w:highlight w:val="none"/>
              </w:rPr>
              <w:instrText xml:space="preserve"> HYPERLINK "" </w:instrText>
            </w:r>
            <w:r>
              <w:rPr>
                <w:rFonts w:hint="eastAsia" w:ascii="宋体" w:hAnsi="宋体" w:cs="宋体"/>
                <w:bCs/>
                <w:color w:val="auto"/>
                <w:kern w:val="0"/>
                <w:szCs w:val="21"/>
                <w:highlight w:val="none"/>
              </w:rPr>
              <w:fldChar w:fldCharType="separate"/>
            </w:r>
            <w:r>
              <w:rPr>
                <w:rFonts w:hint="eastAsia" w:ascii="宋体" w:hAnsi="宋体" w:cs="宋体"/>
                <w:bCs/>
                <w:color w:val="auto"/>
                <w:kern w:val="0"/>
                <w:szCs w:val="21"/>
                <w:highlight w:val="none"/>
              </w:rPr>
              <w:fldChar w:fldCharType="end"/>
            </w:r>
            <w:r>
              <w:rPr>
                <w:rFonts w:hint="eastAsia" w:ascii="宋体" w:hAnsi="宋体" w:cs="宋体"/>
                <w:bCs/>
                <w:color w:val="auto"/>
                <w:kern w:val="0"/>
                <w:szCs w:val="21"/>
                <w:highlight w:val="none"/>
                <w:lang w:eastAsia="zh-CN"/>
              </w:rPr>
              <w:t>广西政府采购云平台</w:t>
            </w:r>
            <w:r>
              <w:rPr>
                <w:rFonts w:hint="eastAsia" w:ascii="宋体" w:hAnsi="宋体" w:cs="宋体"/>
                <w:color w:val="auto"/>
                <w:szCs w:val="21"/>
                <w:lang w:bidi="ar"/>
              </w:rPr>
              <w:t>的要求编制、加密、上传。</w:t>
            </w:r>
          </w:p>
        </w:tc>
      </w:tr>
      <w:tr w14:paraId="23D7D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61F695D">
            <w:pPr>
              <w:spacing w:line="360" w:lineRule="auto"/>
              <w:jc w:val="center"/>
              <w:rPr>
                <w:rFonts w:ascii="宋体" w:hAnsi="宋体" w:cs="宋体"/>
                <w:color w:val="auto"/>
                <w:szCs w:val="21"/>
              </w:rPr>
            </w:pPr>
            <w:r>
              <w:rPr>
                <w:rFonts w:hint="eastAsia" w:ascii="宋体" w:hAnsi="宋体" w:cs="宋体"/>
                <w:color w:val="auto"/>
                <w:szCs w:val="21"/>
              </w:rPr>
              <w:t>20.1</w:t>
            </w:r>
          </w:p>
        </w:tc>
        <w:tc>
          <w:tcPr>
            <w:tcW w:w="8695" w:type="dxa"/>
            <w:vAlign w:val="center"/>
          </w:tcPr>
          <w:p w14:paraId="66C277E8">
            <w:pPr>
              <w:spacing w:line="400" w:lineRule="exact"/>
              <w:contextualSpacing/>
              <w:jc w:val="left"/>
              <w:rPr>
                <w:rFonts w:ascii="宋体" w:hAnsi="宋体" w:cs="宋体"/>
                <w:color w:val="auto"/>
                <w:szCs w:val="21"/>
                <w:u w:val="single"/>
              </w:rPr>
            </w:pPr>
            <w:r>
              <w:rPr>
                <w:rFonts w:hint="eastAsia" w:ascii="宋体" w:hAnsi="宋体" w:cs="宋体"/>
                <w:color w:val="auto"/>
                <w:szCs w:val="21"/>
              </w:rPr>
              <w:t>首次响应文件提交截止时间：详见竞争性谈判公告。</w:t>
            </w:r>
          </w:p>
          <w:p w14:paraId="5CB9FDC1">
            <w:pPr>
              <w:spacing w:line="400" w:lineRule="exact"/>
              <w:contextualSpacing/>
              <w:jc w:val="left"/>
              <w:rPr>
                <w:rFonts w:ascii="宋体" w:hAnsi="宋体" w:cs="宋体"/>
                <w:color w:val="auto"/>
                <w:szCs w:val="21"/>
              </w:rPr>
            </w:pPr>
            <w:r>
              <w:rPr>
                <w:rFonts w:hint="eastAsia" w:ascii="宋体" w:hAnsi="宋体" w:cs="宋体"/>
                <w:color w:val="auto"/>
                <w:szCs w:val="21"/>
              </w:rPr>
              <w:t>首次响应文件提交地点：详见竞争性谈判公告。</w:t>
            </w:r>
          </w:p>
        </w:tc>
      </w:tr>
      <w:tr w14:paraId="20B73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71D9576">
            <w:pPr>
              <w:spacing w:line="360" w:lineRule="auto"/>
              <w:jc w:val="center"/>
              <w:rPr>
                <w:rFonts w:ascii="宋体" w:hAnsi="宋体" w:cs="宋体"/>
                <w:color w:val="auto"/>
                <w:szCs w:val="21"/>
              </w:rPr>
            </w:pPr>
            <w:r>
              <w:rPr>
                <w:rFonts w:hint="eastAsia" w:ascii="宋体" w:hAnsi="宋体" w:cs="宋体"/>
                <w:color w:val="auto"/>
                <w:szCs w:val="21"/>
              </w:rPr>
              <w:t>24.1</w:t>
            </w:r>
          </w:p>
        </w:tc>
        <w:tc>
          <w:tcPr>
            <w:tcW w:w="8695" w:type="dxa"/>
            <w:vAlign w:val="center"/>
          </w:tcPr>
          <w:p w14:paraId="11938DD2">
            <w:pPr>
              <w:snapToGrid w:val="0"/>
              <w:spacing w:line="400" w:lineRule="exact"/>
              <w:jc w:val="left"/>
              <w:rPr>
                <w:rFonts w:ascii="宋体" w:hAnsi="宋体" w:cs="宋体"/>
                <w:color w:val="auto"/>
                <w:szCs w:val="21"/>
                <w:u w:val="single"/>
              </w:rPr>
            </w:pPr>
            <w:r>
              <w:rPr>
                <w:rFonts w:hint="eastAsia" w:ascii="宋体" w:hAnsi="宋体" w:cs="宋体"/>
                <w:color w:val="auto"/>
                <w:szCs w:val="21"/>
              </w:rPr>
              <w:t>谈判小组的人数：</w:t>
            </w:r>
            <w:r>
              <w:rPr>
                <w:rFonts w:hint="eastAsia" w:ascii="宋体" w:hAnsi="宋体" w:cs="宋体"/>
                <w:color w:val="auto"/>
                <w:szCs w:val="21"/>
                <w:u w:val="single"/>
              </w:rPr>
              <w:t xml:space="preserve"> 3 </w:t>
            </w:r>
            <w:r>
              <w:rPr>
                <w:rFonts w:hint="eastAsia" w:ascii="宋体" w:hAnsi="宋体" w:cs="宋体"/>
                <w:color w:val="auto"/>
                <w:szCs w:val="21"/>
              </w:rPr>
              <w:t>人。</w:t>
            </w:r>
          </w:p>
        </w:tc>
      </w:tr>
      <w:tr w14:paraId="57446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3BD2D61">
            <w:pPr>
              <w:spacing w:line="360" w:lineRule="auto"/>
              <w:jc w:val="center"/>
              <w:rPr>
                <w:rFonts w:ascii="宋体" w:hAnsi="宋体" w:cs="宋体"/>
                <w:color w:val="auto"/>
                <w:szCs w:val="21"/>
              </w:rPr>
            </w:pPr>
            <w:r>
              <w:rPr>
                <w:rFonts w:hint="eastAsia" w:ascii="宋体" w:hAnsi="宋体" w:cs="宋体"/>
                <w:color w:val="auto"/>
                <w:szCs w:val="21"/>
              </w:rPr>
              <w:t>25.2</w:t>
            </w:r>
          </w:p>
        </w:tc>
        <w:tc>
          <w:tcPr>
            <w:tcW w:w="8695" w:type="dxa"/>
            <w:vAlign w:val="center"/>
          </w:tcPr>
          <w:p w14:paraId="36C1D6A1">
            <w:pPr>
              <w:snapToGrid w:val="0"/>
              <w:spacing w:line="400" w:lineRule="exact"/>
              <w:jc w:val="left"/>
              <w:rPr>
                <w:rFonts w:ascii="宋体" w:hAnsi="宋体" w:cs="宋体"/>
                <w:color w:val="auto"/>
                <w:szCs w:val="21"/>
              </w:rPr>
            </w:pPr>
            <w:r>
              <w:rPr>
                <w:rFonts w:hint="eastAsia" w:ascii="宋体" w:hAnsi="宋体" w:cs="宋体"/>
                <w:color w:val="auto"/>
                <w:szCs w:val="21"/>
              </w:rPr>
              <w:t>采购代理机构将依托电子交易平台发起开始解密指令，</w:t>
            </w:r>
            <w:r>
              <w:rPr>
                <w:rFonts w:hint="eastAsia" w:ascii="宋体" w:hAnsi="宋体" w:cs="宋体"/>
                <w:b/>
                <w:color w:val="auto"/>
                <w:szCs w:val="21"/>
              </w:rPr>
              <w:t>供应商的法定代表人或其委托代理人须携带加密时所用的CA锁按平台提示和采购文件的规定登录到</w:t>
            </w:r>
            <w:r>
              <w:rPr>
                <w:rFonts w:hint="eastAsia" w:ascii="宋体" w:hAnsi="宋体" w:cs="宋体"/>
                <w:b/>
                <w:color w:val="auto"/>
                <w:szCs w:val="21"/>
              </w:rPr>
              <w:fldChar w:fldCharType="begin"/>
            </w:r>
            <w:r>
              <w:rPr>
                <w:rFonts w:hint="eastAsia" w:ascii="宋体" w:hAnsi="宋体" w:cs="宋体"/>
                <w:b/>
                <w:color w:val="auto"/>
                <w:szCs w:val="21"/>
              </w:rPr>
              <w:instrText xml:space="preserve"> HYPERLINK "" </w:instrText>
            </w:r>
            <w:r>
              <w:rPr>
                <w:rFonts w:hint="eastAsia" w:ascii="宋体" w:hAnsi="宋体" w:cs="宋体"/>
                <w:b/>
                <w:color w:val="auto"/>
                <w:szCs w:val="21"/>
              </w:rPr>
              <w:fldChar w:fldCharType="separate"/>
            </w:r>
            <w:r>
              <w:rPr>
                <w:rFonts w:hint="eastAsia" w:ascii="宋体" w:hAnsi="宋体" w:cs="宋体"/>
                <w:b/>
                <w:color w:val="auto"/>
                <w:szCs w:val="21"/>
              </w:rPr>
              <w:fldChar w:fldCharType="end"/>
            </w:r>
            <w:r>
              <w:rPr>
                <w:rFonts w:hint="eastAsia" w:ascii="宋体" w:hAnsi="宋体" w:cs="宋体"/>
                <w:b/>
                <w:color w:val="auto"/>
                <w:szCs w:val="21"/>
                <w:lang w:eastAsia="zh-CN"/>
              </w:rPr>
              <w:t>广西政府采购云平台</w:t>
            </w:r>
            <w:r>
              <w:rPr>
                <w:rFonts w:hint="eastAsia" w:ascii="宋体" w:hAnsi="宋体" w:cs="宋体"/>
                <w:b/>
                <w:color w:val="auto"/>
                <w:szCs w:val="21"/>
              </w:rPr>
              <w:t>电子开标大厅签到并在发起解密指令之时起30分钟内完成对电子响应文件在线解密。</w:t>
            </w:r>
            <w:r>
              <w:rPr>
                <w:rFonts w:hint="eastAsia" w:ascii="宋体" w:hAnsi="宋体"/>
                <w:b/>
                <w:bCs/>
                <w:color w:val="auto"/>
                <w:szCs w:val="21"/>
              </w:rPr>
              <w:t>响应文件未按时解密的，视为响应文件无效。</w:t>
            </w:r>
          </w:p>
        </w:tc>
      </w:tr>
      <w:tr w14:paraId="5FD83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27089999">
            <w:pPr>
              <w:spacing w:line="360" w:lineRule="auto"/>
              <w:jc w:val="center"/>
              <w:rPr>
                <w:rFonts w:ascii="宋体" w:hAnsi="宋体" w:cs="宋体"/>
                <w:color w:val="auto"/>
                <w:szCs w:val="21"/>
              </w:rPr>
            </w:pPr>
            <w:r>
              <w:rPr>
                <w:rFonts w:ascii="宋体" w:hAnsi="宋体" w:cs="宋体"/>
                <w:color w:val="auto"/>
                <w:szCs w:val="21"/>
              </w:rPr>
              <w:t>26</w:t>
            </w:r>
          </w:p>
        </w:tc>
        <w:tc>
          <w:tcPr>
            <w:tcW w:w="8695" w:type="dxa"/>
            <w:vAlign w:val="center"/>
          </w:tcPr>
          <w:p w14:paraId="2A5AFBA2">
            <w:pPr>
              <w:snapToGrid w:val="0"/>
              <w:spacing w:line="400" w:lineRule="exac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商务要求评审中允许负偏离的条款数为</w:t>
            </w:r>
            <w:r>
              <w:rPr>
                <w:rFonts w:hint="eastAsia" w:ascii="Times New Roman" w:hAnsi="Times New Roman" w:eastAsia="宋体" w:cs="Times New Roman"/>
                <w:b/>
                <w:bCs/>
                <w:color w:val="auto"/>
                <w:lang w:val="en-US" w:eastAsia="zh-CN"/>
              </w:rPr>
              <w:fldChar w:fldCharType="begin"/>
            </w:r>
            <w:r>
              <w:rPr>
                <w:rFonts w:hint="eastAsia" w:ascii="Times New Roman" w:hAnsi="Times New Roman" w:eastAsia="宋体" w:cs="Times New Roman"/>
                <w:b/>
                <w:bCs/>
                <w:color w:val="auto"/>
                <w:lang w:val="en-US" w:eastAsia="zh-CN"/>
              </w:rPr>
              <w:instrText xml:space="preserve"> eq \o\ac(□,</w:instrText>
            </w:r>
            <w:r>
              <w:rPr>
                <w:rFonts w:hint="eastAsia" w:ascii="Times New Roman" w:hAnsi="Times New Roman" w:eastAsia="宋体" w:cs="Times New Roman"/>
                <w:b/>
                <w:bCs/>
                <w:color w:val="auto"/>
                <w:position w:val="2"/>
                <w:sz w:val="13"/>
                <w:lang w:val="en-US" w:eastAsia="zh-CN"/>
              </w:rPr>
              <w:instrText xml:space="preserve">√</w:instrText>
            </w:r>
            <w:r>
              <w:rPr>
                <w:rFonts w:hint="eastAsia" w:ascii="Times New Roman" w:hAnsi="Times New Roman" w:eastAsia="宋体" w:cs="Times New Roman"/>
                <w:b/>
                <w:bCs/>
                <w:color w:val="auto"/>
                <w:lang w:val="en-US" w:eastAsia="zh-CN"/>
              </w:rPr>
              <w:instrText xml:space="preserve">)</w:instrText>
            </w:r>
            <w:r>
              <w:rPr>
                <w:rFonts w:hint="eastAsia" w:ascii="Times New Roman" w:hAnsi="Times New Roman" w:eastAsia="宋体" w:cs="Times New Roman"/>
                <w:b/>
                <w:bCs/>
                <w:color w:val="auto"/>
                <w:lang w:val="en-US" w:eastAsia="zh-CN"/>
              </w:rPr>
              <w:fldChar w:fldCharType="end"/>
            </w:r>
            <w:r>
              <w:rPr>
                <w:rFonts w:hint="eastAsia" w:ascii="Times New Roman" w:hAnsi="Times New Roman" w:eastAsia="宋体" w:cs="Times New Roman"/>
                <w:color w:val="auto"/>
                <w:u w:val="single"/>
                <w:lang w:val="en-US" w:eastAsia="zh-CN"/>
              </w:rPr>
              <w:t xml:space="preserve"> 0 </w:t>
            </w:r>
            <w:r>
              <w:rPr>
                <w:rFonts w:hint="eastAsia" w:ascii="Times New Roman" w:hAnsi="Times New Roman" w:eastAsia="宋体" w:cs="Times New Roman"/>
                <w:color w:val="auto"/>
                <w:lang w:val="en-US" w:eastAsia="zh-CN"/>
              </w:rPr>
              <w:t xml:space="preserve">项 </w:t>
            </w:r>
          </w:p>
          <w:p w14:paraId="5320CB09">
            <w:pPr>
              <w:snapToGrid w:val="0"/>
              <w:spacing w:line="400" w:lineRule="exact"/>
              <w:rPr>
                <w:rFonts w:ascii="宋体" w:hAnsi="宋体" w:cs="宋体"/>
                <w:color w:val="auto"/>
                <w:szCs w:val="21"/>
              </w:rPr>
            </w:pPr>
            <w:r>
              <w:rPr>
                <w:rFonts w:hint="eastAsia" w:ascii="Times New Roman" w:hAnsi="Times New Roman" w:eastAsia="宋体" w:cs="Times New Roman"/>
                <w:color w:val="auto"/>
                <w:lang w:val="en-US" w:eastAsia="zh-CN"/>
              </w:rPr>
              <w:t>技术要求评审中允许负偏离的条款数为</w:t>
            </w:r>
            <w:r>
              <w:rPr>
                <w:rFonts w:hint="eastAsia" w:ascii="宋体" w:hAnsi="宋体" w:eastAsia="宋体" w:cs="Times New Roman"/>
                <w:b/>
                <w:bCs/>
                <w:color w:val="auto"/>
                <w:szCs w:val="21"/>
                <w:lang w:val="en-US" w:eastAsia="zh-CN"/>
              </w:rPr>
              <w:fldChar w:fldCharType="begin"/>
            </w:r>
            <w:r>
              <w:rPr>
                <w:rFonts w:hint="eastAsia" w:ascii="宋体" w:hAnsi="宋体" w:eastAsia="宋体" w:cs="Times New Roman"/>
                <w:b/>
                <w:bCs/>
                <w:color w:val="auto"/>
                <w:szCs w:val="21"/>
                <w:lang w:val="en-US" w:eastAsia="zh-CN"/>
              </w:rPr>
              <w:instrText xml:space="preserve"> eq \o\ac(□</w:instrText>
            </w:r>
            <w:r>
              <w:rPr>
                <w:rFonts w:hint="eastAsia" w:ascii="宋体" w:hAnsi="宋体" w:cs="Times New Roman"/>
                <w:b/>
                <w:bCs/>
                <w:color w:val="auto"/>
                <w:szCs w:val="21"/>
                <w:lang w:val="en-US" w:eastAsia="zh-CN"/>
              </w:rPr>
              <w:instrText xml:space="preserve">,</w:instrText>
            </w:r>
            <w:r>
              <w:rPr>
                <w:rFonts w:hint="eastAsia" w:ascii="宋体" w:hAnsi="宋体" w:cs="Times New Roman"/>
                <w:b/>
                <w:bCs/>
                <w:color w:val="auto"/>
                <w:position w:val="2"/>
                <w:sz w:val="13"/>
                <w:szCs w:val="21"/>
                <w:lang w:val="en-US" w:eastAsia="zh-CN"/>
              </w:rPr>
              <w:instrText xml:space="preserve">√</w:instrText>
            </w:r>
            <w:r>
              <w:rPr>
                <w:rFonts w:hint="eastAsia" w:ascii="宋体" w:hAnsi="宋体" w:eastAsia="宋体" w:cs="Times New Roman"/>
                <w:b/>
                <w:bCs/>
                <w:color w:val="auto"/>
                <w:szCs w:val="21"/>
                <w:lang w:val="en-US" w:eastAsia="zh-CN"/>
              </w:rPr>
              <w:instrText xml:space="preserve">)</w:instrText>
            </w:r>
            <w:r>
              <w:rPr>
                <w:rFonts w:hint="eastAsia" w:ascii="宋体" w:hAnsi="宋体" w:eastAsia="宋体" w:cs="Times New Roman"/>
                <w:b/>
                <w:bCs/>
                <w:color w:val="auto"/>
                <w:szCs w:val="21"/>
                <w:lang w:val="en-US" w:eastAsia="zh-CN"/>
              </w:rPr>
              <w:fldChar w:fldCharType="end"/>
            </w:r>
            <w:r>
              <w:rPr>
                <w:rFonts w:hint="eastAsia" w:ascii="宋体" w:hAnsi="宋体" w:eastAsia="宋体" w:cs="Times New Roman"/>
                <w:color w:val="auto"/>
                <w:szCs w:val="21"/>
                <w:u w:val="single"/>
                <w:lang w:val="en-US" w:eastAsia="zh-CN"/>
              </w:rPr>
              <w:t xml:space="preserve"> </w:t>
            </w:r>
            <w:r>
              <w:rPr>
                <w:rFonts w:hint="eastAsia" w:ascii="宋体" w:hAnsi="宋体" w:cs="Times New Roman"/>
                <w:color w:val="auto"/>
                <w:szCs w:val="21"/>
                <w:u w:val="single"/>
                <w:lang w:val="en-US" w:eastAsia="zh-CN"/>
              </w:rPr>
              <w:t xml:space="preserve">5 </w:t>
            </w:r>
            <w:r>
              <w:rPr>
                <w:rFonts w:hint="eastAsia" w:ascii="宋体" w:hAnsi="宋体" w:eastAsia="宋体" w:cs="Times New Roman"/>
                <w:color w:val="auto"/>
                <w:szCs w:val="21"/>
                <w:lang w:val="en-US" w:eastAsia="zh-CN"/>
              </w:rPr>
              <w:t>项</w:t>
            </w:r>
            <w:r>
              <w:rPr>
                <w:rFonts w:hint="eastAsia" w:ascii="Times New Roman" w:hAnsi="Times New Roman" w:eastAsia="宋体" w:cs="Times New Roman"/>
                <w:color w:val="auto"/>
                <w:lang w:val="en-US" w:eastAsia="zh-CN"/>
              </w:rPr>
              <w:t xml:space="preserve"> </w:t>
            </w:r>
          </w:p>
        </w:tc>
      </w:tr>
      <w:tr w14:paraId="29471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7" w:hRule="atLeast"/>
          <w:jc w:val="center"/>
        </w:trPr>
        <w:tc>
          <w:tcPr>
            <w:tcW w:w="992" w:type="dxa"/>
            <w:vMerge w:val="continue"/>
            <w:vAlign w:val="center"/>
          </w:tcPr>
          <w:p w14:paraId="44190ED6">
            <w:pPr>
              <w:spacing w:line="360" w:lineRule="auto"/>
              <w:jc w:val="center"/>
              <w:rPr>
                <w:rFonts w:ascii="宋体" w:hAnsi="宋体" w:cs="宋体"/>
                <w:color w:val="auto"/>
                <w:szCs w:val="21"/>
              </w:rPr>
            </w:pPr>
          </w:p>
        </w:tc>
        <w:tc>
          <w:tcPr>
            <w:tcW w:w="8695" w:type="dxa"/>
            <w:vAlign w:val="center"/>
          </w:tcPr>
          <w:p w14:paraId="49759AFC">
            <w:pPr>
              <w:snapToGrid w:val="0"/>
              <w:spacing w:line="400" w:lineRule="exact"/>
              <w:rPr>
                <w:rFonts w:ascii="宋体" w:hAnsi="宋体" w:cs="宋体"/>
                <w:color w:val="auto"/>
                <w:szCs w:val="21"/>
              </w:rPr>
            </w:pPr>
            <w:r>
              <w:rPr>
                <w:rFonts w:hint="eastAsia" w:ascii="宋体" w:hAnsi="宋体" w:cs="宋体"/>
                <w:color w:val="auto"/>
                <w:szCs w:val="21"/>
              </w:rPr>
              <w:t>谈判的顺序：按</w:t>
            </w:r>
            <w:r>
              <w:rPr>
                <w:rFonts w:hint="eastAsia" w:ascii="宋体" w:hAnsi="宋体" w:cs="宋体"/>
                <w:color w:val="auto"/>
                <w:szCs w:val="21"/>
              </w:rPr>
              <w:fldChar w:fldCharType="begin"/>
            </w:r>
            <w:r>
              <w:rPr>
                <w:rFonts w:hint="eastAsia" w:ascii="宋体" w:hAnsi="宋体" w:cs="宋体"/>
                <w:color w:val="auto"/>
                <w:szCs w:val="21"/>
              </w:rPr>
              <w:instrText xml:space="preserve"> HYPERLINK "" </w:instrText>
            </w:r>
            <w:r>
              <w:rPr>
                <w:rFonts w:hint="eastAsia" w:ascii="宋体" w:hAnsi="宋体" w:cs="宋体"/>
                <w:color w:val="auto"/>
                <w:szCs w:val="21"/>
              </w:rPr>
              <w:fldChar w:fldCharType="separate"/>
            </w:r>
            <w:r>
              <w:rPr>
                <w:rFonts w:hint="eastAsia" w:ascii="宋体" w:hAnsi="宋体" w:cs="宋体"/>
                <w:color w:val="auto"/>
                <w:szCs w:val="21"/>
              </w:rPr>
              <w:fldChar w:fldCharType="end"/>
            </w:r>
            <w:r>
              <w:rPr>
                <w:rFonts w:hint="eastAsia" w:ascii="宋体" w:hAnsi="宋体" w:cs="宋体"/>
                <w:color w:val="auto"/>
                <w:szCs w:val="21"/>
                <w:lang w:eastAsia="zh-CN"/>
              </w:rPr>
              <w:t>广西政府采购云平台</w:t>
            </w:r>
            <w:r>
              <w:rPr>
                <w:rFonts w:hint="eastAsia" w:ascii="宋体" w:hAnsi="宋体" w:cs="宋体"/>
                <w:color w:val="auto"/>
                <w:szCs w:val="21"/>
              </w:rPr>
              <w:t>系统的编号顺序。</w:t>
            </w:r>
          </w:p>
          <w:p w14:paraId="1C083334">
            <w:pPr>
              <w:snapToGrid w:val="0"/>
              <w:spacing w:line="400" w:lineRule="exact"/>
              <w:rPr>
                <w:rFonts w:ascii="宋体" w:hAnsi="宋体" w:cs="宋体"/>
                <w:b/>
                <w:color w:val="auto"/>
                <w:szCs w:val="21"/>
              </w:rPr>
            </w:pPr>
            <w:r>
              <w:rPr>
                <w:rFonts w:hint="eastAsia" w:ascii="宋体" w:hAnsi="宋体" w:cs="宋体"/>
                <w:b/>
                <w:color w:val="auto"/>
                <w:szCs w:val="21"/>
              </w:rPr>
              <w:t>符合谈判资格的供应商必须在接到谈判通知后规定时间内参加谈判，未在规定时间内参加谈判的视同放弃参加谈判权利，其响应文件按无效响应处理。</w:t>
            </w:r>
          </w:p>
          <w:p w14:paraId="77BCCB6B">
            <w:pPr>
              <w:snapToGrid w:val="0"/>
              <w:spacing w:line="400" w:lineRule="exact"/>
              <w:rPr>
                <w:rFonts w:ascii="宋体" w:hAnsi="宋体" w:cs="宋体"/>
                <w:color w:val="auto"/>
                <w:szCs w:val="21"/>
              </w:rPr>
            </w:pPr>
            <w:r>
              <w:rPr>
                <w:rFonts w:hint="eastAsia" w:ascii="宋体" w:hAnsi="宋体" w:cs="宋体"/>
                <w:b/>
                <w:color w:val="auto"/>
                <w:szCs w:val="21"/>
              </w:rPr>
              <w:t>参与谈判前，供应商法定代表人或者委托代理人必须向谈判小组出示本人有效证件原件[有效证件可以是身份证（含临时身份证明）或者护照的其中一项]。</w:t>
            </w:r>
          </w:p>
        </w:tc>
      </w:tr>
      <w:tr w14:paraId="61E65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992" w:type="dxa"/>
            <w:vMerge w:val="continue"/>
            <w:vAlign w:val="center"/>
          </w:tcPr>
          <w:p w14:paraId="080B620F">
            <w:pPr>
              <w:spacing w:line="360" w:lineRule="auto"/>
              <w:jc w:val="center"/>
              <w:rPr>
                <w:rFonts w:ascii="宋体" w:hAnsi="宋体" w:cs="宋体"/>
                <w:color w:val="auto"/>
                <w:szCs w:val="21"/>
              </w:rPr>
            </w:pPr>
          </w:p>
        </w:tc>
        <w:tc>
          <w:tcPr>
            <w:tcW w:w="8695" w:type="dxa"/>
            <w:vAlign w:val="center"/>
          </w:tcPr>
          <w:p w14:paraId="663A683A">
            <w:pPr>
              <w:pStyle w:val="10"/>
              <w:rPr>
                <w:rFonts w:ascii="宋体" w:hAnsi="宋体" w:cs="宋体"/>
                <w:color w:val="auto"/>
                <w:szCs w:val="21"/>
              </w:rPr>
            </w:pPr>
            <w:r>
              <w:rPr>
                <w:rFonts w:hint="eastAsia" w:ascii="宋体" w:hAnsi="宋体" w:cs="宋体"/>
                <w:b/>
                <w:color w:val="auto"/>
                <w:szCs w:val="21"/>
              </w:rPr>
              <w:t>评标价相同时，按照最后报价由低到高顺序依次推荐；最后报价相同时，按节能环保优先、技术指标高优先、质保期长优先、合同履约期短优先、故障响应时间短优先的顺序依次推荐。</w:t>
            </w:r>
          </w:p>
        </w:tc>
      </w:tr>
      <w:tr w14:paraId="0AD18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5BE8E93">
            <w:pPr>
              <w:snapToGrid w:val="0"/>
              <w:spacing w:line="400" w:lineRule="exact"/>
              <w:jc w:val="center"/>
              <w:rPr>
                <w:rFonts w:hint="eastAsia" w:ascii="宋体" w:hAnsi="宋体" w:cs="宋体"/>
                <w:color w:val="auto"/>
                <w:szCs w:val="21"/>
              </w:rPr>
            </w:pPr>
            <w:r>
              <w:rPr>
                <w:rFonts w:hint="eastAsia" w:ascii="宋体" w:hAnsi="宋体" w:cs="宋体"/>
                <w:color w:val="auto"/>
                <w:szCs w:val="21"/>
              </w:rPr>
              <w:t>28.1</w:t>
            </w:r>
          </w:p>
        </w:tc>
        <w:tc>
          <w:tcPr>
            <w:tcW w:w="8695" w:type="dxa"/>
            <w:vAlign w:val="center"/>
          </w:tcPr>
          <w:p w14:paraId="310F0DEF">
            <w:pPr>
              <w:snapToGrid w:val="0"/>
              <w:spacing w:line="400" w:lineRule="exact"/>
              <w:rPr>
                <w:rFonts w:hint="eastAsia" w:ascii="宋体" w:hAnsi="宋体" w:cs="宋体"/>
                <w:color w:val="auto"/>
                <w:szCs w:val="21"/>
              </w:rPr>
            </w:pPr>
            <w:r>
              <w:rPr>
                <w:rFonts w:hint="eastAsia" w:ascii="宋体" w:hAnsi="宋体" w:cs="宋体"/>
                <w:color w:val="auto"/>
                <w:szCs w:val="21"/>
              </w:rPr>
              <w:t>本项目</w:t>
            </w:r>
            <w:r>
              <w:rPr>
                <w:rFonts w:hint="eastAsia" w:ascii="宋体" w:hAnsi="宋体" w:cs="宋体"/>
                <w:color w:val="auto"/>
                <w:szCs w:val="21"/>
                <w:lang w:eastAsia="zh-CN"/>
              </w:rPr>
              <w:t>不</w:t>
            </w:r>
            <w:r>
              <w:rPr>
                <w:rFonts w:hint="eastAsia" w:ascii="宋体" w:hAnsi="宋体" w:cs="宋体"/>
                <w:color w:val="auto"/>
                <w:szCs w:val="21"/>
              </w:rPr>
              <w:t>收取履约保证金</w:t>
            </w:r>
          </w:p>
        </w:tc>
      </w:tr>
      <w:tr w14:paraId="36B26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668C2A9">
            <w:pPr>
              <w:spacing w:line="360" w:lineRule="auto"/>
              <w:jc w:val="center"/>
              <w:rPr>
                <w:rFonts w:ascii="宋体" w:hAnsi="宋体" w:cs="宋体"/>
                <w:color w:val="auto"/>
                <w:szCs w:val="21"/>
              </w:rPr>
            </w:pPr>
            <w:r>
              <w:rPr>
                <w:rFonts w:ascii="宋体" w:hAnsi="宋体" w:cs="宋体"/>
                <w:color w:val="auto"/>
                <w:szCs w:val="21"/>
              </w:rPr>
              <w:t>29</w:t>
            </w:r>
            <w:r>
              <w:rPr>
                <w:rFonts w:hint="eastAsia" w:ascii="宋体" w:hAnsi="宋体" w:cs="宋体"/>
                <w:color w:val="auto"/>
                <w:szCs w:val="21"/>
              </w:rPr>
              <w:t>.1</w:t>
            </w:r>
          </w:p>
        </w:tc>
        <w:tc>
          <w:tcPr>
            <w:tcW w:w="8695" w:type="dxa"/>
            <w:vAlign w:val="center"/>
          </w:tcPr>
          <w:p w14:paraId="59737BA8">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 xml:space="preserve">签订合同携带的证明材料： </w:t>
            </w:r>
          </w:p>
          <w:p w14:paraId="0A73B071">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1、委托代理人负责签订合同的，须携带授权委托书及委托代理人身份证原件等其他资格证件。</w:t>
            </w:r>
          </w:p>
          <w:p w14:paraId="1409853B">
            <w:pPr>
              <w:snapToGrid w:val="0"/>
              <w:spacing w:line="360" w:lineRule="auto"/>
              <w:rPr>
                <w:rFonts w:ascii="宋体" w:hAnsi="宋体" w:cs="宋体"/>
                <w:color w:val="auto"/>
                <w:szCs w:val="21"/>
              </w:rPr>
            </w:pPr>
            <w:r>
              <w:rPr>
                <w:rFonts w:hint="eastAsia" w:ascii="宋体" w:hAnsi="宋体"/>
                <w:color w:val="auto"/>
                <w:szCs w:val="21"/>
              </w:rPr>
              <w:t>2、法定代表人负责签订合同的，须携带法定代表人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14:paraId="7E6B9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C3D4525">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8695" w:type="dxa"/>
            <w:vAlign w:val="center"/>
          </w:tcPr>
          <w:p w14:paraId="1E319AE7">
            <w:pPr>
              <w:snapToGrid w:val="0"/>
              <w:spacing w:line="360" w:lineRule="auto"/>
              <w:rPr>
                <w:rFonts w:ascii="宋体" w:hAnsi="宋体" w:cs="宋体"/>
                <w:color w:val="auto"/>
                <w:szCs w:val="21"/>
              </w:rPr>
            </w:pPr>
            <w:r>
              <w:rPr>
                <w:rFonts w:hint="eastAsia" w:ascii="宋体" w:hAnsi="宋体" w:cs="宋体"/>
                <w:color w:val="auto"/>
                <w:szCs w:val="21"/>
              </w:rPr>
              <w:t>接收质疑函方式：以纸质书面形式。</w:t>
            </w:r>
          </w:p>
          <w:p w14:paraId="44B3202A">
            <w:pPr>
              <w:pStyle w:val="15"/>
              <w:snapToGrid w:val="0"/>
              <w:spacing w:line="360" w:lineRule="auto"/>
              <w:rPr>
                <w:rFonts w:hint="eastAsia" w:hAnsi="宋体" w:cs="宋体"/>
                <w:color w:val="auto"/>
                <w:kern w:val="2"/>
                <w:sz w:val="21"/>
                <w:lang w:val="en-US" w:eastAsia="zh-CN"/>
              </w:rPr>
            </w:pPr>
            <w:r>
              <w:rPr>
                <w:rFonts w:hint="eastAsia" w:hAnsi="宋体" w:cs="宋体"/>
                <w:color w:val="auto"/>
                <w:kern w:val="2"/>
                <w:sz w:val="21"/>
              </w:rPr>
              <w:t>质疑联系部门及联系方式：</w:t>
            </w:r>
            <w:r>
              <w:rPr>
                <w:rFonts w:hint="eastAsia" w:hAnsi="宋体" w:cs="宋体"/>
                <w:color w:val="auto"/>
                <w:kern w:val="2"/>
                <w:sz w:val="21"/>
                <w:lang w:eastAsia="zh-CN"/>
              </w:rPr>
              <w:t>广西国泰招标咨询有限公司</w:t>
            </w:r>
            <w:r>
              <w:rPr>
                <w:rFonts w:hint="eastAsia" w:hAnsi="宋体" w:cs="宋体"/>
                <w:color w:val="auto"/>
                <w:kern w:val="2"/>
                <w:sz w:val="21"/>
              </w:rPr>
              <w:t>，质疑联系人：</w:t>
            </w:r>
            <w:r>
              <w:rPr>
                <w:rFonts w:hint="eastAsia" w:hAnsi="宋体" w:cs="宋体"/>
                <w:color w:val="auto"/>
                <w:kern w:val="2"/>
                <w:sz w:val="21"/>
                <w:lang w:eastAsia="zh-CN"/>
              </w:rPr>
              <w:t>谭小莉</w:t>
            </w:r>
            <w:r>
              <w:rPr>
                <w:rFonts w:hint="eastAsia" w:hAnsi="宋体" w:cs="宋体"/>
                <w:color w:val="auto"/>
                <w:kern w:val="2"/>
                <w:sz w:val="21"/>
              </w:rPr>
              <w:t xml:space="preserve"> </w:t>
            </w:r>
            <w:r>
              <w:rPr>
                <w:rFonts w:hint="eastAsia" w:hAnsi="宋体" w:cs="宋体"/>
                <w:color w:val="auto"/>
                <w:kern w:val="2"/>
                <w:sz w:val="21"/>
                <w:lang w:val="en-US" w:eastAsia="zh-CN"/>
              </w:rPr>
              <w:t xml:space="preserve">   </w:t>
            </w:r>
          </w:p>
          <w:p w14:paraId="4AC10E6B">
            <w:pPr>
              <w:pStyle w:val="15"/>
              <w:snapToGrid w:val="0"/>
              <w:spacing w:line="360" w:lineRule="auto"/>
              <w:rPr>
                <w:rFonts w:hAnsi="宋体" w:cs="宋体"/>
                <w:color w:val="auto"/>
                <w:kern w:val="2"/>
                <w:sz w:val="21"/>
              </w:rPr>
            </w:pPr>
            <w:r>
              <w:rPr>
                <w:rFonts w:hint="eastAsia" w:hAnsi="宋体" w:cs="宋体"/>
                <w:color w:val="auto"/>
                <w:kern w:val="2"/>
                <w:sz w:val="21"/>
              </w:rPr>
              <w:t>联系电话：</w:t>
            </w:r>
            <w:r>
              <w:rPr>
                <w:rFonts w:hint="eastAsia" w:hAnsi="宋体" w:cs="宋体"/>
                <w:color w:val="auto"/>
                <w:kern w:val="2"/>
                <w:sz w:val="21"/>
                <w:lang w:val="en-US" w:eastAsia="zh-CN"/>
              </w:rPr>
              <w:t>0775-2699135</w:t>
            </w:r>
            <w:r>
              <w:rPr>
                <w:rFonts w:hint="eastAsia" w:hAnsi="宋体" w:cs="宋体"/>
                <w:color w:val="auto"/>
                <w:kern w:val="2"/>
                <w:sz w:val="21"/>
              </w:rPr>
              <w:t>，</w:t>
            </w:r>
            <w:r>
              <w:rPr>
                <w:rFonts w:hAnsi="宋体" w:cs="宋体"/>
                <w:color w:val="auto"/>
                <w:kern w:val="2"/>
                <w:sz w:val="21"/>
              </w:rPr>
              <w:t>通讯地址</w:t>
            </w:r>
            <w:r>
              <w:rPr>
                <w:rFonts w:hint="eastAsia" w:hAnsi="宋体" w:cs="宋体"/>
                <w:color w:val="auto"/>
                <w:kern w:val="2"/>
                <w:sz w:val="21"/>
              </w:rPr>
              <w:t>：</w:t>
            </w:r>
            <w:r>
              <w:rPr>
                <w:rFonts w:hint="eastAsia" w:hAnsi="宋体" w:cs="宋体"/>
                <w:color w:val="auto"/>
                <w:kern w:val="2"/>
                <w:sz w:val="21"/>
                <w:lang w:val="en-US" w:eastAsia="zh-CN"/>
              </w:rPr>
              <w:t>广西南宁市民族大道 141 号中鼎万象东方大厦 D 区六层 D607；</w:t>
            </w:r>
            <w:r>
              <w:rPr>
                <w:rFonts w:hint="eastAsia" w:hAnsi="宋体" w:cs="宋体"/>
                <w:color w:val="auto"/>
                <w:kern w:val="2"/>
                <w:sz w:val="21"/>
              </w:rPr>
              <w:t>现场提交质疑办理业务时间：工作日，8:00-12:00；15:00-18:00（北京时间）</w:t>
            </w:r>
          </w:p>
        </w:tc>
      </w:tr>
      <w:tr w14:paraId="6104E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BB3FB24">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2</w:t>
            </w:r>
            <w:r>
              <w:rPr>
                <w:rFonts w:hint="eastAsia" w:ascii="宋体" w:hAnsi="宋体" w:cs="宋体"/>
                <w:color w:val="auto"/>
                <w:szCs w:val="21"/>
              </w:rPr>
              <w:t>.1</w:t>
            </w:r>
          </w:p>
        </w:tc>
        <w:tc>
          <w:tcPr>
            <w:tcW w:w="8695" w:type="dxa"/>
            <w:vAlign w:val="center"/>
          </w:tcPr>
          <w:p w14:paraId="7B136341">
            <w:pPr>
              <w:pStyle w:val="15"/>
              <w:snapToGrid w:val="0"/>
              <w:spacing w:line="360" w:lineRule="auto"/>
              <w:rPr>
                <w:rFonts w:hint="eastAsia" w:ascii="宋体" w:hAnsi="宋体" w:eastAsia="宋体" w:cs="宋体"/>
                <w:color w:val="auto"/>
                <w:sz w:val="21"/>
              </w:rPr>
            </w:pPr>
            <w:r>
              <w:rPr>
                <w:rFonts w:hint="eastAsia" w:ascii="宋体" w:hAnsi="宋体" w:eastAsia="宋体" w:cs="宋体"/>
                <w:color w:val="auto"/>
                <w:sz w:val="21"/>
              </w:rPr>
              <w:t>1、采购代理服务费支付方式：本项目的</w:t>
            </w:r>
            <w:r>
              <w:rPr>
                <w:rFonts w:hint="eastAsia" w:hAnsi="宋体" w:cs="宋体"/>
                <w:color w:val="auto"/>
                <w:sz w:val="21"/>
                <w:lang w:eastAsia="zh-CN"/>
              </w:rPr>
              <w:t>采购</w:t>
            </w:r>
            <w:r>
              <w:rPr>
                <w:rFonts w:hint="eastAsia" w:ascii="宋体" w:hAnsi="宋体" w:eastAsia="宋体" w:cs="宋体"/>
                <w:color w:val="auto"/>
                <w:sz w:val="21"/>
              </w:rPr>
              <w:t>代理服务费按以下收费标准向成交供应商收取，领取成交通知书前，成交供应商应向采购代理机构一次付清</w:t>
            </w:r>
            <w:r>
              <w:rPr>
                <w:rFonts w:hint="eastAsia" w:hAnsi="宋体" w:cs="宋体"/>
                <w:color w:val="auto"/>
                <w:sz w:val="21"/>
                <w:lang w:eastAsia="zh-CN"/>
              </w:rPr>
              <w:t>采购</w:t>
            </w:r>
            <w:r>
              <w:rPr>
                <w:rFonts w:hint="eastAsia" w:ascii="宋体" w:hAnsi="宋体" w:eastAsia="宋体" w:cs="宋体"/>
                <w:color w:val="auto"/>
                <w:sz w:val="21"/>
              </w:rPr>
              <w:t>代理服务费，否则采购代理机构有权不予以办理。</w:t>
            </w:r>
          </w:p>
          <w:p w14:paraId="6015CF67">
            <w:pPr>
              <w:pStyle w:val="15"/>
              <w:snapToGrid w:val="0"/>
              <w:spacing w:line="360" w:lineRule="auto"/>
              <w:rPr>
                <w:rFonts w:hint="eastAsia" w:ascii="宋体" w:hAnsi="宋体" w:eastAsia="宋体" w:cs="宋体"/>
                <w:color w:val="auto"/>
                <w:sz w:val="21"/>
                <w:lang w:val="en-US" w:eastAsia="zh-CN"/>
              </w:rPr>
            </w:pPr>
            <w:r>
              <w:rPr>
                <w:rFonts w:hint="eastAsia" w:ascii="宋体" w:hAnsi="宋体" w:eastAsia="宋体" w:cs="宋体"/>
                <w:color w:val="auto"/>
                <w:sz w:val="21"/>
              </w:rPr>
              <w:t>2、采购代理服务费收取标准：</w:t>
            </w:r>
            <w:r>
              <w:rPr>
                <w:rFonts w:hint="eastAsia" w:ascii="宋体" w:hAnsi="宋体" w:eastAsia="宋体" w:cs="宋体"/>
                <w:color w:val="auto"/>
                <w:sz w:val="21"/>
                <w:lang w:eastAsia="zh-CN"/>
              </w:rPr>
              <w:t>参照</w:t>
            </w:r>
            <w:r>
              <w:rPr>
                <w:rFonts w:hint="eastAsia" w:ascii="宋体" w:hAnsi="宋体" w:eastAsia="宋体" w:cs="宋体"/>
                <w:color w:val="auto"/>
                <w:sz w:val="21"/>
              </w:rPr>
              <w:t>【2002】1980号《招标代理服务费管理暂行办法》货物类收费标准</w:t>
            </w:r>
            <w:r>
              <w:rPr>
                <w:rFonts w:hint="eastAsia" w:ascii="宋体" w:hAnsi="宋体" w:eastAsia="宋体" w:cs="宋体"/>
                <w:color w:val="auto"/>
                <w:sz w:val="21"/>
                <w:lang w:val="en-US" w:eastAsia="zh-CN"/>
              </w:rPr>
              <w:t>收取。</w:t>
            </w:r>
          </w:p>
          <w:p w14:paraId="19DA9C0E">
            <w:pPr>
              <w:pStyle w:val="15"/>
              <w:snapToGrid w:val="0"/>
              <w:spacing w:line="360" w:lineRule="auto"/>
              <w:rPr>
                <w:rFonts w:hint="eastAsia" w:ascii="宋体" w:hAnsi="宋体" w:eastAsia="宋体" w:cs="宋体"/>
                <w:color w:val="auto"/>
                <w:sz w:val="21"/>
                <w:lang w:eastAsia="zh-CN"/>
              </w:rPr>
            </w:pPr>
            <w:r>
              <w:rPr>
                <w:rFonts w:hint="eastAsia" w:ascii="宋体" w:hAnsi="宋体" w:eastAsia="宋体" w:cs="宋体"/>
                <w:color w:val="auto"/>
                <w:sz w:val="21"/>
              </w:rPr>
              <w:t>3、</w:t>
            </w:r>
            <w:r>
              <w:rPr>
                <w:rFonts w:hint="eastAsia" w:hAnsi="宋体" w:cs="宋体"/>
                <w:color w:val="auto"/>
                <w:sz w:val="21"/>
                <w:lang w:eastAsia="zh-CN"/>
              </w:rPr>
              <w:t>广西国泰招标咨询有限公司</w:t>
            </w:r>
            <w:r>
              <w:rPr>
                <w:rFonts w:hint="eastAsia" w:ascii="宋体" w:hAnsi="宋体" w:eastAsia="宋体" w:cs="宋体"/>
                <w:color w:val="auto"/>
                <w:sz w:val="21"/>
                <w:lang w:val="en-US" w:eastAsia="zh-CN"/>
              </w:rPr>
              <w:t>玉</w:t>
            </w:r>
            <w:r>
              <w:rPr>
                <w:rFonts w:hint="eastAsia" w:hAnsi="宋体" w:cs="宋体"/>
                <w:color w:val="auto"/>
                <w:sz w:val="21"/>
                <w:lang w:val="en-US" w:eastAsia="zh-CN"/>
              </w:rPr>
              <w:t>林</w:t>
            </w:r>
            <w:r>
              <w:rPr>
                <w:rFonts w:hint="eastAsia" w:ascii="宋体" w:hAnsi="宋体" w:eastAsia="宋体" w:cs="宋体"/>
                <w:color w:val="auto"/>
                <w:sz w:val="21"/>
                <w:lang w:val="en-US" w:eastAsia="zh-CN"/>
              </w:rPr>
              <w:t>分公司</w:t>
            </w:r>
          </w:p>
          <w:p w14:paraId="700FDF23">
            <w:pPr>
              <w:pStyle w:val="15"/>
              <w:snapToGrid w:val="0"/>
              <w:spacing w:line="360" w:lineRule="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开户名称：广西国泰招标咨询有限公司玉林分公司</w:t>
            </w:r>
          </w:p>
          <w:p w14:paraId="3D09994B">
            <w:pPr>
              <w:pStyle w:val="15"/>
              <w:snapToGrid w:val="0"/>
              <w:spacing w:line="360" w:lineRule="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开户银行：农业银行玉林金玉路支行</w:t>
            </w:r>
          </w:p>
          <w:p w14:paraId="26F1C479">
            <w:pPr>
              <w:pStyle w:val="15"/>
              <w:snapToGrid w:val="0"/>
              <w:spacing w:line="360" w:lineRule="auto"/>
              <w:rPr>
                <w:rFonts w:hAnsi="宋体" w:cs="宋体"/>
                <w:color w:val="auto"/>
                <w:sz w:val="21"/>
                <w:u w:val="single"/>
              </w:rPr>
            </w:pPr>
            <w:r>
              <w:rPr>
                <w:rFonts w:hint="eastAsia" w:ascii="宋体" w:hAnsi="宋体" w:eastAsia="宋体" w:cs="宋体"/>
                <w:color w:val="auto"/>
                <w:sz w:val="21"/>
                <w:lang w:val="en-US" w:eastAsia="zh-CN"/>
              </w:rPr>
              <w:t>账  号：20410801040003746 </w:t>
            </w:r>
          </w:p>
        </w:tc>
      </w:tr>
      <w:tr w14:paraId="76CE7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E0783F">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8695" w:type="dxa"/>
            <w:vAlign w:val="center"/>
          </w:tcPr>
          <w:p w14:paraId="1A74A755">
            <w:pPr>
              <w:pStyle w:val="15"/>
              <w:snapToGrid w:val="0"/>
              <w:spacing w:line="360" w:lineRule="auto"/>
              <w:rPr>
                <w:rFonts w:hAnsi="宋体" w:cs="宋体"/>
                <w:color w:val="auto"/>
                <w:sz w:val="21"/>
              </w:rPr>
            </w:pPr>
            <w:r>
              <w:rPr>
                <w:rFonts w:hint="eastAsia" w:hAnsi="宋体" w:cs="宋体"/>
                <w:color w:val="auto"/>
                <w:sz w:val="21"/>
              </w:rPr>
              <w:t>解释：</w:t>
            </w:r>
            <w:r>
              <w:rPr>
                <w:rFonts w:hAnsi="宋体" w:cs="宋体"/>
                <w:color w:val="auto"/>
                <w:sz w:val="21"/>
              </w:rPr>
              <w:t>构成本</w:t>
            </w:r>
            <w:r>
              <w:rPr>
                <w:rFonts w:hint="eastAsia" w:hAnsi="宋体" w:cs="宋体"/>
                <w:color w:val="auto"/>
                <w:sz w:val="21"/>
              </w:rPr>
              <w:t>谈判文件</w:t>
            </w:r>
            <w:r>
              <w:rPr>
                <w:rFonts w:hAnsi="宋体" w:cs="宋体"/>
                <w:color w:val="auto"/>
                <w:sz w:val="21"/>
              </w:rPr>
              <w:t>的各个组成文件应互为解释，互为说明；除</w:t>
            </w:r>
            <w:r>
              <w:rPr>
                <w:rFonts w:hint="eastAsia" w:hAnsi="宋体" w:cs="宋体"/>
                <w:color w:val="auto"/>
                <w:sz w:val="21"/>
              </w:rPr>
              <w:t>谈判文件</w:t>
            </w:r>
            <w:r>
              <w:rPr>
                <w:rFonts w:hAnsi="宋体" w:cs="宋体"/>
                <w:color w:val="auto"/>
                <w:sz w:val="21"/>
              </w:rPr>
              <w:t>中有特别规定外，仅适用于</w:t>
            </w:r>
            <w:r>
              <w:rPr>
                <w:rFonts w:hint="eastAsia" w:hAnsi="宋体" w:cs="宋体"/>
                <w:color w:val="auto"/>
                <w:sz w:val="21"/>
              </w:rPr>
              <w:t>竞标</w:t>
            </w:r>
            <w:r>
              <w:rPr>
                <w:rFonts w:hAnsi="宋体" w:cs="宋体"/>
                <w:color w:val="auto"/>
                <w:sz w:val="21"/>
              </w:rPr>
              <w:t>阶段的规定，按</w:t>
            </w:r>
            <w:r>
              <w:rPr>
                <w:rFonts w:hint="eastAsia" w:hAnsi="宋体" w:cs="宋体"/>
                <w:color w:val="auto"/>
                <w:sz w:val="21"/>
              </w:rPr>
              <w:t>更正公告（澄清公告）</w:t>
            </w:r>
            <w:r>
              <w:rPr>
                <w:rFonts w:hAnsi="宋体" w:cs="宋体"/>
                <w:color w:val="auto"/>
                <w:sz w:val="21"/>
              </w:rPr>
              <w:t>、</w:t>
            </w:r>
            <w:r>
              <w:rPr>
                <w:rFonts w:hint="eastAsia" w:hAnsi="宋体" w:cs="宋体"/>
                <w:color w:val="auto"/>
                <w:sz w:val="21"/>
              </w:rPr>
              <w:t>竞争性谈判</w:t>
            </w:r>
            <w:r>
              <w:rPr>
                <w:rFonts w:hAnsi="宋体" w:cs="宋体"/>
                <w:color w:val="auto"/>
                <w:sz w:val="21"/>
              </w:rPr>
              <w:t>公告、</w:t>
            </w:r>
            <w:r>
              <w:rPr>
                <w:rFonts w:hint="eastAsia" w:hAnsi="宋体" w:cs="宋体"/>
                <w:color w:val="auto"/>
                <w:sz w:val="21"/>
              </w:rPr>
              <w:t>供应商</w:t>
            </w:r>
            <w:r>
              <w:rPr>
                <w:rFonts w:hAnsi="宋体" w:cs="宋体"/>
                <w:color w:val="auto"/>
                <w:sz w:val="21"/>
              </w:rPr>
              <w:t>须知</w:t>
            </w:r>
            <w:r>
              <w:rPr>
                <w:rFonts w:hint="eastAsia" w:hAnsi="宋体" w:cs="宋体"/>
                <w:color w:val="auto"/>
                <w:sz w:val="21"/>
              </w:rPr>
              <w:t>、采购需求</w:t>
            </w:r>
            <w:r>
              <w:rPr>
                <w:rFonts w:hAnsi="宋体" w:cs="宋体"/>
                <w:color w:val="auto"/>
                <w:sz w:val="21"/>
              </w:rPr>
              <w:t>、</w:t>
            </w:r>
            <w:r>
              <w:rPr>
                <w:rFonts w:hint="eastAsia" w:hAnsi="宋体" w:cs="宋体"/>
                <w:color w:val="auto"/>
                <w:sz w:val="21"/>
              </w:rPr>
              <w:t>评审程序和评定成交的标准</w:t>
            </w:r>
            <w:r>
              <w:rPr>
                <w:rFonts w:hAnsi="宋体" w:cs="宋体"/>
                <w:color w:val="auto"/>
                <w:sz w:val="21"/>
              </w:rPr>
              <w:t>、</w:t>
            </w:r>
            <w:r>
              <w:rPr>
                <w:rFonts w:hint="eastAsia" w:hAnsi="宋体" w:cs="宋体"/>
                <w:color w:val="auto"/>
                <w:sz w:val="21"/>
              </w:rPr>
              <w:t>响应</w:t>
            </w:r>
            <w:r>
              <w:rPr>
                <w:rFonts w:hAnsi="宋体" w:cs="宋体"/>
                <w:color w:val="auto"/>
                <w:sz w:val="21"/>
              </w:rPr>
              <w:t>文件格式</w:t>
            </w:r>
            <w:r>
              <w:rPr>
                <w:rFonts w:hint="eastAsia" w:hAnsi="宋体" w:cs="宋体"/>
                <w:color w:val="auto"/>
                <w:sz w:val="21"/>
              </w:rPr>
              <w:t>、合同文本</w:t>
            </w:r>
            <w:r>
              <w:rPr>
                <w:rFonts w:hAnsi="宋体" w:cs="宋体"/>
                <w:color w:val="auto"/>
                <w:sz w:val="21"/>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rPr>
              <w:t>更正公告（澄清公告）</w:t>
            </w:r>
            <w:r>
              <w:rPr>
                <w:rFonts w:hAnsi="宋体" w:cs="宋体"/>
                <w:color w:val="auto"/>
                <w:sz w:val="21"/>
              </w:rPr>
              <w:t>与同步更新的</w:t>
            </w:r>
            <w:r>
              <w:rPr>
                <w:rFonts w:hint="eastAsia" w:hAnsi="宋体" w:cs="宋体"/>
                <w:color w:val="auto"/>
                <w:sz w:val="21"/>
              </w:rPr>
              <w:t>谈判文件</w:t>
            </w:r>
            <w:r>
              <w:rPr>
                <w:rFonts w:hAnsi="宋体" w:cs="宋体"/>
                <w:color w:val="auto"/>
                <w:sz w:val="21"/>
              </w:rPr>
              <w:t>不一致时以</w:t>
            </w:r>
            <w:r>
              <w:rPr>
                <w:rFonts w:hint="eastAsia" w:hAnsi="宋体" w:cs="宋体"/>
                <w:color w:val="auto"/>
                <w:sz w:val="21"/>
              </w:rPr>
              <w:t>更正公告（澄清公告）</w:t>
            </w:r>
            <w:r>
              <w:rPr>
                <w:rFonts w:hAnsi="宋体" w:cs="宋体"/>
                <w:color w:val="auto"/>
                <w:sz w:val="21"/>
              </w:rPr>
              <w:t>为准。按本款前述规定仍不能形成结论的，由</w:t>
            </w:r>
            <w:r>
              <w:rPr>
                <w:rFonts w:hint="eastAsia" w:hAnsi="宋体" w:cs="宋体"/>
                <w:color w:val="auto"/>
                <w:sz w:val="21"/>
              </w:rPr>
              <w:t>采购</w:t>
            </w:r>
            <w:r>
              <w:rPr>
                <w:rFonts w:hAnsi="宋体" w:cs="宋体"/>
                <w:color w:val="auto"/>
                <w:sz w:val="21"/>
              </w:rPr>
              <w:t>人</w:t>
            </w:r>
            <w:r>
              <w:rPr>
                <w:rFonts w:hint="eastAsia" w:hAnsi="宋体" w:cs="宋体"/>
                <w:color w:val="auto"/>
                <w:sz w:val="21"/>
              </w:rPr>
              <w:t>或者采购代理机构</w:t>
            </w:r>
            <w:r>
              <w:rPr>
                <w:rFonts w:hAnsi="宋体" w:cs="宋体"/>
                <w:color w:val="auto"/>
                <w:sz w:val="21"/>
              </w:rPr>
              <w:t>负责解释。</w:t>
            </w:r>
          </w:p>
        </w:tc>
      </w:tr>
      <w:tr w14:paraId="1DC11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25DF3B1">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3.2</w:t>
            </w:r>
          </w:p>
        </w:tc>
        <w:tc>
          <w:tcPr>
            <w:tcW w:w="8695" w:type="dxa"/>
            <w:vAlign w:val="center"/>
          </w:tcPr>
          <w:p w14:paraId="7B980D81">
            <w:pPr>
              <w:pStyle w:val="15"/>
              <w:snapToGrid w:val="0"/>
              <w:spacing w:line="360" w:lineRule="auto"/>
              <w:rPr>
                <w:rFonts w:hAnsi="宋体" w:cs="宋体"/>
                <w:color w:val="auto"/>
                <w:sz w:val="21"/>
              </w:rPr>
            </w:pPr>
            <w:r>
              <w:rPr>
                <w:rFonts w:hint="eastAsia" w:hAnsi="宋体" w:cs="宋体"/>
                <w:color w:val="auto"/>
                <w:sz w:val="21"/>
              </w:rPr>
              <w:t>1、本谈判文件中描述供应商的“公章”是指根据我国对公章的管理规定，用供应商法定主体行为名称制作的印章【含通过指定电子化政府采购平台办理数字证书（CA认证）获得的以法定主体行为名称制作的电子印章】，除本谈判文件有特殊规定外，供应商的财务章、部门章、分公司章、工会章、合同章、竞标/</w:t>
            </w:r>
            <w:r>
              <w:rPr>
                <w:rFonts w:hint="eastAsia" w:hAnsi="宋体" w:cs="宋体"/>
                <w:color w:val="auto"/>
                <w:sz w:val="21"/>
                <w:lang w:eastAsia="zh-CN"/>
              </w:rPr>
              <w:t>竞标</w:t>
            </w:r>
            <w:r>
              <w:rPr>
                <w:rFonts w:hint="eastAsia" w:hAnsi="宋体" w:cs="宋体"/>
                <w:color w:val="auto"/>
                <w:sz w:val="21"/>
              </w:rPr>
              <w:t>专用章、业务专用章及银行的转账章、现金收讫章、现金付讫章等其他形式印章均不能代替公章。</w:t>
            </w:r>
          </w:p>
          <w:p w14:paraId="4C867F64">
            <w:pPr>
              <w:pStyle w:val="15"/>
              <w:snapToGrid w:val="0"/>
              <w:spacing w:line="360" w:lineRule="auto"/>
              <w:rPr>
                <w:rFonts w:hAnsi="宋体" w:cs="宋体"/>
                <w:color w:val="auto"/>
                <w:sz w:val="21"/>
              </w:rPr>
            </w:pPr>
            <w:r>
              <w:rPr>
                <w:rFonts w:hint="eastAsia" w:hAnsi="宋体" w:cs="宋体"/>
                <w:color w:val="auto"/>
                <w:sz w:val="21"/>
              </w:rPr>
              <w:t>2、供应商为其他组织或者自然人时，本谈判文件规定的法定代表人指负责人或者自然人。本谈判文件所称负责人是指参加竞标的其他组织</w:t>
            </w:r>
            <w:r>
              <w:rPr>
                <w:rFonts w:hint="eastAsia" w:hAnsi="宋体" w:cs="宋体"/>
                <w:bCs/>
                <w:color w:val="auto"/>
                <w:sz w:val="21"/>
              </w:rPr>
              <w:t>营业执照或者执业许可证等证照上的</w:t>
            </w:r>
            <w:r>
              <w:rPr>
                <w:rFonts w:hint="eastAsia" w:hAnsi="宋体" w:cs="宋体"/>
                <w:color w:val="auto"/>
                <w:sz w:val="21"/>
              </w:rPr>
              <w:t>负责人，本谈判文件所称自然人指参与竞标的自然人本人，</w:t>
            </w:r>
            <w:r>
              <w:rPr>
                <w:rFonts w:hint="eastAsia" w:hAnsi="宋体" w:cs="宋体"/>
                <w:bCs/>
                <w:color w:val="auto"/>
                <w:sz w:val="21"/>
              </w:rPr>
              <w:t>且应具备独立承担民事责任能力，自然人应当为年满18周岁以上成年人（十六周岁以上的未成年人，以自己的劳动收入为主要生活来源的，视为完全民事行为能力人）。</w:t>
            </w:r>
          </w:p>
          <w:p w14:paraId="4AF83B71">
            <w:pPr>
              <w:pStyle w:val="15"/>
              <w:snapToGrid w:val="0"/>
              <w:spacing w:line="360" w:lineRule="auto"/>
              <w:rPr>
                <w:rFonts w:hAnsi="宋体" w:cs="宋体"/>
                <w:color w:val="auto"/>
                <w:sz w:val="21"/>
              </w:rPr>
            </w:pPr>
            <w:r>
              <w:rPr>
                <w:rFonts w:hAnsi="宋体" w:cs="宋体"/>
                <w:color w:val="auto"/>
                <w:sz w:val="21"/>
              </w:rPr>
              <w:t>3</w:t>
            </w:r>
            <w:r>
              <w:rPr>
                <w:rFonts w:hint="eastAsia" w:hAnsi="宋体" w:cs="宋体"/>
                <w:color w:val="auto"/>
                <w:sz w:val="21"/>
              </w:rPr>
              <w:t>、本谈判文件中描述供应商的“签字”是指供应商的法定代表人（或负责人）或者委托代理人在文件规定签署处签名【含通过指定电子化政府采购平台办理数字证书（CA认证）获得的以供应商法定代表人（负责人）或者委托代理人姓名制作的电子印章】的行为，私章、印鉴等其他形式均不能代替签字。</w:t>
            </w:r>
          </w:p>
          <w:p w14:paraId="6CE53BB1">
            <w:pPr>
              <w:pStyle w:val="15"/>
              <w:snapToGrid w:val="0"/>
              <w:spacing w:line="360" w:lineRule="auto"/>
              <w:rPr>
                <w:rFonts w:hAnsi="宋体" w:cs="宋体"/>
                <w:color w:val="auto"/>
                <w:sz w:val="21"/>
              </w:rPr>
            </w:pPr>
            <w:r>
              <w:rPr>
                <w:rFonts w:hAnsi="宋体" w:cs="宋体"/>
                <w:color w:val="auto"/>
                <w:sz w:val="21"/>
              </w:rPr>
              <w:t>4</w:t>
            </w:r>
            <w:r>
              <w:rPr>
                <w:rFonts w:hint="eastAsia" w:hAnsi="宋体" w:cs="宋体"/>
                <w:color w:val="auto"/>
                <w:sz w:val="21"/>
              </w:rPr>
              <w:t>、自然人竞标的，谈判文件规定盖公章处由自然人摁手指指印。</w:t>
            </w:r>
          </w:p>
          <w:p w14:paraId="02488424">
            <w:pPr>
              <w:pStyle w:val="15"/>
              <w:snapToGrid w:val="0"/>
              <w:spacing w:line="360" w:lineRule="auto"/>
              <w:rPr>
                <w:rFonts w:hAnsi="宋体" w:cs="宋体"/>
                <w:color w:val="auto"/>
                <w:sz w:val="21"/>
              </w:rPr>
            </w:pPr>
            <w:r>
              <w:rPr>
                <w:rFonts w:hint="eastAsia" w:hAnsi="宋体" w:cs="宋体"/>
                <w:color w:val="auto"/>
                <w:sz w:val="21"/>
              </w:rPr>
              <w:t>5、本谈判文件所称的“以上”“以下”“以内”“届满”，包括本数；所称的“不满”“超过”“以外”，不包括本数。</w:t>
            </w:r>
          </w:p>
        </w:tc>
      </w:tr>
    </w:tbl>
    <w:p w14:paraId="65FE025B">
      <w:pPr>
        <w:spacing w:line="400" w:lineRule="exact"/>
        <w:jc w:val="center"/>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供应商须知正文</w:t>
      </w:r>
    </w:p>
    <w:p w14:paraId="4F525592">
      <w:pPr>
        <w:spacing w:line="400" w:lineRule="exact"/>
        <w:jc w:val="center"/>
        <w:rPr>
          <w:rFonts w:ascii="宋体" w:hAnsi="宋体"/>
          <w:b/>
          <w:color w:val="auto"/>
          <w:sz w:val="32"/>
          <w:szCs w:val="32"/>
        </w:rPr>
      </w:pPr>
    </w:p>
    <w:p w14:paraId="7AA65527">
      <w:pPr>
        <w:spacing w:line="400" w:lineRule="exact"/>
        <w:jc w:val="center"/>
        <w:rPr>
          <w:rFonts w:ascii="宋体" w:hAnsi="宋体"/>
          <w:b/>
          <w:color w:val="auto"/>
          <w:sz w:val="32"/>
          <w:szCs w:val="32"/>
        </w:rPr>
      </w:pPr>
      <w:r>
        <w:rPr>
          <w:rFonts w:hint="eastAsia" w:ascii="宋体" w:hAnsi="宋体"/>
          <w:b/>
          <w:color w:val="auto"/>
          <w:sz w:val="32"/>
          <w:szCs w:val="32"/>
        </w:rPr>
        <w:t>一、总则</w:t>
      </w:r>
    </w:p>
    <w:p w14:paraId="55ECA843">
      <w:pPr>
        <w:spacing w:line="400" w:lineRule="exact"/>
        <w:rPr>
          <w:rFonts w:ascii="宋体" w:hAnsi="宋体"/>
          <w:color w:val="auto"/>
          <w:szCs w:val="21"/>
        </w:rPr>
      </w:pPr>
    </w:p>
    <w:p w14:paraId="7DAA4D33">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 适用范围</w:t>
      </w:r>
    </w:p>
    <w:p w14:paraId="606E511E">
      <w:pPr>
        <w:spacing w:line="360" w:lineRule="auto"/>
        <w:ind w:firstLine="420" w:firstLineChars="200"/>
        <w:rPr>
          <w:rFonts w:ascii="宋体" w:hAnsi="宋体" w:cs="宋体"/>
          <w:color w:val="auto"/>
          <w:szCs w:val="21"/>
        </w:rPr>
      </w:pPr>
      <w:r>
        <w:rPr>
          <w:rFonts w:hint="eastAsia" w:ascii="宋体" w:hAnsi="宋体" w:cs="宋体"/>
          <w:color w:val="auto"/>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3F4C1FA2">
      <w:pPr>
        <w:spacing w:line="360" w:lineRule="auto"/>
        <w:ind w:firstLine="420" w:firstLineChars="200"/>
        <w:rPr>
          <w:rFonts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本竞争性谈判文件（以下简称谈判文件）适用于本项目的所有采购程序和环节（法律、法规另有规定的，从其规定）。</w:t>
      </w:r>
    </w:p>
    <w:p w14:paraId="47B0299E">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 定义</w:t>
      </w:r>
    </w:p>
    <w:p w14:paraId="50EF55DA">
      <w:pPr>
        <w:spacing w:line="360" w:lineRule="auto"/>
        <w:ind w:firstLine="420" w:firstLineChars="200"/>
        <w:rPr>
          <w:rFonts w:ascii="宋体" w:hAnsi="宋体" w:cs="宋体"/>
          <w:color w:val="auto"/>
          <w:szCs w:val="21"/>
        </w:rPr>
      </w:pPr>
      <w:r>
        <w:rPr>
          <w:rFonts w:hint="eastAsia" w:ascii="宋体" w:hAnsi="宋体" w:cs="宋体"/>
          <w:color w:val="auto"/>
          <w:szCs w:val="21"/>
        </w:rPr>
        <w:t>2.1“采购人”是指依法进行采购的国家机关、事业单位、团体组织。</w:t>
      </w:r>
    </w:p>
    <w:p w14:paraId="5C1725C2">
      <w:pPr>
        <w:spacing w:line="360" w:lineRule="auto"/>
        <w:ind w:firstLine="420" w:firstLineChars="200"/>
        <w:rPr>
          <w:rFonts w:ascii="宋体" w:hAnsi="宋体"/>
          <w:b/>
          <w:color w:val="auto"/>
          <w:szCs w:val="21"/>
        </w:rPr>
      </w:pPr>
      <w:r>
        <w:rPr>
          <w:rFonts w:hint="eastAsia" w:ascii="宋体" w:hAnsi="宋体" w:cs="宋体"/>
          <w:color w:val="auto"/>
          <w:szCs w:val="21"/>
        </w:rPr>
        <w:t>2.2“采购代理机构”</w:t>
      </w:r>
      <w:r>
        <w:rPr>
          <w:rFonts w:hint="eastAsia" w:ascii="宋体" w:hAnsi="宋体"/>
          <w:b/>
          <w:color w:val="auto"/>
          <w:szCs w:val="21"/>
        </w:rPr>
        <w:t>是指政府采购集中采购机构和集中采购机构以外的采购代理机构。</w:t>
      </w:r>
    </w:p>
    <w:p w14:paraId="488D2AC3">
      <w:pPr>
        <w:spacing w:line="360" w:lineRule="auto"/>
        <w:ind w:firstLine="420" w:firstLineChars="200"/>
        <w:rPr>
          <w:rFonts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78CF88A1">
      <w:pPr>
        <w:spacing w:line="360" w:lineRule="auto"/>
        <w:ind w:firstLine="420" w:firstLineChars="200"/>
        <w:rPr>
          <w:rFonts w:ascii="宋体" w:hAnsi="宋体" w:cs="宋体"/>
          <w:color w:val="auto"/>
          <w:szCs w:val="21"/>
        </w:rPr>
      </w:pPr>
      <w:r>
        <w:rPr>
          <w:rFonts w:hint="eastAsia" w:ascii="宋体" w:hAnsi="宋体" w:cs="宋体"/>
          <w:color w:val="auto"/>
          <w:szCs w:val="21"/>
        </w:rPr>
        <w:t>2.4“货物”是指各种形态和种类的物品，包括原材料、燃料、设备、产品等。</w:t>
      </w:r>
    </w:p>
    <w:p w14:paraId="69871055">
      <w:pPr>
        <w:spacing w:line="360" w:lineRule="auto"/>
        <w:ind w:firstLine="420" w:firstLineChars="200"/>
        <w:rPr>
          <w:rFonts w:ascii="宋体" w:hAnsi="宋体" w:cs="宋体"/>
          <w:color w:val="auto"/>
          <w:szCs w:val="21"/>
        </w:rPr>
      </w:pPr>
      <w:r>
        <w:rPr>
          <w:rFonts w:hint="eastAsia" w:ascii="宋体" w:hAnsi="宋体" w:cs="宋体"/>
          <w:color w:val="auto"/>
          <w:szCs w:val="21"/>
        </w:rPr>
        <w:t>2.5“竞标”是指按照本项目竞争性谈判公告或者邀请函规定的方式供应商获取谈判文件、提交响应文件并希望获得标的的行为。</w:t>
      </w:r>
    </w:p>
    <w:p w14:paraId="5BC3F03C">
      <w:pPr>
        <w:spacing w:line="360" w:lineRule="auto"/>
        <w:ind w:firstLine="420" w:firstLineChars="200"/>
        <w:rPr>
          <w:rFonts w:ascii="宋体" w:hAnsi="宋体" w:cs="宋体"/>
          <w:color w:val="auto"/>
          <w:szCs w:val="21"/>
        </w:rPr>
      </w:pPr>
      <w:r>
        <w:rPr>
          <w:rFonts w:hint="eastAsia" w:ascii="宋体" w:hAnsi="宋体" w:cs="宋体"/>
          <w:color w:val="auto"/>
          <w:szCs w:val="21"/>
        </w:rPr>
        <w:t>2.6“售后服务” 是指包含但不限于供应商须承担的备品备件、包装、运输、装卸、保险、货到就位以及安装、调试、培训、保修和其他类似的义务。</w:t>
      </w:r>
    </w:p>
    <w:p w14:paraId="20842D7A">
      <w:pPr>
        <w:spacing w:line="360" w:lineRule="auto"/>
        <w:ind w:firstLine="420" w:firstLineChars="200"/>
        <w:rPr>
          <w:rFonts w:ascii="宋体" w:hAnsi="宋体" w:cs="宋体"/>
          <w:color w:val="auto"/>
          <w:szCs w:val="21"/>
        </w:rPr>
      </w:pPr>
      <w:r>
        <w:rPr>
          <w:rFonts w:hint="eastAsia" w:ascii="宋体" w:hAnsi="宋体" w:cs="宋体"/>
          <w:color w:val="auto"/>
          <w:szCs w:val="21"/>
        </w:rPr>
        <w:t>2.7“书面形式”是指合同书、信件和数据电文（包括电报、电传、传真、电子数据交换和电子邮件）等可以有形地表现所载内容的形式。</w:t>
      </w:r>
    </w:p>
    <w:p w14:paraId="58327653">
      <w:pPr>
        <w:spacing w:line="360" w:lineRule="auto"/>
        <w:ind w:firstLine="420" w:firstLineChars="200"/>
        <w:rPr>
          <w:rFonts w:ascii="宋体" w:hAnsi="宋体" w:cs="宋体"/>
          <w:color w:val="auto"/>
          <w:szCs w:val="21"/>
        </w:rPr>
      </w:pPr>
      <w:r>
        <w:rPr>
          <w:rFonts w:hint="eastAsia" w:ascii="宋体" w:hAnsi="宋体" w:cs="宋体"/>
          <w:color w:val="auto"/>
          <w:szCs w:val="21"/>
        </w:rPr>
        <w:t>2.8“响应文件”</w:t>
      </w:r>
      <w:r>
        <w:rPr>
          <w:rFonts w:hint="eastAsia" w:ascii="宋体" w:hAnsi="宋体" w:cs="宋体"/>
          <w:color w:val="auto"/>
          <w:spacing w:val="-6"/>
          <w:szCs w:val="21"/>
        </w:rPr>
        <w:t>是指：供应商根据本谈判文件要求，编制包含报价、技术和服务等所有内容的文件。</w:t>
      </w:r>
    </w:p>
    <w:p w14:paraId="6BE6C571">
      <w:pPr>
        <w:spacing w:line="360" w:lineRule="auto"/>
        <w:ind w:firstLine="420" w:firstLineChars="200"/>
        <w:rPr>
          <w:rFonts w:ascii="宋体" w:hAnsi="宋体" w:cs="宋体"/>
          <w:color w:val="auto"/>
          <w:szCs w:val="21"/>
        </w:rPr>
      </w:pPr>
      <w:r>
        <w:rPr>
          <w:rFonts w:hint="eastAsia" w:ascii="宋体" w:hAnsi="宋体" w:cs="宋体"/>
          <w:color w:val="auto"/>
          <w:szCs w:val="21"/>
        </w:rPr>
        <w:t>2.9 “实质性要求”是指采购需求中带“▲”的条款或者不能负偏离的条款或者已经指明不满足按响应文件按无效响应处理的条款。</w:t>
      </w:r>
    </w:p>
    <w:p w14:paraId="6FB07D27">
      <w:pPr>
        <w:spacing w:line="360" w:lineRule="auto"/>
        <w:ind w:firstLine="420" w:firstLineChars="200"/>
        <w:rPr>
          <w:rFonts w:ascii="宋体" w:hAnsi="宋体" w:cs="宋体"/>
          <w:color w:val="auto"/>
          <w:szCs w:val="21"/>
        </w:rPr>
      </w:pPr>
      <w:r>
        <w:rPr>
          <w:rFonts w:hint="eastAsia" w:ascii="宋体" w:hAnsi="宋体" w:cs="宋体"/>
          <w:color w:val="auto"/>
          <w:szCs w:val="21"/>
        </w:rPr>
        <w:t>2.10“正偏离”，是指响应文件对谈判文件“采购需求”中有关条款作出优于条款要求并有利于采购人的响应情形；</w:t>
      </w:r>
    </w:p>
    <w:p w14:paraId="3AEB491C">
      <w:pPr>
        <w:spacing w:line="360" w:lineRule="auto"/>
        <w:ind w:firstLine="420" w:firstLineChars="200"/>
        <w:rPr>
          <w:rFonts w:ascii="宋体" w:hAnsi="宋体" w:cs="宋体"/>
          <w:color w:val="auto"/>
          <w:szCs w:val="21"/>
        </w:rPr>
      </w:pPr>
      <w:r>
        <w:rPr>
          <w:rFonts w:hint="eastAsia" w:ascii="宋体" w:hAnsi="宋体" w:cs="宋体"/>
          <w:color w:val="auto"/>
          <w:szCs w:val="21"/>
        </w:rPr>
        <w:t>2.11“负偏离”，是指响应文件对谈判文件“采购需求”中有关条款作出的响应不满足条款要求，导致采购人要求不能得到满足的情形。</w:t>
      </w:r>
    </w:p>
    <w:p w14:paraId="470CFC1E">
      <w:pPr>
        <w:spacing w:line="360" w:lineRule="auto"/>
        <w:ind w:firstLine="420" w:firstLineChars="200"/>
        <w:rPr>
          <w:rFonts w:ascii="宋体" w:hAnsi="宋体" w:cs="宋体"/>
          <w:color w:val="auto"/>
          <w:szCs w:val="21"/>
        </w:rPr>
      </w:pPr>
      <w:r>
        <w:rPr>
          <w:rFonts w:hint="eastAsia" w:ascii="宋体" w:hAnsi="宋体" w:cs="宋体"/>
          <w:color w:val="auto"/>
          <w:szCs w:val="21"/>
        </w:rPr>
        <w:t>2.12“允许负偏离的条款”是指采购需求中的不属于“实质性要求”的条款。</w:t>
      </w:r>
    </w:p>
    <w:p w14:paraId="2E0E79CF">
      <w:pPr>
        <w:spacing w:line="360" w:lineRule="auto"/>
        <w:ind w:firstLine="420" w:firstLineChars="200"/>
        <w:rPr>
          <w:rFonts w:ascii="宋体" w:hAnsi="宋体" w:cs="宋体"/>
          <w:color w:val="auto"/>
          <w:szCs w:val="21"/>
        </w:rPr>
      </w:pPr>
      <w:r>
        <w:rPr>
          <w:rFonts w:hint="eastAsia" w:ascii="宋体" w:hAnsi="宋体" w:cs="宋体"/>
          <w:color w:val="auto"/>
          <w:szCs w:val="21"/>
        </w:rPr>
        <w:t>2.13“首次报价”是指供应商提交的首次响应文件中的竞标报价。</w:t>
      </w:r>
    </w:p>
    <w:p w14:paraId="3527B9DF">
      <w:pPr>
        <w:spacing w:line="360" w:lineRule="auto"/>
        <w:ind w:firstLine="482" w:firstLineChars="200"/>
        <w:contextualSpacing/>
        <w:rPr>
          <w:rFonts w:ascii="黑体" w:hAnsi="黑体" w:eastAsia="黑体" w:cs="宋体"/>
          <w:b/>
          <w:bCs/>
          <w:color w:val="auto"/>
          <w:sz w:val="24"/>
        </w:rPr>
      </w:pPr>
      <w:r>
        <w:rPr>
          <w:rFonts w:hint="eastAsia" w:ascii="黑体" w:hAnsi="黑体" w:eastAsia="黑体" w:cs="宋体"/>
          <w:b/>
          <w:bCs/>
          <w:color w:val="auto"/>
          <w:sz w:val="24"/>
        </w:rPr>
        <w:t>3. 供应商的资格条件</w:t>
      </w:r>
    </w:p>
    <w:p w14:paraId="1E360671">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供应商的资格条件详见“供应商须知前附表”。</w:t>
      </w:r>
    </w:p>
    <w:p w14:paraId="137AA4A8">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4. 竞标费用</w:t>
      </w:r>
    </w:p>
    <w:p w14:paraId="210348C8">
      <w:pPr>
        <w:spacing w:line="360" w:lineRule="auto"/>
        <w:ind w:firstLine="420" w:firstLineChars="200"/>
        <w:rPr>
          <w:rFonts w:ascii="宋体" w:hAnsi="宋体" w:cs="宋体"/>
          <w:color w:val="auto"/>
          <w:szCs w:val="21"/>
        </w:rPr>
      </w:pPr>
      <w:r>
        <w:rPr>
          <w:rFonts w:hint="eastAsia" w:ascii="宋体" w:hAnsi="宋体" w:cs="宋体"/>
          <w:color w:val="auto"/>
          <w:szCs w:val="21"/>
        </w:rPr>
        <w:t>竞标费用：供应商应承担参与本次采购活动有关的所有费用，包括但不限于获取谈判文件、勘查现场、编制和提交响应文件、参加谈判与应答、签订合同等，不论竞标结果如何，均应自行承担。</w:t>
      </w:r>
    </w:p>
    <w:p w14:paraId="6FCB7C23">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5.联合体竞标</w:t>
      </w:r>
    </w:p>
    <w:p w14:paraId="2D7E344B">
      <w:pPr>
        <w:spacing w:line="360" w:lineRule="auto"/>
        <w:ind w:firstLine="420" w:firstLineChars="200"/>
        <w:rPr>
          <w:rFonts w:ascii="宋体" w:hAnsi="宋体" w:cs="宋体"/>
          <w:color w:val="auto"/>
          <w:szCs w:val="21"/>
        </w:rPr>
      </w:pPr>
      <w:r>
        <w:rPr>
          <w:rFonts w:hint="eastAsia" w:ascii="宋体" w:hAnsi="宋体" w:cs="宋体"/>
          <w:color w:val="auto"/>
          <w:szCs w:val="21"/>
        </w:rPr>
        <w:t>5.1本项目是否接受联合体竞标，详见“供应商须知前附表”。</w:t>
      </w:r>
    </w:p>
    <w:p w14:paraId="1297E51F">
      <w:pPr>
        <w:spacing w:line="360" w:lineRule="auto"/>
        <w:ind w:firstLine="420" w:firstLineChars="200"/>
        <w:rPr>
          <w:rFonts w:ascii="宋体" w:hAnsi="宋体" w:cs="宋体"/>
          <w:color w:val="auto"/>
          <w:szCs w:val="21"/>
        </w:rPr>
      </w:pPr>
      <w:r>
        <w:rPr>
          <w:rFonts w:hint="eastAsia" w:ascii="宋体" w:hAnsi="宋体" w:cs="宋体"/>
          <w:color w:val="auto"/>
          <w:szCs w:val="21"/>
        </w:rPr>
        <w:t>5.2</w:t>
      </w:r>
      <w:r>
        <w:rPr>
          <w:rFonts w:hint="eastAsia" w:ascii="宋体" w:hAnsi="宋体"/>
          <w:bCs/>
          <w:color w:val="auto"/>
          <w:szCs w:val="21"/>
        </w:rPr>
        <w:t>如接受联合体竞标，</w:t>
      </w:r>
      <w:r>
        <w:rPr>
          <w:rFonts w:hint="eastAsia" w:ascii="宋体" w:hAnsi="宋体" w:cs="宋体"/>
          <w:color w:val="auto"/>
          <w:szCs w:val="21"/>
        </w:rPr>
        <w:t>联合体竞标要求详见“供应商须知前附表”。</w:t>
      </w:r>
    </w:p>
    <w:p w14:paraId="52AF1844">
      <w:pPr>
        <w:spacing w:line="360" w:lineRule="auto"/>
        <w:ind w:firstLine="420" w:firstLineChars="200"/>
        <w:rPr>
          <w:rFonts w:ascii="宋体" w:hAnsi="宋体" w:cs="宋体"/>
          <w:color w:val="auto"/>
          <w:szCs w:val="21"/>
        </w:rPr>
      </w:pPr>
      <w:r>
        <w:rPr>
          <w:rFonts w:hint="eastAsia" w:ascii="宋体" w:hAnsi="宋体" w:cs="宋体"/>
          <w:color w:val="auto"/>
          <w:szCs w:val="21"/>
        </w:rPr>
        <w:t>5.3</w:t>
      </w:r>
      <w:bookmarkStart w:id="16" w:name="_Hlk65857072"/>
      <w:r>
        <w:rPr>
          <w:rFonts w:hint="eastAsia" w:ascii="宋体" w:hAnsi="宋体"/>
          <w:color w:val="auto"/>
          <w:szCs w:val="21"/>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16"/>
    </w:p>
    <w:p w14:paraId="69418AE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 xml:space="preserve">6.转包与分包             </w:t>
      </w:r>
    </w:p>
    <w:p w14:paraId="405A4C5F">
      <w:pPr>
        <w:pStyle w:val="5"/>
        <w:keepNext w:val="0"/>
        <w:keepLines w:val="0"/>
        <w:spacing w:before="0" w:after="0" w:line="360" w:lineRule="auto"/>
        <w:ind w:left="420" w:leftChars="200"/>
        <w:rPr>
          <w:rFonts w:ascii="宋体" w:hAnsi="宋体"/>
          <w:b w:val="0"/>
          <w:color w:val="auto"/>
          <w:sz w:val="21"/>
          <w:szCs w:val="21"/>
        </w:rPr>
      </w:pPr>
      <w:bookmarkStart w:id="17" w:name="_Toc254970532"/>
      <w:bookmarkStart w:id="18" w:name="_Toc254970673"/>
      <w:r>
        <w:rPr>
          <w:rFonts w:hint="eastAsia" w:ascii="宋体" w:hAnsi="宋体"/>
          <w:b w:val="0"/>
          <w:color w:val="auto"/>
          <w:sz w:val="21"/>
          <w:szCs w:val="21"/>
        </w:rPr>
        <w:t>6.1本项目不允许转包。</w:t>
      </w:r>
    </w:p>
    <w:p w14:paraId="66518AB6">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07E895D3">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2B660FA5">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7.特别说明</w:t>
      </w:r>
      <w:bookmarkEnd w:id="17"/>
      <w:bookmarkEnd w:id="18"/>
    </w:p>
    <w:p w14:paraId="29D79E5D">
      <w:pPr>
        <w:spacing w:line="360" w:lineRule="auto"/>
        <w:ind w:firstLine="420" w:firstLineChars="200"/>
        <w:rPr>
          <w:rFonts w:ascii="宋体" w:hAnsi="宋体" w:cs="宋体"/>
          <w:color w:val="auto"/>
          <w:szCs w:val="21"/>
        </w:rPr>
      </w:pPr>
      <w:bookmarkStart w:id="19" w:name="_8.1提供相同品牌产品且通过资格审查、符合性审查的不同投标人参加同一合"/>
      <w:bookmarkEnd w:id="19"/>
      <w:r>
        <w:rPr>
          <w:rFonts w:hint="eastAsia" w:ascii="宋体" w:hAnsi="宋体" w:cs="宋体"/>
          <w:color w:val="auto"/>
          <w:szCs w:val="21"/>
        </w:rPr>
        <w:t>7.1</w:t>
      </w:r>
      <w:r>
        <w:rPr>
          <w:rFonts w:hint="eastAsia" w:ascii="宋体" w:hAnsi="宋体"/>
          <w:color w:val="auto"/>
          <w:szCs w:val="21"/>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rPr>
        <w:t>。</w:t>
      </w:r>
    </w:p>
    <w:p w14:paraId="00A18EBC">
      <w:pPr>
        <w:spacing w:line="360" w:lineRule="auto"/>
        <w:ind w:firstLine="420" w:firstLineChars="200"/>
        <w:rPr>
          <w:rFonts w:ascii="宋体" w:hAnsi="宋体" w:cs="宋体"/>
          <w:color w:val="auto"/>
          <w:szCs w:val="21"/>
        </w:rPr>
      </w:pPr>
      <w:r>
        <w:rPr>
          <w:rFonts w:hint="eastAsia" w:ascii="宋体" w:hAnsi="宋体" w:cs="宋体"/>
          <w:color w:val="auto"/>
          <w:szCs w:val="21"/>
        </w:rPr>
        <w:t>7.2供应商应仔细阅读谈判文件的所有内容，按照谈判文件的要求提交响应文件，并对所提供的全部资料的真实性承担法律责任。</w:t>
      </w:r>
    </w:p>
    <w:p w14:paraId="40AD23E5">
      <w:pPr>
        <w:spacing w:line="360" w:lineRule="auto"/>
        <w:ind w:firstLine="420" w:firstLineChars="200"/>
        <w:rPr>
          <w:rFonts w:ascii="宋体" w:hAnsi="宋体" w:cs="宋体"/>
          <w:color w:val="auto"/>
          <w:szCs w:val="21"/>
        </w:rPr>
      </w:pPr>
      <w:r>
        <w:rPr>
          <w:rFonts w:hint="eastAsia" w:ascii="宋体" w:hAnsi="宋体" w:cs="宋体"/>
          <w:color w:val="auto"/>
          <w:szCs w:val="21"/>
        </w:rPr>
        <w:t>7.3供应商在竞标活动中提供任何虚假材料,其响应文件按无效响应处理，并报监管部门查处；签订合同后发现的,成交供应商须依法赔偿采购人，且民事赔偿并不免除违法供应商的行政与刑事责任。</w:t>
      </w:r>
    </w:p>
    <w:p w14:paraId="54205B81">
      <w:pPr>
        <w:spacing w:line="360" w:lineRule="auto"/>
        <w:ind w:firstLine="420" w:firstLineChars="200"/>
        <w:rPr>
          <w:rFonts w:ascii="宋体" w:hAnsi="宋体" w:cs="宋体"/>
          <w:color w:val="auto"/>
          <w:szCs w:val="21"/>
        </w:rPr>
      </w:pPr>
      <w:r>
        <w:rPr>
          <w:rFonts w:hint="eastAsia" w:ascii="宋体" w:hAnsi="宋体" w:cs="宋体"/>
          <w:color w:val="auto"/>
          <w:szCs w:val="21"/>
        </w:rPr>
        <w:t>7.4在政府采购活动中，采购人员及相关人员与供应商有下列利害关系之一的，应当回避：</w:t>
      </w:r>
    </w:p>
    <w:p w14:paraId="38156475">
      <w:pPr>
        <w:spacing w:line="360" w:lineRule="auto"/>
        <w:ind w:firstLine="420" w:firstLineChars="200"/>
        <w:rPr>
          <w:rFonts w:ascii="宋体" w:hAnsi="宋体" w:cs="宋体"/>
          <w:color w:val="auto"/>
          <w:szCs w:val="21"/>
        </w:rPr>
      </w:pPr>
      <w:r>
        <w:rPr>
          <w:rFonts w:hint="eastAsia" w:ascii="宋体" w:hAnsi="宋体" w:cs="宋体"/>
          <w:color w:val="auto"/>
          <w:szCs w:val="21"/>
        </w:rPr>
        <w:t>（1）参加采购活动前3年内与供应商存在劳动关系；</w:t>
      </w:r>
    </w:p>
    <w:p w14:paraId="01DC48A7">
      <w:pPr>
        <w:spacing w:line="360" w:lineRule="auto"/>
        <w:ind w:firstLine="420" w:firstLineChars="200"/>
        <w:rPr>
          <w:rFonts w:ascii="宋体" w:hAnsi="宋体" w:cs="宋体"/>
          <w:color w:val="auto"/>
          <w:szCs w:val="21"/>
        </w:rPr>
      </w:pPr>
      <w:r>
        <w:rPr>
          <w:rFonts w:hint="eastAsia" w:ascii="宋体" w:hAnsi="宋体" w:cs="宋体"/>
          <w:color w:val="auto"/>
          <w:szCs w:val="21"/>
        </w:rPr>
        <w:t>（2）参加采购活动前3年内担任供应商的董事、监事；</w:t>
      </w:r>
    </w:p>
    <w:p w14:paraId="2DA662B0">
      <w:pPr>
        <w:spacing w:line="360" w:lineRule="auto"/>
        <w:ind w:firstLine="420" w:firstLineChars="200"/>
        <w:rPr>
          <w:rFonts w:ascii="宋体" w:hAnsi="宋体" w:cs="宋体"/>
          <w:color w:val="auto"/>
          <w:szCs w:val="21"/>
        </w:rPr>
      </w:pPr>
      <w:r>
        <w:rPr>
          <w:rFonts w:hint="eastAsia" w:ascii="宋体" w:hAnsi="宋体" w:cs="宋体"/>
          <w:color w:val="auto"/>
          <w:szCs w:val="21"/>
        </w:rPr>
        <w:t>（3）参加采购活动前3年内是供应商的控股股东或者实际控制人；</w:t>
      </w:r>
    </w:p>
    <w:p w14:paraId="4FD0941C">
      <w:pPr>
        <w:spacing w:line="360" w:lineRule="auto"/>
        <w:ind w:firstLine="420" w:firstLineChars="200"/>
        <w:rPr>
          <w:rFonts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07A99406">
      <w:pPr>
        <w:spacing w:line="360" w:lineRule="auto"/>
        <w:ind w:firstLine="420" w:firstLineChars="200"/>
        <w:rPr>
          <w:rFonts w:ascii="宋体" w:hAnsi="宋体" w:cs="宋体"/>
          <w:color w:val="auto"/>
          <w:szCs w:val="21"/>
        </w:rPr>
      </w:pPr>
      <w:r>
        <w:rPr>
          <w:rFonts w:hint="eastAsia" w:ascii="宋体" w:hAnsi="宋体" w:cs="宋体"/>
          <w:color w:val="auto"/>
          <w:szCs w:val="21"/>
        </w:rPr>
        <w:t>（5）与供应商有其他可能影响政府采购活动公平、公正进行的关系。</w:t>
      </w:r>
    </w:p>
    <w:p w14:paraId="2691FDD3">
      <w:pPr>
        <w:spacing w:line="360" w:lineRule="auto"/>
        <w:ind w:firstLine="420" w:firstLineChars="200"/>
        <w:rPr>
          <w:rFonts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35BD88C">
      <w:pPr>
        <w:spacing w:line="360" w:lineRule="auto"/>
        <w:ind w:firstLine="420" w:firstLineChars="200"/>
        <w:rPr>
          <w:rFonts w:ascii="宋体" w:hAnsi="宋体" w:cs="宋体"/>
          <w:color w:val="auto"/>
          <w:szCs w:val="21"/>
        </w:rPr>
      </w:pPr>
      <w:r>
        <w:rPr>
          <w:rFonts w:hint="eastAsia" w:ascii="宋体" w:hAnsi="宋体" w:cs="宋体"/>
          <w:color w:val="auto"/>
          <w:szCs w:val="21"/>
        </w:rPr>
        <w:t>7.5有下列情形之一的视为供应商相互串通竞标，响应文件将被视为无效：</w:t>
      </w:r>
    </w:p>
    <w:p w14:paraId="67D03E95">
      <w:pPr>
        <w:spacing w:line="360" w:lineRule="auto"/>
        <w:ind w:firstLine="420" w:firstLineChars="200"/>
        <w:rPr>
          <w:rFonts w:ascii="宋体" w:hAnsi="宋体" w:cs="宋体"/>
          <w:color w:val="auto"/>
          <w:szCs w:val="21"/>
        </w:rPr>
      </w:pPr>
      <w:r>
        <w:rPr>
          <w:rFonts w:hint="eastAsia" w:ascii="宋体" w:hAnsi="宋体" w:cs="宋体"/>
          <w:color w:val="auto"/>
          <w:szCs w:val="21"/>
        </w:rPr>
        <w:t>（1）不同供应商的响应文件由同一单位或者个人编制；</w:t>
      </w:r>
    </w:p>
    <w:p w14:paraId="440ED193">
      <w:pPr>
        <w:spacing w:line="360" w:lineRule="auto"/>
        <w:ind w:firstLine="420" w:firstLineChars="200"/>
        <w:rPr>
          <w:rFonts w:ascii="宋体" w:hAnsi="宋体" w:cs="宋体"/>
          <w:color w:val="auto"/>
          <w:szCs w:val="21"/>
        </w:rPr>
      </w:pPr>
      <w:r>
        <w:rPr>
          <w:rFonts w:hint="eastAsia" w:ascii="宋体" w:hAnsi="宋体" w:cs="宋体"/>
          <w:color w:val="auto"/>
          <w:szCs w:val="21"/>
        </w:rPr>
        <w:t>（2）不同供应商委托同一单位或者个人办理竞标事宜；</w:t>
      </w:r>
    </w:p>
    <w:p w14:paraId="5818197E">
      <w:pPr>
        <w:spacing w:line="360" w:lineRule="auto"/>
        <w:ind w:firstLine="420" w:firstLineChars="200"/>
        <w:rPr>
          <w:rFonts w:ascii="宋体" w:hAnsi="宋体" w:cs="宋体"/>
          <w:color w:val="auto"/>
          <w:szCs w:val="21"/>
        </w:rPr>
      </w:pPr>
      <w:r>
        <w:rPr>
          <w:rFonts w:hint="eastAsia" w:ascii="宋体" w:hAnsi="宋体" w:cs="宋体"/>
          <w:color w:val="auto"/>
          <w:szCs w:val="21"/>
        </w:rPr>
        <w:t>（3）不同的供应商的响应文件载明的项目管理员为同一个人；</w:t>
      </w:r>
    </w:p>
    <w:p w14:paraId="6BBC6C04">
      <w:pPr>
        <w:spacing w:line="360" w:lineRule="auto"/>
        <w:ind w:firstLine="420" w:firstLineChars="200"/>
        <w:rPr>
          <w:rFonts w:ascii="宋体" w:hAnsi="宋体" w:cs="宋体"/>
          <w:color w:val="auto"/>
          <w:szCs w:val="21"/>
        </w:rPr>
      </w:pPr>
      <w:r>
        <w:rPr>
          <w:rFonts w:hint="eastAsia" w:ascii="宋体" w:hAnsi="宋体" w:cs="宋体"/>
          <w:color w:val="auto"/>
          <w:szCs w:val="21"/>
        </w:rPr>
        <w:t>（4）不同供应商的响应文件异常一致或者报价呈规律性差异；</w:t>
      </w:r>
    </w:p>
    <w:p w14:paraId="2C8182C9">
      <w:pPr>
        <w:spacing w:line="360" w:lineRule="auto"/>
        <w:ind w:firstLine="420" w:firstLineChars="200"/>
        <w:rPr>
          <w:rFonts w:ascii="宋体" w:hAnsi="宋体" w:cs="宋体"/>
          <w:color w:val="auto"/>
          <w:szCs w:val="21"/>
        </w:rPr>
      </w:pPr>
      <w:r>
        <w:rPr>
          <w:rFonts w:hint="eastAsia" w:ascii="宋体" w:hAnsi="宋体" w:cs="宋体"/>
          <w:color w:val="auto"/>
          <w:szCs w:val="21"/>
        </w:rPr>
        <w:t>（5）不同供应商的响应文件相互混装；</w:t>
      </w:r>
    </w:p>
    <w:p w14:paraId="083633B7">
      <w:pPr>
        <w:spacing w:line="360" w:lineRule="auto"/>
        <w:ind w:firstLine="420" w:firstLineChars="200"/>
        <w:rPr>
          <w:rFonts w:ascii="宋体" w:hAnsi="宋体" w:cs="宋体"/>
          <w:color w:val="auto"/>
          <w:szCs w:val="21"/>
        </w:rPr>
      </w:pPr>
      <w:r>
        <w:rPr>
          <w:rFonts w:hint="eastAsia" w:ascii="宋体" w:hAnsi="宋体" w:cs="宋体"/>
          <w:color w:val="auto"/>
          <w:szCs w:val="21"/>
        </w:rPr>
        <w:t>（6）不同供应商的竞标保证金从同一单位或者个人账户转出。</w:t>
      </w:r>
    </w:p>
    <w:p w14:paraId="01F9EAF5">
      <w:pPr>
        <w:spacing w:line="360" w:lineRule="auto"/>
        <w:ind w:firstLine="420" w:firstLineChars="200"/>
        <w:rPr>
          <w:rFonts w:ascii="宋体" w:hAnsi="宋体" w:cs="宋体"/>
          <w:color w:val="auto"/>
          <w:szCs w:val="21"/>
        </w:rPr>
      </w:pPr>
      <w:r>
        <w:rPr>
          <w:rFonts w:hint="eastAsia" w:ascii="宋体" w:hAnsi="宋体" w:cs="宋体"/>
          <w:color w:val="auto"/>
          <w:szCs w:val="21"/>
        </w:rPr>
        <w:t>7.6供应商有下列情形之一的，属于恶意串通行为</w:t>
      </w:r>
      <w:bookmarkStart w:id="20" w:name="_Hlk54682620"/>
      <w:r>
        <w:rPr>
          <w:rFonts w:hint="eastAsia" w:ascii="宋体" w:hAnsi="宋体" w:cs="宋体"/>
          <w:color w:val="auto"/>
          <w:szCs w:val="21"/>
        </w:rPr>
        <w:t>，将报同级监督管理部门</w:t>
      </w:r>
      <w:bookmarkEnd w:id="20"/>
      <w:r>
        <w:rPr>
          <w:rFonts w:hint="eastAsia" w:ascii="宋体" w:hAnsi="宋体" w:cs="宋体"/>
          <w:color w:val="auto"/>
          <w:szCs w:val="21"/>
        </w:rPr>
        <w:t>：</w:t>
      </w:r>
    </w:p>
    <w:p w14:paraId="79590B05">
      <w:pPr>
        <w:spacing w:line="360" w:lineRule="auto"/>
        <w:ind w:firstLine="420" w:firstLineChars="200"/>
        <w:rPr>
          <w:rFonts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31371349">
      <w:pPr>
        <w:spacing w:line="360" w:lineRule="auto"/>
        <w:ind w:firstLine="420" w:firstLineChars="200"/>
        <w:rPr>
          <w:rFonts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72783882">
      <w:pPr>
        <w:spacing w:line="360" w:lineRule="auto"/>
        <w:ind w:firstLine="420" w:firstLineChars="200"/>
        <w:rPr>
          <w:rFonts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76B2C084">
      <w:pPr>
        <w:spacing w:line="360" w:lineRule="auto"/>
        <w:ind w:firstLine="420" w:firstLineChars="200"/>
        <w:rPr>
          <w:rFonts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72A9E45C">
      <w:pPr>
        <w:spacing w:line="360" w:lineRule="auto"/>
        <w:ind w:firstLine="420" w:firstLineChars="200"/>
        <w:rPr>
          <w:rFonts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3CC1658B">
      <w:pPr>
        <w:spacing w:line="360" w:lineRule="auto"/>
        <w:ind w:firstLine="420" w:firstLineChars="200"/>
        <w:rPr>
          <w:rFonts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7CCA7D96">
      <w:pPr>
        <w:spacing w:line="360" w:lineRule="auto"/>
        <w:ind w:firstLine="420" w:firstLineChars="200"/>
        <w:rPr>
          <w:rFonts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568A499C">
      <w:pPr>
        <w:spacing w:line="360" w:lineRule="auto"/>
        <w:ind w:left="1" w:firstLine="417" w:firstLineChars="199"/>
        <w:jc w:val="center"/>
        <w:rPr>
          <w:rFonts w:ascii="宋体" w:hAnsi="宋体"/>
          <w:color w:val="auto"/>
        </w:rPr>
      </w:pPr>
      <w:bookmarkStart w:id="21" w:name="_Toc254970675"/>
      <w:bookmarkStart w:id="22" w:name="_Toc254970534"/>
    </w:p>
    <w:p w14:paraId="15F5D4E4">
      <w:pPr>
        <w:spacing w:line="360" w:lineRule="auto"/>
        <w:jc w:val="center"/>
        <w:rPr>
          <w:rFonts w:ascii="宋体" w:hAnsi="宋体"/>
          <w:b/>
          <w:color w:val="auto"/>
          <w:sz w:val="32"/>
          <w:szCs w:val="32"/>
        </w:rPr>
      </w:pPr>
      <w:r>
        <w:rPr>
          <w:rFonts w:hint="eastAsia" w:ascii="宋体" w:hAnsi="宋体"/>
          <w:b/>
          <w:color w:val="auto"/>
          <w:sz w:val="32"/>
          <w:szCs w:val="32"/>
        </w:rPr>
        <w:t>二、谈判文件</w:t>
      </w:r>
      <w:bookmarkEnd w:id="21"/>
      <w:bookmarkEnd w:id="22"/>
    </w:p>
    <w:p w14:paraId="556E4C85">
      <w:pPr>
        <w:spacing w:line="360" w:lineRule="auto"/>
        <w:jc w:val="center"/>
        <w:rPr>
          <w:rFonts w:ascii="宋体" w:hAnsi="宋体"/>
          <w:color w:val="auto"/>
          <w:szCs w:val="21"/>
        </w:rPr>
      </w:pPr>
    </w:p>
    <w:p w14:paraId="3381BF28">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8.谈判文件的构成</w:t>
      </w:r>
    </w:p>
    <w:p w14:paraId="56F6ECA5">
      <w:pPr>
        <w:spacing w:line="360" w:lineRule="auto"/>
        <w:ind w:firstLine="420" w:firstLineChars="200"/>
        <w:jc w:val="left"/>
        <w:rPr>
          <w:rFonts w:ascii="宋体" w:hAnsi="宋体"/>
          <w:color w:val="auto"/>
          <w:szCs w:val="21"/>
        </w:rPr>
      </w:pPr>
      <w:r>
        <w:rPr>
          <w:rFonts w:hint="eastAsia" w:ascii="宋体" w:hAnsi="宋体"/>
          <w:color w:val="auto"/>
          <w:szCs w:val="21"/>
        </w:rPr>
        <w:t>（1）竞争性谈判公告；</w:t>
      </w:r>
    </w:p>
    <w:p w14:paraId="429364AF">
      <w:pPr>
        <w:spacing w:line="360" w:lineRule="auto"/>
        <w:ind w:firstLine="420" w:firstLineChars="200"/>
        <w:jc w:val="left"/>
        <w:rPr>
          <w:rFonts w:ascii="宋体" w:hAnsi="宋体"/>
          <w:color w:val="auto"/>
          <w:szCs w:val="21"/>
        </w:rPr>
      </w:pPr>
      <w:r>
        <w:rPr>
          <w:rFonts w:hint="eastAsia" w:ascii="宋体" w:hAnsi="宋体"/>
          <w:color w:val="auto"/>
          <w:szCs w:val="21"/>
        </w:rPr>
        <w:t xml:space="preserve">（2）供应商须知； </w:t>
      </w:r>
    </w:p>
    <w:p w14:paraId="2B1EAD33">
      <w:pPr>
        <w:spacing w:line="360" w:lineRule="auto"/>
        <w:ind w:firstLine="420" w:firstLineChars="200"/>
        <w:jc w:val="left"/>
        <w:rPr>
          <w:rFonts w:ascii="宋体" w:hAnsi="宋体"/>
          <w:color w:val="auto"/>
          <w:szCs w:val="21"/>
        </w:rPr>
      </w:pPr>
      <w:r>
        <w:rPr>
          <w:rFonts w:hint="eastAsia" w:ascii="宋体" w:hAnsi="宋体"/>
          <w:color w:val="auto"/>
          <w:szCs w:val="21"/>
        </w:rPr>
        <w:t>（3）采购需求；</w:t>
      </w:r>
    </w:p>
    <w:p w14:paraId="7C8F6F07">
      <w:pPr>
        <w:spacing w:line="360" w:lineRule="auto"/>
        <w:ind w:firstLine="420" w:firstLineChars="200"/>
        <w:jc w:val="left"/>
        <w:rPr>
          <w:rFonts w:ascii="宋体" w:hAnsi="宋体"/>
          <w:color w:val="auto"/>
          <w:szCs w:val="21"/>
        </w:rPr>
      </w:pPr>
      <w:r>
        <w:rPr>
          <w:rFonts w:hint="eastAsia" w:ascii="宋体" w:hAnsi="宋体"/>
          <w:color w:val="auto"/>
          <w:szCs w:val="21"/>
        </w:rPr>
        <w:t>（4）响应文件格式</w:t>
      </w:r>
    </w:p>
    <w:p w14:paraId="690976B8">
      <w:pPr>
        <w:spacing w:line="360" w:lineRule="auto"/>
        <w:ind w:firstLine="420" w:firstLineChars="200"/>
        <w:jc w:val="left"/>
        <w:rPr>
          <w:rFonts w:ascii="宋体" w:hAnsi="宋体"/>
          <w:color w:val="auto"/>
          <w:szCs w:val="21"/>
        </w:rPr>
      </w:pPr>
      <w:r>
        <w:rPr>
          <w:rFonts w:hint="eastAsia" w:ascii="宋体" w:hAnsi="宋体"/>
          <w:color w:val="auto"/>
          <w:szCs w:val="21"/>
        </w:rPr>
        <w:t>（5）合同文本；</w:t>
      </w:r>
    </w:p>
    <w:p w14:paraId="7F199C37">
      <w:pPr>
        <w:spacing w:line="360" w:lineRule="auto"/>
        <w:ind w:firstLine="420" w:firstLineChars="200"/>
        <w:jc w:val="left"/>
        <w:rPr>
          <w:rFonts w:ascii="宋体" w:hAnsi="宋体"/>
          <w:color w:val="auto"/>
          <w:szCs w:val="21"/>
        </w:rPr>
      </w:pPr>
      <w:r>
        <w:rPr>
          <w:rFonts w:hint="eastAsia" w:ascii="宋体" w:hAnsi="宋体"/>
          <w:color w:val="auto"/>
          <w:szCs w:val="21"/>
        </w:rPr>
        <w:t>（6）评审程序和评定成交的标准；</w:t>
      </w:r>
    </w:p>
    <w:p w14:paraId="7954B820">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9.供应商的询问</w:t>
      </w:r>
    </w:p>
    <w:p w14:paraId="3C5BA9F5">
      <w:pPr>
        <w:spacing w:line="360" w:lineRule="auto"/>
        <w:ind w:firstLine="420" w:firstLineChars="200"/>
        <w:rPr>
          <w:rFonts w:ascii="宋体" w:hAnsi="宋体"/>
          <w:color w:val="auto"/>
          <w:szCs w:val="21"/>
        </w:rPr>
      </w:pPr>
      <w:r>
        <w:rPr>
          <w:rFonts w:hint="eastAsia" w:ascii="宋体" w:hAnsi="宋体"/>
          <w:color w:val="auto"/>
          <w:szCs w:val="21"/>
        </w:rPr>
        <w:t>供应商应认真阅读谈判文件的采购需求，如供应商对谈判文件有疑问的，如要求采购人作出澄清或者修改的，供应商尽可能在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，以纸质书面形式向</w:t>
      </w:r>
      <w:r>
        <w:rPr>
          <w:rFonts w:ascii="宋体" w:hAnsi="宋体"/>
          <w:color w:val="auto"/>
          <w:szCs w:val="21"/>
        </w:rPr>
        <w:t>采购人、采购代理机构</w:t>
      </w:r>
      <w:r>
        <w:rPr>
          <w:rFonts w:hint="eastAsia" w:ascii="宋体" w:hAnsi="宋体"/>
          <w:color w:val="auto"/>
          <w:szCs w:val="21"/>
        </w:rPr>
        <w:t>提出</w:t>
      </w:r>
      <w:r>
        <w:rPr>
          <w:rFonts w:hint="eastAsia" w:ascii="宋体" w:hAnsi="宋体" w:cs="宋体"/>
          <w:color w:val="auto"/>
          <w:szCs w:val="21"/>
        </w:rPr>
        <w:t>，否则，由此产生的后果由供应商自行负责。</w:t>
      </w:r>
    </w:p>
    <w:p w14:paraId="1C9FE566">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10.谈判文件的澄清和修改</w:t>
      </w:r>
    </w:p>
    <w:p w14:paraId="6A8649D7">
      <w:pPr>
        <w:spacing w:line="360" w:lineRule="auto"/>
        <w:ind w:firstLine="420" w:firstLineChars="200"/>
        <w:rPr>
          <w:rFonts w:ascii="宋体" w:hAnsi="宋体"/>
          <w:color w:val="auto"/>
          <w:szCs w:val="21"/>
        </w:rPr>
      </w:pPr>
      <w:r>
        <w:rPr>
          <w:rFonts w:hint="eastAsia" w:ascii="宋体" w:hAnsi="宋体" w:cs="宋体"/>
          <w:color w:val="auto"/>
          <w:szCs w:val="21"/>
        </w:rPr>
        <w:t>10.1</w:t>
      </w:r>
      <w:r>
        <w:rPr>
          <w:rFonts w:ascii="宋体" w:hAnsi="宋体"/>
          <w:color w:val="auto"/>
          <w:szCs w:val="21"/>
        </w:rPr>
        <w:t>提交首次响应文件截止之日前，采购人、采购代理机构或者谈判小组可以对已发出的谈判文件进行必要的澄清或者修改，澄清或者修改的内容作为谈判文件的组成部分。</w:t>
      </w:r>
      <w:r>
        <w:rPr>
          <w:rFonts w:hint="eastAsia" w:ascii="宋体" w:hAnsi="宋体" w:cs="宋体"/>
          <w:color w:val="auto"/>
          <w:szCs w:val="21"/>
        </w:rPr>
        <w:t>澄清或者修改将在原公告发布媒体上发布更正公告。</w:t>
      </w:r>
      <w:r>
        <w:rPr>
          <w:rFonts w:ascii="宋体" w:hAnsi="宋体"/>
          <w:color w:val="auto"/>
          <w:szCs w:val="21"/>
        </w:rPr>
        <w:t>澄清或者修改的内容可能影响响应文件编制的，采购人、采购代理机构或者谈判小组应当在提交首次响应文件截止之日3个工作日前，</w:t>
      </w:r>
      <w:r>
        <w:rPr>
          <w:rFonts w:hint="eastAsia" w:ascii="宋体" w:hAnsi="宋体" w:cs="宋体"/>
          <w:color w:val="auto"/>
          <w:szCs w:val="21"/>
        </w:rPr>
        <w:t>在原公告发布媒体上发布更正公告；</w:t>
      </w:r>
      <w:r>
        <w:rPr>
          <w:rFonts w:ascii="宋体" w:hAnsi="宋体"/>
          <w:color w:val="auto"/>
          <w:szCs w:val="21"/>
        </w:rPr>
        <w:t>不足3个工作日的，应当顺延提交首次响应文件截止之日。</w:t>
      </w:r>
    </w:p>
    <w:p w14:paraId="718FBFEC">
      <w:pPr>
        <w:spacing w:line="400" w:lineRule="exact"/>
        <w:ind w:firstLine="420" w:firstLineChars="200"/>
        <w:rPr>
          <w:rFonts w:ascii="宋体" w:hAnsi="宋体"/>
          <w:color w:val="auto"/>
          <w:szCs w:val="21"/>
        </w:rPr>
      </w:pPr>
      <w:r>
        <w:rPr>
          <w:rFonts w:hint="eastAsia" w:ascii="宋体" w:hAnsi="宋体" w:cs="宋体"/>
          <w:color w:val="auto"/>
        </w:rPr>
        <w:t>10.2采购人和采购代理机构可以视采购具体情况，变更</w:t>
      </w:r>
      <w:r>
        <w:rPr>
          <w:rFonts w:hint="eastAsia" w:ascii="宋体" w:hAnsi="宋体" w:cs="宋体"/>
          <w:color w:val="auto"/>
          <w:szCs w:val="21"/>
        </w:rPr>
        <w:t>首次响应文件提交截止时间</w:t>
      </w:r>
      <w:r>
        <w:rPr>
          <w:rFonts w:hint="eastAsia" w:ascii="宋体" w:hAnsi="宋体" w:cs="宋体"/>
          <w:color w:val="auto"/>
        </w:rPr>
        <w:t>，</w:t>
      </w:r>
      <w:r>
        <w:rPr>
          <w:rFonts w:hint="eastAsia" w:ascii="宋体" w:hAnsi="宋体"/>
          <w:color w:val="auto"/>
        </w:rPr>
        <w:t>并</w:t>
      </w:r>
      <w:r>
        <w:rPr>
          <w:rFonts w:hint="eastAsia" w:ascii="宋体" w:hAnsi="宋体"/>
          <w:color w:val="auto"/>
          <w:szCs w:val="21"/>
        </w:rPr>
        <w:t>在原公告发布媒体上发布更正公告。</w:t>
      </w:r>
    </w:p>
    <w:p w14:paraId="64DADD63">
      <w:pPr>
        <w:spacing w:line="400" w:lineRule="exact"/>
        <w:ind w:firstLine="420" w:firstLineChars="200"/>
        <w:rPr>
          <w:rFonts w:ascii="宋体" w:hAnsi="宋体" w:cs="宋体"/>
          <w:color w:val="auto"/>
        </w:rPr>
      </w:pPr>
      <w:r>
        <w:rPr>
          <w:rFonts w:hint="eastAsia" w:ascii="宋体" w:hAnsi="宋体" w:cs="宋体"/>
          <w:color w:val="auto"/>
        </w:rPr>
        <w:t>10.3</w:t>
      </w:r>
      <w:r>
        <w:rPr>
          <w:rFonts w:hint="eastAsia" w:ascii="宋体" w:hAnsi="宋体" w:cs="宋体"/>
          <w:color w:val="auto"/>
          <w:szCs w:val="21"/>
        </w:rPr>
        <w:t>谈判文件</w:t>
      </w:r>
      <w:r>
        <w:rPr>
          <w:rFonts w:hint="eastAsia" w:ascii="宋体" w:hAnsi="宋体"/>
          <w:color w:val="auto"/>
          <w:szCs w:val="21"/>
        </w:rPr>
        <w:t>澄清、答复、修改、补充的内容为</w:t>
      </w:r>
      <w:r>
        <w:rPr>
          <w:rFonts w:hint="eastAsia" w:ascii="宋体" w:hAnsi="宋体" w:cs="宋体"/>
          <w:color w:val="auto"/>
          <w:szCs w:val="21"/>
        </w:rPr>
        <w:t>谈判文件</w:t>
      </w:r>
      <w:r>
        <w:rPr>
          <w:rFonts w:hint="eastAsia" w:ascii="宋体" w:hAnsi="宋体"/>
          <w:color w:val="auto"/>
          <w:szCs w:val="21"/>
        </w:rPr>
        <w:t>的组成部分。</w:t>
      </w:r>
      <w:r>
        <w:rPr>
          <w:rFonts w:hint="eastAsia" w:ascii="宋体" w:hAnsi="宋体"/>
          <w:b/>
          <w:color w:val="auto"/>
          <w:szCs w:val="21"/>
        </w:rPr>
        <w:t>当</w:t>
      </w:r>
      <w:r>
        <w:rPr>
          <w:rFonts w:hint="eastAsia" w:ascii="宋体" w:hAnsi="宋体" w:cs="宋体"/>
          <w:b/>
          <w:color w:val="auto"/>
          <w:szCs w:val="21"/>
        </w:rPr>
        <w:t>谈判文件</w:t>
      </w:r>
      <w:r>
        <w:rPr>
          <w:rFonts w:hint="eastAsia" w:ascii="宋体" w:hAnsi="宋体"/>
          <w:b/>
          <w:color w:val="auto"/>
          <w:szCs w:val="21"/>
        </w:rPr>
        <w:t>与</w:t>
      </w:r>
      <w:r>
        <w:rPr>
          <w:rFonts w:hint="eastAsia" w:ascii="宋体" w:hAnsi="宋体" w:cs="宋体"/>
          <w:b/>
          <w:color w:val="auto"/>
          <w:szCs w:val="21"/>
        </w:rPr>
        <w:t>谈判文件</w:t>
      </w:r>
      <w:r>
        <w:rPr>
          <w:rFonts w:hint="eastAsia" w:ascii="宋体" w:hAnsi="宋体"/>
          <w:b/>
          <w:color w:val="auto"/>
          <w:szCs w:val="21"/>
        </w:rPr>
        <w:t>的澄清、答复、修改、补充通知就同一内容的表述不一致时，以最后发出的文件为准。</w:t>
      </w:r>
    </w:p>
    <w:p w14:paraId="27FED8EC">
      <w:pPr>
        <w:spacing w:line="400" w:lineRule="exact"/>
        <w:ind w:firstLine="422" w:firstLineChars="200"/>
        <w:rPr>
          <w:rFonts w:ascii="宋体" w:hAnsi="宋体"/>
          <w:b/>
          <w:color w:val="auto"/>
          <w:szCs w:val="21"/>
        </w:rPr>
      </w:pPr>
      <w:r>
        <w:rPr>
          <w:rFonts w:hint="eastAsia" w:ascii="宋体" w:hAnsi="宋体" w:cs="宋体"/>
          <w:b/>
          <w:color w:val="auto"/>
        </w:rPr>
        <w:t>10.4</w:t>
      </w:r>
      <w:r>
        <w:rPr>
          <w:rFonts w:hint="eastAsia" w:ascii="宋体" w:hAnsi="宋体"/>
          <w:b/>
          <w:color w:val="auto"/>
          <w:szCs w:val="21"/>
        </w:rPr>
        <w:t>响应文件未按谈判文件的澄清、修改后的内容编制的，其响应文件作无效响应处理。</w:t>
      </w:r>
    </w:p>
    <w:p w14:paraId="22FB9D66">
      <w:pPr>
        <w:spacing w:line="360" w:lineRule="auto"/>
        <w:ind w:firstLine="420" w:firstLineChars="200"/>
        <w:rPr>
          <w:rFonts w:ascii="宋体" w:hAnsi="宋体"/>
          <w:color w:val="auto"/>
          <w:szCs w:val="21"/>
        </w:rPr>
      </w:pPr>
    </w:p>
    <w:p w14:paraId="33FBC161">
      <w:pPr>
        <w:spacing w:line="360" w:lineRule="auto"/>
        <w:rPr>
          <w:rFonts w:ascii="宋体" w:hAnsi="宋体"/>
          <w:color w:val="auto"/>
          <w:szCs w:val="21"/>
        </w:rPr>
      </w:pPr>
    </w:p>
    <w:p w14:paraId="19AD1B7C">
      <w:pPr>
        <w:spacing w:line="360" w:lineRule="auto"/>
        <w:jc w:val="center"/>
        <w:rPr>
          <w:rFonts w:ascii="宋体" w:hAnsi="宋体"/>
          <w:b/>
          <w:color w:val="auto"/>
          <w:szCs w:val="21"/>
        </w:rPr>
      </w:pPr>
      <w:r>
        <w:rPr>
          <w:rFonts w:hint="eastAsia" w:ascii="宋体" w:hAnsi="宋体"/>
          <w:b/>
          <w:color w:val="auto"/>
          <w:sz w:val="32"/>
          <w:szCs w:val="32"/>
        </w:rPr>
        <w:t>三、响应文件的编制</w:t>
      </w:r>
    </w:p>
    <w:p w14:paraId="705E56BB">
      <w:pPr>
        <w:spacing w:line="360" w:lineRule="auto"/>
        <w:rPr>
          <w:rFonts w:ascii="宋体" w:hAnsi="宋体"/>
          <w:color w:val="auto"/>
          <w:szCs w:val="21"/>
        </w:rPr>
      </w:pPr>
    </w:p>
    <w:p w14:paraId="73B3EA15">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11.响应文件的编制原则</w:t>
      </w:r>
    </w:p>
    <w:p w14:paraId="0482EA24">
      <w:pPr>
        <w:spacing w:line="360" w:lineRule="auto"/>
        <w:ind w:firstLine="420" w:firstLineChars="200"/>
        <w:rPr>
          <w:rFonts w:ascii="宋体" w:hAnsi="宋体" w:cs="宋体"/>
          <w:color w:val="auto"/>
          <w:szCs w:val="21"/>
        </w:rPr>
      </w:pPr>
      <w:r>
        <w:rPr>
          <w:rFonts w:hint="eastAsia" w:ascii="宋体" w:hAnsi="宋体" w:cs="宋体"/>
          <w:color w:val="auto"/>
          <w:szCs w:val="21"/>
        </w:rPr>
        <w:t>供应商必须按照谈判文件的要求编制响应文件，并对其提交的响应文件的真实性、合法性承担法律责任。响应文件必须对谈判文件作出实质性响应。</w:t>
      </w:r>
    </w:p>
    <w:p w14:paraId="48FA791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12.响应文件的组成</w:t>
      </w:r>
    </w:p>
    <w:p w14:paraId="3DBF22F5">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2.1</w:t>
      </w:r>
      <w:r>
        <w:rPr>
          <w:rFonts w:hint="eastAsia" w:ascii="宋体" w:hAnsi="宋体" w:cs="宋体"/>
          <w:color w:val="auto"/>
          <w:szCs w:val="21"/>
        </w:rPr>
        <w:t>响应文件由资格证明文件、报价</w:t>
      </w:r>
      <w:r>
        <w:rPr>
          <w:rFonts w:hint="eastAsia" w:ascii="宋体" w:hAnsi="宋体" w:cs="宋体"/>
          <w:color w:val="auto"/>
          <w:szCs w:val="21"/>
          <w:lang w:eastAsia="zh-CN"/>
        </w:rPr>
        <w:t>文件及</w:t>
      </w:r>
      <w:r>
        <w:rPr>
          <w:rFonts w:hint="eastAsia" w:ascii="宋体" w:hAnsi="宋体" w:cs="宋体"/>
          <w:color w:val="auto"/>
          <w:szCs w:val="21"/>
        </w:rPr>
        <w:t>商务技术文件</w:t>
      </w:r>
      <w:r>
        <w:rPr>
          <w:rFonts w:hint="eastAsia" w:ascii="宋体" w:hAnsi="宋体" w:cs="宋体"/>
          <w:color w:val="auto"/>
          <w:szCs w:val="21"/>
          <w:lang w:eastAsia="zh-CN"/>
        </w:rPr>
        <w:t>三</w:t>
      </w:r>
      <w:r>
        <w:rPr>
          <w:rFonts w:hint="eastAsia" w:ascii="宋体" w:hAnsi="宋体" w:cs="宋体"/>
          <w:color w:val="auto"/>
          <w:szCs w:val="21"/>
        </w:rPr>
        <w:t>部分组成。</w:t>
      </w:r>
    </w:p>
    <w:p w14:paraId="505F73CC">
      <w:pPr>
        <w:spacing w:line="360" w:lineRule="auto"/>
        <w:ind w:left="840" w:leftChars="200" w:hanging="420" w:hangingChars="200"/>
        <w:rPr>
          <w:rFonts w:hint="eastAsia" w:ascii="宋体" w:hAnsi="宋体" w:eastAsia="宋体" w:cs="宋体"/>
          <w:color w:val="auto"/>
          <w:szCs w:val="21"/>
          <w:lang w:eastAsia="zh-CN"/>
        </w:rPr>
      </w:pPr>
      <w:r>
        <w:rPr>
          <w:rFonts w:hint="eastAsia" w:ascii="宋体" w:hAnsi="宋体" w:cs="宋体"/>
          <w:color w:val="auto"/>
          <w:szCs w:val="21"/>
        </w:rPr>
        <w:t>12.1</w:t>
      </w:r>
      <w:r>
        <w:rPr>
          <w:rFonts w:ascii="宋体" w:hAnsi="宋体" w:cs="宋体"/>
          <w:color w:val="auto"/>
          <w:szCs w:val="21"/>
        </w:rPr>
        <w:t>.1</w:t>
      </w:r>
      <w:r>
        <w:rPr>
          <w:rFonts w:hint="eastAsia" w:ascii="宋体" w:hAnsi="宋体" w:cs="宋体"/>
          <w:color w:val="auto"/>
          <w:szCs w:val="21"/>
        </w:rPr>
        <w:t>资格证明文件：详见“供应商须知前附表”</w:t>
      </w:r>
      <w:r>
        <w:rPr>
          <w:rFonts w:hint="eastAsia" w:ascii="宋体" w:hAnsi="宋体" w:cs="宋体"/>
          <w:color w:val="auto"/>
          <w:szCs w:val="21"/>
          <w:lang w:eastAsia="zh-CN"/>
        </w:rPr>
        <w:t>。</w:t>
      </w:r>
    </w:p>
    <w:p w14:paraId="3DED428A">
      <w:pPr>
        <w:spacing w:line="360" w:lineRule="auto"/>
        <w:ind w:left="840" w:leftChars="200" w:hanging="420" w:hangingChars="200"/>
        <w:rPr>
          <w:rFonts w:hint="eastAsia"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2报价文件：详见“供应商须知前附表”</w:t>
      </w:r>
      <w:r>
        <w:rPr>
          <w:rFonts w:hint="eastAsia" w:ascii="宋体" w:hAnsi="宋体" w:cs="宋体"/>
          <w:color w:val="auto"/>
          <w:szCs w:val="21"/>
          <w:lang w:eastAsia="zh-CN"/>
        </w:rPr>
        <w:t>。</w:t>
      </w:r>
    </w:p>
    <w:p w14:paraId="0B5EC6F0">
      <w:pPr>
        <w:spacing w:line="360" w:lineRule="auto"/>
        <w:ind w:left="840" w:leftChars="200" w:hanging="420" w:hangingChars="200"/>
        <w:rPr>
          <w:rFonts w:hint="eastAsia" w:ascii="宋体" w:hAnsi="宋体" w:eastAsia="宋体" w:cs="宋体"/>
          <w:color w:val="auto"/>
          <w:szCs w:val="21"/>
          <w:lang w:eastAsia="zh-CN"/>
        </w:rPr>
      </w:pPr>
      <w:r>
        <w:rPr>
          <w:rFonts w:hint="eastAsia" w:ascii="宋体" w:hAnsi="宋体" w:cs="宋体"/>
          <w:color w:val="auto"/>
          <w:szCs w:val="21"/>
          <w:lang w:val="en-US" w:eastAsia="zh-CN"/>
        </w:rPr>
        <w:t>12.1.3</w:t>
      </w:r>
      <w:r>
        <w:rPr>
          <w:rFonts w:hint="eastAsia" w:ascii="宋体" w:hAnsi="宋体" w:cs="宋体"/>
          <w:color w:val="auto"/>
          <w:szCs w:val="21"/>
        </w:rPr>
        <w:t>商务技术文件：详见“供应商须知前附表”</w:t>
      </w:r>
      <w:r>
        <w:rPr>
          <w:rFonts w:hint="eastAsia" w:ascii="宋体" w:hAnsi="宋体" w:cs="宋体"/>
          <w:color w:val="auto"/>
          <w:szCs w:val="21"/>
          <w:lang w:eastAsia="zh-CN"/>
        </w:rPr>
        <w:t>。</w:t>
      </w:r>
    </w:p>
    <w:p w14:paraId="40D79276">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13.计量单位</w:t>
      </w:r>
    </w:p>
    <w:p w14:paraId="1EBA6759">
      <w:pPr>
        <w:spacing w:line="360" w:lineRule="auto"/>
        <w:ind w:firstLine="420" w:firstLineChars="200"/>
        <w:rPr>
          <w:rFonts w:ascii="宋体" w:hAnsi="宋体" w:cs="宋体"/>
          <w:color w:val="auto"/>
          <w:szCs w:val="21"/>
        </w:rPr>
      </w:pPr>
      <w:r>
        <w:rPr>
          <w:rFonts w:hint="eastAsia" w:ascii="宋体" w:hAnsi="宋体" w:cs="宋体"/>
          <w:color w:val="auto"/>
          <w:szCs w:val="21"/>
        </w:rPr>
        <w:t>谈判文件已有明确规定的，使用谈判文件规定的计量单位；谈判文件没有规定的，应采用中华人民共和国法定计量单位，货币种类为人民币，否则视同未响应。</w:t>
      </w:r>
    </w:p>
    <w:p w14:paraId="68B542F9">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14.竞标的风险</w:t>
      </w:r>
    </w:p>
    <w:p w14:paraId="6B0DAF91">
      <w:pPr>
        <w:spacing w:line="360" w:lineRule="auto"/>
        <w:ind w:firstLine="420" w:firstLineChars="200"/>
        <w:rPr>
          <w:rFonts w:ascii="宋体" w:hAnsi="宋体" w:cs="宋体"/>
          <w:color w:val="auto"/>
          <w:szCs w:val="21"/>
        </w:rPr>
      </w:pPr>
      <w:r>
        <w:rPr>
          <w:rFonts w:hint="eastAsia" w:ascii="宋体" w:hAnsi="宋体" w:cs="宋体"/>
          <w:color w:val="auto"/>
          <w:szCs w:val="21"/>
        </w:rPr>
        <w:t>供应商没有按照谈判文件要求提供全部资料，或者供应商没有对谈判文件在各方面作出实质性响应可能导致其响应文件按无效响应处理，是供应商应当考虑的风险。</w:t>
      </w:r>
    </w:p>
    <w:p w14:paraId="459D054C">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15.竞标报价</w:t>
      </w:r>
    </w:p>
    <w:p w14:paraId="749843FB">
      <w:pPr>
        <w:spacing w:line="360" w:lineRule="auto"/>
        <w:ind w:firstLine="420" w:firstLineChars="200"/>
        <w:rPr>
          <w:rFonts w:ascii="宋体" w:hAnsi="宋体" w:cs="宋体"/>
          <w:color w:val="auto"/>
          <w:szCs w:val="21"/>
        </w:rPr>
      </w:pPr>
      <w:r>
        <w:rPr>
          <w:rFonts w:hint="eastAsia" w:ascii="宋体" w:hAnsi="宋体" w:cs="宋体"/>
          <w:color w:val="auto"/>
          <w:szCs w:val="21"/>
        </w:rPr>
        <w:t>15.1竞标报价应按谈判文件中“竞标报价表”格式填写。</w:t>
      </w:r>
    </w:p>
    <w:p w14:paraId="20A2F752">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15.2竞标报价的内容详见“供应商须知前附表”。</w:t>
      </w:r>
    </w:p>
    <w:p w14:paraId="60AB7C3A">
      <w:pPr>
        <w:spacing w:line="360" w:lineRule="auto"/>
        <w:ind w:left="426" w:leftChars="203"/>
        <w:rPr>
          <w:rFonts w:ascii="宋体" w:hAnsi="宋体" w:cs="宋体"/>
          <w:color w:val="auto"/>
          <w:szCs w:val="21"/>
        </w:rPr>
      </w:pPr>
      <w:r>
        <w:rPr>
          <w:rFonts w:hint="eastAsia" w:ascii="宋体" w:hAnsi="宋体" w:cs="宋体"/>
          <w:color w:val="auto"/>
          <w:szCs w:val="21"/>
        </w:rPr>
        <w:t>15.3竞标报价要求</w:t>
      </w:r>
    </w:p>
    <w:p w14:paraId="3C4AAB24">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5.3.1</w:t>
      </w:r>
      <w:r>
        <w:rPr>
          <w:rFonts w:hint="eastAsia" w:ascii="宋体" w:hAnsi="宋体" w:cs="宋体"/>
          <w:color w:val="auto"/>
          <w:szCs w:val="21"/>
        </w:rPr>
        <w:t>供应商的竞标报价应符合以下要求，否则响应文件按无效响应处理：</w:t>
      </w:r>
    </w:p>
    <w:p w14:paraId="39C01740">
      <w:pPr>
        <w:spacing w:line="360" w:lineRule="auto"/>
        <w:ind w:left="420" w:leftChars="200"/>
        <w:rPr>
          <w:rFonts w:ascii="宋体" w:hAnsi="宋体" w:cs="宋体"/>
          <w:color w:val="auto"/>
          <w:szCs w:val="21"/>
        </w:rPr>
      </w:pPr>
      <w:r>
        <w:rPr>
          <w:rFonts w:hint="eastAsia" w:ascii="宋体" w:hAnsi="宋体" w:cs="宋体"/>
          <w:color w:val="auto"/>
          <w:szCs w:val="21"/>
        </w:rPr>
        <w:t>（1）供应商必须就“采购需求”中所竞标的每个分标的全部内容分别作完整唯一总价报价，</w:t>
      </w:r>
    </w:p>
    <w:p w14:paraId="5C3710AA">
      <w:pPr>
        <w:spacing w:line="360" w:lineRule="auto"/>
        <w:rPr>
          <w:rFonts w:ascii="宋体" w:hAnsi="宋体" w:cs="宋体"/>
          <w:color w:val="auto"/>
          <w:szCs w:val="21"/>
        </w:rPr>
      </w:pPr>
      <w:r>
        <w:rPr>
          <w:rFonts w:hint="eastAsia" w:ascii="宋体" w:hAnsi="宋体" w:cs="宋体"/>
          <w:color w:val="auto"/>
          <w:szCs w:val="21"/>
        </w:rPr>
        <w:t>不得存在漏项报价；</w:t>
      </w:r>
    </w:p>
    <w:p w14:paraId="2188C3AC">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）供应商必须就所竞标的分标的单项内容作唯一报价。</w:t>
      </w:r>
    </w:p>
    <w:p w14:paraId="0750255B">
      <w:pPr>
        <w:spacing w:line="360" w:lineRule="auto"/>
        <w:ind w:firstLine="420" w:firstLineChars="200"/>
        <w:rPr>
          <w:rFonts w:ascii="宋体" w:hAnsi="宋体" w:cs="宋体"/>
          <w:color w:val="auto"/>
          <w:szCs w:val="21"/>
        </w:rPr>
      </w:pPr>
      <w:r>
        <w:rPr>
          <w:rFonts w:hint="eastAsia" w:ascii="宋体" w:hAnsi="宋体" w:cs="宋体"/>
          <w:color w:val="auto"/>
          <w:szCs w:val="21"/>
        </w:rPr>
        <w:t>15.3.</w:t>
      </w:r>
      <w:r>
        <w:rPr>
          <w:rFonts w:ascii="宋体" w:hAnsi="宋体" w:cs="宋体"/>
          <w:color w:val="auto"/>
          <w:szCs w:val="21"/>
        </w:rPr>
        <w:t>2</w:t>
      </w:r>
      <w:r>
        <w:rPr>
          <w:rFonts w:hint="eastAsia" w:ascii="宋体" w:hAnsi="宋体" w:cs="宋体"/>
          <w:color w:val="auto"/>
          <w:szCs w:val="21"/>
        </w:rPr>
        <w:t>最后报价超过所竞标分标规定的采购预算金额或者最高限价的，其响应文件将按无效响应处理。</w:t>
      </w:r>
    </w:p>
    <w:p w14:paraId="797715CC">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16.竞标有效期</w:t>
      </w:r>
    </w:p>
    <w:p w14:paraId="3154D2CE">
      <w:pPr>
        <w:spacing w:line="360" w:lineRule="auto"/>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4203AF2D">
      <w:pPr>
        <w:spacing w:line="360" w:lineRule="auto"/>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501DA9D2">
      <w:pPr>
        <w:spacing w:line="360" w:lineRule="auto"/>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14:paraId="3F04678C">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17.竞标保证金</w:t>
      </w:r>
    </w:p>
    <w:p w14:paraId="38B08EBD">
      <w:pPr>
        <w:spacing w:line="360" w:lineRule="auto"/>
        <w:ind w:left="420" w:leftChars="200"/>
        <w:rPr>
          <w:rFonts w:ascii="宋体" w:hAnsi="宋体" w:cs="宋体"/>
          <w:color w:val="auto"/>
          <w:szCs w:val="21"/>
        </w:rPr>
      </w:pPr>
      <w:r>
        <w:rPr>
          <w:rFonts w:hint="eastAsia" w:ascii="宋体" w:hAnsi="宋体" w:cs="宋体"/>
          <w:color w:val="auto"/>
          <w:szCs w:val="21"/>
        </w:rPr>
        <w:t>17.1供应商须按“供应商须知前附表”的规定提交竞标保证金。</w:t>
      </w:r>
    </w:p>
    <w:p w14:paraId="1BAFEE57">
      <w:pPr>
        <w:spacing w:line="360" w:lineRule="auto"/>
        <w:ind w:left="420" w:leftChars="200"/>
        <w:rPr>
          <w:rFonts w:ascii="宋体" w:hAnsi="宋体" w:cs="宋体"/>
          <w:color w:val="auto"/>
          <w:szCs w:val="21"/>
        </w:rPr>
      </w:pPr>
      <w:r>
        <w:rPr>
          <w:rFonts w:hint="eastAsia" w:ascii="宋体" w:hAnsi="宋体" w:cs="宋体"/>
          <w:color w:val="auto"/>
          <w:szCs w:val="21"/>
        </w:rPr>
        <w:t>17.2竞标保证金的退还</w:t>
      </w:r>
    </w:p>
    <w:p w14:paraId="5AD6EDCF">
      <w:pPr>
        <w:spacing w:line="360" w:lineRule="auto"/>
        <w:ind w:firstLine="420" w:firstLineChars="200"/>
        <w:rPr>
          <w:rFonts w:ascii="宋体" w:hAnsi="宋体" w:cs="宋体"/>
          <w:color w:val="auto"/>
          <w:szCs w:val="21"/>
        </w:rPr>
      </w:pPr>
      <w:r>
        <w:rPr>
          <w:rFonts w:hint="eastAsia" w:ascii="宋体" w:hAnsi="宋体" w:cs="宋体"/>
          <w:color w:val="auto"/>
          <w:szCs w:val="21"/>
        </w:rPr>
        <w:t>未</w:t>
      </w:r>
      <w:r>
        <w:rPr>
          <w:rFonts w:hint="eastAsia" w:ascii="宋体" w:hAnsi="宋体" w:cs="宋体"/>
          <w:color w:val="auto"/>
          <w:spacing w:val="-6"/>
          <w:szCs w:val="21"/>
        </w:rPr>
        <w:t>成交供应商的竞标保证金自成交通知书发出之日起</w:t>
      </w:r>
      <w:r>
        <w:rPr>
          <w:rFonts w:hint="eastAsia" w:ascii="宋体" w:hAnsi="宋体" w:cs="宋体"/>
          <w:color w:val="auto"/>
          <w:spacing w:val="-6"/>
          <w:szCs w:val="21"/>
          <w:lang w:val="en-US" w:eastAsia="zh-CN"/>
        </w:rPr>
        <w:t>5</w:t>
      </w:r>
      <w:r>
        <w:rPr>
          <w:rFonts w:hint="eastAsia" w:ascii="宋体" w:hAnsi="宋体" w:cs="宋体"/>
          <w:color w:val="auto"/>
          <w:spacing w:val="-6"/>
          <w:szCs w:val="21"/>
        </w:rPr>
        <w:t>个工作日内退还</w:t>
      </w:r>
      <w:r>
        <w:rPr>
          <w:rFonts w:hint="eastAsia" w:ascii="宋体" w:hAnsi="宋体"/>
          <w:color w:val="auto"/>
          <w:szCs w:val="21"/>
        </w:rPr>
        <w:t>；</w:t>
      </w:r>
      <w:r>
        <w:rPr>
          <w:rFonts w:hint="eastAsia" w:ascii="宋体" w:hAnsi="宋体" w:cs="宋体"/>
          <w:color w:val="auto"/>
          <w:szCs w:val="21"/>
        </w:rPr>
        <w:t>成交供应商的竞标保证金自签订合同之日起</w:t>
      </w:r>
      <w:r>
        <w:rPr>
          <w:rFonts w:hint="eastAsia" w:ascii="宋体" w:hAnsi="宋体" w:cs="宋体"/>
          <w:color w:val="auto"/>
          <w:szCs w:val="21"/>
          <w:lang w:val="en-US" w:eastAsia="zh-CN"/>
        </w:rPr>
        <w:t>5</w:t>
      </w:r>
      <w:r>
        <w:rPr>
          <w:rFonts w:hint="eastAsia" w:ascii="宋体" w:hAnsi="宋体" w:cs="宋体"/>
          <w:color w:val="auto"/>
          <w:szCs w:val="21"/>
        </w:rPr>
        <w:t xml:space="preserve">个工作日内退还。 </w:t>
      </w:r>
    </w:p>
    <w:p w14:paraId="22D2013F">
      <w:pPr>
        <w:spacing w:line="360" w:lineRule="auto"/>
        <w:ind w:left="420" w:leftChars="200"/>
        <w:rPr>
          <w:rFonts w:ascii="宋体" w:hAnsi="宋体" w:cs="宋体"/>
          <w:color w:val="auto"/>
          <w:szCs w:val="21"/>
        </w:rPr>
      </w:pPr>
      <w:r>
        <w:rPr>
          <w:rFonts w:hint="eastAsia" w:ascii="宋体" w:hAnsi="宋体" w:cs="宋体"/>
          <w:color w:val="auto"/>
          <w:szCs w:val="21"/>
        </w:rPr>
        <w:t>17.3竞标保证金不计息。</w:t>
      </w:r>
    </w:p>
    <w:p w14:paraId="0BF3EFD9">
      <w:pPr>
        <w:spacing w:line="360" w:lineRule="auto"/>
        <w:ind w:left="420" w:leftChars="200"/>
        <w:rPr>
          <w:rFonts w:ascii="宋体" w:hAnsi="宋体" w:cs="宋体"/>
          <w:color w:val="auto"/>
          <w:szCs w:val="21"/>
        </w:rPr>
      </w:pPr>
      <w:r>
        <w:rPr>
          <w:rFonts w:hint="eastAsia" w:ascii="宋体" w:hAnsi="宋体" w:cs="宋体"/>
          <w:color w:val="auto"/>
          <w:szCs w:val="21"/>
        </w:rPr>
        <w:t xml:space="preserve">17.4供应商有下列情形之一的，竞标保证金将不予退还： </w:t>
      </w:r>
    </w:p>
    <w:p w14:paraId="4AB4B3DD">
      <w:pPr>
        <w:spacing w:line="360" w:lineRule="auto"/>
        <w:ind w:left="420" w:leftChars="200"/>
        <w:rPr>
          <w:rFonts w:ascii="宋体" w:hAnsi="宋体" w:cs="宋体"/>
          <w:color w:val="auto"/>
          <w:szCs w:val="21"/>
        </w:rPr>
      </w:pPr>
      <w:r>
        <w:rPr>
          <w:rFonts w:hint="eastAsia" w:ascii="宋体" w:hAnsi="宋体" w:cs="宋体"/>
          <w:color w:val="auto"/>
          <w:szCs w:val="21"/>
        </w:rPr>
        <w:t>（1）供应商在提交首次响应文件截止时间后撤回响应文件的；</w:t>
      </w:r>
    </w:p>
    <w:p w14:paraId="4BC3D588">
      <w:pPr>
        <w:spacing w:line="360" w:lineRule="auto"/>
        <w:ind w:left="420" w:leftChars="200"/>
        <w:rPr>
          <w:rFonts w:ascii="宋体" w:hAnsi="宋体" w:cs="宋体"/>
          <w:color w:val="auto"/>
          <w:szCs w:val="21"/>
        </w:rPr>
      </w:pPr>
      <w:r>
        <w:rPr>
          <w:rFonts w:hint="eastAsia" w:ascii="宋体" w:hAnsi="宋体"/>
          <w:color w:val="auto"/>
          <w:szCs w:val="21"/>
        </w:rPr>
        <w:t>（2）未按规定提交履约保证金的；</w:t>
      </w:r>
    </w:p>
    <w:p w14:paraId="745D1E84">
      <w:pPr>
        <w:spacing w:line="360" w:lineRule="auto"/>
        <w:ind w:left="420" w:leftChars="200"/>
        <w:rPr>
          <w:rFonts w:ascii="宋体" w:hAnsi="宋体" w:cs="宋体"/>
          <w:color w:val="auto"/>
          <w:szCs w:val="21"/>
        </w:rPr>
      </w:pPr>
      <w:r>
        <w:rPr>
          <w:rFonts w:hint="eastAsia" w:ascii="宋体" w:hAnsi="宋体" w:cs="宋体"/>
          <w:color w:val="auto"/>
          <w:szCs w:val="21"/>
        </w:rPr>
        <w:t>（3）供应商在响应文件中提供虚假材料的；</w:t>
      </w:r>
    </w:p>
    <w:p w14:paraId="7D41DFB7">
      <w:pPr>
        <w:spacing w:line="360" w:lineRule="auto"/>
        <w:ind w:firstLine="420" w:firstLineChars="200"/>
        <w:rPr>
          <w:rFonts w:ascii="宋体" w:hAnsi="宋体" w:cs="宋体"/>
          <w:color w:val="auto"/>
          <w:szCs w:val="21"/>
        </w:rPr>
      </w:pPr>
      <w:r>
        <w:rPr>
          <w:rFonts w:hint="eastAsia" w:ascii="宋体" w:hAnsi="宋体" w:cs="宋体"/>
          <w:color w:val="auto"/>
          <w:szCs w:val="21"/>
        </w:rPr>
        <w:t>（4）除因不可抗力或者谈判文件认可的情形以外，成交供应商不与采购人签订合同的；</w:t>
      </w:r>
    </w:p>
    <w:p w14:paraId="3121E7E3">
      <w:pPr>
        <w:spacing w:line="360" w:lineRule="auto"/>
        <w:ind w:left="420" w:leftChars="200"/>
        <w:rPr>
          <w:rFonts w:ascii="宋体" w:hAnsi="宋体" w:cs="宋体"/>
          <w:color w:val="auto"/>
          <w:szCs w:val="21"/>
        </w:rPr>
      </w:pPr>
      <w:r>
        <w:rPr>
          <w:rFonts w:hint="eastAsia" w:ascii="宋体" w:hAnsi="宋体" w:cs="宋体"/>
          <w:color w:val="auto"/>
          <w:szCs w:val="21"/>
        </w:rPr>
        <w:t>（5）供应商与采购人、其他供应商或者采购代理机构恶意串通的；</w:t>
      </w:r>
    </w:p>
    <w:p w14:paraId="526A4DD5">
      <w:pPr>
        <w:spacing w:line="360" w:lineRule="auto"/>
        <w:ind w:left="420" w:leftChars="200"/>
        <w:rPr>
          <w:rFonts w:ascii="宋体" w:hAnsi="宋体" w:cs="宋体"/>
          <w:color w:val="auto"/>
          <w:szCs w:val="21"/>
        </w:rPr>
      </w:pPr>
      <w:r>
        <w:rPr>
          <w:rFonts w:hint="eastAsia" w:ascii="宋体" w:hAnsi="宋体" w:cs="宋体"/>
          <w:color w:val="auto"/>
          <w:szCs w:val="21"/>
        </w:rPr>
        <w:t>（6）法律法规规定的其他情形。</w:t>
      </w:r>
    </w:p>
    <w:p w14:paraId="6DD0D3E6">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18. 响应文件编制的要求</w:t>
      </w:r>
    </w:p>
    <w:p w14:paraId="6E0376F3">
      <w:pPr>
        <w:spacing w:line="360" w:lineRule="auto"/>
        <w:ind w:firstLine="420" w:firstLineChars="200"/>
        <w:rPr>
          <w:rFonts w:ascii="宋体" w:hAnsi="宋体" w:cs="宋体"/>
          <w:color w:val="auto"/>
          <w:szCs w:val="21"/>
        </w:rPr>
      </w:pPr>
      <w:r>
        <w:rPr>
          <w:rFonts w:hint="eastAsia" w:ascii="宋体" w:hAnsi="宋体" w:cs="宋体"/>
          <w:color w:val="auto"/>
          <w:szCs w:val="21"/>
        </w:rPr>
        <w:t>18.1供应商应按本谈判文件规定的格式和顺序编制、装订响应文件并标注页码，响应文件内容</w:t>
      </w:r>
      <w:r>
        <w:rPr>
          <w:rFonts w:hint="eastAsia" w:ascii="宋体" w:hAnsi="宋体" w:cs="宋体"/>
          <w:color w:val="auto"/>
          <w:spacing w:val="-6"/>
          <w:szCs w:val="21"/>
        </w:rPr>
        <w:t>不完整、编排混乱导致响应文件被误读、漏读或者查找不到相关内容的，</w:t>
      </w:r>
      <w:r>
        <w:rPr>
          <w:rFonts w:hint="eastAsia" w:ascii="宋体" w:hAnsi="宋体"/>
          <w:color w:val="auto"/>
        </w:rPr>
        <w:t>由此引发的</w:t>
      </w:r>
      <w:r>
        <w:rPr>
          <w:rFonts w:hint="eastAsia" w:ascii="宋体" w:hAnsi="宋体" w:cs="宋体"/>
          <w:color w:val="auto"/>
          <w:spacing w:val="-6"/>
          <w:szCs w:val="21"/>
        </w:rPr>
        <w:t>后果由供应商承担。</w:t>
      </w:r>
    </w:p>
    <w:p w14:paraId="1CFE26BE">
      <w:pPr>
        <w:spacing w:line="360" w:lineRule="auto"/>
        <w:ind w:firstLine="420" w:firstLineChars="200"/>
        <w:rPr>
          <w:rFonts w:ascii="宋体" w:hAnsi="宋体" w:cs="宋体"/>
          <w:color w:val="auto"/>
          <w:szCs w:val="21"/>
        </w:rPr>
      </w:pPr>
      <w:r>
        <w:rPr>
          <w:rFonts w:hint="eastAsia" w:ascii="宋体" w:hAnsi="宋体" w:cs="宋体"/>
          <w:color w:val="auto"/>
          <w:szCs w:val="21"/>
        </w:rPr>
        <w:t>18.2响应文件应按资格证明文件、报价商务技术文件分别编制电子文件，</w:t>
      </w:r>
      <w:r>
        <w:rPr>
          <w:rFonts w:hint="eastAsia" w:ascii="宋体" w:hAnsi="宋体" w:cs="宋体"/>
          <w:color w:val="auto"/>
          <w:szCs w:val="21"/>
          <w:lang w:bidi="ar"/>
        </w:rPr>
        <w:t>并按</w:t>
      </w:r>
      <w:r>
        <w:rPr>
          <w:rFonts w:hint="eastAsia" w:ascii="宋体" w:hAnsi="宋体" w:cs="宋体"/>
          <w:color w:val="auto"/>
          <w:szCs w:val="21"/>
          <w:lang w:bidi="ar"/>
        </w:rPr>
        <w:fldChar w:fldCharType="begin"/>
      </w:r>
      <w:r>
        <w:rPr>
          <w:rFonts w:hint="eastAsia" w:ascii="宋体" w:hAnsi="宋体" w:cs="宋体"/>
          <w:color w:val="auto"/>
          <w:szCs w:val="21"/>
          <w:lang w:bidi="ar"/>
        </w:rPr>
        <w:instrText xml:space="preserve"> HYPERLINK "" </w:instrText>
      </w:r>
      <w:r>
        <w:rPr>
          <w:rFonts w:hint="eastAsia" w:ascii="宋体" w:hAnsi="宋体" w:cs="宋体"/>
          <w:color w:val="auto"/>
          <w:szCs w:val="21"/>
          <w:lang w:bidi="ar"/>
        </w:rPr>
        <w:fldChar w:fldCharType="separate"/>
      </w:r>
      <w:r>
        <w:rPr>
          <w:rFonts w:hint="eastAsia" w:ascii="宋体" w:hAnsi="宋体" w:cs="宋体"/>
          <w:color w:val="auto"/>
          <w:szCs w:val="21"/>
          <w:lang w:bidi="ar"/>
        </w:rPr>
        <w:fldChar w:fldCharType="end"/>
      </w:r>
      <w:r>
        <w:rPr>
          <w:rFonts w:hint="eastAsia" w:ascii="宋体" w:hAnsi="宋体" w:cs="宋体"/>
          <w:color w:val="auto"/>
          <w:szCs w:val="21"/>
          <w:lang w:eastAsia="zh-CN" w:bidi="ar"/>
        </w:rPr>
        <w:t>广西政府采购云平台</w:t>
      </w:r>
      <w:r>
        <w:rPr>
          <w:rFonts w:hint="eastAsia" w:ascii="宋体" w:hAnsi="宋体" w:cs="宋体"/>
          <w:color w:val="auto"/>
          <w:szCs w:val="21"/>
          <w:lang w:bidi="ar"/>
        </w:rPr>
        <w:t>的要求编制、加密、上传。</w:t>
      </w:r>
    </w:p>
    <w:p w14:paraId="52EAE03C">
      <w:pPr>
        <w:spacing w:line="360" w:lineRule="auto"/>
        <w:ind w:firstLine="420" w:firstLineChars="200"/>
        <w:rPr>
          <w:rFonts w:ascii="宋体" w:hAnsi="宋体" w:cs="宋体"/>
          <w:color w:val="auto"/>
          <w:szCs w:val="21"/>
        </w:rPr>
      </w:pPr>
      <w:r>
        <w:rPr>
          <w:rFonts w:hint="eastAsia" w:ascii="宋体" w:hAnsi="宋体" w:cs="宋体"/>
          <w:color w:val="auto"/>
          <w:szCs w:val="21"/>
        </w:rPr>
        <w:t>18.</w:t>
      </w:r>
      <w:bookmarkStart w:id="23" w:name="_Hlk65832699"/>
      <w:r>
        <w:rPr>
          <w:rFonts w:hint="eastAsia" w:ascii="宋体" w:hAnsi="宋体" w:cs="宋体"/>
          <w:color w:val="auto"/>
          <w:szCs w:val="21"/>
        </w:rPr>
        <w:t>3</w:t>
      </w:r>
      <w:bookmarkEnd w:id="23"/>
      <w:r>
        <w:rPr>
          <w:rFonts w:hint="eastAsia" w:ascii="宋体" w:hAnsi="宋体"/>
          <w:color w:val="auto"/>
          <w:szCs w:val="21"/>
        </w:rPr>
        <w:t>响应文件须由供应商在规定位置盖公章并签字</w:t>
      </w:r>
      <w:bookmarkStart w:id="24" w:name="_Hlk65832569"/>
      <w:r>
        <w:rPr>
          <w:rFonts w:hint="eastAsia" w:ascii="宋体" w:hAnsi="宋体"/>
          <w:color w:val="auto"/>
          <w:szCs w:val="21"/>
        </w:rPr>
        <w:t>（具体以供应商须知前附表或响应文件格式规定为准）</w:t>
      </w:r>
      <w:bookmarkEnd w:id="24"/>
      <w:r>
        <w:rPr>
          <w:rFonts w:hint="eastAsia" w:ascii="宋体" w:hAnsi="宋体" w:cs="宋体"/>
          <w:color w:val="auto"/>
          <w:szCs w:val="21"/>
        </w:rPr>
        <w:t>，否则其响应文件按无效响应处理。</w:t>
      </w:r>
    </w:p>
    <w:p w14:paraId="0AE6F1F3">
      <w:pPr>
        <w:spacing w:line="360" w:lineRule="auto"/>
        <w:ind w:firstLine="420" w:firstLineChars="200"/>
        <w:rPr>
          <w:rFonts w:ascii="宋体" w:hAnsi="宋体" w:cs="宋体"/>
          <w:color w:val="auto"/>
          <w:szCs w:val="21"/>
        </w:rPr>
      </w:pPr>
      <w:r>
        <w:rPr>
          <w:rFonts w:hint="eastAsia" w:ascii="宋体" w:hAnsi="宋体" w:cs="宋体"/>
          <w:color w:val="auto"/>
          <w:szCs w:val="21"/>
        </w:rPr>
        <w:t>18.4响应文件成交注的供应商名称应与营业执照（事业单位法人证书、执业许可证、自然人身份证）及公章一致，否则其响应文件按无效响应处理。</w:t>
      </w:r>
    </w:p>
    <w:p w14:paraId="7BD3B7B2">
      <w:pPr>
        <w:spacing w:line="360" w:lineRule="auto"/>
        <w:ind w:firstLine="420" w:firstLineChars="200"/>
        <w:rPr>
          <w:rFonts w:ascii="宋体" w:hAnsi="宋体" w:cs="宋体"/>
          <w:color w:val="auto"/>
          <w:szCs w:val="21"/>
        </w:rPr>
      </w:pPr>
      <w:r>
        <w:rPr>
          <w:rFonts w:hint="eastAsia" w:ascii="宋体" w:hAnsi="宋体" w:cs="宋体"/>
          <w:color w:val="auto"/>
          <w:szCs w:val="21"/>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4E4DD80B">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19.响应文件的加密、解密</w:t>
      </w:r>
    </w:p>
    <w:p w14:paraId="5A4871C6">
      <w:pPr>
        <w:spacing w:line="360" w:lineRule="auto"/>
        <w:ind w:firstLine="420" w:firstLineChars="200"/>
        <w:rPr>
          <w:rFonts w:ascii="宋体" w:hAnsi="宋体" w:cs="宋体"/>
          <w:color w:val="auto"/>
          <w:szCs w:val="21"/>
        </w:rPr>
      </w:pPr>
      <w:r>
        <w:rPr>
          <w:rFonts w:hint="eastAsia" w:ascii="宋体" w:hAnsi="宋体"/>
          <w:color w:val="auto"/>
          <w:szCs w:val="21"/>
        </w:rPr>
        <w:t>19.1电子</w:t>
      </w:r>
      <w:r>
        <w:rPr>
          <w:rFonts w:hint="eastAsia" w:ascii="宋体" w:hAnsi="宋体" w:cs="宋体"/>
          <w:color w:val="auto"/>
          <w:szCs w:val="21"/>
        </w:rPr>
        <w:t>响应文件</w:t>
      </w:r>
      <w:r>
        <w:rPr>
          <w:rFonts w:hint="eastAsia" w:ascii="宋体" w:hAnsi="宋体"/>
          <w:color w:val="auto"/>
          <w:szCs w:val="21"/>
        </w:rPr>
        <w:t>编制完成后，供应商应按</w:t>
      </w:r>
      <w:r>
        <w:rPr>
          <w:rFonts w:hint="eastAsia" w:ascii="宋体" w:hAnsi="宋体"/>
          <w:color w:val="auto"/>
          <w:szCs w:val="21"/>
        </w:rPr>
        <w:fldChar w:fldCharType="begin"/>
      </w:r>
      <w:r>
        <w:rPr>
          <w:rFonts w:hint="eastAsia" w:ascii="宋体" w:hAnsi="宋体"/>
          <w:color w:val="auto"/>
          <w:szCs w:val="21"/>
        </w:rPr>
        <w:instrText xml:space="preserve"> HYPERLINK "" </w:instrText>
      </w:r>
      <w:r>
        <w:rPr>
          <w:rFonts w:hint="eastAsia" w:ascii="宋体" w:hAnsi="宋体"/>
          <w:color w:val="auto"/>
          <w:szCs w:val="21"/>
        </w:rPr>
        <w:fldChar w:fldCharType="separate"/>
      </w:r>
      <w:r>
        <w:rPr>
          <w:rFonts w:hint="eastAsia" w:ascii="宋体" w:hAnsi="宋体"/>
          <w:color w:val="auto"/>
          <w:szCs w:val="21"/>
        </w:rPr>
        <w:fldChar w:fldCharType="end"/>
      </w:r>
      <w:r>
        <w:rPr>
          <w:rFonts w:hint="eastAsia" w:ascii="宋体" w:hAnsi="宋体"/>
          <w:color w:val="auto"/>
          <w:szCs w:val="21"/>
          <w:lang w:eastAsia="zh-CN"/>
        </w:rPr>
        <w:t>广西政府采购云平台</w:t>
      </w:r>
      <w:r>
        <w:rPr>
          <w:rFonts w:hint="eastAsia" w:ascii="宋体" w:hAnsi="宋体"/>
          <w:color w:val="auto"/>
          <w:szCs w:val="21"/>
        </w:rPr>
        <w:t>的要求进行加密，并在规定时间内解密，否则，由此产生的后果由供应商自行负责。</w:t>
      </w:r>
    </w:p>
    <w:p w14:paraId="0154444B">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20.响应文件的提交</w:t>
      </w:r>
    </w:p>
    <w:p w14:paraId="34828B8F">
      <w:pPr>
        <w:widowControl/>
        <w:spacing w:line="360" w:lineRule="auto"/>
        <w:ind w:firstLine="420" w:firstLineChars="200"/>
        <w:rPr>
          <w:rFonts w:ascii="宋体" w:hAnsi="宋体" w:cs="宋体"/>
          <w:b/>
          <w:color w:val="auto"/>
          <w:szCs w:val="21"/>
          <w:lang w:bidi="ar"/>
        </w:rPr>
      </w:pPr>
      <w:r>
        <w:rPr>
          <w:rFonts w:hint="eastAsia" w:ascii="宋体" w:hAnsi="宋体" w:cs="宋体"/>
          <w:color w:val="auto"/>
          <w:szCs w:val="21"/>
        </w:rPr>
        <w:t>20.2</w:t>
      </w:r>
      <w:r>
        <w:rPr>
          <w:rFonts w:hint="eastAsia" w:ascii="宋体" w:hAnsi="宋体" w:cs="宋体"/>
          <w:color w:val="auto"/>
          <w:szCs w:val="21"/>
          <w:lang w:bidi="ar"/>
        </w:rPr>
        <w:t>本项目为全流程电子化政府采购项目，通过</w:t>
      </w:r>
      <w:r>
        <w:rPr>
          <w:rFonts w:hint="eastAsia" w:ascii="宋体" w:hAnsi="宋体" w:cs="宋体"/>
          <w:color w:val="auto"/>
          <w:szCs w:val="21"/>
          <w:lang w:bidi="ar"/>
        </w:rPr>
        <w:fldChar w:fldCharType="begin"/>
      </w:r>
      <w:r>
        <w:rPr>
          <w:rFonts w:hint="eastAsia" w:ascii="宋体" w:hAnsi="宋体" w:cs="宋体"/>
          <w:color w:val="auto"/>
          <w:szCs w:val="21"/>
          <w:lang w:bidi="ar"/>
        </w:rPr>
        <w:instrText xml:space="preserve"> HYPERLINK "" </w:instrText>
      </w:r>
      <w:r>
        <w:rPr>
          <w:rFonts w:hint="eastAsia" w:ascii="宋体" w:hAnsi="宋体" w:cs="宋体"/>
          <w:color w:val="auto"/>
          <w:szCs w:val="21"/>
          <w:lang w:bidi="ar"/>
        </w:rPr>
        <w:fldChar w:fldCharType="separate"/>
      </w:r>
      <w:r>
        <w:rPr>
          <w:rFonts w:hint="eastAsia" w:ascii="宋体" w:hAnsi="宋体" w:cs="宋体"/>
          <w:color w:val="auto"/>
          <w:szCs w:val="21"/>
          <w:lang w:bidi="ar"/>
        </w:rPr>
        <w:fldChar w:fldCharType="end"/>
      </w:r>
      <w:r>
        <w:rPr>
          <w:rFonts w:hint="eastAsia" w:ascii="宋体" w:hAnsi="宋体" w:cs="宋体"/>
          <w:color w:val="auto"/>
          <w:szCs w:val="21"/>
          <w:lang w:eastAsia="zh-CN" w:bidi="ar"/>
        </w:rPr>
        <w:t>广西政府采购云平台（https://www.gcy.zfcg.gxzf.gov.cn/）</w:t>
      </w:r>
      <w:r>
        <w:rPr>
          <w:rFonts w:hint="eastAsia" w:ascii="宋体" w:hAnsi="宋体" w:cs="宋体"/>
          <w:color w:val="auto"/>
          <w:szCs w:val="21"/>
          <w:lang w:bidi="ar"/>
        </w:rPr>
        <w:t>实行在线电子竞标，供应商应先安装“</w:t>
      </w:r>
      <w:r>
        <w:rPr>
          <w:rFonts w:hint="eastAsia" w:ascii="宋体" w:hAnsi="宋体" w:cs="宋体"/>
          <w:color w:val="auto"/>
          <w:szCs w:val="21"/>
          <w:lang w:bidi="ar"/>
        </w:rPr>
        <w:fldChar w:fldCharType="begin"/>
      </w:r>
      <w:r>
        <w:rPr>
          <w:rFonts w:hint="eastAsia" w:ascii="宋体" w:hAnsi="宋体" w:cs="宋体"/>
          <w:color w:val="auto"/>
          <w:szCs w:val="21"/>
          <w:lang w:bidi="ar"/>
        </w:rPr>
        <w:instrText xml:space="preserve"> HYPERLINK "" </w:instrText>
      </w:r>
      <w:r>
        <w:rPr>
          <w:rFonts w:hint="eastAsia" w:ascii="宋体" w:hAnsi="宋体" w:cs="宋体"/>
          <w:color w:val="auto"/>
          <w:szCs w:val="21"/>
          <w:lang w:bidi="ar"/>
        </w:rPr>
        <w:fldChar w:fldCharType="separate"/>
      </w:r>
      <w:r>
        <w:rPr>
          <w:rFonts w:hint="eastAsia" w:ascii="宋体" w:hAnsi="宋体" w:cs="宋体"/>
          <w:color w:val="auto"/>
          <w:szCs w:val="21"/>
          <w:lang w:bidi="ar"/>
        </w:rPr>
        <w:fldChar w:fldCharType="end"/>
      </w:r>
      <w:r>
        <w:rPr>
          <w:rFonts w:hint="eastAsia" w:ascii="宋体" w:hAnsi="宋体" w:cs="宋体"/>
          <w:color w:val="auto"/>
          <w:szCs w:val="21"/>
          <w:lang w:eastAsia="zh-CN" w:bidi="ar"/>
        </w:rPr>
        <w:t>广西政府采购云平台</w:t>
      </w:r>
      <w:r>
        <w:rPr>
          <w:rFonts w:hint="eastAsia" w:ascii="宋体" w:hAnsi="宋体" w:cs="宋体"/>
          <w:color w:val="auto"/>
          <w:szCs w:val="21"/>
          <w:lang w:bidi="ar"/>
        </w:rPr>
        <w:t>电子交易客户端”（请自行前往</w:t>
      </w:r>
      <w:r>
        <w:rPr>
          <w:rFonts w:hint="eastAsia" w:ascii="宋体" w:hAnsi="宋体" w:cs="宋体"/>
          <w:color w:val="auto"/>
          <w:szCs w:val="21"/>
          <w:lang w:bidi="ar"/>
        </w:rPr>
        <w:fldChar w:fldCharType="begin"/>
      </w:r>
      <w:r>
        <w:rPr>
          <w:rFonts w:hint="eastAsia" w:ascii="宋体" w:hAnsi="宋体" w:cs="宋体"/>
          <w:color w:val="auto"/>
          <w:szCs w:val="21"/>
          <w:lang w:bidi="ar"/>
        </w:rPr>
        <w:instrText xml:space="preserve"> HYPERLINK "" </w:instrText>
      </w:r>
      <w:r>
        <w:rPr>
          <w:rFonts w:hint="eastAsia" w:ascii="宋体" w:hAnsi="宋体" w:cs="宋体"/>
          <w:color w:val="auto"/>
          <w:szCs w:val="21"/>
          <w:lang w:bidi="ar"/>
        </w:rPr>
        <w:fldChar w:fldCharType="separate"/>
      </w:r>
      <w:r>
        <w:rPr>
          <w:rFonts w:hint="eastAsia" w:ascii="宋体" w:hAnsi="宋体" w:cs="宋体"/>
          <w:color w:val="auto"/>
          <w:szCs w:val="21"/>
          <w:lang w:bidi="ar"/>
        </w:rPr>
        <w:fldChar w:fldCharType="end"/>
      </w:r>
      <w:r>
        <w:rPr>
          <w:rFonts w:hint="eastAsia" w:ascii="宋体" w:hAnsi="宋体" w:cs="宋体"/>
          <w:color w:val="auto"/>
          <w:szCs w:val="21"/>
          <w:lang w:eastAsia="zh-CN" w:bidi="ar"/>
        </w:rPr>
        <w:t>广西政府采购云平台</w:t>
      </w:r>
      <w:r>
        <w:rPr>
          <w:rFonts w:hint="eastAsia" w:ascii="宋体" w:hAnsi="宋体" w:cs="宋体"/>
          <w:color w:val="auto"/>
          <w:szCs w:val="21"/>
          <w:lang w:bidi="ar"/>
        </w:rPr>
        <w:t>进行下载），并按照本项目竞争性谈判文件和</w:t>
      </w:r>
      <w:r>
        <w:rPr>
          <w:rFonts w:hint="eastAsia" w:ascii="宋体" w:hAnsi="宋体" w:cs="宋体"/>
          <w:color w:val="auto"/>
          <w:szCs w:val="21"/>
          <w:lang w:bidi="ar"/>
        </w:rPr>
        <w:fldChar w:fldCharType="begin"/>
      </w:r>
      <w:r>
        <w:rPr>
          <w:rFonts w:hint="eastAsia" w:ascii="宋体" w:hAnsi="宋体" w:cs="宋体"/>
          <w:color w:val="auto"/>
          <w:szCs w:val="21"/>
          <w:lang w:bidi="ar"/>
        </w:rPr>
        <w:instrText xml:space="preserve"> HYPERLINK "" </w:instrText>
      </w:r>
      <w:r>
        <w:rPr>
          <w:rFonts w:hint="eastAsia" w:ascii="宋体" w:hAnsi="宋体" w:cs="宋体"/>
          <w:color w:val="auto"/>
          <w:szCs w:val="21"/>
          <w:lang w:bidi="ar"/>
        </w:rPr>
        <w:fldChar w:fldCharType="separate"/>
      </w:r>
      <w:r>
        <w:rPr>
          <w:rFonts w:hint="eastAsia" w:ascii="宋体" w:hAnsi="宋体" w:cs="宋体"/>
          <w:color w:val="auto"/>
          <w:szCs w:val="21"/>
          <w:lang w:bidi="ar"/>
        </w:rPr>
        <w:fldChar w:fldCharType="end"/>
      </w:r>
      <w:r>
        <w:rPr>
          <w:rFonts w:hint="eastAsia" w:ascii="宋体" w:hAnsi="宋体" w:cs="宋体"/>
          <w:color w:val="auto"/>
          <w:szCs w:val="21"/>
          <w:lang w:eastAsia="zh-CN" w:bidi="ar"/>
        </w:rPr>
        <w:t>广西政府采购云平台</w:t>
      </w:r>
      <w:r>
        <w:rPr>
          <w:rFonts w:hint="eastAsia" w:ascii="宋体" w:hAnsi="宋体" w:cs="宋体"/>
          <w:color w:val="auto"/>
          <w:szCs w:val="21"/>
          <w:lang w:bidi="ar"/>
        </w:rPr>
        <w:t>的要求编制、加密后在首次响应文件提交截止时间前通过网络上传至</w:t>
      </w:r>
      <w:r>
        <w:rPr>
          <w:rFonts w:hint="eastAsia" w:ascii="宋体" w:hAnsi="宋体" w:cs="宋体"/>
          <w:color w:val="auto"/>
          <w:szCs w:val="21"/>
          <w:lang w:bidi="ar"/>
        </w:rPr>
        <w:fldChar w:fldCharType="begin"/>
      </w:r>
      <w:r>
        <w:rPr>
          <w:rFonts w:hint="eastAsia" w:ascii="宋体" w:hAnsi="宋体" w:cs="宋体"/>
          <w:color w:val="auto"/>
          <w:szCs w:val="21"/>
          <w:lang w:bidi="ar"/>
        </w:rPr>
        <w:instrText xml:space="preserve"> HYPERLINK "" </w:instrText>
      </w:r>
      <w:r>
        <w:rPr>
          <w:rFonts w:hint="eastAsia" w:ascii="宋体" w:hAnsi="宋体" w:cs="宋体"/>
          <w:color w:val="auto"/>
          <w:szCs w:val="21"/>
          <w:lang w:bidi="ar"/>
        </w:rPr>
        <w:fldChar w:fldCharType="separate"/>
      </w:r>
      <w:r>
        <w:rPr>
          <w:rFonts w:hint="eastAsia" w:ascii="宋体" w:hAnsi="宋体" w:cs="宋体"/>
          <w:color w:val="auto"/>
          <w:szCs w:val="21"/>
          <w:lang w:bidi="ar"/>
        </w:rPr>
        <w:fldChar w:fldCharType="end"/>
      </w:r>
      <w:r>
        <w:rPr>
          <w:rFonts w:hint="eastAsia" w:ascii="宋体" w:hAnsi="宋体" w:cs="宋体"/>
          <w:color w:val="auto"/>
          <w:szCs w:val="21"/>
          <w:lang w:eastAsia="zh-CN" w:bidi="ar"/>
        </w:rPr>
        <w:t>广西政府采购云平台</w:t>
      </w:r>
      <w:r>
        <w:rPr>
          <w:rFonts w:hint="eastAsia" w:ascii="宋体" w:hAnsi="宋体" w:cs="宋体"/>
          <w:color w:val="auto"/>
          <w:szCs w:val="21"/>
          <w:lang w:bidi="ar"/>
        </w:rPr>
        <w:t>，</w:t>
      </w:r>
      <w:r>
        <w:rPr>
          <w:rFonts w:hint="eastAsia" w:ascii="宋体" w:hAnsi="宋体" w:cs="宋体"/>
          <w:b/>
          <w:color w:val="auto"/>
          <w:szCs w:val="21"/>
          <w:lang w:bidi="ar"/>
        </w:rPr>
        <w:t>供应商在</w:t>
      </w:r>
      <w:r>
        <w:rPr>
          <w:rFonts w:hint="eastAsia" w:ascii="宋体" w:hAnsi="宋体" w:cs="宋体"/>
          <w:b/>
          <w:color w:val="auto"/>
          <w:szCs w:val="21"/>
          <w:lang w:bidi="ar"/>
        </w:rPr>
        <w:fldChar w:fldCharType="begin"/>
      </w:r>
      <w:r>
        <w:rPr>
          <w:rFonts w:hint="eastAsia" w:ascii="宋体" w:hAnsi="宋体" w:cs="宋体"/>
          <w:b/>
          <w:color w:val="auto"/>
          <w:szCs w:val="21"/>
          <w:lang w:bidi="ar"/>
        </w:rPr>
        <w:instrText xml:space="preserve"> HYPERLINK "" </w:instrText>
      </w:r>
      <w:r>
        <w:rPr>
          <w:rFonts w:hint="eastAsia" w:ascii="宋体" w:hAnsi="宋体" w:cs="宋体"/>
          <w:b/>
          <w:color w:val="auto"/>
          <w:szCs w:val="21"/>
          <w:lang w:bidi="ar"/>
        </w:rPr>
        <w:fldChar w:fldCharType="separate"/>
      </w:r>
      <w:r>
        <w:rPr>
          <w:rFonts w:hint="eastAsia" w:ascii="宋体" w:hAnsi="宋体" w:cs="宋体"/>
          <w:b/>
          <w:color w:val="auto"/>
          <w:szCs w:val="21"/>
          <w:lang w:bidi="ar"/>
        </w:rPr>
        <w:fldChar w:fldCharType="end"/>
      </w:r>
      <w:r>
        <w:rPr>
          <w:rFonts w:hint="eastAsia" w:ascii="宋体" w:hAnsi="宋体" w:cs="宋体"/>
          <w:b/>
          <w:color w:val="auto"/>
          <w:szCs w:val="21"/>
          <w:lang w:eastAsia="zh-CN" w:bidi="ar"/>
        </w:rPr>
        <w:t>广西政府采购云平台</w:t>
      </w:r>
      <w:r>
        <w:rPr>
          <w:rFonts w:hint="eastAsia" w:ascii="宋体" w:hAnsi="宋体" w:cs="宋体"/>
          <w:b/>
          <w:color w:val="auto"/>
          <w:szCs w:val="21"/>
          <w:lang w:bidi="ar"/>
        </w:rPr>
        <w:t>提交电子版响应文件时，请填写参加远程开标活动经办人联系方式。</w:t>
      </w:r>
    </w:p>
    <w:p w14:paraId="67670C39">
      <w:pPr>
        <w:pStyle w:val="5"/>
        <w:keepNext w:val="0"/>
        <w:keepLines w:val="0"/>
        <w:spacing w:before="0" w:after="0" w:line="360" w:lineRule="auto"/>
        <w:ind w:firstLine="420" w:firstLineChars="200"/>
        <w:jc w:val="left"/>
        <w:rPr>
          <w:rFonts w:ascii="宋体" w:hAnsi="宋体"/>
          <w:b w:val="0"/>
          <w:color w:val="auto"/>
          <w:sz w:val="21"/>
          <w:szCs w:val="21"/>
        </w:rPr>
      </w:pPr>
      <w:r>
        <w:rPr>
          <w:rFonts w:hint="eastAsia" w:ascii="宋体" w:hAnsi="宋体"/>
          <w:b w:val="0"/>
          <w:color w:val="auto"/>
          <w:sz w:val="21"/>
          <w:szCs w:val="21"/>
        </w:rPr>
        <w:t>20.3未在规定时间内上传或者未按</w:t>
      </w:r>
      <w:r>
        <w:rPr>
          <w:rFonts w:hint="eastAsia" w:ascii="宋体" w:hAnsi="宋体"/>
          <w:b w:val="0"/>
          <w:color w:val="auto"/>
          <w:sz w:val="21"/>
          <w:szCs w:val="21"/>
        </w:rPr>
        <w:fldChar w:fldCharType="begin"/>
      </w:r>
      <w:r>
        <w:rPr>
          <w:rFonts w:hint="eastAsia" w:ascii="宋体" w:hAnsi="宋体"/>
          <w:b w:val="0"/>
          <w:color w:val="auto"/>
          <w:sz w:val="21"/>
          <w:szCs w:val="21"/>
        </w:rPr>
        <w:instrText xml:space="preserve"> HYPERLINK "" </w:instrText>
      </w:r>
      <w:r>
        <w:rPr>
          <w:rFonts w:hint="eastAsia" w:ascii="宋体" w:hAnsi="宋体"/>
          <w:b w:val="0"/>
          <w:color w:val="auto"/>
          <w:sz w:val="21"/>
          <w:szCs w:val="21"/>
        </w:rPr>
        <w:fldChar w:fldCharType="separate"/>
      </w:r>
      <w:r>
        <w:rPr>
          <w:rFonts w:hint="eastAsia" w:ascii="宋体" w:hAnsi="宋体"/>
          <w:b w:val="0"/>
          <w:color w:val="auto"/>
          <w:sz w:val="21"/>
          <w:szCs w:val="21"/>
        </w:rPr>
        <w:fldChar w:fldCharType="end"/>
      </w:r>
      <w:r>
        <w:rPr>
          <w:rFonts w:hint="eastAsia" w:ascii="宋体" w:hAnsi="宋体"/>
          <w:b w:val="0"/>
          <w:color w:val="auto"/>
          <w:sz w:val="21"/>
          <w:szCs w:val="21"/>
          <w:lang w:eastAsia="zh-CN"/>
        </w:rPr>
        <w:t>广西政府采购云平台</w:t>
      </w:r>
      <w:r>
        <w:rPr>
          <w:rFonts w:hint="eastAsia" w:ascii="宋体" w:hAnsi="宋体"/>
          <w:b w:val="0"/>
          <w:color w:val="auto"/>
          <w:sz w:val="21"/>
          <w:szCs w:val="21"/>
        </w:rPr>
        <w:t>的要求编制、加密的电子响应文件，</w:t>
      </w:r>
      <w:r>
        <w:rPr>
          <w:rFonts w:hint="eastAsia" w:ascii="宋体" w:hAnsi="宋体"/>
          <w:b w:val="0"/>
          <w:color w:val="auto"/>
          <w:sz w:val="21"/>
          <w:szCs w:val="21"/>
        </w:rPr>
        <w:fldChar w:fldCharType="begin"/>
      </w:r>
      <w:r>
        <w:rPr>
          <w:rFonts w:hint="eastAsia" w:ascii="宋体" w:hAnsi="宋体"/>
          <w:b w:val="0"/>
          <w:color w:val="auto"/>
          <w:sz w:val="21"/>
          <w:szCs w:val="21"/>
        </w:rPr>
        <w:instrText xml:space="preserve"> HYPERLINK "" </w:instrText>
      </w:r>
      <w:r>
        <w:rPr>
          <w:rFonts w:hint="eastAsia" w:ascii="宋体" w:hAnsi="宋体"/>
          <w:b w:val="0"/>
          <w:color w:val="auto"/>
          <w:sz w:val="21"/>
          <w:szCs w:val="21"/>
        </w:rPr>
        <w:fldChar w:fldCharType="separate"/>
      </w:r>
      <w:r>
        <w:rPr>
          <w:rFonts w:hint="eastAsia" w:ascii="宋体" w:hAnsi="宋体"/>
          <w:b w:val="0"/>
          <w:color w:val="auto"/>
          <w:sz w:val="21"/>
          <w:szCs w:val="21"/>
        </w:rPr>
        <w:fldChar w:fldCharType="end"/>
      </w:r>
      <w:r>
        <w:rPr>
          <w:rFonts w:hint="eastAsia" w:ascii="宋体" w:hAnsi="宋体"/>
          <w:b w:val="0"/>
          <w:color w:val="auto"/>
          <w:sz w:val="21"/>
          <w:szCs w:val="21"/>
          <w:lang w:eastAsia="zh-CN"/>
        </w:rPr>
        <w:t>广西政府采购云平台</w:t>
      </w:r>
      <w:r>
        <w:rPr>
          <w:rFonts w:hint="eastAsia" w:ascii="宋体" w:hAnsi="宋体"/>
          <w:b w:val="0"/>
          <w:color w:val="auto"/>
          <w:sz w:val="21"/>
          <w:szCs w:val="21"/>
        </w:rPr>
        <w:t>将拒收。</w:t>
      </w:r>
    </w:p>
    <w:p w14:paraId="01A06A9A">
      <w:pPr>
        <w:widowControl/>
        <w:spacing w:line="360" w:lineRule="auto"/>
        <w:ind w:firstLine="420" w:firstLineChars="200"/>
        <w:rPr>
          <w:rFonts w:ascii="宋体" w:hAnsi="宋体" w:cs="宋体"/>
          <w:color w:val="auto"/>
          <w:szCs w:val="21"/>
        </w:rPr>
      </w:pPr>
      <w:r>
        <w:rPr>
          <w:rFonts w:hint="eastAsia" w:ascii="宋体" w:hAnsi="宋体" w:cs="宋体"/>
          <w:color w:val="auto"/>
          <w:szCs w:val="21"/>
        </w:rPr>
        <w:t>20.4电子响应文件提交方式见“竞争性谈判公告”中“四、响应文件提交”。</w:t>
      </w:r>
    </w:p>
    <w:p w14:paraId="1209E957">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21.首次响应文件的补充、修改与撤回</w:t>
      </w:r>
    </w:p>
    <w:p w14:paraId="7F4197F4">
      <w:pPr>
        <w:spacing w:line="360" w:lineRule="auto"/>
        <w:ind w:firstLine="420" w:firstLineChars="200"/>
        <w:rPr>
          <w:rFonts w:ascii="宋体" w:hAnsi="宋体" w:cs="宋体"/>
          <w:color w:val="auto"/>
          <w:szCs w:val="21"/>
        </w:rPr>
      </w:pPr>
      <w:r>
        <w:rPr>
          <w:rFonts w:hint="eastAsia" w:ascii="宋体" w:hAnsi="宋体" w:cs="宋体"/>
          <w:bCs/>
          <w:color w:val="auto"/>
          <w:szCs w:val="21"/>
          <w:lang w:bidi="ar"/>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Pr>
          <w:rFonts w:hint="eastAsia" w:ascii="宋体" w:hAnsi="宋体" w:cs="宋体"/>
          <w:bCs/>
          <w:color w:val="auto"/>
          <w:szCs w:val="21"/>
          <w:lang w:bidi="ar"/>
        </w:rPr>
        <w:fldChar w:fldCharType="begin"/>
      </w:r>
      <w:r>
        <w:rPr>
          <w:rFonts w:hint="eastAsia" w:ascii="宋体" w:hAnsi="宋体" w:cs="宋体"/>
          <w:bCs/>
          <w:color w:val="auto"/>
          <w:szCs w:val="21"/>
          <w:lang w:bidi="ar"/>
        </w:rPr>
        <w:instrText xml:space="preserve"> HYPERLINK "" </w:instrText>
      </w:r>
      <w:r>
        <w:rPr>
          <w:rFonts w:hint="eastAsia" w:ascii="宋体" w:hAnsi="宋体" w:cs="宋体"/>
          <w:bCs/>
          <w:color w:val="auto"/>
          <w:szCs w:val="21"/>
          <w:lang w:bidi="ar"/>
        </w:rPr>
        <w:fldChar w:fldCharType="separate"/>
      </w:r>
      <w:r>
        <w:rPr>
          <w:rFonts w:hint="eastAsia" w:ascii="宋体" w:hAnsi="宋体" w:cs="宋体"/>
          <w:bCs/>
          <w:color w:val="auto"/>
          <w:szCs w:val="21"/>
          <w:lang w:bidi="ar"/>
        </w:rPr>
        <w:fldChar w:fldCharType="end"/>
      </w:r>
      <w:r>
        <w:rPr>
          <w:rFonts w:hint="eastAsia" w:ascii="宋体" w:hAnsi="宋体" w:cs="宋体"/>
          <w:bCs/>
          <w:color w:val="auto"/>
          <w:szCs w:val="21"/>
          <w:lang w:eastAsia="zh-CN" w:bidi="ar"/>
        </w:rPr>
        <w:t>广西政府采购云平台</w:t>
      </w:r>
      <w:r>
        <w:rPr>
          <w:rFonts w:hint="eastAsia" w:ascii="宋体" w:hAnsi="宋体" w:cs="宋体"/>
          <w:bCs/>
          <w:color w:val="auto"/>
          <w:szCs w:val="21"/>
          <w:lang w:bidi="ar"/>
        </w:rPr>
        <w:t>将予以拒收。</w:t>
      </w:r>
    </w:p>
    <w:p w14:paraId="2A327CAE">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22.首次响应文件的退回</w:t>
      </w:r>
    </w:p>
    <w:p w14:paraId="55B5CF95">
      <w:pPr>
        <w:spacing w:line="360" w:lineRule="auto"/>
        <w:ind w:firstLine="420" w:firstLineChars="200"/>
        <w:rPr>
          <w:rFonts w:ascii="宋体" w:hAnsi="宋体" w:cs="宋体"/>
          <w:color w:val="auto"/>
          <w:szCs w:val="21"/>
        </w:rPr>
      </w:pPr>
      <w:r>
        <w:rPr>
          <w:rFonts w:hint="eastAsia" w:ascii="宋体" w:hAnsi="宋体" w:cs="宋体"/>
          <w:color w:val="auto"/>
          <w:szCs w:val="21"/>
        </w:rPr>
        <w:t>22.1在首次响应文件提交截止时间止提交响应文件的供应商不足3家时，</w:t>
      </w:r>
      <w:r>
        <w:rPr>
          <w:rFonts w:hint="eastAsia" w:ascii="宋体" w:hAnsi="宋体"/>
          <w:color w:val="auto"/>
          <w:szCs w:val="21"/>
        </w:rPr>
        <w:t>采购代理机构将根据</w:t>
      </w:r>
      <w:r>
        <w:rPr>
          <w:rFonts w:hint="eastAsia" w:ascii="宋体" w:hAnsi="宋体"/>
          <w:color w:val="auto"/>
          <w:szCs w:val="21"/>
        </w:rPr>
        <w:fldChar w:fldCharType="begin"/>
      </w:r>
      <w:r>
        <w:rPr>
          <w:rFonts w:hint="eastAsia" w:ascii="宋体" w:hAnsi="宋体"/>
          <w:color w:val="auto"/>
          <w:szCs w:val="21"/>
        </w:rPr>
        <w:instrText xml:space="preserve"> HYPERLINK "" </w:instrText>
      </w:r>
      <w:r>
        <w:rPr>
          <w:rFonts w:hint="eastAsia" w:ascii="宋体" w:hAnsi="宋体"/>
          <w:color w:val="auto"/>
          <w:szCs w:val="21"/>
        </w:rPr>
        <w:fldChar w:fldCharType="separate"/>
      </w:r>
      <w:r>
        <w:rPr>
          <w:rFonts w:hint="eastAsia" w:ascii="宋体" w:hAnsi="宋体"/>
          <w:color w:val="auto"/>
          <w:szCs w:val="21"/>
        </w:rPr>
        <w:fldChar w:fldCharType="end"/>
      </w:r>
      <w:r>
        <w:rPr>
          <w:rFonts w:hint="eastAsia" w:ascii="宋体" w:hAnsi="宋体"/>
          <w:color w:val="auto"/>
          <w:szCs w:val="21"/>
          <w:lang w:eastAsia="zh-CN"/>
        </w:rPr>
        <w:t>广西政府采购云平台</w:t>
      </w:r>
      <w:r>
        <w:rPr>
          <w:rFonts w:hint="eastAsia" w:ascii="宋体" w:hAnsi="宋体"/>
          <w:color w:val="auto"/>
          <w:szCs w:val="21"/>
        </w:rPr>
        <w:t>的操作将电子版响应文件退回，</w:t>
      </w:r>
      <w:r>
        <w:rPr>
          <w:rFonts w:hint="eastAsia" w:ascii="宋体" w:hAnsi="宋体" w:cs="宋体"/>
          <w:color w:val="auto"/>
          <w:szCs w:val="21"/>
        </w:rPr>
        <w:t>除此之外采购人和采购代理机构对已提交的电子响应文件概不退回。</w:t>
      </w:r>
    </w:p>
    <w:p w14:paraId="737495C4">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23. 截止时间后的撤回</w:t>
      </w:r>
    </w:p>
    <w:p w14:paraId="0779B404">
      <w:pPr>
        <w:spacing w:line="360" w:lineRule="auto"/>
        <w:ind w:firstLine="420" w:firstLineChars="200"/>
        <w:rPr>
          <w:rFonts w:ascii="宋体" w:hAnsi="宋体" w:cs="宋体"/>
          <w:color w:val="auto"/>
          <w:szCs w:val="21"/>
        </w:rPr>
      </w:pPr>
      <w:r>
        <w:rPr>
          <w:rFonts w:hint="eastAsia" w:ascii="宋体" w:hAnsi="宋体" w:cs="宋体"/>
          <w:color w:val="auto"/>
          <w:szCs w:val="21"/>
        </w:rPr>
        <w:t>23.1供应商在首次响应文件提交截止时间后书面通知采购人、采购代理机构书面撤回响应文件的，将根据本须知正文17.4的规定不予退还其竞标保证金。</w:t>
      </w:r>
    </w:p>
    <w:p w14:paraId="54E1A316">
      <w:pPr>
        <w:spacing w:line="360" w:lineRule="auto"/>
        <w:ind w:firstLine="420" w:firstLineChars="200"/>
        <w:rPr>
          <w:rFonts w:ascii="宋体" w:hAnsi="宋体"/>
          <w:color w:val="auto"/>
          <w:szCs w:val="21"/>
        </w:rPr>
      </w:pPr>
    </w:p>
    <w:p w14:paraId="38092CAD">
      <w:pPr>
        <w:spacing w:line="360" w:lineRule="auto"/>
        <w:jc w:val="center"/>
        <w:rPr>
          <w:rFonts w:ascii="宋体" w:hAnsi="宋体"/>
          <w:b/>
          <w:color w:val="auto"/>
          <w:sz w:val="32"/>
          <w:szCs w:val="32"/>
        </w:rPr>
      </w:pPr>
      <w:r>
        <w:rPr>
          <w:rFonts w:hint="eastAsia" w:ascii="宋体" w:hAnsi="宋体"/>
          <w:b/>
          <w:color w:val="auto"/>
          <w:sz w:val="32"/>
          <w:szCs w:val="32"/>
        </w:rPr>
        <w:t>四、评审及谈判</w:t>
      </w:r>
    </w:p>
    <w:p w14:paraId="043D3818">
      <w:pPr>
        <w:spacing w:line="360" w:lineRule="auto"/>
        <w:ind w:left="420" w:firstLine="420"/>
        <w:rPr>
          <w:rFonts w:ascii="宋体" w:hAnsi="宋体"/>
          <w:color w:val="auto"/>
          <w:szCs w:val="21"/>
        </w:rPr>
      </w:pPr>
    </w:p>
    <w:p w14:paraId="0C7DE115">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24.谈判小组成立</w:t>
      </w:r>
    </w:p>
    <w:p w14:paraId="79B573CA">
      <w:pPr>
        <w:spacing w:line="360" w:lineRule="auto"/>
        <w:ind w:firstLine="420" w:firstLineChars="200"/>
        <w:rPr>
          <w:rFonts w:ascii="宋体" w:hAnsi="宋体" w:cs="宋体"/>
          <w:color w:val="auto"/>
          <w:szCs w:val="21"/>
        </w:rPr>
      </w:pPr>
      <w:r>
        <w:rPr>
          <w:rFonts w:hint="eastAsia" w:ascii="宋体" w:hAnsi="宋体" w:cs="宋体"/>
          <w:color w:val="auto"/>
          <w:szCs w:val="21"/>
        </w:rPr>
        <w:t>24.1竞争性谈判小组成立：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54FBA51D">
      <w:pPr>
        <w:spacing w:line="360" w:lineRule="auto"/>
        <w:ind w:firstLine="420" w:firstLineChars="200"/>
        <w:rPr>
          <w:rFonts w:ascii="宋体" w:hAnsi="宋体" w:cs="宋体"/>
          <w:color w:val="auto"/>
          <w:szCs w:val="21"/>
        </w:rPr>
      </w:pPr>
      <w:r>
        <w:rPr>
          <w:rFonts w:hint="eastAsia" w:ascii="宋体" w:hAnsi="宋体" w:cs="宋体"/>
          <w:color w:val="auto"/>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29ADCDEE">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25.</w:t>
      </w:r>
      <w:r>
        <w:rPr>
          <w:rFonts w:hint="eastAsia" w:ascii="黑体" w:hAnsi="黑体" w:eastAsia="黑体" w:cs="宋体"/>
          <w:b/>
          <w:bCs/>
          <w:color w:val="auto"/>
          <w:sz w:val="24"/>
        </w:rPr>
        <w:t xml:space="preserve"> 首次响应文件的开启</w:t>
      </w:r>
    </w:p>
    <w:p w14:paraId="57ACE571">
      <w:pPr>
        <w:spacing w:line="360" w:lineRule="auto"/>
        <w:ind w:firstLine="420" w:firstLineChars="200"/>
        <w:rPr>
          <w:rFonts w:ascii="宋体" w:hAnsi="宋体" w:cs="宋体"/>
          <w:color w:val="auto"/>
          <w:szCs w:val="21"/>
        </w:rPr>
      </w:pPr>
      <w:r>
        <w:rPr>
          <w:rFonts w:hint="eastAsia" w:ascii="宋体" w:hAnsi="宋体" w:cs="宋体"/>
          <w:color w:val="auto"/>
          <w:szCs w:val="21"/>
        </w:rPr>
        <w:t>25.1首次响应文件由谈判小组或者采购代理机构在“供应商须知前附表”规定的时间开启。</w:t>
      </w:r>
    </w:p>
    <w:p w14:paraId="52E3E9CF">
      <w:pPr>
        <w:spacing w:line="360" w:lineRule="auto"/>
        <w:ind w:firstLine="420" w:firstLineChars="200"/>
        <w:rPr>
          <w:rFonts w:ascii="宋体" w:hAnsi="宋体" w:cs="宋体"/>
          <w:color w:val="auto"/>
          <w:szCs w:val="21"/>
        </w:rPr>
      </w:pPr>
      <w:r>
        <w:rPr>
          <w:rFonts w:hint="eastAsia" w:ascii="宋体" w:hAnsi="宋体" w:cs="宋体"/>
          <w:color w:val="auto"/>
          <w:szCs w:val="21"/>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Cs w:val="21"/>
        </w:rPr>
        <w:t>供应商的法定代表人或其委托代理人须携带加密时所用的CA锁按平台提示和采购文件的规定登录到</w:t>
      </w:r>
      <w:r>
        <w:rPr>
          <w:rFonts w:hint="eastAsia" w:ascii="宋体" w:hAnsi="宋体" w:cs="宋体"/>
          <w:b/>
          <w:color w:val="auto"/>
          <w:szCs w:val="21"/>
        </w:rPr>
        <w:fldChar w:fldCharType="begin"/>
      </w:r>
      <w:r>
        <w:rPr>
          <w:rFonts w:hint="eastAsia" w:ascii="宋体" w:hAnsi="宋体" w:cs="宋体"/>
          <w:b/>
          <w:color w:val="auto"/>
          <w:szCs w:val="21"/>
        </w:rPr>
        <w:instrText xml:space="preserve"> HYPERLINK "" </w:instrText>
      </w:r>
      <w:r>
        <w:rPr>
          <w:rFonts w:hint="eastAsia" w:ascii="宋体" w:hAnsi="宋体" w:cs="宋体"/>
          <w:b/>
          <w:color w:val="auto"/>
          <w:szCs w:val="21"/>
        </w:rPr>
        <w:fldChar w:fldCharType="separate"/>
      </w:r>
      <w:r>
        <w:rPr>
          <w:rFonts w:hint="eastAsia" w:ascii="宋体" w:hAnsi="宋体" w:cs="宋体"/>
          <w:b/>
          <w:color w:val="auto"/>
          <w:szCs w:val="21"/>
        </w:rPr>
        <w:fldChar w:fldCharType="end"/>
      </w:r>
      <w:r>
        <w:rPr>
          <w:rFonts w:hint="eastAsia" w:ascii="宋体" w:hAnsi="宋体" w:cs="宋体"/>
          <w:b/>
          <w:color w:val="auto"/>
          <w:szCs w:val="21"/>
          <w:lang w:eastAsia="zh-CN"/>
        </w:rPr>
        <w:t>广西政府采购云平台</w:t>
      </w:r>
      <w:r>
        <w:rPr>
          <w:rFonts w:hint="eastAsia" w:ascii="宋体" w:hAnsi="宋体" w:cs="宋体"/>
          <w:b/>
          <w:color w:val="auto"/>
          <w:szCs w:val="21"/>
        </w:rPr>
        <w:t>电子开标大厅签到并在发起解密指令之时起30分钟内完成对电子响应文件在线解密。</w:t>
      </w:r>
      <w:r>
        <w:rPr>
          <w:rFonts w:hint="eastAsia" w:ascii="宋体" w:hAnsi="宋体"/>
          <w:b/>
          <w:bCs/>
          <w:color w:val="auto"/>
          <w:szCs w:val="21"/>
        </w:rPr>
        <w:t>响应文件未按时解密的，视为响应文件无效。</w:t>
      </w:r>
      <w:r>
        <w:rPr>
          <w:rFonts w:hint="eastAsia" w:ascii="宋体" w:hAnsi="宋体" w:cs="宋体"/>
          <w:color w:val="auto"/>
          <w:szCs w:val="21"/>
        </w:rPr>
        <w:t>（解密异常情况处理：详见本章26.2电子交易活动的中止。）</w:t>
      </w:r>
    </w:p>
    <w:p w14:paraId="1AE0248A">
      <w:pPr>
        <w:spacing w:line="360" w:lineRule="auto"/>
        <w:ind w:firstLine="420" w:firstLineChars="200"/>
        <w:rPr>
          <w:rFonts w:ascii="宋体" w:hAnsi="宋体" w:cs="宋体"/>
          <w:color w:val="auto"/>
          <w:szCs w:val="21"/>
        </w:rPr>
      </w:pPr>
      <w:r>
        <w:rPr>
          <w:rFonts w:hint="eastAsia" w:ascii="宋体" w:hAnsi="宋体" w:cs="宋体"/>
          <w:color w:val="auto"/>
          <w:szCs w:val="21"/>
        </w:rPr>
        <w:t>25.3成功解密响应文件的供应商不足3家的，不得谈判。</w:t>
      </w:r>
    </w:p>
    <w:p w14:paraId="4BF7C95C">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26</w:t>
      </w:r>
      <w:r>
        <w:rPr>
          <w:rFonts w:hint="eastAsia" w:ascii="黑体" w:hAnsi="黑体" w:eastAsia="黑体" w:cs="宋体"/>
          <w:b/>
          <w:bCs/>
          <w:color w:val="auto"/>
          <w:sz w:val="24"/>
        </w:rPr>
        <w:t>. 评审程序和评定成交的标准</w:t>
      </w:r>
    </w:p>
    <w:p w14:paraId="725152BD">
      <w:pPr>
        <w:spacing w:line="360" w:lineRule="auto"/>
        <w:ind w:firstLine="420" w:firstLineChars="200"/>
        <w:rPr>
          <w:rFonts w:ascii="宋体" w:hAnsi="宋体" w:cs="宋体"/>
          <w:color w:val="auto"/>
          <w:szCs w:val="21"/>
        </w:rPr>
      </w:pPr>
      <w:r>
        <w:rPr>
          <w:rFonts w:ascii="宋体" w:hAnsi="宋体" w:cs="宋体"/>
          <w:color w:val="auto"/>
          <w:szCs w:val="21"/>
        </w:rPr>
        <w:t>26.</w:t>
      </w:r>
      <w:r>
        <w:rPr>
          <w:rFonts w:hint="eastAsia" w:ascii="宋体" w:hAnsi="宋体" w:cs="宋体"/>
          <w:color w:val="auto"/>
          <w:szCs w:val="21"/>
        </w:rPr>
        <w:t>1谈判小组按照“第四章  评审程序和评定成交的标准”规定的评审程序对响应文件进行评审，并按照评定成交的标准推荐成交候选供应商。</w:t>
      </w:r>
    </w:p>
    <w:p w14:paraId="5DCAD3A0">
      <w:pPr>
        <w:spacing w:line="360" w:lineRule="auto"/>
        <w:ind w:firstLine="420" w:firstLineChars="200"/>
        <w:rPr>
          <w:rFonts w:ascii="宋体" w:hAnsi="宋体" w:cs="宋体"/>
          <w:color w:val="auto"/>
          <w:szCs w:val="21"/>
        </w:rPr>
      </w:pPr>
      <w:r>
        <w:rPr>
          <w:rFonts w:hint="eastAsia" w:ascii="宋体" w:hAnsi="宋体" w:cs="宋体"/>
          <w:color w:val="auto"/>
          <w:szCs w:val="21"/>
        </w:rPr>
        <w:t>26.2电子交易活动的中止。采购过程中出现以下情形，导致电子交易平台无法正常运行，或者无法保证电子交易的公平、公正和安全时，采购机构可中止电子交易活动：</w:t>
      </w:r>
    </w:p>
    <w:p w14:paraId="334D4A04">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（1）电子交易平台发生故障而无法登录访问的； </w:t>
      </w:r>
    </w:p>
    <w:p w14:paraId="227FB3CE">
      <w:pPr>
        <w:spacing w:line="360" w:lineRule="auto"/>
        <w:ind w:firstLine="420" w:firstLineChars="200"/>
        <w:rPr>
          <w:rFonts w:ascii="宋体" w:hAnsi="宋体" w:cs="宋体"/>
          <w:color w:val="auto"/>
          <w:szCs w:val="21"/>
        </w:rPr>
      </w:pPr>
      <w:r>
        <w:rPr>
          <w:rFonts w:hint="eastAsia" w:ascii="宋体" w:hAnsi="宋体" w:cs="宋体"/>
          <w:color w:val="auto"/>
          <w:szCs w:val="21"/>
        </w:rPr>
        <w:t>（2）电子交易平台应用或数据库出现错误，不能进行正常操作的；</w:t>
      </w:r>
    </w:p>
    <w:p w14:paraId="54C16B9E">
      <w:pPr>
        <w:spacing w:line="360" w:lineRule="auto"/>
        <w:ind w:firstLine="420" w:firstLineChars="200"/>
        <w:rPr>
          <w:rFonts w:ascii="宋体" w:hAnsi="宋体" w:cs="宋体"/>
          <w:color w:val="auto"/>
          <w:szCs w:val="21"/>
        </w:rPr>
      </w:pPr>
      <w:r>
        <w:rPr>
          <w:rFonts w:hint="eastAsia" w:ascii="宋体" w:hAnsi="宋体" w:cs="宋体"/>
          <w:color w:val="auto"/>
          <w:szCs w:val="21"/>
        </w:rPr>
        <w:t>（3）电子交易平台发现严重安全漏洞，有潜在泄密危险的；</w:t>
      </w:r>
    </w:p>
    <w:p w14:paraId="7D0DFA3F">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（4）病毒发作导致不能进行正常操作的； </w:t>
      </w:r>
    </w:p>
    <w:p w14:paraId="2055EDA8">
      <w:pPr>
        <w:spacing w:line="360" w:lineRule="auto"/>
        <w:ind w:firstLine="420" w:firstLineChars="200"/>
        <w:rPr>
          <w:rFonts w:ascii="宋体" w:hAnsi="宋体" w:cs="宋体"/>
          <w:color w:val="auto"/>
          <w:szCs w:val="21"/>
        </w:rPr>
      </w:pPr>
      <w:r>
        <w:rPr>
          <w:rFonts w:hint="eastAsia" w:ascii="宋体" w:hAnsi="宋体" w:cs="宋体"/>
          <w:color w:val="auto"/>
          <w:szCs w:val="21"/>
        </w:rPr>
        <w:t>（4）其他无法保证电子交易的公平、公正和安全的情况。</w:t>
      </w:r>
    </w:p>
    <w:p w14:paraId="1DB42627">
      <w:pPr>
        <w:spacing w:line="360" w:lineRule="auto"/>
        <w:ind w:firstLine="420" w:firstLineChars="200"/>
        <w:rPr>
          <w:rFonts w:ascii="宋体" w:hAnsi="宋体" w:cs="宋体"/>
          <w:color w:val="auto"/>
          <w:szCs w:val="21"/>
        </w:rPr>
      </w:pPr>
      <w:r>
        <w:rPr>
          <w:rFonts w:hint="eastAsia" w:ascii="宋体" w:hAnsi="宋体" w:cs="宋体"/>
          <w:color w:val="auto"/>
          <w:szCs w:val="21"/>
        </w:rPr>
        <w:t>26.3出现以上情形，不影响采购公平、公正性的，采购代理机构可以待上述情形消除后继续组织电子交易活动；影响或可能影响采购公平、公正性的，经采购代理机构确认后，应当重新采购。</w:t>
      </w:r>
    </w:p>
    <w:p w14:paraId="0D3EAC6E">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27</w:t>
      </w:r>
      <w:r>
        <w:rPr>
          <w:rFonts w:hint="eastAsia" w:ascii="黑体" w:hAnsi="黑体" w:eastAsia="黑体" w:cs="宋体"/>
          <w:b/>
          <w:bCs/>
          <w:color w:val="auto"/>
          <w:sz w:val="24"/>
        </w:rPr>
        <w:t>.确定成交供应商及结果公告</w:t>
      </w:r>
    </w:p>
    <w:p w14:paraId="3B51FAD2">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s="宋体"/>
          <w:color w:val="auto"/>
          <w:szCs w:val="21"/>
        </w:rPr>
        <w:t>.1 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5EDDF20E">
      <w:pPr>
        <w:pStyle w:val="10"/>
        <w:spacing w:line="360" w:lineRule="auto"/>
        <w:ind w:firstLine="420" w:firstLineChars="200"/>
        <w:jc w:val="both"/>
        <w:rPr>
          <w:rFonts w:ascii="宋体" w:hAnsi="宋体" w:cs="宋体"/>
          <w:color w:val="auto"/>
          <w:kern w:val="0"/>
          <w:szCs w:val="21"/>
        </w:rPr>
      </w:pPr>
      <w:r>
        <w:rPr>
          <w:rFonts w:ascii="宋体" w:hAnsi="宋体" w:cs="宋体"/>
          <w:color w:val="auto"/>
          <w:kern w:val="0"/>
          <w:szCs w:val="21"/>
        </w:rPr>
        <w:t>27</w:t>
      </w:r>
      <w:r>
        <w:rPr>
          <w:rFonts w:hint="eastAsia" w:ascii="宋体" w:hAnsi="宋体" w:cs="宋体"/>
          <w:color w:val="auto"/>
          <w:kern w:val="0"/>
          <w:szCs w:val="21"/>
        </w:rPr>
        <w:t>.2采购代理机构应当在成交供应商确定后2个工作日内，在省级以上财政部门指定的媒体上公告成交结果，同时向成交供应商发出成交通知书。</w:t>
      </w:r>
      <w:r>
        <w:rPr>
          <w:rFonts w:hint="eastAsia" w:ascii="宋体" w:hAnsi="宋体" w:cs="宋体"/>
          <w:b/>
          <w:color w:val="auto"/>
          <w:kern w:val="0"/>
          <w:szCs w:val="21"/>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kern w:val="0"/>
          <w:szCs w:val="21"/>
        </w:rPr>
        <w:t>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auto"/>
          <w:szCs w:val="21"/>
        </w:rPr>
        <w:t>成交供应商享受《政府采购促进中小企业发展管理办法》（财库〔2020〕46号）规定的中小企业扶持政策的，采购人、采购代理机构应当随成交结果公开成交供应商的《中小企业声明函》。</w:t>
      </w:r>
    </w:p>
    <w:p w14:paraId="5DE79ACA">
      <w:pPr>
        <w:pStyle w:val="10"/>
        <w:spacing w:line="360" w:lineRule="auto"/>
        <w:ind w:firstLine="420" w:firstLineChars="200"/>
        <w:jc w:val="both"/>
        <w:rPr>
          <w:rFonts w:ascii="宋体" w:hAnsi="宋体" w:cs="Courier New"/>
          <w:color w:val="auto"/>
          <w:szCs w:val="21"/>
        </w:rPr>
      </w:pPr>
      <w:r>
        <w:rPr>
          <w:rFonts w:hint="eastAsia" w:ascii="宋体" w:hAnsi="宋体" w:cs="Courier New"/>
          <w:color w:val="auto"/>
          <w:szCs w:val="21"/>
        </w:rPr>
        <w:t>27.3出现下列情形之一的，采购人或者采购代理机构应当终止竞争性谈判采购活动，发布项目终止公告并说明原因，重新开展采购活动：</w:t>
      </w:r>
      <w:r>
        <w:rPr>
          <w:rFonts w:hint="eastAsia" w:ascii="宋体" w:hAnsi="宋体" w:cs="Courier New"/>
          <w:color w:val="auto"/>
          <w:szCs w:val="21"/>
        </w:rPr>
        <w:br w:type="textWrapping"/>
      </w:r>
      <w:r>
        <w:rPr>
          <w:rFonts w:hint="eastAsia" w:ascii="宋体" w:hAnsi="宋体" w:cs="Courier New"/>
          <w:color w:val="auto"/>
          <w:szCs w:val="21"/>
        </w:rPr>
        <w:t>　　（一）因情况变化，不再符合规定的竞争性谈判采购方式适用情形的；</w:t>
      </w:r>
      <w:r>
        <w:rPr>
          <w:rFonts w:hint="eastAsia" w:ascii="宋体" w:hAnsi="宋体" w:cs="Courier New"/>
          <w:color w:val="auto"/>
          <w:szCs w:val="21"/>
        </w:rPr>
        <w:br w:type="textWrapping"/>
      </w:r>
      <w:r>
        <w:rPr>
          <w:rFonts w:hint="eastAsia" w:ascii="宋体" w:hAnsi="宋体" w:cs="Courier New"/>
          <w:color w:val="auto"/>
          <w:szCs w:val="21"/>
        </w:rPr>
        <w:t>　　（二）出现影响采购公正的违法、违规行为的；</w:t>
      </w:r>
      <w:r>
        <w:rPr>
          <w:rFonts w:hint="eastAsia" w:ascii="宋体" w:hAnsi="宋体" w:cs="Courier New"/>
          <w:color w:val="auto"/>
          <w:szCs w:val="21"/>
        </w:rPr>
        <w:br w:type="textWrapping"/>
      </w:r>
      <w:r>
        <w:rPr>
          <w:rFonts w:hint="eastAsia" w:ascii="宋体" w:hAnsi="宋体" w:cs="Courier New"/>
          <w:color w:val="auto"/>
          <w:szCs w:val="21"/>
        </w:rPr>
        <w:t>　　（三）在采购过程中符合竞争要求的供应商或者报价未超过采购预算的供应商不足3家的，但</w:t>
      </w:r>
      <w:r>
        <w:rPr>
          <w:rFonts w:hint="eastAsia" w:ascii="宋体" w:hAnsi="宋体" w:cs="宋体"/>
          <w:color w:val="auto"/>
          <w:szCs w:val="21"/>
        </w:rPr>
        <w:t>“第四章 评审程序和评定成交的标准”第</w:t>
      </w:r>
      <w:r>
        <w:rPr>
          <w:rFonts w:ascii="宋体" w:hAnsi="宋体" w:cs="宋体"/>
          <w:color w:val="auto"/>
          <w:szCs w:val="21"/>
        </w:rPr>
        <w:t>3</w:t>
      </w:r>
      <w:r>
        <w:rPr>
          <w:rFonts w:hint="eastAsia" w:ascii="宋体" w:hAnsi="宋体" w:cs="宋体"/>
          <w:color w:val="auto"/>
          <w:szCs w:val="21"/>
        </w:rPr>
        <w:t>.7条规定的情形除外</w:t>
      </w:r>
      <w:r>
        <w:rPr>
          <w:rFonts w:hint="eastAsia" w:ascii="宋体" w:hAnsi="宋体" w:cs="Courier New"/>
          <w:color w:val="auto"/>
          <w:szCs w:val="21"/>
        </w:rPr>
        <w:t>。</w:t>
      </w:r>
    </w:p>
    <w:p w14:paraId="4BC13E90">
      <w:pPr>
        <w:pStyle w:val="10"/>
        <w:spacing w:line="360" w:lineRule="auto"/>
        <w:ind w:firstLine="420" w:firstLineChars="200"/>
        <w:rPr>
          <w:rFonts w:ascii="宋体" w:hAnsi="宋体" w:cs="Courier New"/>
          <w:color w:val="auto"/>
          <w:szCs w:val="21"/>
        </w:rPr>
      </w:pPr>
      <w:r>
        <w:rPr>
          <w:rFonts w:hint="eastAsia" w:ascii="宋体" w:hAnsi="宋体" w:cs="Courier New"/>
          <w:color w:val="auto"/>
          <w:szCs w:val="21"/>
        </w:rPr>
        <w:t>27.4在采购活动中因重大变故，采购任务取消的，采购人或者采购代理机构应当终止采购活动，通知所有参加采购活动的供应商。</w:t>
      </w:r>
    </w:p>
    <w:p w14:paraId="76109064">
      <w:pPr>
        <w:pStyle w:val="10"/>
        <w:spacing w:line="360" w:lineRule="auto"/>
        <w:ind w:firstLine="420" w:firstLineChars="200"/>
        <w:rPr>
          <w:rFonts w:ascii="宋体" w:hAnsi="宋体" w:cs="Courier New"/>
          <w:color w:val="auto"/>
          <w:szCs w:val="21"/>
        </w:rPr>
      </w:pPr>
      <w:r>
        <w:rPr>
          <w:rFonts w:hint="eastAsia" w:ascii="宋体" w:hAnsi="宋体"/>
          <w:bCs/>
          <w:color w:val="auto"/>
          <w:szCs w:val="21"/>
        </w:rPr>
        <w:t>2</w:t>
      </w:r>
      <w:r>
        <w:rPr>
          <w:rFonts w:ascii="宋体" w:hAnsi="宋体"/>
          <w:bCs/>
          <w:color w:val="auto"/>
          <w:szCs w:val="21"/>
        </w:rPr>
        <w:t>7.</w:t>
      </w:r>
      <w:r>
        <w:rPr>
          <w:rFonts w:hint="eastAsia" w:ascii="宋体" w:hAnsi="宋体"/>
          <w:bCs/>
          <w:color w:val="auto"/>
          <w:szCs w:val="21"/>
        </w:rPr>
        <w:t>5</w:t>
      </w:r>
      <w:r>
        <w:rPr>
          <w:rFonts w:hint="eastAsia" w:ascii="宋体" w:hAnsi="宋体" w:cs="Courier New"/>
          <w:color w:val="auto"/>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r>
        <w:rPr>
          <w:rFonts w:ascii="宋体" w:hAnsi="宋体" w:cs="Courier New"/>
          <w:color w:val="auto"/>
          <w:szCs w:val="21"/>
        </w:rPr>
        <w:t>拒绝签订政府采购合同的成交供应商不得参加对该项目重新开展的采购活动。</w:t>
      </w:r>
    </w:p>
    <w:p w14:paraId="7EA135EE">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28</w:t>
      </w:r>
      <w:r>
        <w:rPr>
          <w:rFonts w:hint="eastAsia" w:ascii="黑体" w:hAnsi="黑体" w:eastAsia="黑体" w:cs="宋体"/>
          <w:b/>
          <w:bCs/>
          <w:color w:val="auto"/>
          <w:sz w:val="24"/>
        </w:rPr>
        <w:t>.履约保证金</w:t>
      </w:r>
    </w:p>
    <w:p w14:paraId="2892B289">
      <w:pPr>
        <w:pStyle w:val="10"/>
        <w:spacing w:line="360" w:lineRule="auto"/>
        <w:ind w:firstLine="420" w:firstLineChars="200"/>
        <w:rPr>
          <w:color w:val="auto"/>
        </w:rPr>
      </w:pPr>
      <w:r>
        <w:rPr>
          <w:rFonts w:ascii="宋体" w:hAnsi="宋体" w:cs="宋体"/>
          <w:color w:val="auto"/>
          <w:szCs w:val="21"/>
        </w:rPr>
        <w:t>28</w:t>
      </w:r>
      <w:r>
        <w:rPr>
          <w:rFonts w:hint="eastAsia" w:ascii="宋体" w:hAnsi="宋体" w:cs="宋体"/>
          <w:color w:val="auto"/>
          <w:szCs w:val="21"/>
        </w:rPr>
        <w:t>.1履约保证金的金额、提交方式、退付的时间和条件详见 “供应商须知前附表”。成交供应商未按规定提交履约保证金的，视为拒绝</w:t>
      </w:r>
      <w:r>
        <w:rPr>
          <w:color w:val="auto"/>
        </w:rPr>
        <w:t>与采购人</w:t>
      </w:r>
      <w:r>
        <w:rPr>
          <w:rFonts w:hint="eastAsia" w:ascii="宋体" w:hAnsi="宋体" w:cs="宋体"/>
          <w:color w:val="auto"/>
          <w:szCs w:val="21"/>
        </w:rPr>
        <w:t>签订合同。</w:t>
      </w:r>
    </w:p>
    <w:p w14:paraId="395632EF">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.2在履约保证金退还日期前，若成交供应商的开户名称、开户银行、帐号有变动的，请以书面形式通知履约保证金收取单位，否则由此产生的后果由成交供应商自负。</w:t>
      </w:r>
    </w:p>
    <w:p w14:paraId="2D753C88">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29</w:t>
      </w:r>
      <w:r>
        <w:rPr>
          <w:rFonts w:hint="eastAsia" w:ascii="黑体" w:hAnsi="黑体" w:eastAsia="黑体" w:cs="宋体"/>
          <w:b/>
          <w:bCs/>
          <w:color w:val="auto"/>
          <w:sz w:val="24"/>
        </w:rPr>
        <w:t>.签订合同</w:t>
      </w:r>
    </w:p>
    <w:p w14:paraId="6C014590">
      <w:pPr>
        <w:spacing w:line="360" w:lineRule="auto"/>
        <w:ind w:firstLine="424" w:firstLineChars="202"/>
        <w:rPr>
          <w:rFonts w:ascii="宋体" w:hAnsi="宋体" w:cs="宋体"/>
          <w:color w:val="auto"/>
          <w:szCs w:val="21"/>
        </w:rPr>
      </w:pPr>
      <w:r>
        <w:rPr>
          <w:rFonts w:ascii="宋体" w:hAnsi="宋体" w:cs="宋体"/>
          <w:color w:val="auto"/>
          <w:szCs w:val="21"/>
        </w:rPr>
        <w:t>29</w:t>
      </w:r>
      <w:r>
        <w:rPr>
          <w:rFonts w:hint="eastAsia" w:ascii="宋体" w:hAnsi="宋体" w:cs="宋体"/>
          <w:color w:val="auto"/>
          <w:szCs w:val="21"/>
        </w:rPr>
        <w:t>.1成交供应商在收到成交通知书</w:t>
      </w:r>
      <w:r>
        <w:rPr>
          <w:rFonts w:hint="eastAsia" w:ascii="宋体" w:hAnsi="宋体"/>
          <w:color w:val="auto"/>
          <w:szCs w:val="21"/>
        </w:rPr>
        <w:t>（书面或电子）</w:t>
      </w:r>
      <w:r>
        <w:rPr>
          <w:rFonts w:hint="eastAsia" w:ascii="宋体" w:hAnsi="宋体" w:cs="宋体"/>
          <w:color w:val="auto"/>
          <w:szCs w:val="21"/>
        </w:rPr>
        <w:t>后，按“供应商须知前附表”规定向采购人出示相关证明材料，经采购人核验合格后方可签订合同</w:t>
      </w:r>
      <w:r>
        <w:rPr>
          <w:rFonts w:hint="eastAsia" w:ascii="宋体" w:hAnsi="宋体"/>
          <w:color w:val="auto"/>
          <w:szCs w:val="21"/>
        </w:rPr>
        <w:t>（书面或电子）</w:t>
      </w:r>
      <w:r>
        <w:rPr>
          <w:rFonts w:hint="eastAsia" w:ascii="宋体" w:hAnsi="宋体" w:cs="宋体"/>
          <w:color w:val="auto"/>
          <w:szCs w:val="21"/>
        </w:rPr>
        <w:t>。</w:t>
      </w:r>
      <w:r>
        <w:rPr>
          <w:rFonts w:hint="eastAsia" w:ascii="宋体" w:hAnsi="宋体"/>
          <w:color w:val="auto"/>
          <w:szCs w:val="21"/>
        </w:rPr>
        <w:t>如成交供应商为联合体的，</w:t>
      </w:r>
      <w:r>
        <w:rPr>
          <w:rFonts w:ascii="宋体" w:hAnsi="宋体"/>
          <w:color w:val="auto"/>
          <w:szCs w:val="21"/>
        </w:rPr>
        <w:t>联合体各方应当共同与采购人签订采购合同，就采购合同约定的事项对采购人承担连带责任。</w:t>
      </w:r>
    </w:p>
    <w:p w14:paraId="553AFA45">
      <w:pPr>
        <w:spacing w:line="360" w:lineRule="auto"/>
        <w:ind w:firstLine="424" w:firstLineChars="202"/>
        <w:rPr>
          <w:rFonts w:ascii="宋体" w:hAnsi="宋体" w:cs="宋体"/>
          <w:color w:val="auto"/>
          <w:szCs w:val="21"/>
        </w:rPr>
      </w:pPr>
      <w:r>
        <w:rPr>
          <w:rFonts w:ascii="宋体" w:hAnsi="宋体" w:cs="宋体"/>
          <w:color w:val="auto"/>
          <w:szCs w:val="21"/>
        </w:rPr>
        <w:t>29</w:t>
      </w:r>
      <w:r>
        <w:rPr>
          <w:rFonts w:hint="eastAsia" w:ascii="宋体" w:hAnsi="宋体" w:cs="宋体"/>
          <w:color w:val="auto"/>
          <w:szCs w:val="21"/>
        </w:rPr>
        <w:t>.2 签订合同时间：按成交通知书的规定与采购人签订政府采购合同</w:t>
      </w:r>
      <w:r>
        <w:rPr>
          <w:rFonts w:hint="eastAsia" w:ascii="宋体" w:hAnsi="宋体"/>
          <w:color w:val="auto"/>
          <w:szCs w:val="21"/>
        </w:rPr>
        <w:t>（最长不能超过25日）</w:t>
      </w:r>
      <w:r>
        <w:rPr>
          <w:rFonts w:hint="eastAsia" w:ascii="宋体" w:hAnsi="宋体" w:cs="宋体"/>
          <w:color w:val="auto"/>
          <w:szCs w:val="21"/>
        </w:rPr>
        <w:t>。</w:t>
      </w:r>
    </w:p>
    <w:p w14:paraId="3E584B50">
      <w:pPr>
        <w:spacing w:line="360" w:lineRule="auto"/>
        <w:ind w:firstLine="424" w:firstLineChars="202"/>
        <w:rPr>
          <w:rFonts w:ascii="宋体" w:hAnsi="宋体" w:cs="宋体"/>
          <w:color w:val="auto"/>
          <w:szCs w:val="21"/>
        </w:rPr>
      </w:pPr>
      <w:r>
        <w:rPr>
          <w:rFonts w:ascii="宋体" w:hAnsi="宋体" w:cs="宋体"/>
          <w:color w:val="auto"/>
          <w:szCs w:val="21"/>
        </w:rPr>
        <w:t>29</w:t>
      </w:r>
      <w:r>
        <w:rPr>
          <w:rFonts w:hint="eastAsia" w:ascii="宋体" w:hAnsi="宋体" w:cs="宋体"/>
          <w:color w:val="auto"/>
          <w:szCs w:val="21"/>
        </w:rPr>
        <w:t>.3</w:t>
      </w:r>
      <w:r>
        <w:rPr>
          <w:rFonts w:hint="eastAsia" w:ascii="宋体" w:hAnsi="宋体"/>
          <w:color w:val="auto"/>
          <w:szCs w:val="21"/>
        </w:rPr>
        <w:t>成交供应商拒绝与采购人签订合同的，按照本须知正文第</w:t>
      </w:r>
      <w:r>
        <w:rPr>
          <w:rFonts w:ascii="宋体" w:hAnsi="宋体"/>
          <w:color w:val="auto"/>
          <w:szCs w:val="21"/>
        </w:rPr>
        <w:t>27.</w:t>
      </w:r>
      <w:r>
        <w:rPr>
          <w:rFonts w:hint="eastAsia" w:ascii="宋体" w:hAnsi="宋体"/>
          <w:color w:val="auto"/>
          <w:szCs w:val="21"/>
        </w:rPr>
        <w:t>5</w:t>
      </w:r>
      <w:r>
        <w:rPr>
          <w:rFonts w:ascii="宋体" w:hAnsi="宋体"/>
          <w:color w:val="auto"/>
          <w:szCs w:val="21"/>
        </w:rPr>
        <w:t>条的规定</w:t>
      </w:r>
      <w:r>
        <w:rPr>
          <w:rFonts w:hint="eastAsia" w:ascii="宋体" w:hAnsi="宋体"/>
          <w:color w:val="auto"/>
          <w:szCs w:val="21"/>
        </w:rPr>
        <w:t>执行</w:t>
      </w:r>
      <w:r>
        <w:rPr>
          <w:rFonts w:hint="eastAsia" w:ascii="宋体" w:hAnsi="宋体" w:cs="宋体"/>
          <w:color w:val="auto"/>
          <w:szCs w:val="21"/>
        </w:rPr>
        <w:t>。</w:t>
      </w:r>
    </w:p>
    <w:p w14:paraId="3067256A">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30</w:t>
      </w:r>
      <w:r>
        <w:rPr>
          <w:rFonts w:hint="eastAsia" w:ascii="黑体" w:hAnsi="黑体" w:eastAsia="黑体" w:cs="宋体"/>
          <w:b/>
          <w:bCs/>
          <w:color w:val="auto"/>
          <w:sz w:val="24"/>
        </w:rPr>
        <w:t>.政府采购合同公告</w:t>
      </w:r>
    </w:p>
    <w:p w14:paraId="30485C69">
      <w:pPr>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3E0D0B8">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31</w:t>
      </w:r>
      <w:r>
        <w:rPr>
          <w:rFonts w:hint="eastAsia" w:ascii="黑体" w:hAnsi="黑体" w:eastAsia="黑体" w:cs="宋体"/>
          <w:b/>
          <w:bCs/>
          <w:color w:val="auto"/>
          <w:sz w:val="24"/>
        </w:rPr>
        <w:t>. 询问、质疑和投诉</w:t>
      </w:r>
    </w:p>
    <w:p w14:paraId="36D41A7A">
      <w:pPr>
        <w:pStyle w:val="6"/>
        <w:spacing w:after="120" w:line="360" w:lineRule="auto"/>
        <w:rPr>
          <w:rFonts w:ascii="宋体" w:hAnsi="宋体"/>
          <w:color w:val="auto"/>
          <w:szCs w:val="21"/>
        </w:rPr>
      </w:pPr>
      <w:r>
        <w:rPr>
          <w:rFonts w:ascii="宋体" w:hAnsi="宋体" w:cs="宋体"/>
          <w:color w:val="auto"/>
        </w:rPr>
        <w:t>31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rPr>
        <w:t>但答复的内容不得涉及商业秘密。</w:t>
      </w:r>
    </w:p>
    <w:p w14:paraId="39321A06">
      <w:pPr>
        <w:spacing w:line="360" w:lineRule="auto"/>
        <w:ind w:firstLine="420" w:firstLineChars="200"/>
        <w:rPr>
          <w:rFonts w:ascii="宋体" w:hAnsi="宋体" w:cs="宋体"/>
          <w:color w:val="auto"/>
        </w:rPr>
      </w:pPr>
      <w:r>
        <w:rPr>
          <w:rFonts w:ascii="宋体" w:hAnsi="宋体" w:cs="宋体"/>
          <w:color w:val="auto"/>
        </w:rPr>
        <w:t>31</w:t>
      </w:r>
      <w:r>
        <w:rPr>
          <w:rFonts w:hint="eastAsia" w:ascii="宋体" w:hAnsi="宋体" w:cs="宋体"/>
          <w:color w:val="auto"/>
        </w:rPr>
        <w:t>.2供应商认为谈判文件、采购过程或者成交结果使自己的合法权益受到损害的，应当在知道或者应知其权益受到损害之日起7个工作日内，以纸质书面形式向采购人、采购代理机构提出质疑，</w:t>
      </w:r>
      <w:r>
        <w:rPr>
          <w:rFonts w:ascii="Arial" w:hAnsi="Arial" w:cs="Arial"/>
          <w:color w:val="auto"/>
          <w:shd w:val="clear" w:color="auto" w:fill="FFFFFF"/>
        </w:rPr>
        <w:t>接收质疑函的方式、联系部门、联系电话和通讯地址等信息</w:t>
      </w:r>
      <w:r>
        <w:rPr>
          <w:rFonts w:hint="eastAsia" w:ascii="宋体" w:hAnsi="宋体" w:cs="宋体"/>
          <w:color w:val="auto"/>
          <w:szCs w:val="21"/>
        </w:rPr>
        <w:t>详见“供应商须知前附表”</w:t>
      </w:r>
      <w:r>
        <w:rPr>
          <w:rFonts w:hint="eastAsia" w:ascii="宋体" w:hAnsi="宋体" w:cs="宋体"/>
          <w:color w:val="auto"/>
        </w:rPr>
        <w:t>。具体质疑起算时间如下：</w:t>
      </w:r>
    </w:p>
    <w:p w14:paraId="2DACC244">
      <w:pPr>
        <w:spacing w:line="360" w:lineRule="auto"/>
        <w:ind w:firstLine="420" w:firstLineChars="200"/>
        <w:rPr>
          <w:rFonts w:ascii="宋体" w:hAnsi="宋体" w:cs="宋体"/>
          <w:color w:val="auto"/>
        </w:rPr>
      </w:pPr>
      <w:r>
        <w:rPr>
          <w:rFonts w:hint="eastAsia" w:ascii="宋体" w:hAnsi="宋体" w:cs="宋体"/>
          <w:color w:val="auto"/>
        </w:rPr>
        <w:t>（1）对可以质疑的谈判文件提出质疑的，为获取谈判文件之日；</w:t>
      </w:r>
    </w:p>
    <w:p w14:paraId="6491A229">
      <w:pPr>
        <w:spacing w:line="360" w:lineRule="auto"/>
        <w:ind w:firstLine="420" w:firstLineChars="200"/>
        <w:rPr>
          <w:rFonts w:ascii="宋体" w:hAnsi="宋体" w:cs="宋体"/>
          <w:color w:val="auto"/>
        </w:rPr>
      </w:pPr>
      <w:r>
        <w:rPr>
          <w:rFonts w:hint="eastAsia" w:ascii="宋体" w:hAnsi="宋体" w:cs="宋体"/>
          <w:color w:val="auto"/>
        </w:rPr>
        <w:t>（2）对采购过程提出质疑的，为各采购程序环节结束之日；</w:t>
      </w:r>
    </w:p>
    <w:p w14:paraId="2D6FFFA4">
      <w:pPr>
        <w:spacing w:line="360" w:lineRule="auto"/>
        <w:ind w:firstLine="420" w:firstLineChars="200"/>
        <w:rPr>
          <w:rFonts w:ascii="宋体" w:hAnsi="宋体" w:cs="宋体"/>
          <w:color w:val="auto"/>
        </w:rPr>
      </w:pPr>
      <w:r>
        <w:rPr>
          <w:rFonts w:hint="eastAsia" w:ascii="宋体" w:hAnsi="宋体" w:cs="宋体"/>
          <w:color w:val="auto"/>
        </w:rPr>
        <w:t>（3）对成交结果提出质疑的，为成交结果公告期限届满之日。</w:t>
      </w:r>
    </w:p>
    <w:p w14:paraId="104679B4">
      <w:pPr>
        <w:spacing w:line="360" w:lineRule="auto"/>
        <w:ind w:firstLine="420" w:firstLineChars="200"/>
        <w:rPr>
          <w:rFonts w:ascii="宋体" w:hAnsi="宋体" w:cs="宋体"/>
          <w:color w:val="auto"/>
        </w:rPr>
      </w:pPr>
      <w:r>
        <w:rPr>
          <w:rFonts w:ascii="宋体" w:hAnsi="宋体" w:cs="宋体"/>
          <w:color w:val="auto"/>
        </w:rPr>
        <w:t>31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3A929ADE">
      <w:pPr>
        <w:spacing w:line="360" w:lineRule="auto"/>
        <w:ind w:firstLine="420" w:firstLineChars="200"/>
        <w:rPr>
          <w:rFonts w:ascii="宋体" w:hAnsi="宋体" w:cs="宋体"/>
          <w:color w:val="auto"/>
        </w:rPr>
      </w:pPr>
      <w:r>
        <w:rPr>
          <w:rFonts w:ascii="宋体" w:hAnsi="宋体" w:cs="宋体"/>
          <w:color w:val="auto"/>
        </w:rPr>
        <w:t>31</w:t>
      </w:r>
      <w:r>
        <w:rPr>
          <w:rFonts w:hint="eastAsia" w:ascii="宋体" w:hAnsi="宋体" w:cs="宋体"/>
          <w:color w:val="auto"/>
        </w:rPr>
        <w:t>.4供应商提出质疑应当提交质疑函和必要的证明材料，针对同一采购程序环节的质疑必须在法定质疑期内一次性提出。质疑函应当包括下列内容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14:paraId="00BC60FA">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14:paraId="28C3057B">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14:paraId="7FF471A1">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14:paraId="317547A5">
      <w:pPr>
        <w:spacing w:line="360" w:lineRule="auto"/>
        <w:ind w:firstLine="420" w:firstLineChars="200"/>
        <w:rPr>
          <w:rFonts w:ascii="宋体" w:hAnsi="宋体" w:cs="宋体"/>
          <w:color w:val="auto"/>
        </w:rPr>
      </w:pPr>
      <w:r>
        <w:rPr>
          <w:rFonts w:hint="eastAsia" w:ascii="宋体" w:hAnsi="宋体" w:cs="宋体"/>
          <w:color w:val="auto"/>
        </w:rPr>
        <w:t>（4）事实依据；</w:t>
      </w:r>
    </w:p>
    <w:p w14:paraId="558913AA">
      <w:pPr>
        <w:spacing w:line="360" w:lineRule="auto"/>
        <w:ind w:firstLine="420" w:firstLineChars="200"/>
        <w:rPr>
          <w:rFonts w:ascii="宋体" w:hAnsi="宋体" w:cs="宋体"/>
          <w:color w:val="auto"/>
        </w:rPr>
      </w:pPr>
      <w:r>
        <w:rPr>
          <w:rFonts w:hint="eastAsia" w:ascii="宋体" w:hAnsi="宋体" w:cs="宋体"/>
          <w:color w:val="auto"/>
        </w:rPr>
        <w:t>（5）必要的法律依据；</w:t>
      </w:r>
    </w:p>
    <w:p w14:paraId="5F9AE981">
      <w:pPr>
        <w:spacing w:line="360" w:lineRule="auto"/>
        <w:ind w:firstLine="420" w:firstLineChars="200"/>
        <w:rPr>
          <w:rFonts w:ascii="宋体" w:hAnsi="宋体" w:cs="宋体"/>
          <w:color w:val="auto"/>
        </w:rPr>
      </w:pPr>
      <w:r>
        <w:rPr>
          <w:rFonts w:hint="eastAsia" w:ascii="宋体" w:hAnsi="宋体" w:cs="宋体"/>
          <w:color w:val="auto"/>
        </w:rPr>
        <w:t>（6）提出质疑的日期。</w:t>
      </w:r>
    </w:p>
    <w:p w14:paraId="0CF18148">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40264F33">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14:paraId="1EA81300">
      <w:pPr>
        <w:spacing w:line="360" w:lineRule="auto"/>
        <w:ind w:firstLine="420" w:firstLineChars="200"/>
        <w:rPr>
          <w:rFonts w:ascii="宋体" w:hAnsi="宋体" w:cs="宋体"/>
          <w:color w:val="auto"/>
        </w:rPr>
      </w:pPr>
      <w:r>
        <w:rPr>
          <w:rFonts w:hint="eastAsia" w:ascii="宋体" w:hAnsi="宋体" w:cs="宋体"/>
          <w:color w:val="auto"/>
        </w:rPr>
        <w:t>（1）对采购文件提出的质疑，依法通过澄清或者修改可以继续开展采购活动的，澄清或者修改采购文件后继续开展采购活动；否则应当修改采购文件后重新开展采购活动。</w:t>
      </w:r>
    </w:p>
    <w:p w14:paraId="7EC59489">
      <w:pPr>
        <w:spacing w:line="360" w:lineRule="auto"/>
        <w:ind w:firstLine="420" w:firstLineChars="200"/>
        <w:rPr>
          <w:rFonts w:ascii="宋体" w:hAnsi="宋体" w:cs="宋体"/>
          <w:color w:val="auto"/>
        </w:rPr>
      </w:pPr>
      <w:r>
        <w:rPr>
          <w:rFonts w:hint="eastAsia" w:ascii="宋体" w:hAnsi="宋体" w:cs="宋体"/>
          <w:color w:val="auto"/>
        </w:rPr>
        <w:t>（2）对采购过程或者成交结果提出的质疑，合格供应商符合法定数量时，可以从合格的成交候选人中另行确定成交供应商的，应当依法另行确定成交供应商；否则应当重新开展采购活动。</w:t>
      </w:r>
    </w:p>
    <w:p w14:paraId="4370600D">
      <w:pPr>
        <w:spacing w:line="360" w:lineRule="auto"/>
        <w:ind w:firstLine="420" w:firstLineChars="200"/>
        <w:rPr>
          <w:rFonts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03B8FA15">
      <w:pPr>
        <w:spacing w:line="360" w:lineRule="auto"/>
        <w:ind w:firstLine="420" w:firstLineChars="200"/>
        <w:rPr>
          <w:rFonts w:ascii="宋体" w:hAnsi="宋体" w:cs="宋体"/>
          <w:b/>
          <w:bCs/>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6E53D51">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w:t>
      </w:r>
      <w:r>
        <w:rPr>
          <w:rFonts w:ascii="黑体" w:hAnsi="黑体" w:eastAsia="黑体" w:cs="宋体"/>
          <w:b/>
          <w:bCs/>
          <w:color w:val="auto"/>
          <w:sz w:val="24"/>
        </w:rPr>
        <w:t>2.</w:t>
      </w:r>
      <w:r>
        <w:rPr>
          <w:rFonts w:hint="eastAsia" w:ascii="黑体" w:hAnsi="黑体" w:eastAsia="黑体" w:cs="宋体"/>
          <w:b/>
          <w:bCs/>
          <w:color w:val="auto"/>
          <w:sz w:val="24"/>
        </w:rPr>
        <w:t>其他内容</w:t>
      </w:r>
    </w:p>
    <w:p w14:paraId="767B285F">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32</w:t>
      </w:r>
      <w:r>
        <w:rPr>
          <w:rFonts w:hint="eastAsia" w:ascii="宋体" w:hAnsi="宋体" w:cs="宋体"/>
          <w:color w:val="auto"/>
          <w:szCs w:val="21"/>
        </w:rPr>
        <w:t>.1代理服务费：代理服务收取标准及缴费账户详见“供应商须知前附表”，供应商为联合体的，可以由联合体中的一方或者多方共同交纳代理服务费。</w:t>
      </w:r>
    </w:p>
    <w:p w14:paraId="584684B2">
      <w:pPr>
        <w:spacing w:line="360" w:lineRule="auto"/>
        <w:ind w:firstLine="420" w:firstLineChars="200"/>
        <w:rPr>
          <w:rFonts w:ascii="宋体" w:hAnsi="宋体" w:cs="宋体"/>
          <w:color w:val="auto"/>
          <w:kern w:val="0"/>
          <w:szCs w:val="21"/>
        </w:rPr>
      </w:pPr>
      <w:r>
        <w:rPr>
          <w:rFonts w:ascii="宋体" w:hAnsi="宋体" w:cs="宋体"/>
          <w:color w:val="auto"/>
          <w:szCs w:val="21"/>
        </w:rPr>
        <w:t>32.2</w:t>
      </w:r>
      <w:r>
        <w:rPr>
          <w:rFonts w:hint="eastAsia" w:ascii="宋体" w:hAnsi="宋体" w:cs="宋体"/>
          <w:color w:val="auto"/>
          <w:kern w:val="0"/>
          <w:szCs w:val="21"/>
        </w:rPr>
        <w:t>代理服务费交纳</w:t>
      </w:r>
      <w:r>
        <w:rPr>
          <w:rFonts w:ascii="宋体" w:hAnsi="宋体" w:cs="宋体"/>
          <w:color w:val="auto"/>
          <w:kern w:val="0"/>
          <w:szCs w:val="21"/>
        </w:rPr>
        <w:t>银行帐号信息</w:t>
      </w:r>
    </w:p>
    <w:p w14:paraId="63CEBECE">
      <w:pPr>
        <w:spacing w:line="360" w:lineRule="auto"/>
        <w:ind w:firstLine="420" w:firstLineChars="200"/>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开户名称：广西国泰招标咨询有限公司玉林分公司</w:t>
      </w:r>
    </w:p>
    <w:p w14:paraId="1BFF8501">
      <w:pPr>
        <w:spacing w:line="360" w:lineRule="auto"/>
        <w:ind w:firstLine="420" w:firstLineChars="200"/>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开户银行：农业银行玉林金玉路支行</w:t>
      </w:r>
    </w:p>
    <w:p w14:paraId="6FEFE6A6">
      <w:pPr>
        <w:spacing w:line="360" w:lineRule="auto"/>
        <w:ind w:firstLine="420" w:firstLineChars="200"/>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账  号：20410801040003746 </w:t>
      </w:r>
    </w:p>
    <w:p w14:paraId="64D83904">
      <w:pPr>
        <w:spacing w:line="360" w:lineRule="auto"/>
        <w:ind w:firstLine="482" w:firstLineChars="200"/>
        <w:contextualSpacing/>
        <w:rPr>
          <w:rFonts w:ascii="黑体" w:hAnsi="黑体" w:eastAsia="黑体" w:cs="宋体"/>
          <w:b/>
          <w:bCs/>
          <w:color w:val="auto"/>
          <w:sz w:val="24"/>
        </w:rPr>
      </w:pPr>
      <w:r>
        <w:rPr>
          <w:rFonts w:ascii="黑体" w:hAnsi="黑体" w:eastAsia="黑体" w:cs="宋体"/>
          <w:b/>
          <w:bCs/>
          <w:color w:val="auto"/>
          <w:sz w:val="24"/>
        </w:rPr>
        <w:t>33. 需要补充的其他内容</w:t>
      </w:r>
    </w:p>
    <w:p w14:paraId="348D95D0">
      <w:pPr>
        <w:pStyle w:val="15"/>
        <w:spacing w:line="360" w:lineRule="auto"/>
        <w:ind w:firstLine="420" w:firstLineChars="200"/>
        <w:contextualSpacing/>
        <w:rPr>
          <w:rFonts w:hAnsi="宋体"/>
          <w:color w:val="auto"/>
          <w:sz w:val="21"/>
        </w:rPr>
      </w:pPr>
      <w:r>
        <w:rPr>
          <w:rFonts w:hAnsi="宋体"/>
          <w:color w:val="auto"/>
          <w:sz w:val="21"/>
        </w:rPr>
        <w:t>33.1</w:t>
      </w:r>
      <w:r>
        <w:rPr>
          <w:rFonts w:hint="eastAsia" w:hAnsi="宋体" w:cs="宋体"/>
          <w:color w:val="auto"/>
          <w:sz w:val="21"/>
        </w:rPr>
        <w:t>本谈判文件解释规则详见</w:t>
      </w:r>
      <w:r>
        <w:rPr>
          <w:rFonts w:hint="eastAsia" w:hAnsi="宋体"/>
          <w:color w:val="auto"/>
          <w:sz w:val="21"/>
        </w:rPr>
        <w:t>“供应商须知前附表”。</w:t>
      </w:r>
    </w:p>
    <w:p w14:paraId="33485AAB">
      <w:pPr>
        <w:spacing w:line="360" w:lineRule="auto"/>
        <w:ind w:firstLine="420" w:firstLineChars="200"/>
        <w:contextualSpacing/>
        <w:rPr>
          <w:rFonts w:hint="eastAsia" w:ascii="宋体" w:hAnsi="宋体" w:eastAsia="宋体" w:cs="宋体"/>
          <w:color w:val="auto"/>
          <w:kern w:val="0"/>
          <w:szCs w:val="21"/>
        </w:rPr>
      </w:pPr>
      <w:r>
        <w:rPr>
          <w:rFonts w:ascii="宋体" w:hAnsi="宋体" w:cs="宋体"/>
          <w:color w:val="auto"/>
          <w:kern w:val="0"/>
          <w:szCs w:val="21"/>
        </w:rPr>
        <w:t>33.2</w:t>
      </w:r>
      <w:r>
        <w:rPr>
          <w:rFonts w:hint="eastAsia" w:ascii="宋体" w:hAnsi="宋体" w:cs="宋体"/>
          <w:color w:val="auto"/>
          <w:kern w:val="0"/>
          <w:szCs w:val="21"/>
        </w:rPr>
        <w:t xml:space="preserve"> </w:t>
      </w:r>
      <w:r>
        <w:rPr>
          <w:rFonts w:hint="eastAsia" w:ascii="宋体" w:hAnsi="宋体" w:eastAsia="宋体" w:cs="宋体"/>
          <w:color w:val="auto"/>
          <w:kern w:val="0"/>
          <w:szCs w:val="21"/>
        </w:rPr>
        <w:t>其他事项详见“供应商须知前附表”。</w:t>
      </w:r>
    </w:p>
    <w:p w14:paraId="6E1EDFC1">
      <w:pPr>
        <w:tabs>
          <w:tab w:val="left" w:pos="2835"/>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33.3</w:t>
      </w:r>
      <w:r>
        <w:rPr>
          <w:rFonts w:hint="eastAsia" w:ascii="宋体" w:hAnsi="宋体" w:eastAsia="宋体" w:cs="宋体"/>
          <w:color w:val="auto"/>
          <w:szCs w:val="21"/>
          <w:lang w:val="en-US" w:eastAsia="zh-CN"/>
        </w:rPr>
        <w:t xml:space="preserve">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 </w:t>
      </w:r>
    </w:p>
    <w:p w14:paraId="099CEBE0">
      <w:pPr>
        <w:tabs>
          <w:tab w:val="left" w:pos="2835"/>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（1）在货物采购项目中，货物由中小企业制造，即货物由中小企业生产且使用该中小企业商号或者注册商标，不对其中涉及的工程承建商和服务的承接商作出要求； </w:t>
      </w:r>
    </w:p>
    <w:p w14:paraId="1371882C">
      <w:pPr>
        <w:tabs>
          <w:tab w:val="left" w:pos="2835"/>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（2）在工程采购项目中，工程由中小企业承建，即工程施工单位为中小企业，不对其中涉及的货物的制造商和服务的承接商作出要求； </w:t>
      </w:r>
    </w:p>
    <w:p w14:paraId="4FCB38BA">
      <w:pPr>
        <w:tabs>
          <w:tab w:val="left" w:pos="2835"/>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（3）在服务采购项目中，服务由中小企业承接，即提供服务的人员为中小企业依照《中华人民共和国劳动合同法》订立劳动合同的从业人员，不对其中涉及的货物的制造商和工程承建商作出要求。 </w:t>
      </w:r>
    </w:p>
    <w:p w14:paraId="40BF85D8">
      <w:pPr>
        <w:tabs>
          <w:tab w:val="left" w:pos="2835"/>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 </w:t>
      </w:r>
    </w:p>
    <w:p w14:paraId="00B44263">
      <w:pPr>
        <w:tabs>
          <w:tab w:val="left" w:pos="2835"/>
        </w:tabs>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szCs w:val="21"/>
          <w:lang w:val="en-US" w:eastAsia="zh-CN"/>
        </w:rPr>
        <w:t xml:space="preserve">依据本谈判文件规定享受扶持政策获得政府采购合同的，小微企业不得将合同分包给大中型企业，中型企业不得将合同分包给大型企业。 </w:t>
      </w:r>
    </w:p>
    <w:p w14:paraId="4BF9F5A7">
      <w:pPr>
        <w:pStyle w:val="15"/>
        <w:numPr>
          <w:ilvl w:val="0"/>
          <w:numId w:val="0"/>
        </w:numPr>
        <w:snapToGrid w:val="0"/>
        <w:spacing w:line="380" w:lineRule="exact"/>
        <w:ind w:firstLine="400" w:firstLineChars="200"/>
        <w:rPr>
          <w:rFonts w:hint="default" w:ascii="宋体" w:hAnsi="宋体" w:eastAsia="宋体" w:cs="宋体"/>
          <w:color w:val="auto"/>
          <w:sz w:val="21"/>
          <w:szCs w:val="21"/>
          <w:lang w:val="en-US" w:eastAsia="zh-CN"/>
        </w:rPr>
      </w:pPr>
      <w:r>
        <w:rPr>
          <w:rFonts w:hint="eastAsia" w:ascii="宋体" w:hAnsi="宋体" w:cs="宋体"/>
          <w:color w:val="auto"/>
          <w:kern w:val="0"/>
          <w:szCs w:val="21"/>
          <w:lang w:val="en-US" w:eastAsia="zh-CN"/>
        </w:rPr>
        <w:t>33.4</w:t>
      </w:r>
      <w:r>
        <w:rPr>
          <w:rFonts w:hint="eastAsia" w:ascii="宋体" w:hAnsi="宋体" w:eastAsia="宋体" w:cs="宋体"/>
          <w:color w:val="auto"/>
          <w:sz w:val="21"/>
          <w:szCs w:val="21"/>
          <w:lang w:val="en-US" w:eastAsia="zh-CN"/>
        </w:rPr>
        <w:t>广西线上“政采贷”政策告知函</w:t>
      </w:r>
    </w:p>
    <w:p w14:paraId="6FA61075">
      <w:pPr>
        <w:spacing w:line="580" w:lineRule="exact"/>
        <w:ind w:firstLine="2811" w:firstLineChars="1000"/>
        <w:rPr>
          <w:rFonts w:hint="eastAsia" w:ascii="仿宋_GB2312" w:hAnsi="仿宋_GB2312" w:cs="仿宋_GB2312"/>
          <w:b/>
          <w:bCs/>
          <w:color w:val="auto"/>
          <w:sz w:val="28"/>
          <w:szCs w:val="28"/>
        </w:rPr>
      </w:pPr>
      <w:r>
        <w:rPr>
          <w:rFonts w:hint="eastAsia" w:ascii="宋体" w:hAnsi="宋体" w:eastAsia="宋体" w:cs="宋体"/>
          <w:b/>
          <w:bCs/>
          <w:color w:val="auto"/>
          <w:sz w:val="28"/>
          <w:szCs w:val="28"/>
          <w:highlight w:val="none"/>
          <w:lang w:val="en-US" w:eastAsia="zh-CN"/>
        </w:rPr>
        <w:t>广西线上“政采贷”政策告知函</w:t>
      </w:r>
    </w:p>
    <w:p w14:paraId="3046AB25">
      <w:pPr>
        <w:spacing w:line="580" w:lineRule="exact"/>
        <w:ind w:firstLine="210" w:firstLineChars="100"/>
        <w:rPr>
          <w:rFonts w:hint="eastAsia" w:ascii="仿宋_GB2312" w:hAnsi="仿宋_GB2312" w:cs="仿宋_GB2312"/>
          <w:color w:val="auto"/>
          <w:szCs w:val="32"/>
        </w:rPr>
      </w:pPr>
      <w:r>
        <w:rPr>
          <w:rFonts w:hint="eastAsia" w:ascii="仿宋_GB2312" w:hAnsi="仿宋_GB2312" w:cs="仿宋_GB2312"/>
          <w:color w:val="auto"/>
          <w:szCs w:val="32"/>
        </w:rPr>
        <w:t>各供应商：</w:t>
      </w:r>
    </w:p>
    <w:p w14:paraId="59FC88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cs="仿宋_GB2312"/>
          <w:color w:val="auto"/>
          <w:szCs w:val="32"/>
        </w:rPr>
      </w:pPr>
      <w:r>
        <w:rPr>
          <w:rFonts w:hint="eastAsia" w:ascii="仿宋_GB2312" w:hAnsi="仿宋_GB2312" w:cs="仿宋_GB2312"/>
          <w:color w:val="auto"/>
          <w:szCs w:val="32"/>
        </w:rPr>
        <w:t>欢迎贵公司参与广西政府采购活动！</w:t>
      </w:r>
    </w:p>
    <w:p w14:paraId="0BA6617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宋体" w:cs="仿宋_GB2312"/>
          <w:color w:val="auto"/>
          <w:szCs w:val="32"/>
        </w:rPr>
      </w:pPr>
      <w:r>
        <w:rPr>
          <w:rFonts w:hint="eastAsia" w:ascii="仿宋_GB2312" w:hAnsi="仿宋_GB2312" w:cs="仿宋_GB2312"/>
          <w:color w:val="auto"/>
          <w:szCs w:val="32"/>
        </w:rPr>
        <w:t>线上“政采贷”是人民银行</w:t>
      </w:r>
      <w:r>
        <w:rPr>
          <w:rFonts w:hint="eastAsia" w:ascii="仿宋_GB2312" w:hAnsi="仿宋_GB2312" w:eastAsia="宋体" w:cs="仿宋_GB2312"/>
          <w:color w:val="auto"/>
          <w:szCs w:val="32"/>
        </w:rPr>
        <w:t>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宋体" w:cs="仿宋_GB2312"/>
          <w:color w:val="auto"/>
          <w:szCs w:val="32"/>
          <w:lang w:val="en-US" w:eastAsia="zh-CN"/>
        </w:rPr>
        <w:t>银行业金融机构</w:t>
      </w:r>
      <w:r>
        <w:rPr>
          <w:rFonts w:hint="eastAsia" w:ascii="仿宋_GB2312" w:hAnsi="仿宋_GB2312" w:eastAsia="宋体" w:cs="仿宋_GB2312"/>
          <w:color w:val="auto"/>
          <w:szCs w:val="32"/>
        </w:rPr>
        <w:t>申请贷款，融资机构将根据《中国人民银行南宁中心支行 广西壮族自治区财政厅关于推广线上“政采贷”融资模式的通知》（南宁银发〔2021〕</w:t>
      </w:r>
      <w:r>
        <w:rPr>
          <w:rFonts w:hint="eastAsia" w:ascii="仿宋_GB2312" w:hAnsi="仿宋_GB2312" w:eastAsia="宋体" w:cs="仿宋_GB2312"/>
          <w:color w:val="auto"/>
          <w:szCs w:val="32"/>
          <w:lang w:val="en-US" w:eastAsia="zh-CN"/>
        </w:rPr>
        <w:t>258</w:t>
      </w:r>
      <w:r>
        <w:rPr>
          <w:rFonts w:hint="eastAsia" w:ascii="仿宋_GB2312" w:hAnsi="仿宋_GB2312" w:eastAsia="宋体" w:cs="仿宋_GB2312"/>
          <w:color w:val="auto"/>
          <w:szCs w:val="32"/>
        </w:rPr>
        <w:t>号），按照双方自愿的原则提供便捷、优惠的贷款服务。</w:t>
      </w:r>
    </w:p>
    <w:p w14:paraId="5A14EE2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宋体" w:cs="仿宋_GB2312"/>
          <w:color w:val="auto"/>
          <w:szCs w:val="32"/>
          <w:lang w:eastAsia="zh-CN"/>
        </w:rPr>
      </w:pPr>
      <w:r>
        <w:rPr>
          <w:rFonts w:hint="eastAsia" w:ascii="仿宋_GB2312" w:hAnsi="仿宋_GB2312" w:eastAsia="宋体" w:cs="仿宋_GB2312"/>
          <w:color w:val="auto"/>
          <w:szCs w:val="32"/>
        </w:rPr>
        <w:t>相关金融产品和</w:t>
      </w:r>
      <w:r>
        <w:rPr>
          <w:rFonts w:hint="eastAsia" w:ascii="仿宋_GB2312" w:hAnsi="仿宋_GB2312" w:eastAsia="宋体" w:cs="仿宋_GB2312"/>
          <w:color w:val="auto"/>
          <w:szCs w:val="32"/>
          <w:lang w:val="en-US" w:eastAsia="zh-CN"/>
        </w:rPr>
        <w:t>银行业金融机构</w:t>
      </w:r>
      <w:r>
        <w:rPr>
          <w:rFonts w:hint="eastAsia" w:ascii="仿宋_GB2312" w:hAnsi="仿宋_GB2312" w:eastAsia="宋体" w:cs="仿宋_GB2312"/>
          <w:color w:val="auto"/>
          <w:szCs w:val="32"/>
        </w:rPr>
        <w:t>联系方式，可在中征应收账款融资服务平台查询</w:t>
      </w:r>
      <w:r>
        <w:rPr>
          <w:rFonts w:hint="eastAsia" w:ascii="仿宋_GB2312" w:hAnsi="仿宋_GB2312" w:eastAsia="宋体" w:cs="仿宋_GB2312"/>
          <w:color w:val="auto"/>
          <w:szCs w:val="32"/>
          <w:lang w:eastAsia="zh-CN"/>
        </w:rPr>
        <w:t>（网址：</w:t>
      </w:r>
      <w:r>
        <w:rPr>
          <w:rFonts w:hint="eastAsia" w:ascii="仿宋_GB2312" w:hAnsi="仿宋_GB2312" w:eastAsia="宋体" w:cs="仿宋_GB2312"/>
          <w:color w:val="auto"/>
          <w:szCs w:val="32"/>
          <w:lang w:eastAsia="zh-CN"/>
        </w:rPr>
        <w:fldChar w:fldCharType="begin"/>
      </w:r>
      <w:r>
        <w:rPr>
          <w:rFonts w:hint="eastAsia" w:ascii="仿宋_GB2312" w:hAnsi="仿宋_GB2312" w:eastAsia="宋体" w:cs="仿宋_GB2312"/>
          <w:color w:val="auto"/>
          <w:szCs w:val="32"/>
          <w:lang w:eastAsia="zh-CN"/>
        </w:rPr>
        <w:instrText xml:space="preserve"> HYPERLINK "https://www.crcrfsp.com/" </w:instrText>
      </w:r>
      <w:r>
        <w:rPr>
          <w:rFonts w:hint="eastAsia" w:ascii="仿宋_GB2312" w:hAnsi="仿宋_GB2312" w:eastAsia="宋体" w:cs="仿宋_GB2312"/>
          <w:color w:val="auto"/>
          <w:szCs w:val="32"/>
          <w:lang w:eastAsia="zh-CN"/>
        </w:rPr>
        <w:fldChar w:fldCharType="separate"/>
      </w:r>
      <w:r>
        <w:rPr>
          <w:rFonts w:hint="eastAsia" w:ascii="仿宋_GB2312" w:hAnsi="仿宋_GB2312" w:eastAsia="宋体" w:cs="仿宋_GB2312"/>
          <w:color w:val="auto"/>
          <w:szCs w:val="32"/>
          <w:lang w:eastAsia="zh-CN"/>
        </w:rPr>
        <w:t>https://www.crcrfsp.com/</w:t>
      </w:r>
      <w:r>
        <w:rPr>
          <w:rFonts w:hint="eastAsia" w:ascii="仿宋_GB2312" w:hAnsi="仿宋_GB2312" w:eastAsia="宋体" w:cs="仿宋_GB2312"/>
          <w:color w:val="auto"/>
          <w:szCs w:val="32"/>
          <w:lang w:eastAsia="zh-CN"/>
        </w:rPr>
        <w:fldChar w:fldCharType="end"/>
      </w:r>
      <w:r>
        <w:rPr>
          <w:rFonts w:hint="eastAsia" w:ascii="仿宋_GB2312" w:hAnsi="仿宋_GB2312" w:eastAsia="宋体" w:cs="仿宋_GB2312"/>
          <w:color w:val="auto"/>
          <w:szCs w:val="32"/>
          <w:lang w:eastAsia="zh-CN"/>
        </w:rPr>
        <w:t>，客服电话：</w:t>
      </w:r>
      <w:r>
        <w:rPr>
          <w:rFonts w:hint="eastAsia" w:ascii="仿宋_GB2312" w:hAnsi="仿宋_GB2312" w:eastAsia="宋体" w:cs="仿宋_GB2312"/>
          <w:color w:val="auto"/>
          <w:szCs w:val="32"/>
          <w:lang w:val="en-US" w:eastAsia="zh-CN"/>
        </w:rPr>
        <w:t>400-009-0001</w:t>
      </w:r>
      <w:r>
        <w:rPr>
          <w:rFonts w:hint="eastAsia" w:ascii="仿宋_GB2312" w:hAnsi="仿宋_GB2312" w:eastAsia="宋体" w:cs="仿宋_GB2312"/>
          <w:color w:val="auto"/>
          <w:szCs w:val="32"/>
          <w:lang w:eastAsia="zh-CN"/>
        </w:rPr>
        <w:t>）</w:t>
      </w:r>
      <w:bookmarkStart w:id="25" w:name="_Toc74322010"/>
    </w:p>
    <w:p w14:paraId="0A5D86B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宋体" w:cs="仿宋_GB2312"/>
          <w:color w:val="auto"/>
          <w:szCs w:val="32"/>
          <w:lang w:eastAsia="zh-CN"/>
        </w:rPr>
      </w:pPr>
    </w:p>
    <w:p w14:paraId="5B04D97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宋体" w:cs="仿宋_GB2312"/>
          <w:color w:val="auto"/>
          <w:szCs w:val="32"/>
          <w:lang w:eastAsia="zh-CN"/>
        </w:rPr>
      </w:pPr>
    </w:p>
    <w:p w14:paraId="4A25637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宋体" w:cs="仿宋_GB2312"/>
          <w:color w:val="auto"/>
          <w:szCs w:val="32"/>
          <w:lang w:eastAsia="zh-CN"/>
        </w:rPr>
      </w:pPr>
    </w:p>
    <w:p w14:paraId="1A020AE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宋体" w:cs="仿宋_GB2312"/>
          <w:color w:val="auto"/>
          <w:szCs w:val="32"/>
          <w:lang w:eastAsia="zh-CN"/>
        </w:rPr>
      </w:pPr>
    </w:p>
    <w:p w14:paraId="3426078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宋体" w:cs="仿宋_GB2312"/>
          <w:color w:val="auto"/>
          <w:szCs w:val="32"/>
          <w:lang w:eastAsia="zh-CN"/>
        </w:rPr>
      </w:pPr>
    </w:p>
    <w:p w14:paraId="5F013A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宋体" w:cs="仿宋_GB2312"/>
          <w:color w:val="auto"/>
          <w:szCs w:val="32"/>
          <w:lang w:eastAsia="zh-CN"/>
        </w:rPr>
      </w:pPr>
    </w:p>
    <w:p w14:paraId="211527A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宋体" w:cs="仿宋_GB2312"/>
          <w:color w:val="auto"/>
          <w:szCs w:val="32"/>
          <w:lang w:eastAsia="zh-CN"/>
        </w:rPr>
      </w:pPr>
    </w:p>
    <w:p w14:paraId="78F9322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宋体" w:cs="仿宋_GB2312"/>
          <w:color w:val="auto"/>
          <w:szCs w:val="32"/>
          <w:lang w:eastAsia="zh-CN"/>
        </w:rPr>
      </w:pPr>
    </w:p>
    <w:p w14:paraId="4D3F03C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宋体" w:cs="仿宋_GB2312"/>
          <w:color w:val="auto"/>
          <w:szCs w:val="32"/>
          <w:lang w:eastAsia="zh-CN"/>
        </w:rPr>
      </w:pPr>
    </w:p>
    <w:p w14:paraId="0AB6A9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宋体" w:cs="仿宋_GB2312"/>
          <w:color w:val="auto"/>
          <w:szCs w:val="32"/>
          <w:lang w:eastAsia="zh-CN"/>
        </w:rPr>
      </w:pPr>
    </w:p>
    <w:p w14:paraId="7D51CC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宋体" w:cs="仿宋_GB2312"/>
          <w:color w:val="auto"/>
          <w:szCs w:val="32"/>
          <w:lang w:eastAsia="zh-CN"/>
        </w:rPr>
      </w:pPr>
    </w:p>
    <w:p w14:paraId="1B2054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宋体" w:cs="仿宋_GB2312"/>
          <w:color w:val="auto"/>
          <w:szCs w:val="32"/>
          <w:lang w:eastAsia="zh-CN"/>
        </w:rPr>
      </w:pPr>
    </w:p>
    <w:p w14:paraId="7A382BC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宋体" w:cs="仿宋_GB2312"/>
          <w:color w:val="auto"/>
          <w:szCs w:val="32"/>
          <w:lang w:eastAsia="zh-CN"/>
        </w:rPr>
      </w:pPr>
    </w:p>
    <w:p w14:paraId="6B597CF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宋体" w:cs="仿宋_GB2312"/>
          <w:color w:val="auto"/>
          <w:szCs w:val="32"/>
          <w:lang w:eastAsia="zh-CN"/>
        </w:rPr>
      </w:pPr>
    </w:p>
    <w:p w14:paraId="2AEA95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宋体" w:cs="仿宋_GB2312"/>
          <w:color w:val="auto"/>
          <w:szCs w:val="32"/>
          <w:lang w:eastAsia="zh-CN"/>
        </w:rPr>
      </w:pPr>
    </w:p>
    <w:p w14:paraId="2036CD0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宋体" w:cs="仿宋_GB2312"/>
          <w:color w:val="auto"/>
          <w:szCs w:val="32"/>
          <w:lang w:eastAsia="zh-CN"/>
        </w:rPr>
      </w:pPr>
    </w:p>
    <w:p w14:paraId="08F9A1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宋体" w:cs="仿宋_GB2312"/>
          <w:color w:val="auto"/>
          <w:szCs w:val="32"/>
          <w:lang w:eastAsia="zh-CN"/>
        </w:rPr>
      </w:pPr>
    </w:p>
    <w:p w14:paraId="1F94C3E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宋体" w:cs="仿宋_GB2312"/>
          <w:color w:val="auto"/>
          <w:szCs w:val="32"/>
          <w:lang w:eastAsia="zh-CN"/>
        </w:rPr>
      </w:pPr>
    </w:p>
    <w:p w14:paraId="3FFEB36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宋体" w:cs="仿宋_GB2312"/>
          <w:color w:val="auto"/>
          <w:szCs w:val="32"/>
          <w:lang w:eastAsia="zh-CN"/>
        </w:rPr>
      </w:pPr>
    </w:p>
    <w:p w14:paraId="1BB71644">
      <w:pPr>
        <w:pStyle w:val="15"/>
        <w:spacing w:line="360" w:lineRule="auto"/>
        <w:ind w:firstLine="883" w:firstLineChars="200"/>
        <w:contextualSpacing/>
        <w:jc w:val="center"/>
        <w:rPr>
          <w:rFonts w:hAnsi="宋体"/>
          <w:color w:val="auto"/>
          <w:sz w:val="32"/>
          <w:szCs w:val="32"/>
        </w:rPr>
      </w:pPr>
      <w:r>
        <w:rPr>
          <w:rFonts w:hint="eastAsia"/>
          <w:b/>
          <w:bCs/>
          <w:color w:val="auto"/>
          <w:sz w:val="44"/>
          <w:szCs w:val="44"/>
        </w:rPr>
        <w:t>第三章 采购需求</w:t>
      </w:r>
      <w:bookmarkEnd w:id="25"/>
    </w:p>
    <w:p w14:paraId="269590DF">
      <w:pPr>
        <w:spacing w:line="360" w:lineRule="auto"/>
        <w:jc w:val="left"/>
        <w:rPr>
          <w:rFonts w:hint="eastAsia" w:ascii="宋体" w:hAnsi="宋体" w:cs="宋体"/>
          <w:b/>
          <w:color w:val="auto"/>
          <w:szCs w:val="21"/>
        </w:rPr>
      </w:pPr>
      <w:bookmarkStart w:id="26" w:name="_Hlk48036094"/>
      <w:r>
        <w:rPr>
          <w:rFonts w:hint="eastAsia" w:ascii="宋体" w:hAnsi="宋体" w:cs="宋体"/>
          <w:b/>
          <w:color w:val="auto"/>
          <w:szCs w:val="21"/>
        </w:rPr>
        <w:t>说明：</w:t>
      </w:r>
    </w:p>
    <w:p w14:paraId="7D5ED765">
      <w:pPr>
        <w:spacing w:line="360" w:lineRule="exact"/>
        <w:ind w:left="-10" w:leftChars="-5" w:right="2" w:rightChars="1" w:firstLine="422" w:firstLineChars="200"/>
        <w:rPr>
          <w:rFonts w:hint="eastAsia" w:hAnsi="宋体"/>
          <w:b/>
          <w:bCs/>
          <w:color w:val="auto"/>
        </w:rPr>
      </w:pPr>
      <w:r>
        <w:rPr>
          <w:rFonts w:hint="eastAsia" w:hAnsi="宋体"/>
          <w:b/>
          <w:bCs/>
          <w:color w:val="auto"/>
        </w:rPr>
        <w:t>1、采购需求中如出现品牌、型号或者生产厂家等均仅起参考作用，不属于指定品牌、型号或者生产厂家的情形，供应商可参照或者选用其他相当的品牌、型号或者生产供应商替代。但供应商的产品实质上应相当于或优于本需求</w:t>
      </w:r>
      <w:r>
        <w:rPr>
          <w:rFonts w:hAnsi="宋体"/>
          <w:b/>
          <w:bCs/>
          <w:color w:val="auto"/>
        </w:rPr>
        <w:t>中</w:t>
      </w:r>
      <w:r>
        <w:rPr>
          <w:rFonts w:hint="eastAsia" w:hAnsi="宋体"/>
          <w:b/>
          <w:bCs/>
          <w:color w:val="auto"/>
        </w:rPr>
        <w:t>的技术要求。</w:t>
      </w:r>
    </w:p>
    <w:p w14:paraId="2501C767">
      <w:pPr>
        <w:spacing w:line="360" w:lineRule="exact"/>
        <w:ind w:left="-10" w:leftChars="-5" w:right="2" w:rightChars="1" w:firstLine="422" w:firstLineChars="200"/>
        <w:rPr>
          <w:rFonts w:hint="eastAsia" w:hAnsi="宋体"/>
          <w:b/>
          <w:bCs/>
          <w:color w:val="auto"/>
        </w:rPr>
      </w:pPr>
      <w:r>
        <w:rPr>
          <w:rFonts w:hint="eastAsia" w:hAnsi="宋体"/>
          <w:b/>
          <w:bCs/>
          <w:color w:val="auto"/>
        </w:rPr>
        <w:t>2、</w:t>
      </w:r>
      <w:r>
        <w:rPr>
          <w:rFonts w:hAnsi="宋体"/>
          <w:b/>
          <w:bCs/>
          <w:color w:val="auto"/>
        </w:rPr>
        <w:t>凡在“</w:t>
      </w:r>
      <w:r>
        <w:rPr>
          <w:rFonts w:hint="eastAsia" w:hAnsi="宋体"/>
          <w:b/>
          <w:bCs/>
          <w:color w:val="auto"/>
        </w:rPr>
        <w:t>技术要求</w:t>
      </w:r>
      <w:r>
        <w:rPr>
          <w:rFonts w:hAnsi="宋体"/>
          <w:b/>
          <w:bCs/>
          <w:color w:val="auto"/>
        </w:rPr>
        <w:t>”中表述为“标配”或“标准配置”的设备，供应商应在</w:t>
      </w:r>
      <w:r>
        <w:rPr>
          <w:rFonts w:hint="eastAsia" w:hAnsi="宋体"/>
          <w:b/>
          <w:bCs/>
          <w:color w:val="auto"/>
        </w:rPr>
        <w:t>货物配置清单</w:t>
      </w:r>
      <w:r>
        <w:rPr>
          <w:rFonts w:hAnsi="宋体"/>
          <w:b/>
          <w:bCs/>
          <w:color w:val="auto"/>
        </w:rPr>
        <w:t>中将其标配参数详细列明。</w:t>
      </w:r>
    </w:p>
    <w:p w14:paraId="19B928CA">
      <w:pPr>
        <w:spacing w:line="360" w:lineRule="exact"/>
        <w:ind w:left="-10" w:leftChars="-5" w:right="2" w:rightChars="1" w:firstLine="422" w:firstLineChars="200"/>
        <w:rPr>
          <w:rFonts w:hint="eastAsia" w:hAnsi="宋体"/>
          <w:b/>
          <w:bCs/>
          <w:color w:val="auto"/>
        </w:rPr>
      </w:pPr>
      <w:r>
        <w:rPr>
          <w:rFonts w:hint="eastAsia" w:hAnsi="宋体"/>
          <w:b/>
          <w:bCs/>
          <w:color w:val="auto"/>
        </w:rPr>
        <w:t>3、</w:t>
      </w:r>
      <w:r>
        <w:rPr>
          <w:rFonts w:hAnsi="宋体"/>
          <w:b/>
          <w:bCs/>
          <w:color w:val="auto"/>
        </w:rPr>
        <w:t>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供应商的竞标货物必须使用政府强制采购的节能产品，否则响应文件作无效响应处理。</w:t>
      </w:r>
    </w:p>
    <w:p w14:paraId="2788B82F">
      <w:pPr>
        <w:spacing w:line="360" w:lineRule="exact"/>
        <w:ind w:left="-10" w:leftChars="-5" w:right="2" w:rightChars="1" w:firstLine="422" w:firstLineChars="200"/>
        <w:rPr>
          <w:rFonts w:hint="eastAsia" w:hAnsi="宋体"/>
          <w:b/>
          <w:bCs/>
          <w:color w:val="auto"/>
        </w:rPr>
      </w:pPr>
      <w:r>
        <w:rPr>
          <w:rFonts w:hint="eastAsia" w:hAnsi="宋体"/>
          <w:b/>
          <w:bCs/>
          <w:color w:val="auto"/>
        </w:rPr>
        <w:t>4、如供应商竞标产品存在侵犯他人的知识产权或者专利成果行为的，由供应商自行承担相应法律责任。</w:t>
      </w:r>
    </w:p>
    <w:p w14:paraId="14933977">
      <w:pPr>
        <w:spacing w:line="360" w:lineRule="exact"/>
        <w:ind w:left="-10" w:leftChars="-5" w:right="2" w:rightChars="1" w:firstLine="422" w:firstLineChars="200"/>
        <w:rPr>
          <w:rFonts w:hint="eastAsia" w:hAnsi="宋体"/>
          <w:b/>
          <w:bCs/>
          <w:color w:val="auto"/>
        </w:rPr>
      </w:pPr>
      <w:r>
        <w:rPr>
          <w:rFonts w:hint="eastAsia" w:hAnsi="宋体"/>
          <w:b/>
          <w:bCs/>
          <w:color w:val="auto"/>
        </w:rPr>
        <w:t>5、“实质性要求”是指竞争性谈判文件中已经指明不满足则响应无效的条款，或者不能负偏离的条款，或者采购需求中带“▲”的条款。</w:t>
      </w:r>
    </w:p>
    <w:p w14:paraId="40C9689C">
      <w:pPr>
        <w:spacing w:line="360" w:lineRule="exact"/>
        <w:ind w:left="-10" w:leftChars="-5" w:right="2" w:rightChars="1" w:firstLine="422" w:firstLineChars="200"/>
        <w:rPr>
          <w:rFonts w:hint="eastAsia" w:ascii="Times New Roman" w:hAnsi="宋体" w:eastAsia="宋体" w:cs="Times New Roman"/>
          <w:b/>
          <w:bCs/>
          <w:color w:val="auto"/>
        </w:rPr>
      </w:pPr>
      <w:r>
        <w:rPr>
          <w:rFonts w:hint="eastAsia" w:hAnsi="宋体"/>
          <w:b/>
          <w:bCs/>
          <w:color w:val="auto"/>
        </w:rPr>
        <w:t>6、供应商</w:t>
      </w:r>
      <w:r>
        <w:rPr>
          <w:rFonts w:hint="eastAsia" w:ascii="Times New Roman" w:hAnsi="宋体" w:eastAsia="宋体" w:cs="Times New Roman"/>
          <w:b/>
          <w:bCs/>
          <w:color w:val="auto"/>
        </w:rPr>
        <w:t>应根据自身实际情况如实响应竞争性谈判文件，不得仅将竞争性谈判文件内容简单复制粘贴作为竞标响应，否则将作无效响应处理（定制采购不适用本条款）。</w:t>
      </w:r>
      <w:bookmarkEnd w:id="26"/>
    </w:p>
    <w:p w14:paraId="16D11DD9">
      <w:pPr>
        <w:spacing w:line="360" w:lineRule="exact"/>
        <w:ind w:left="-10" w:leftChars="-5" w:right="2" w:rightChars="1" w:firstLine="422" w:firstLineChars="200"/>
        <w:rPr>
          <w:rFonts w:hint="eastAsia" w:hAnsi="宋体" w:eastAsia="宋体"/>
          <w:b/>
          <w:color w:val="auto"/>
          <w:lang w:val="en-US" w:eastAsia="zh-CN"/>
        </w:rPr>
      </w:pPr>
      <w:r>
        <w:rPr>
          <w:rFonts w:hint="eastAsia" w:ascii="Times New Roman" w:hAnsi="宋体" w:eastAsia="宋体" w:cs="Times New Roman"/>
          <w:b/>
          <w:bCs/>
          <w:color w:val="auto"/>
          <w:lang w:val="en-US" w:eastAsia="zh-CN"/>
        </w:rPr>
        <w:t>7、</w:t>
      </w:r>
      <w:r>
        <w:rPr>
          <w:rFonts w:hint="eastAsia" w:hAnsi="宋体"/>
          <w:b/>
          <w:color w:val="auto"/>
        </w:rPr>
        <w:t>以下设备名称为日常习惯通俗称谓，竞标人竞标时可以备注设备的专业称谓</w:t>
      </w:r>
      <w:r>
        <w:rPr>
          <w:rFonts w:hint="eastAsia" w:hAnsi="宋体"/>
          <w:b/>
          <w:color w:val="auto"/>
          <w:lang w:eastAsia="zh-CN"/>
        </w:rPr>
        <w:t>。</w:t>
      </w:r>
    </w:p>
    <w:p w14:paraId="14F42453">
      <w:pPr>
        <w:spacing w:line="360" w:lineRule="exact"/>
        <w:ind w:left="-10" w:leftChars="-5" w:right="2" w:rightChars="1" w:firstLine="422" w:firstLineChars="200"/>
        <w:rPr>
          <w:color w:val="auto"/>
        </w:rPr>
      </w:pPr>
      <w:r>
        <w:rPr>
          <w:rFonts w:hint="eastAsia" w:hAnsi="宋体"/>
          <w:b/>
          <w:bCs/>
          <w:color w:val="auto"/>
        </w:rPr>
        <w:t>采购预算金额：</w:t>
      </w:r>
      <w:r>
        <w:rPr>
          <w:rFonts w:hint="eastAsia" w:hAnsi="宋体"/>
          <w:b/>
          <w:bCs/>
          <w:color w:val="auto"/>
          <w:lang w:val="en-US" w:eastAsia="zh-CN"/>
        </w:rPr>
        <w:t>1546000.00</w:t>
      </w:r>
      <w:r>
        <w:rPr>
          <w:rFonts w:hint="eastAsia" w:hAnsi="宋体"/>
          <w:b/>
          <w:bCs/>
          <w:color w:val="auto"/>
        </w:rPr>
        <w:t>元。</w:t>
      </w:r>
      <w:bookmarkStart w:id="27" w:name="_Toc74322011"/>
    </w:p>
    <w:tbl>
      <w:tblPr>
        <w:tblStyle w:val="27"/>
        <w:tblW w:w="96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5"/>
        <w:gridCol w:w="870"/>
        <w:gridCol w:w="359"/>
        <w:gridCol w:w="471"/>
        <w:gridCol w:w="1220"/>
        <w:gridCol w:w="700"/>
        <w:gridCol w:w="5605"/>
      </w:tblGrid>
      <w:tr w14:paraId="6C725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415" w:type="dxa"/>
            <w:vAlign w:val="center"/>
          </w:tcPr>
          <w:p w14:paraId="34A7E1A3">
            <w:pPr>
              <w:spacing w:line="400" w:lineRule="atLeast"/>
              <w:jc w:val="center"/>
              <w:rPr>
                <w:rFonts w:ascii="宋体" w:hAnsi="宋体" w:cs="宋体"/>
                <w:color w:val="auto"/>
                <w:szCs w:val="21"/>
              </w:rPr>
            </w:pPr>
            <w:r>
              <w:rPr>
                <w:rFonts w:hint="eastAsia" w:ascii="宋体" w:hAnsi="宋体" w:cs="宋体"/>
                <w:color w:val="auto"/>
                <w:szCs w:val="21"/>
              </w:rPr>
              <w:t>序号</w:t>
            </w:r>
          </w:p>
        </w:tc>
        <w:tc>
          <w:tcPr>
            <w:tcW w:w="870" w:type="dxa"/>
            <w:vAlign w:val="center"/>
          </w:tcPr>
          <w:p w14:paraId="51F9FA07">
            <w:pPr>
              <w:spacing w:line="400" w:lineRule="atLeast"/>
              <w:jc w:val="center"/>
              <w:rPr>
                <w:rFonts w:hint="eastAsia" w:ascii="宋体" w:hAnsi="宋体" w:eastAsia="宋体" w:cs="宋体"/>
                <w:color w:val="auto"/>
                <w:szCs w:val="21"/>
              </w:rPr>
            </w:pPr>
            <w:r>
              <w:rPr>
                <w:rFonts w:hint="eastAsia" w:ascii="宋体" w:hAnsi="宋体" w:eastAsia="宋体" w:cs="宋体"/>
                <w:color w:val="auto"/>
                <w:szCs w:val="21"/>
              </w:rPr>
              <w:t>标的的</w:t>
            </w:r>
          </w:p>
          <w:p w14:paraId="52148FF9">
            <w:pPr>
              <w:spacing w:line="400" w:lineRule="atLeast"/>
              <w:jc w:val="center"/>
              <w:rPr>
                <w:rFonts w:hint="eastAsia" w:ascii="宋体" w:hAnsi="宋体" w:eastAsia="宋体" w:cs="宋体"/>
                <w:color w:val="auto"/>
                <w:szCs w:val="21"/>
              </w:rPr>
            </w:pPr>
            <w:r>
              <w:rPr>
                <w:rFonts w:hint="eastAsia" w:ascii="宋体" w:hAnsi="宋体" w:eastAsia="宋体" w:cs="宋体"/>
                <w:color w:val="auto"/>
                <w:szCs w:val="21"/>
              </w:rPr>
              <w:t>名称</w:t>
            </w:r>
          </w:p>
        </w:tc>
        <w:tc>
          <w:tcPr>
            <w:tcW w:w="830" w:type="dxa"/>
            <w:gridSpan w:val="2"/>
            <w:vAlign w:val="center"/>
          </w:tcPr>
          <w:p w14:paraId="39820E44">
            <w:pPr>
              <w:spacing w:line="400" w:lineRule="atLeast"/>
              <w:jc w:val="center"/>
              <w:rPr>
                <w:rFonts w:ascii="宋体" w:hAnsi="宋体" w:cs="宋体"/>
                <w:color w:val="auto"/>
                <w:szCs w:val="21"/>
              </w:rPr>
            </w:pPr>
            <w:r>
              <w:rPr>
                <w:rFonts w:hint="eastAsia" w:ascii="宋体" w:hAnsi="宋体" w:cs="宋体"/>
                <w:color w:val="auto"/>
                <w:szCs w:val="21"/>
              </w:rPr>
              <w:t>数量及单位</w:t>
            </w:r>
          </w:p>
        </w:tc>
        <w:tc>
          <w:tcPr>
            <w:tcW w:w="1220" w:type="dxa"/>
            <w:vAlign w:val="center"/>
          </w:tcPr>
          <w:p w14:paraId="1C496C3A">
            <w:pPr>
              <w:spacing w:line="400" w:lineRule="atLeast"/>
              <w:jc w:val="center"/>
              <w:rPr>
                <w:rFonts w:hint="default" w:ascii="宋体" w:hAnsi="宋体" w:eastAsia="宋体" w:cs="宋体"/>
                <w:color w:val="auto"/>
                <w:szCs w:val="21"/>
                <w:lang w:val="en-US" w:eastAsia="zh-CN"/>
              </w:rPr>
            </w:pPr>
            <w:r>
              <w:rPr>
                <w:rFonts w:hint="eastAsia" w:ascii="宋体" w:hAnsi="宋体" w:cs="宋体"/>
                <w:color w:val="auto"/>
                <w:szCs w:val="21"/>
                <w:lang w:eastAsia="zh-CN"/>
              </w:rPr>
              <w:t>预算单价</w:t>
            </w:r>
            <w:r>
              <w:rPr>
                <w:rFonts w:hint="eastAsia" w:ascii="宋体" w:hAnsi="宋体" w:cs="宋体"/>
                <w:color w:val="auto"/>
                <w:szCs w:val="21"/>
                <w:lang w:val="en-US" w:eastAsia="zh-CN"/>
              </w:rPr>
              <w:t>/元</w:t>
            </w:r>
          </w:p>
        </w:tc>
        <w:tc>
          <w:tcPr>
            <w:tcW w:w="700" w:type="dxa"/>
            <w:vAlign w:val="center"/>
          </w:tcPr>
          <w:p w14:paraId="4B3A72FA">
            <w:pPr>
              <w:spacing w:line="400" w:lineRule="atLeast"/>
              <w:jc w:val="center"/>
              <w:rPr>
                <w:rFonts w:ascii="宋体" w:hAnsi="宋体" w:cs="宋体"/>
                <w:color w:val="auto"/>
                <w:szCs w:val="21"/>
              </w:rPr>
            </w:pPr>
            <w:r>
              <w:rPr>
                <w:rFonts w:hint="eastAsia" w:ascii="宋体" w:hAnsi="宋体" w:cs="宋体"/>
                <w:color w:val="auto"/>
                <w:szCs w:val="21"/>
              </w:rPr>
              <w:t>所属</w:t>
            </w:r>
          </w:p>
          <w:p w14:paraId="55FC769D">
            <w:pPr>
              <w:spacing w:line="400" w:lineRule="atLeast"/>
              <w:jc w:val="center"/>
              <w:rPr>
                <w:rFonts w:ascii="宋体" w:hAnsi="宋体" w:cs="宋体"/>
                <w:color w:val="auto"/>
                <w:szCs w:val="21"/>
              </w:rPr>
            </w:pPr>
            <w:r>
              <w:rPr>
                <w:rFonts w:hint="eastAsia" w:ascii="宋体" w:hAnsi="宋体" w:cs="宋体"/>
                <w:color w:val="auto"/>
                <w:szCs w:val="21"/>
              </w:rPr>
              <w:t>行业</w:t>
            </w:r>
          </w:p>
        </w:tc>
        <w:tc>
          <w:tcPr>
            <w:tcW w:w="5605" w:type="dxa"/>
            <w:vAlign w:val="center"/>
          </w:tcPr>
          <w:p w14:paraId="2566492C">
            <w:pPr>
              <w:spacing w:line="400" w:lineRule="atLeast"/>
              <w:jc w:val="center"/>
              <w:rPr>
                <w:rFonts w:ascii="宋体" w:hAnsi="宋体" w:cs="宋体"/>
                <w:color w:val="auto"/>
                <w:szCs w:val="21"/>
              </w:rPr>
            </w:pPr>
            <w:r>
              <w:rPr>
                <w:rFonts w:hint="eastAsia" w:ascii="宋体" w:hAnsi="宋体" w:cs="宋体"/>
                <w:color w:val="auto"/>
                <w:szCs w:val="21"/>
              </w:rPr>
              <w:t>技术规格及有关要求</w:t>
            </w:r>
          </w:p>
        </w:tc>
      </w:tr>
      <w:tr w14:paraId="4EE2C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415" w:type="dxa"/>
            <w:vAlign w:val="center"/>
          </w:tcPr>
          <w:p w14:paraId="7AB74F5E">
            <w:pPr>
              <w:keepNext w:val="0"/>
              <w:keepLines w:val="0"/>
              <w:pageBreakBefore w:val="0"/>
              <w:kinsoku/>
              <w:wordWrap/>
              <w:overflowPunct/>
              <w:topLinePunct w:val="0"/>
              <w:autoSpaceDE/>
              <w:autoSpaceDN/>
              <w:bidi w:val="0"/>
              <w:adjustRightInd/>
              <w:spacing w:line="380" w:lineRule="atLeast"/>
              <w:jc w:val="center"/>
              <w:rPr>
                <w:rFonts w:hint="eastAsia" w:ascii="宋体" w:hAnsi="宋体" w:cs="宋体"/>
                <w:color w:val="auto"/>
                <w:szCs w:val="21"/>
              </w:rPr>
            </w:pPr>
            <w:r>
              <w:rPr>
                <w:rFonts w:hint="eastAsia" w:ascii="宋体" w:hAnsi="宋体" w:cs="宋体"/>
                <w:color w:val="auto"/>
                <w:szCs w:val="21"/>
                <w:lang w:val="en-US" w:eastAsia="zh-CN"/>
              </w:rPr>
              <w:t>1</w:t>
            </w:r>
          </w:p>
        </w:tc>
        <w:tc>
          <w:tcPr>
            <w:tcW w:w="870" w:type="dxa"/>
            <w:vAlign w:val="center"/>
          </w:tcPr>
          <w:p w14:paraId="639438D0">
            <w:pPr>
              <w:spacing w:line="400" w:lineRule="atLeast"/>
              <w:jc w:val="center"/>
              <w:rPr>
                <w:rFonts w:hint="eastAsia" w:ascii="宋体" w:hAnsi="宋体" w:eastAsia="宋体" w:cs="宋体"/>
                <w:color w:val="auto"/>
                <w:szCs w:val="21"/>
              </w:rPr>
            </w:pPr>
            <w:r>
              <w:rPr>
                <w:rFonts w:hint="eastAsia" w:ascii="Calibri" w:hAnsi="Calibri"/>
                <w:color w:val="auto"/>
                <w:szCs w:val="21"/>
                <w:lang w:val="en-US" w:eastAsia="zh-CN"/>
              </w:rPr>
              <w:t>重症型救护车</w:t>
            </w:r>
          </w:p>
        </w:tc>
        <w:tc>
          <w:tcPr>
            <w:tcW w:w="830" w:type="dxa"/>
            <w:gridSpan w:val="2"/>
            <w:vAlign w:val="center"/>
          </w:tcPr>
          <w:p w14:paraId="5D9E6202">
            <w:pPr>
              <w:spacing w:line="400" w:lineRule="atLeas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1辆</w:t>
            </w:r>
          </w:p>
        </w:tc>
        <w:tc>
          <w:tcPr>
            <w:tcW w:w="1220" w:type="dxa"/>
            <w:vAlign w:val="center"/>
          </w:tcPr>
          <w:p w14:paraId="10830B96">
            <w:pPr>
              <w:keepNext w:val="0"/>
              <w:keepLines w:val="0"/>
              <w:widowControl/>
              <w:suppressLineNumbers w:val="0"/>
              <w:jc w:val="center"/>
              <w:textAlignment w:val="center"/>
              <w:rPr>
                <w:rFonts w:hint="default" w:ascii="宋体" w:hAnsi="宋体" w:cs="宋体"/>
                <w:color w:val="auto"/>
                <w:szCs w:val="21"/>
                <w:lang w:val="en-US" w:eastAsia="zh-CN"/>
              </w:rPr>
            </w:pPr>
            <w:r>
              <w:rPr>
                <w:rFonts w:hint="eastAsia" w:ascii="宋体" w:hAnsi="宋体" w:cs="宋体"/>
                <w:color w:val="auto"/>
                <w:szCs w:val="21"/>
                <w:lang w:val="en-US" w:eastAsia="zh-CN"/>
              </w:rPr>
              <w:t>386800.00</w:t>
            </w:r>
          </w:p>
        </w:tc>
        <w:tc>
          <w:tcPr>
            <w:tcW w:w="700" w:type="dxa"/>
            <w:vAlign w:val="center"/>
          </w:tcPr>
          <w:p w14:paraId="20421D10">
            <w:pPr>
              <w:keepNext w:val="0"/>
              <w:keepLines w:val="0"/>
              <w:pageBreakBefore w:val="0"/>
              <w:kinsoku/>
              <w:wordWrap/>
              <w:overflowPunct/>
              <w:topLinePunct w:val="0"/>
              <w:autoSpaceDE/>
              <w:autoSpaceDN/>
              <w:bidi w:val="0"/>
              <w:adjustRightInd/>
              <w:spacing w:line="380" w:lineRule="atLeast"/>
              <w:jc w:val="center"/>
              <w:rPr>
                <w:rFonts w:hint="eastAsia" w:ascii="宋体" w:hAnsi="宋体" w:eastAsia="宋体" w:cs="宋体"/>
                <w:color w:val="auto"/>
                <w:szCs w:val="21"/>
                <w:lang w:eastAsia="zh-CN"/>
              </w:rPr>
            </w:pPr>
            <w:r>
              <w:rPr>
                <w:rFonts w:hint="eastAsia" w:ascii="宋体" w:hAnsi="宋体" w:cs="宋体"/>
                <w:color w:val="auto"/>
                <w:szCs w:val="21"/>
                <w:lang w:eastAsia="zh-CN"/>
              </w:rPr>
              <w:t>工业</w:t>
            </w:r>
          </w:p>
        </w:tc>
        <w:tc>
          <w:tcPr>
            <w:tcW w:w="5605" w:type="dxa"/>
            <w:vAlign w:val="center"/>
          </w:tcPr>
          <w:p w14:paraId="7D26F27E">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一、基本要求：</w:t>
            </w:r>
          </w:p>
          <w:p w14:paraId="5F9B670C">
            <w:pPr>
              <w:widowControl/>
              <w:spacing w:line="440" w:lineRule="exact"/>
              <w:textAlignment w:val="baseline"/>
              <w:rPr>
                <w:rFonts w:hint="eastAsia" w:ascii="宋体" w:hAnsi="宋体" w:eastAsia="宋体" w:cs="Arial"/>
                <w:bCs/>
                <w:color w:val="auto"/>
                <w:szCs w:val="21"/>
              </w:rPr>
            </w:pPr>
            <w:r>
              <w:rPr>
                <w:rFonts w:hint="eastAsia" w:hAnsi="宋体"/>
                <w:b/>
                <w:bCs/>
                <w:color w:val="auto"/>
              </w:rPr>
              <w:t>▲</w:t>
            </w:r>
            <w:r>
              <w:rPr>
                <w:rFonts w:hint="eastAsia" w:ascii="宋体" w:hAnsi="宋体" w:cs="Arial"/>
                <w:bCs/>
                <w:color w:val="auto"/>
                <w:szCs w:val="21"/>
              </w:rPr>
              <w:t>1、在本次救护车底盘选型</w:t>
            </w:r>
            <w:r>
              <w:rPr>
                <w:rFonts w:hint="eastAsia" w:ascii="宋体" w:hAnsi="宋体" w:cs="Arial"/>
                <w:bCs/>
                <w:color w:val="auto"/>
                <w:szCs w:val="21"/>
                <w:lang w:eastAsia="zh-CN"/>
              </w:rPr>
              <w:t>采购</w:t>
            </w:r>
            <w:r>
              <w:rPr>
                <w:rFonts w:hint="eastAsia" w:ascii="宋体" w:hAnsi="宋体" w:cs="Arial"/>
                <w:bCs/>
                <w:color w:val="auto"/>
                <w:szCs w:val="21"/>
              </w:rPr>
              <w:t>项目中，底盘车型须为客</w:t>
            </w:r>
            <w:r>
              <w:rPr>
                <w:rFonts w:hint="eastAsia" w:ascii="宋体" w:hAnsi="宋体" w:eastAsia="宋体" w:cs="Arial"/>
                <w:bCs/>
                <w:color w:val="auto"/>
                <w:szCs w:val="21"/>
              </w:rPr>
              <w:t>车。</w:t>
            </w:r>
          </w:p>
          <w:p w14:paraId="078F1912">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2、功能：主要用于运输和抢救病人。</w:t>
            </w:r>
          </w:p>
          <w:p w14:paraId="4FE410F2">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3、上牌要求：</w:t>
            </w:r>
            <w:r>
              <w:rPr>
                <w:rFonts w:hint="eastAsia" w:ascii="宋体" w:hAnsi="宋体" w:cs="Arial"/>
                <w:bCs/>
                <w:color w:val="auto"/>
                <w:szCs w:val="21"/>
                <w:lang w:eastAsia="zh-CN"/>
              </w:rPr>
              <w:t>供应商</w:t>
            </w:r>
            <w:r>
              <w:rPr>
                <w:rFonts w:hint="eastAsia" w:ascii="宋体" w:hAnsi="宋体" w:cs="Arial"/>
                <w:bCs/>
                <w:color w:val="auto"/>
                <w:szCs w:val="21"/>
              </w:rPr>
              <w:t>所</w:t>
            </w:r>
            <w:r>
              <w:rPr>
                <w:rFonts w:hint="eastAsia" w:ascii="宋体" w:hAnsi="宋体" w:cs="Arial"/>
                <w:bCs/>
                <w:color w:val="auto"/>
                <w:szCs w:val="21"/>
                <w:lang w:eastAsia="zh-CN"/>
              </w:rPr>
              <w:t>竞标</w:t>
            </w:r>
            <w:r>
              <w:rPr>
                <w:rFonts w:hint="eastAsia" w:ascii="宋体" w:hAnsi="宋体" w:cs="Arial"/>
                <w:bCs/>
                <w:color w:val="auto"/>
                <w:szCs w:val="21"/>
              </w:rPr>
              <w:t>车辆应具备国家发改委目录公告，能在</w:t>
            </w:r>
            <w:r>
              <w:rPr>
                <w:rFonts w:hint="eastAsia" w:ascii="宋体" w:hAnsi="宋体" w:cs="Arial"/>
                <w:bCs/>
                <w:color w:val="auto"/>
                <w:szCs w:val="21"/>
                <w:lang w:eastAsia="zh-CN"/>
              </w:rPr>
              <w:t>采购人</w:t>
            </w:r>
            <w:r>
              <w:rPr>
                <w:rFonts w:hint="eastAsia" w:ascii="宋体" w:hAnsi="宋体" w:cs="Arial"/>
                <w:bCs/>
                <w:color w:val="auto"/>
                <w:szCs w:val="21"/>
              </w:rPr>
              <w:t>所在地的公安交通管理部门办理特种车上牌照手续。</w:t>
            </w:r>
          </w:p>
          <w:p w14:paraId="37365D82">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4、驾驶证要求：C1驾照即可驾驶。</w:t>
            </w:r>
          </w:p>
          <w:p w14:paraId="6367E098">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5、工作条件：车辆应适应全国自然条件，适应户外作业的需求。</w:t>
            </w:r>
          </w:p>
          <w:p w14:paraId="78659FEF">
            <w:pPr>
              <w:widowControl/>
              <w:spacing w:line="440" w:lineRule="exact"/>
              <w:textAlignment w:val="baseline"/>
              <w:rPr>
                <w:rFonts w:hint="eastAsia" w:ascii="宋体" w:hAnsi="宋体" w:eastAsia="宋体" w:cs="Arial"/>
                <w:bCs/>
                <w:color w:val="auto"/>
                <w:szCs w:val="21"/>
              </w:rPr>
            </w:pPr>
            <w:r>
              <w:rPr>
                <w:rFonts w:hint="eastAsia" w:ascii="宋体" w:hAnsi="宋体" w:cs="Arial"/>
                <w:bCs/>
                <w:color w:val="auto"/>
                <w:szCs w:val="21"/>
                <w:lang w:val="en-US" w:eastAsia="zh-CN"/>
              </w:rPr>
              <w:t>6</w:t>
            </w:r>
            <w:r>
              <w:rPr>
                <w:rFonts w:hint="eastAsia" w:ascii="宋体" w:hAnsi="宋体" w:cs="Arial"/>
                <w:bCs/>
                <w:color w:val="auto"/>
                <w:szCs w:val="21"/>
              </w:rPr>
              <w:t>、舒适配置：多功能方向盘、定速巡航、日间行车灯、倒车后</w:t>
            </w:r>
            <w:r>
              <w:rPr>
                <w:rFonts w:hint="eastAsia" w:ascii="宋体" w:hAnsi="宋体" w:eastAsia="宋体" w:cs="Arial"/>
                <w:bCs/>
                <w:color w:val="auto"/>
                <w:szCs w:val="21"/>
              </w:rPr>
              <w:t>视</w:t>
            </w:r>
            <w:r>
              <w:rPr>
                <w:rFonts w:hint="eastAsia" w:ascii="宋体" w:hAnsi="宋体" w:eastAsia="宋体" w:cs="Arial"/>
                <w:bCs/>
                <w:color w:val="auto"/>
                <w:szCs w:val="21"/>
                <w:lang w:eastAsia="zh-CN"/>
              </w:rPr>
              <w:t>、</w:t>
            </w:r>
            <w:r>
              <w:rPr>
                <w:rFonts w:hint="eastAsia" w:ascii="宋体" w:hAnsi="宋体" w:eastAsia="宋体" w:cs="Arial"/>
                <w:bCs/>
                <w:color w:val="auto"/>
                <w:szCs w:val="21"/>
                <w:lang w:val="en-US" w:eastAsia="zh-CN"/>
              </w:rPr>
              <w:t>行车记录仪</w:t>
            </w:r>
            <w:r>
              <w:rPr>
                <w:rFonts w:hint="eastAsia" w:ascii="宋体" w:hAnsi="宋体" w:eastAsia="宋体" w:cs="Arial"/>
                <w:bCs/>
                <w:color w:val="auto"/>
                <w:szCs w:val="21"/>
              </w:rPr>
              <w:t>。</w:t>
            </w:r>
          </w:p>
          <w:p w14:paraId="2ADC47B6">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二、底盘要求：</w:t>
            </w:r>
          </w:p>
          <w:p w14:paraId="09349D84">
            <w:pPr>
              <w:widowControl/>
              <w:spacing w:line="440" w:lineRule="exact"/>
              <w:textAlignment w:val="baseline"/>
              <w:rPr>
                <w:rFonts w:hint="eastAsia" w:ascii="宋体" w:hAnsi="宋体" w:cs="Arial"/>
                <w:bCs/>
                <w:color w:val="auto"/>
                <w:szCs w:val="21"/>
              </w:rPr>
            </w:pPr>
            <w:r>
              <w:rPr>
                <w:rFonts w:hint="eastAsia" w:hAnsi="宋体"/>
                <w:b/>
                <w:bCs/>
                <w:color w:val="auto"/>
              </w:rPr>
              <w:t>▲</w:t>
            </w:r>
            <w:r>
              <w:rPr>
                <w:rFonts w:hint="eastAsia" w:ascii="宋体" w:hAnsi="宋体" w:cs="Arial"/>
                <w:bCs/>
                <w:color w:val="auto"/>
                <w:szCs w:val="21"/>
              </w:rPr>
              <w:t>1.车辆尺寸</w:t>
            </w:r>
            <w:r>
              <w:rPr>
                <w:rFonts w:hint="eastAsia" w:ascii="宋体" w:hAnsi="宋体" w:cs="Arial"/>
                <w:bCs/>
                <w:color w:val="auto"/>
                <w:szCs w:val="21"/>
                <w:lang w:val="en-US" w:eastAsia="zh-CN"/>
              </w:rPr>
              <w:t>要求</w:t>
            </w:r>
            <w:r>
              <w:rPr>
                <w:rFonts w:hint="eastAsia" w:ascii="宋体" w:hAnsi="宋体" w:cs="Arial"/>
                <w:bCs/>
                <w:color w:val="auto"/>
                <w:szCs w:val="21"/>
              </w:rPr>
              <w:t>：整车长(mm)</w:t>
            </w:r>
            <w:r>
              <w:rPr>
                <w:rFonts w:hint="eastAsia" w:ascii="宋体" w:hAnsi="宋体" w:cs="Arial"/>
                <w:bCs/>
                <w:color w:val="auto"/>
                <w:szCs w:val="21"/>
                <w:lang w:eastAsia="zh-CN"/>
              </w:rPr>
              <w:t>：</w:t>
            </w:r>
            <w:r>
              <w:rPr>
                <w:rFonts w:hint="eastAsia" w:ascii="宋体" w:hAnsi="宋体" w:cs="Arial"/>
                <w:bCs/>
                <w:color w:val="auto"/>
                <w:szCs w:val="21"/>
                <w:lang w:val="en-US" w:eastAsia="zh-CN"/>
              </w:rPr>
              <w:t>≥5980</w:t>
            </w:r>
            <w:r>
              <w:rPr>
                <w:rFonts w:hint="eastAsia" w:ascii="宋体" w:hAnsi="宋体" w:cs="Arial"/>
                <w:bCs/>
                <w:color w:val="auto"/>
                <w:szCs w:val="21"/>
              </w:rPr>
              <w:t>；整车宽(mm)：</w:t>
            </w:r>
            <w:r>
              <w:rPr>
                <w:rFonts w:hint="eastAsia" w:ascii="宋体" w:hAnsi="宋体" w:cs="Arial"/>
                <w:bCs/>
                <w:color w:val="auto"/>
                <w:szCs w:val="21"/>
                <w:lang w:val="en-US" w:eastAsia="zh-CN"/>
              </w:rPr>
              <w:t>≥2000</w:t>
            </w:r>
            <w:r>
              <w:rPr>
                <w:rFonts w:hint="eastAsia" w:ascii="宋体" w:hAnsi="宋体" w:cs="Arial"/>
                <w:bCs/>
                <w:color w:val="auto"/>
                <w:szCs w:val="21"/>
              </w:rPr>
              <w:t>；整车高(mm)：</w:t>
            </w:r>
            <w:r>
              <w:rPr>
                <w:rFonts w:hint="eastAsia" w:ascii="宋体" w:hAnsi="宋体" w:cs="Arial"/>
                <w:bCs/>
                <w:color w:val="auto"/>
                <w:szCs w:val="21"/>
                <w:lang w:val="en-US" w:eastAsia="zh-CN"/>
              </w:rPr>
              <w:t>≥2900</w:t>
            </w:r>
            <w:r>
              <w:rPr>
                <w:rFonts w:hint="eastAsia" w:ascii="宋体" w:hAnsi="宋体" w:cs="Arial"/>
                <w:bCs/>
                <w:color w:val="auto"/>
                <w:szCs w:val="21"/>
              </w:rPr>
              <w:t>；轴距(mm)：</w:t>
            </w:r>
            <w:r>
              <w:rPr>
                <w:rFonts w:hint="eastAsia" w:ascii="宋体" w:hAnsi="宋体" w:cs="Arial"/>
                <w:bCs/>
                <w:color w:val="auto"/>
                <w:szCs w:val="21"/>
                <w:lang w:val="en-US" w:eastAsia="zh-CN"/>
              </w:rPr>
              <w:t>≥</w:t>
            </w:r>
            <w:r>
              <w:rPr>
                <w:rFonts w:hint="eastAsia" w:ascii="宋体" w:hAnsi="宋体" w:cs="Arial"/>
                <w:bCs/>
                <w:color w:val="auto"/>
                <w:szCs w:val="21"/>
              </w:rPr>
              <w:t>37</w:t>
            </w:r>
            <w:r>
              <w:rPr>
                <w:rFonts w:hint="eastAsia" w:ascii="宋体" w:hAnsi="宋体" w:cs="Arial"/>
                <w:bCs/>
                <w:color w:val="auto"/>
                <w:szCs w:val="21"/>
                <w:lang w:val="en-US" w:eastAsia="zh-CN"/>
              </w:rPr>
              <w:t>50</w:t>
            </w:r>
            <w:r>
              <w:rPr>
                <w:rFonts w:hint="eastAsia" w:ascii="宋体" w:hAnsi="宋体" w:cs="Arial"/>
                <w:bCs/>
                <w:color w:val="auto"/>
                <w:szCs w:val="21"/>
              </w:rPr>
              <w:t>。（</w:t>
            </w:r>
            <w:r>
              <w:rPr>
                <w:rFonts w:hint="eastAsia" w:ascii="宋体" w:hAnsi="宋体" w:eastAsia="宋体" w:cs="Arial"/>
                <w:bCs/>
                <w:color w:val="auto"/>
                <w:szCs w:val="21"/>
                <w:lang w:val="en-US" w:eastAsia="zh-CN"/>
              </w:rPr>
              <w:t>响应文件中</w:t>
            </w:r>
            <w:r>
              <w:rPr>
                <w:rFonts w:hint="eastAsia" w:ascii="宋体" w:hAnsi="宋体" w:cs="Arial"/>
                <w:bCs/>
                <w:color w:val="auto"/>
                <w:szCs w:val="21"/>
                <w:lang w:val="en-US" w:eastAsia="zh-CN"/>
              </w:rPr>
              <w:t>须</w:t>
            </w:r>
            <w:r>
              <w:rPr>
                <w:rFonts w:hint="eastAsia" w:ascii="宋体" w:hAnsi="宋体" w:eastAsia="宋体" w:cs="Arial"/>
                <w:bCs/>
                <w:color w:val="auto"/>
                <w:szCs w:val="21"/>
                <w:lang w:val="en-US" w:eastAsia="zh-CN"/>
              </w:rPr>
              <w:t>提供</w:t>
            </w:r>
            <w:r>
              <w:rPr>
                <w:rFonts w:hint="eastAsia" w:ascii="宋体" w:hAnsi="宋体" w:eastAsia="宋体" w:cs="Arial"/>
                <w:bCs/>
                <w:color w:val="auto"/>
                <w:szCs w:val="21"/>
              </w:rPr>
              <w:t>相应的</w:t>
            </w:r>
            <w:r>
              <w:rPr>
                <w:rFonts w:hint="eastAsia" w:ascii="宋体" w:hAnsi="宋体" w:eastAsia="宋体" w:cs="Arial"/>
                <w:bCs/>
                <w:color w:val="auto"/>
                <w:szCs w:val="21"/>
                <w:lang w:val="en-US" w:eastAsia="zh-CN"/>
              </w:rPr>
              <w:t>中国工信部</w:t>
            </w:r>
            <w:r>
              <w:rPr>
                <w:rFonts w:hint="eastAsia" w:ascii="宋体" w:hAnsi="宋体" w:eastAsia="宋体" w:cs="Arial"/>
                <w:bCs/>
                <w:color w:val="auto"/>
                <w:szCs w:val="21"/>
              </w:rPr>
              <w:t>产品</w:t>
            </w:r>
            <w:r>
              <w:rPr>
                <w:rFonts w:hint="eastAsia" w:ascii="宋体" w:hAnsi="宋体" w:cs="Arial"/>
                <w:bCs/>
                <w:color w:val="auto"/>
                <w:szCs w:val="21"/>
              </w:rPr>
              <w:t>参数公告截图</w:t>
            </w:r>
            <w:r>
              <w:rPr>
                <w:rFonts w:hint="eastAsia" w:ascii="宋体" w:hAnsi="宋体" w:cs="Arial"/>
                <w:bCs/>
                <w:color w:val="auto"/>
                <w:szCs w:val="21"/>
                <w:lang w:val="en-US" w:eastAsia="zh-CN"/>
              </w:rPr>
              <w:t>证明并标注。</w:t>
            </w:r>
            <w:r>
              <w:rPr>
                <w:rFonts w:hint="eastAsia" w:ascii="宋体" w:hAnsi="宋体" w:cs="Arial"/>
                <w:bCs/>
                <w:color w:val="auto"/>
                <w:szCs w:val="21"/>
              </w:rPr>
              <w:t>）</w:t>
            </w:r>
          </w:p>
          <w:p w14:paraId="4BAD1006">
            <w:pPr>
              <w:widowControl/>
              <w:spacing w:line="440" w:lineRule="exact"/>
              <w:textAlignment w:val="baseline"/>
              <w:rPr>
                <w:rFonts w:hint="eastAsia" w:ascii="宋体" w:hAnsi="宋体" w:cs="Arial"/>
                <w:bCs/>
                <w:color w:val="auto"/>
                <w:szCs w:val="21"/>
              </w:rPr>
            </w:pPr>
            <w:r>
              <w:rPr>
                <w:rFonts w:hint="eastAsia" w:hAnsi="宋体"/>
                <w:b/>
                <w:bCs/>
                <w:color w:val="auto"/>
              </w:rPr>
              <w:t>▲</w:t>
            </w:r>
            <w:r>
              <w:rPr>
                <w:rFonts w:hint="eastAsia" w:ascii="宋体" w:hAnsi="宋体" w:cs="Arial"/>
                <w:bCs/>
                <w:color w:val="auto"/>
                <w:szCs w:val="21"/>
              </w:rPr>
              <w:t>2.</w:t>
            </w:r>
            <w:r>
              <w:rPr>
                <w:rFonts w:hint="eastAsia" w:ascii="宋体" w:hAnsi="宋体" w:cs="Arial"/>
                <w:bCs/>
                <w:color w:val="auto"/>
                <w:szCs w:val="21"/>
                <w:lang w:val="en-US" w:eastAsia="zh-CN"/>
              </w:rPr>
              <w:t>底盘基础要求：</w:t>
            </w:r>
            <w:r>
              <w:rPr>
                <w:rFonts w:hint="eastAsia" w:ascii="宋体" w:hAnsi="宋体" w:cs="Arial"/>
                <w:bCs/>
                <w:color w:val="auto"/>
                <w:szCs w:val="21"/>
              </w:rPr>
              <w:t>燃油种类：柴油</w:t>
            </w:r>
            <w:r>
              <w:rPr>
                <w:rFonts w:hint="eastAsia" w:ascii="宋体" w:hAnsi="宋体" w:cs="Arial"/>
                <w:bCs/>
                <w:color w:val="auto"/>
                <w:szCs w:val="21"/>
                <w:lang w:eastAsia="zh-CN"/>
              </w:rPr>
              <w:t>；</w:t>
            </w:r>
            <w:r>
              <w:rPr>
                <w:rFonts w:hint="eastAsia" w:ascii="宋体" w:hAnsi="宋体" w:cs="Arial"/>
                <w:bCs/>
                <w:color w:val="auto"/>
                <w:szCs w:val="21"/>
              </w:rPr>
              <w:t>排放标准：国六</w:t>
            </w:r>
            <w:r>
              <w:rPr>
                <w:rFonts w:hint="eastAsia" w:ascii="宋体" w:hAnsi="宋体" w:cs="Arial"/>
                <w:bCs/>
                <w:color w:val="auto"/>
                <w:szCs w:val="21"/>
                <w:lang w:eastAsia="zh-CN"/>
              </w:rPr>
              <w:t>；</w:t>
            </w:r>
            <w:r>
              <w:rPr>
                <w:rFonts w:hint="eastAsia" w:ascii="宋体" w:hAnsi="宋体" w:cs="Arial"/>
                <w:bCs/>
                <w:color w:val="auto"/>
                <w:szCs w:val="21"/>
              </w:rPr>
              <w:t>排气量：</w:t>
            </w:r>
            <w:r>
              <w:rPr>
                <w:rFonts w:hint="eastAsia" w:ascii="宋体" w:hAnsi="宋体" w:cs="Arial"/>
                <w:bCs/>
                <w:color w:val="auto"/>
                <w:szCs w:val="21"/>
                <w:lang w:val="en-US" w:eastAsia="zh-CN"/>
              </w:rPr>
              <w:t>≥</w:t>
            </w:r>
            <w:r>
              <w:rPr>
                <w:rFonts w:hint="eastAsia" w:ascii="宋体" w:hAnsi="宋体" w:cs="Arial"/>
                <w:bCs/>
                <w:color w:val="auto"/>
                <w:szCs w:val="21"/>
              </w:rPr>
              <w:t>2</w:t>
            </w:r>
            <w:r>
              <w:rPr>
                <w:rFonts w:hint="eastAsia" w:ascii="宋体" w:hAnsi="宋体" w:cs="Arial"/>
                <w:bCs/>
                <w:color w:val="auto"/>
                <w:szCs w:val="21"/>
                <w:lang w:val="en-US" w:eastAsia="zh-CN"/>
              </w:rPr>
              <w:t>200</w:t>
            </w:r>
            <w:r>
              <w:rPr>
                <w:rFonts w:hint="eastAsia" w:ascii="宋体" w:hAnsi="宋体" w:cs="Arial"/>
                <w:bCs/>
                <w:color w:val="auto"/>
                <w:szCs w:val="21"/>
              </w:rPr>
              <w:t>ml</w:t>
            </w:r>
            <w:r>
              <w:rPr>
                <w:rFonts w:hint="eastAsia" w:ascii="宋体" w:hAnsi="宋体" w:cs="Arial"/>
                <w:bCs/>
                <w:color w:val="auto"/>
                <w:szCs w:val="21"/>
                <w:lang w:eastAsia="zh-CN"/>
              </w:rPr>
              <w:t>；</w:t>
            </w:r>
            <w:r>
              <w:rPr>
                <w:rFonts w:hint="eastAsia" w:ascii="宋体" w:hAnsi="宋体" w:cs="Arial"/>
                <w:bCs/>
                <w:color w:val="auto"/>
                <w:szCs w:val="21"/>
              </w:rPr>
              <w:t>功率：≥</w:t>
            </w:r>
            <w:r>
              <w:rPr>
                <w:rFonts w:hint="eastAsia" w:ascii="宋体" w:hAnsi="宋体" w:cs="Arial"/>
                <w:bCs/>
                <w:color w:val="auto"/>
                <w:szCs w:val="21"/>
                <w:lang w:val="en-US" w:eastAsia="zh-CN"/>
              </w:rPr>
              <w:t>128</w:t>
            </w:r>
            <w:r>
              <w:rPr>
                <w:rFonts w:hint="eastAsia" w:ascii="宋体" w:hAnsi="宋体" w:cs="Arial"/>
                <w:bCs/>
                <w:color w:val="auto"/>
                <w:szCs w:val="21"/>
              </w:rPr>
              <w:t>kw</w:t>
            </w:r>
            <w:r>
              <w:rPr>
                <w:rFonts w:hint="eastAsia" w:ascii="宋体" w:hAnsi="宋体" w:cs="Arial"/>
                <w:bCs/>
                <w:color w:val="auto"/>
                <w:szCs w:val="21"/>
                <w:lang w:eastAsia="zh-CN"/>
              </w:rPr>
              <w:t>；</w:t>
            </w:r>
            <w:r>
              <w:rPr>
                <w:rFonts w:hint="eastAsia" w:ascii="宋体" w:hAnsi="宋体" w:cs="Arial"/>
                <w:bCs/>
                <w:color w:val="auto"/>
                <w:szCs w:val="21"/>
              </w:rPr>
              <w:t>总质量：</w:t>
            </w:r>
            <w:r>
              <w:rPr>
                <w:rFonts w:hint="eastAsia" w:ascii="宋体" w:hAnsi="宋体" w:cs="Arial"/>
                <w:bCs/>
                <w:color w:val="auto"/>
                <w:szCs w:val="21"/>
                <w:lang w:val="en-US" w:eastAsia="zh-CN"/>
              </w:rPr>
              <w:t>≤41</w:t>
            </w:r>
            <w:r>
              <w:rPr>
                <w:rFonts w:hint="eastAsia" w:ascii="宋体" w:hAnsi="宋体" w:cs="Arial"/>
                <w:bCs/>
                <w:color w:val="auto"/>
                <w:szCs w:val="21"/>
              </w:rPr>
              <w:t>00</w:t>
            </w:r>
            <w:r>
              <w:rPr>
                <w:rFonts w:hint="eastAsia" w:ascii="宋体" w:hAnsi="宋体" w:cs="Arial"/>
                <w:bCs/>
                <w:color w:val="auto"/>
                <w:szCs w:val="21"/>
                <w:lang w:val="en-US" w:eastAsia="zh-CN"/>
              </w:rPr>
              <w:t>kg</w:t>
            </w:r>
            <w:r>
              <w:rPr>
                <w:rFonts w:hint="eastAsia" w:ascii="宋体" w:hAnsi="宋体" w:cs="Arial"/>
                <w:bCs/>
                <w:color w:val="auto"/>
                <w:szCs w:val="21"/>
                <w:lang w:eastAsia="zh-CN"/>
              </w:rPr>
              <w:t>；</w:t>
            </w:r>
            <w:r>
              <w:rPr>
                <w:rFonts w:hint="eastAsia" w:ascii="宋体" w:hAnsi="宋体" w:cs="Arial"/>
                <w:bCs/>
                <w:color w:val="auto"/>
                <w:szCs w:val="21"/>
              </w:rPr>
              <w:t xml:space="preserve"> 整备质量：</w:t>
            </w:r>
            <w:r>
              <w:rPr>
                <w:rFonts w:hint="eastAsia" w:ascii="宋体" w:hAnsi="宋体" w:cs="Arial"/>
                <w:bCs/>
                <w:color w:val="auto"/>
                <w:szCs w:val="21"/>
                <w:highlight w:val="none"/>
                <w:lang w:val="en-US" w:eastAsia="zh-CN"/>
              </w:rPr>
              <w:t>≥3080kg</w:t>
            </w:r>
            <w:r>
              <w:rPr>
                <w:rFonts w:hint="eastAsia" w:ascii="宋体" w:hAnsi="宋体" w:cs="Arial"/>
                <w:bCs/>
                <w:color w:val="auto"/>
                <w:szCs w:val="21"/>
                <w:highlight w:val="none"/>
              </w:rPr>
              <w:t>。</w:t>
            </w:r>
            <w:r>
              <w:rPr>
                <w:rFonts w:hint="eastAsia" w:ascii="宋体" w:hAnsi="宋体" w:cs="Arial"/>
                <w:bCs/>
                <w:color w:val="auto"/>
                <w:szCs w:val="21"/>
              </w:rPr>
              <w:t>（</w:t>
            </w:r>
            <w:r>
              <w:rPr>
                <w:rFonts w:hint="eastAsia" w:ascii="宋体" w:hAnsi="宋体" w:eastAsia="宋体" w:cs="Arial"/>
                <w:bCs/>
                <w:color w:val="auto"/>
                <w:szCs w:val="21"/>
                <w:lang w:val="en-US" w:eastAsia="zh-CN"/>
              </w:rPr>
              <w:t>响应文件中</w:t>
            </w:r>
            <w:r>
              <w:rPr>
                <w:rFonts w:hint="eastAsia" w:ascii="宋体" w:hAnsi="宋体" w:cs="Arial"/>
                <w:bCs/>
                <w:color w:val="auto"/>
                <w:szCs w:val="21"/>
                <w:lang w:val="en-US" w:eastAsia="zh-CN"/>
              </w:rPr>
              <w:t>须</w:t>
            </w:r>
            <w:r>
              <w:rPr>
                <w:rFonts w:hint="eastAsia" w:ascii="宋体" w:hAnsi="宋体" w:eastAsia="宋体" w:cs="Arial"/>
                <w:bCs/>
                <w:color w:val="auto"/>
                <w:szCs w:val="21"/>
                <w:lang w:val="en-US" w:eastAsia="zh-CN"/>
              </w:rPr>
              <w:t>提供</w:t>
            </w:r>
            <w:r>
              <w:rPr>
                <w:rFonts w:hint="eastAsia" w:ascii="宋体" w:hAnsi="宋体" w:eastAsia="宋体" w:cs="Arial"/>
                <w:bCs/>
                <w:color w:val="auto"/>
                <w:szCs w:val="21"/>
              </w:rPr>
              <w:t>相应的</w:t>
            </w:r>
            <w:r>
              <w:rPr>
                <w:rFonts w:hint="eastAsia" w:ascii="宋体" w:hAnsi="宋体" w:eastAsia="宋体" w:cs="Arial"/>
                <w:bCs/>
                <w:color w:val="auto"/>
                <w:szCs w:val="21"/>
                <w:lang w:val="en-US" w:eastAsia="zh-CN"/>
              </w:rPr>
              <w:t>中国工信部</w:t>
            </w:r>
            <w:r>
              <w:rPr>
                <w:rFonts w:hint="eastAsia" w:ascii="宋体" w:hAnsi="宋体" w:eastAsia="宋体" w:cs="Arial"/>
                <w:bCs/>
                <w:color w:val="auto"/>
                <w:szCs w:val="21"/>
              </w:rPr>
              <w:t>产品</w:t>
            </w:r>
            <w:r>
              <w:rPr>
                <w:rFonts w:hint="eastAsia" w:ascii="宋体" w:hAnsi="宋体" w:cs="Arial"/>
                <w:bCs/>
                <w:color w:val="auto"/>
                <w:szCs w:val="21"/>
              </w:rPr>
              <w:t>参数公告截图</w:t>
            </w:r>
            <w:r>
              <w:rPr>
                <w:rFonts w:hint="eastAsia" w:ascii="宋体" w:hAnsi="宋体" w:cs="Arial"/>
                <w:bCs/>
                <w:color w:val="auto"/>
                <w:szCs w:val="21"/>
                <w:lang w:val="en-US" w:eastAsia="zh-CN"/>
              </w:rPr>
              <w:t>证明并标注。</w:t>
            </w:r>
            <w:r>
              <w:rPr>
                <w:rFonts w:hint="eastAsia" w:ascii="宋体" w:hAnsi="宋体" w:cs="Arial"/>
                <w:bCs/>
                <w:color w:val="auto"/>
                <w:szCs w:val="21"/>
              </w:rPr>
              <w:t>）</w:t>
            </w:r>
          </w:p>
          <w:p w14:paraId="52F995A3">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3、接近角/离去角≥</w:t>
            </w:r>
            <w:r>
              <w:rPr>
                <w:rFonts w:hint="eastAsia" w:ascii="宋体" w:hAnsi="宋体" w:cs="Arial"/>
                <w:bCs/>
                <w:color w:val="auto"/>
                <w:szCs w:val="21"/>
                <w:lang w:val="en-US" w:eastAsia="zh-CN"/>
              </w:rPr>
              <w:t>19</w:t>
            </w:r>
            <w:r>
              <w:rPr>
                <w:rFonts w:hint="eastAsia" w:ascii="宋体" w:hAnsi="宋体" w:cs="Arial"/>
                <w:bCs/>
                <w:color w:val="auto"/>
                <w:szCs w:val="21"/>
              </w:rPr>
              <w:t>/</w:t>
            </w:r>
            <w:r>
              <w:rPr>
                <w:rFonts w:hint="eastAsia" w:ascii="宋体" w:hAnsi="宋体" w:cs="Arial"/>
                <w:bCs/>
                <w:color w:val="auto"/>
                <w:szCs w:val="21"/>
                <w:lang w:val="en-US" w:eastAsia="zh-CN"/>
              </w:rPr>
              <w:t>19</w:t>
            </w:r>
            <w:r>
              <w:rPr>
                <w:rFonts w:hint="eastAsia" w:ascii="宋体" w:hAnsi="宋体" w:cs="Arial"/>
                <w:bCs/>
                <w:color w:val="auto"/>
                <w:szCs w:val="21"/>
              </w:rPr>
              <w:t>°</w:t>
            </w:r>
          </w:p>
          <w:p w14:paraId="4B745074">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4、乘员数：</w:t>
            </w:r>
            <w:r>
              <w:rPr>
                <w:rFonts w:hint="eastAsia" w:ascii="宋体" w:hAnsi="宋体" w:cs="Arial"/>
                <w:bCs/>
                <w:color w:val="auto"/>
                <w:szCs w:val="21"/>
                <w:lang w:val="en-US" w:eastAsia="zh-CN"/>
              </w:rPr>
              <w:t>5-8</w:t>
            </w:r>
            <w:r>
              <w:rPr>
                <w:rFonts w:hint="eastAsia" w:ascii="宋体" w:hAnsi="宋体" w:cs="Arial"/>
                <w:bCs/>
                <w:color w:val="auto"/>
                <w:szCs w:val="21"/>
              </w:rPr>
              <w:t>人</w:t>
            </w:r>
          </w:p>
          <w:p w14:paraId="662FCEDE">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5</w:t>
            </w:r>
            <w:r>
              <w:rPr>
                <w:rFonts w:hint="eastAsia" w:ascii="宋体" w:hAnsi="宋体" w:cs="Arial"/>
                <w:bCs/>
                <w:color w:val="auto"/>
                <w:szCs w:val="21"/>
              </w:rPr>
              <w:t>、百公里油耗：≤</w:t>
            </w:r>
            <w:r>
              <w:rPr>
                <w:rFonts w:hint="eastAsia" w:ascii="宋体" w:hAnsi="宋体" w:cs="Arial"/>
                <w:bCs/>
                <w:color w:val="auto"/>
                <w:szCs w:val="21"/>
                <w:lang w:val="en-US" w:eastAsia="zh-CN"/>
              </w:rPr>
              <w:t>12</w:t>
            </w:r>
            <w:r>
              <w:rPr>
                <w:rFonts w:hint="eastAsia" w:ascii="宋体" w:hAnsi="宋体" w:cs="Arial"/>
                <w:bCs/>
                <w:color w:val="auto"/>
                <w:szCs w:val="21"/>
              </w:rPr>
              <w:t>L。</w:t>
            </w:r>
          </w:p>
          <w:p w14:paraId="41817538">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6</w:t>
            </w:r>
            <w:r>
              <w:rPr>
                <w:rFonts w:hint="eastAsia" w:ascii="宋体" w:hAnsi="宋体" w:cs="Arial"/>
                <w:bCs/>
                <w:color w:val="auto"/>
                <w:szCs w:val="21"/>
              </w:rPr>
              <w:t>、变速器：</w:t>
            </w:r>
            <w:r>
              <w:rPr>
                <w:rFonts w:hint="eastAsia" w:ascii="宋体" w:hAnsi="宋体" w:cs="Arial"/>
                <w:bCs/>
                <w:color w:val="auto"/>
                <w:szCs w:val="21"/>
                <w:lang w:val="en-US" w:eastAsia="zh-CN"/>
              </w:rPr>
              <w:t>8</w:t>
            </w:r>
            <w:r>
              <w:rPr>
                <w:rFonts w:hint="eastAsia" w:ascii="宋体" w:hAnsi="宋体" w:cs="Arial"/>
                <w:bCs/>
                <w:color w:val="auto"/>
                <w:szCs w:val="21"/>
              </w:rPr>
              <w:t>档</w:t>
            </w:r>
            <w:r>
              <w:rPr>
                <w:rFonts w:hint="eastAsia" w:ascii="宋体" w:hAnsi="宋体" w:cs="Arial"/>
                <w:bCs/>
                <w:color w:val="auto"/>
                <w:szCs w:val="21"/>
                <w:lang w:val="en-US" w:eastAsia="zh-CN"/>
              </w:rPr>
              <w:t>自</w:t>
            </w:r>
            <w:r>
              <w:rPr>
                <w:rFonts w:hint="eastAsia" w:ascii="宋体" w:hAnsi="宋体" w:cs="Arial"/>
                <w:bCs/>
                <w:color w:val="auto"/>
                <w:szCs w:val="21"/>
              </w:rPr>
              <w:t>动变速器，中控台集成式换挡杆。</w:t>
            </w:r>
          </w:p>
          <w:p w14:paraId="497115D8">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7</w:t>
            </w:r>
            <w:r>
              <w:rPr>
                <w:rFonts w:hint="eastAsia" w:ascii="宋体" w:hAnsi="宋体" w:cs="Arial"/>
                <w:bCs/>
                <w:color w:val="auto"/>
                <w:szCs w:val="21"/>
              </w:rPr>
              <w:t>、最高时速：≥1</w:t>
            </w:r>
            <w:r>
              <w:rPr>
                <w:rFonts w:hint="eastAsia" w:ascii="宋体" w:hAnsi="宋体" w:cs="Arial"/>
                <w:bCs/>
                <w:color w:val="auto"/>
                <w:szCs w:val="21"/>
                <w:lang w:val="en-US" w:eastAsia="zh-CN"/>
              </w:rPr>
              <w:t>6</w:t>
            </w:r>
            <w:r>
              <w:rPr>
                <w:rFonts w:hint="eastAsia" w:ascii="宋体" w:hAnsi="宋体" w:cs="Arial"/>
                <w:bCs/>
                <w:color w:val="auto"/>
                <w:szCs w:val="21"/>
              </w:rPr>
              <w:t>0Km/h。</w:t>
            </w:r>
          </w:p>
          <w:p w14:paraId="28706659">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8</w:t>
            </w:r>
            <w:r>
              <w:rPr>
                <w:rFonts w:hint="eastAsia" w:ascii="宋体" w:hAnsi="宋体" w:cs="Arial"/>
                <w:bCs/>
                <w:color w:val="auto"/>
                <w:szCs w:val="21"/>
              </w:rPr>
              <w:t>、轮胎：</w:t>
            </w:r>
            <w:r>
              <w:rPr>
                <w:rFonts w:hint="eastAsia" w:ascii="宋体" w:hAnsi="宋体" w:cs="Arial"/>
                <w:bCs/>
                <w:color w:val="auto"/>
                <w:szCs w:val="21"/>
                <w:lang w:val="en-US" w:eastAsia="zh-CN"/>
              </w:rPr>
              <w:t>≥</w:t>
            </w:r>
            <w:r>
              <w:rPr>
                <w:rFonts w:hint="eastAsia" w:ascii="宋体" w:hAnsi="宋体" w:cs="Arial"/>
                <w:bCs/>
                <w:color w:val="auto"/>
                <w:szCs w:val="21"/>
              </w:rPr>
              <w:t>235/65R16C。</w:t>
            </w:r>
          </w:p>
          <w:p w14:paraId="06E1D5BA">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9</w:t>
            </w:r>
            <w:r>
              <w:rPr>
                <w:rFonts w:hint="eastAsia" w:ascii="宋体" w:hAnsi="宋体" w:cs="Arial"/>
                <w:bCs/>
                <w:color w:val="auto"/>
                <w:szCs w:val="21"/>
              </w:rPr>
              <w:t>、刹车系统：前通风盘式，后实心盘式，ABS，四轮碟刹。</w:t>
            </w:r>
          </w:p>
          <w:p w14:paraId="5A6256F1">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三、车辆主要配置</w:t>
            </w:r>
          </w:p>
          <w:p w14:paraId="1494E8D8">
            <w:pPr>
              <w:widowControl/>
              <w:spacing w:line="440" w:lineRule="exact"/>
              <w:textAlignment w:val="baseline"/>
              <w:rPr>
                <w:rFonts w:hint="eastAsia" w:ascii="宋体" w:hAnsi="宋体" w:eastAsia="宋体" w:cs="Arial"/>
                <w:bCs/>
                <w:color w:val="auto"/>
                <w:szCs w:val="21"/>
                <w:lang w:eastAsia="zh-CN"/>
              </w:rPr>
            </w:pPr>
            <w:r>
              <w:rPr>
                <w:rFonts w:hint="eastAsia" w:ascii="宋体" w:hAnsi="宋体" w:cs="Arial"/>
                <w:bCs/>
                <w:color w:val="auto"/>
                <w:szCs w:val="21"/>
              </w:rPr>
              <w:t>1、防抱死制动系统 (ABS)</w:t>
            </w:r>
            <w:r>
              <w:rPr>
                <w:rFonts w:hint="eastAsia" w:ascii="宋体" w:hAnsi="宋体" w:cs="Arial"/>
                <w:bCs/>
                <w:color w:val="auto"/>
                <w:szCs w:val="21"/>
                <w:lang w:eastAsia="zh-CN"/>
              </w:rPr>
              <w:t>。</w:t>
            </w:r>
          </w:p>
          <w:p w14:paraId="2A693E74">
            <w:pPr>
              <w:widowControl/>
              <w:spacing w:line="440" w:lineRule="exact"/>
              <w:textAlignment w:val="baseline"/>
              <w:rPr>
                <w:rFonts w:hint="eastAsia" w:ascii="宋体" w:hAnsi="宋体" w:eastAsia="宋体" w:cs="Arial"/>
                <w:bCs/>
                <w:color w:val="auto"/>
                <w:szCs w:val="21"/>
                <w:lang w:eastAsia="zh-CN"/>
              </w:rPr>
            </w:pPr>
            <w:r>
              <w:rPr>
                <w:rFonts w:hint="eastAsia" w:ascii="宋体" w:hAnsi="宋体" w:cs="Arial"/>
                <w:bCs/>
                <w:color w:val="auto"/>
                <w:szCs w:val="21"/>
              </w:rPr>
              <w:t>2、制动力分配系统(EBD)</w:t>
            </w:r>
            <w:r>
              <w:rPr>
                <w:rFonts w:hint="eastAsia" w:ascii="宋体" w:hAnsi="宋体" w:cs="Arial"/>
                <w:bCs/>
                <w:color w:val="auto"/>
                <w:szCs w:val="21"/>
                <w:lang w:eastAsia="zh-CN"/>
              </w:rPr>
              <w:t>。</w:t>
            </w:r>
          </w:p>
          <w:p w14:paraId="4B7B394F">
            <w:pPr>
              <w:widowControl/>
              <w:spacing w:line="440" w:lineRule="exact"/>
              <w:textAlignment w:val="baseline"/>
              <w:rPr>
                <w:rFonts w:hint="eastAsia" w:ascii="宋体" w:hAnsi="宋体" w:eastAsia="宋体" w:cs="Arial"/>
                <w:bCs/>
                <w:color w:val="auto"/>
                <w:szCs w:val="21"/>
                <w:lang w:eastAsia="zh-CN"/>
              </w:rPr>
            </w:pPr>
            <w:r>
              <w:rPr>
                <w:rFonts w:hint="eastAsia" w:ascii="宋体" w:hAnsi="宋体" w:cs="Arial"/>
                <w:bCs/>
                <w:color w:val="auto"/>
                <w:szCs w:val="21"/>
              </w:rPr>
              <w:t>3、车辆维护警告系统</w:t>
            </w:r>
            <w:r>
              <w:rPr>
                <w:rFonts w:hint="eastAsia" w:ascii="宋体" w:hAnsi="宋体" w:cs="Arial"/>
                <w:bCs/>
                <w:color w:val="auto"/>
                <w:szCs w:val="21"/>
                <w:lang w:eastAsia="zh-CN"/>
              </w:rPr>
              <w:t>。</w:t>
            </w:r>
          </w:p>
          <w:p w14:paraId="64001572">
            <w:pPr>
              <w:widowControl/>
              <w:spacing w:line="440" w:lineRule="exact"/>
              <w:textAlignment w:val="baseline"/>
              <w:rPr>
                <w:rFonts w:hint="eastAsia" w:ascii="宋体" w:hAnsi="宋体" w:eastAsia="宋体" w:cs="Arial"/>
                <w:bCs/>
                <w:color w:val="auto"/>
                <w:szCs w:val="21"/>
                <w:lang w:eastAsia="zh-CN"/>
              </w:rPr>
            </w:pPr>
            <w:r>
              <w:rPr>
                <w:rFonts w:hint="eastAsia" w:ascii="宋体" w:hAnsi="宋体" w:cs="Arial"/>
                <w:bCs/>
                <w:color w:val="auto"/>
                <w:szCs w:val="21"/>
              </w:rPr>
              <w:t>4、中控门锁</w:t>
            </w:r>
            <w:r>
              <w:rPr>
                <w:rFonts w:hint="eastAsia" w:ascii="宋体" w:hAnsi="宋体" w:cs="Arial"/>
                <w:bCs/>
                <w:color w:val="auto"/>
                <w:szCs w:val="21"/>
                <w:lang w:eastAsia="zh-CN"/>
              </w:rPr>
              <w:t>。</w:t>
            </w:r>
          </w:p>
          <w:p w14:paraId="54C76A26">
            <w:pPr>
              <w:widowControl/>
              <w:spacing w:line="440" w:lineRule="exact"/>
              <w:textAlignment w:val="baseline"/>
              <w:rPr>
                <w:rFonts w:hint="eastAsia" w:ascii="宋体" w:hAnsi="宋体" w:eastAsia="宋体" w:cs="Arial"/>
                <w:bCs/>
                <w:color w:val="auto"/>
                <w:szCs w:val="21"/>
                <w:lang w:eastAsia="zh-CN"/>
              </w:rPr>
            </w:pPr>
            <w:r>
              <w:rPr>
                <w:rFonts w:hint="eastAsia" w:ascii="宋体" w:hAnsi="宋体" w:cs="Arial"/>
                <w:bCs/>
                <w:color w:val="auto"/>
                <w:szCs w:val="21"/>
              </w:rPr>
              <w:t>5、驾驶室3座椅</w:t>
            </w:r>
            <w:r>
              <w:rPr>
                <w:rFonts w:hint="eastAsia" w:ascii="宋体" w:hAnsi="宋体" w:cs="Arial"/>
                <w:bCs/>
                <w:color w:val="auto"/>
                <w:szCs w:val="21"/>
                <w:lang w:eastAsia="zh-CN"/>
              </w:rPr>
              <w:t>。</w:t>
            </w:r>
          </w:p>
          <w:p w14:paraId="72C53311">
            <w:pPr>
              <w:widowControl/>
              <w:spacing w:line="440" w:lineRule="exact"/>
              <w:textAlignment w:val="baseline"/>
              <w:rPr>
                <w:rFonts w:hint="eastAsia" w:ascii="宋体" w:hAnsi="宋体" w:eastAsia="宋体" w:cs="Arial"/>
                <w:bCs/>
                <w:color w:val="auto"/>
                <w:szCs w:val="21"/>
                <w:lang w:eastAsia="zh-CN"/>
              </w:rPr>
            </w:pPr>
            <w:r>
              <w:rPr>
                <w:rFonts w:hint="eastAsia" w:ascii="宋体" w:hAnsi="宋体" w:cs="Arial"/>
                <w:bCs/>
                <w:color w:val="auto"/>
                <w:szCs w:val="21"/>
              </w:rPr>
              <w:t>6、驾驶员安全气囊</w:t>
            </w:r>
            <w:r>
              <w:rPr>
                <w:rFonts w:hint="eastAsia" w:ascii="宋体" w:hAnsi="宋体" w:cs="Arial"/>
                <w:bCs/>
                <w:color w:val="auto"/>
                <w:szCs w:val="21"/>
                <w:lang w:eastAsia="zh-CN"/>
              </w:rPr>
              <w:t>。</w:t>
            </w:r>
          </w:p>
          <w:p w14:paraId="5C35706B">
            <w:pPr>
              <w:widowControl/>
              <w:spacing w:line="440" w:lineRule="exact"/>
              <w:textAlignment w:val="baseline"/>
              <w:rPr>
                <w:rFonts w:hint="eastAsia" w:ascii="宋体" w:hAnsi="宋体" w:eastAsia="宋体" w:cs="Arial"/>
                <w:bCs/>
                <w:color w:val="auto"/>
                <w:szCs w:val="21"/>
                <w:lang w:eastAsia="zh-CN"/>
              </w:rPr>
            </w:pPr>
            <w:r>
              <w:rPr>
                <w:rFonts w:hint="eastAsia" w:ascii="宋体" w:hAnsi="宋体" w:cs="Arial"/>
                <w:bCs/>
                <w:color w:val="auto"/>
                <w:szCs w:val="21"/>
              </w:rPr>
              <w:t xml:space="preserve">7、多媒体收音机 </w:t>
            </w:r>
            <w:r>
              <w:rPr>
                <w:rFonts w:hint="eastAsia" w:ascii="宋体" w:hAnsi="宋体" w:cs="Arial"/>
                <w:bCs/>
                <w:color w:val="auto"/>
                <w:szCs w:val="21"/>
                <w:lang w:eastAsia="zh-CN"/>
              </w:rPr>
              <w:t>。</w:t>
            </w:r>
          </w:p>
          <w:p w14:paraId="62622916">
            <w:pPr>
              <w:widowControl/>
              <w:spacing w:line="440" w:lineRule="exact"/>
              <w:textAlignment w:val="baseline"/>
              <w:rPr>
                <w:rFonts w:hint="eastAsia" w:ascii="宋体" w:hAnsi="宋体" w:eastAsia="宋体" w:cs="Arial"/>
                <w:bCs/>
                <w:color w:val="auto"/>
                <w:szCs w:val="21"/>
                <w:lang w:eastAsia="zh-CN"/>
              </w:rPr>
            </w:pPr>
            <w:r>
              <w:rPr>
                <w:rFonts w:hint="eastAsia" w:ascii="宋体" w:hAnsi="宋体" w:cs="Arial"/>
                <w:bCs/>
                <w:color w:val="auto"/>
                <w:szCs w:val="21"/>
              </w:rPr>
              <w:t>8、驾驶室电动车窗</w:t>
            </w:r>
            <w:r>
              <w:rPr>
                <w:rFonts w:hint="eastAsia" w:ascii="宋体" w:hAnsi="宋体" w:cs="Arial"/>
                <w:bCs/>
                <w:color w:val="auto"/>
                <w:szCs w:val="21"/>
                <w:lang w:eastAsia="zh-CN"/>
              </w:rPr>
              <w:t>。</w:t>
            </w:r>
          </w:p>
          <w:p w14:paraId="1EFF72C0">
            <w:pPr>
              <w:widowControl/>
              <w:spacing w:line="440" w:lineRule="exact"/>
              <w:textAlignment w:val="baseline"/>
              <w:rPr>
                <w:rFonts w:hint="eastAsia" w:ascii="宋体" w:hAnsi="宋体" w:eastAsia="宋体" w:cs="Arial"/>
                <w:bCs/>
                <w:color w:val="auto"/>
                <w:szCs w:val="21"/>
                <w:lang w:eastAsia="zh-CN"/>
              </w:rPr>
            </w:pPr>
            <w:r>
              <w:rPr>
                <w:rFonts w:hint="eastAsia" w:ascii="宋体" w:hAnsi="宋体" w:cs="Arial"/>
                <w:bCs/>
                <w:color w:val="auto"/>
                <w:szCs w:val="21"/>
              </w:rPr>
              <w:t>9、后双开门</w:t>
            </w:r>
            <w:r>
              <w:rPr>
                <w:rFonts w:hint="eastAsia" w:ascii="宋体" w:hAnsi="宋体" w:cs="Arial"/>
                <w:bCs/>
                <w:color w:val="auto"/>
                <w:szCs w:val="21"/>
                <w:lang w:eastAsia="zh-CN"/>
              </w:rPr>
              <w:t>。</w:t>
            </w:r>
          </w:p>
          <w:p w14:paraId="1BA95F23">
            <w:pPr>
              <w:widowControl/>
              <w:spacing w:line="440" w:lineRule="exact"/>
              <w:textAlignment w:val="baseline"/>
              <w:rPr>
                <w:rFonts w:hint="eastAsia" w:ascii="宋体" w:hAnsi="宋体" w:eastAsia="宋体" w:cs="Arial"/>
                <w:bCs/>
                <w:color w:val="auto"/>
                <w:szCs w:val="21"/>
                <w:lang w:eastAsia="zh-CN"/>
              </w:rPr>
            </w:pPr>
            <w:r>
              <w:rPr>
                <w:rFonts w:hint="eastAsia" w:ascii="宋体" w:hAnsi="宋体" w:cs="Arial"/>
                <w:bCs/>
                <w:color w:val="auto"/>
                <w:szCs w:val="21"/>
              </w:rPr>
              <w:t>10、后上车踏板</w:t>
            </w:r>
            <w:r>
              <w:rPr>
                <w:rFonts w:hint="eastAsia" w:ascii="宋体" w:hAnsi="宋体" w:cs="Arial"/>
                <w:bCs/>
                <w:color w:val="auto"/>
                <w:szCs w:val="21"/>
                <w:lang w:eastAsia="zh-CN"/>
              </w:rPr>
              <w:t>。</w:t>
            </w:r>
          </w:p>
          <w:p w14:paraId="651664D2">
            <w:pPr>
              <w:widowControl/>
              <w:spacing w:line="440" w:lineRule="exact"/>
              <w:textAlignment w:val="baseline"/>
              <w:rPr>
                <w:rFonts w:hint="eastAsia" w:ascii="宋体" w:hAnsi="宋体" w:eastAsia="宋体" w:cs="Arial"/>
                <w:bCs/>
                <w:color w:val="auto"/>
                <w:szCs w:val="21"/>
                <w:lang w:eastAsia="zh-CN"/>
              </w:rPr>
            </w:pPr>
            <w:r>
              <w:rPr>
                <w:rFonts w:hint="eastAsia" w:ascii="宋体" w:hAnsi="宋体" w:cs="Arial"/>
                <w:bCs/>
                <w:color w:val="auto"/>
                <w:szCs w:val="21"/>
              </w:rPr>
              <w:t>11、同色保险杆</w:t>
            </w:r>
            <w:r>
              <w:rPr>
                <w:rFonts w:hint="eastAsia" w:ascii="宋体" w:hAnsi="宋体" w:cs="Arial"/>
                <w:bCs/>
                <w:color w:val="auto"/>
                <w:szCs w:val="21"/>
                <w:lang w:eastAsia="zh-CN"/>
              </w:rPr>
              <w:t>。</w:t>
            </w:r>
          </w:p>
          <w:p w14:paraId="491156DC">
            <w:pPr>
              <w:widowControl/>
              <w:spacing w:line="440" w:lineRule="exact"/>
              <w:textAlignment w:val="baseline"/>
              <w:rPr>
                <w:rFonts w:hint="eastAsia" w:ascii="宋体" w:hAnsi="宋体" w:eastAsia="宋体" w:cs="Arial"/>
                <w:bCs/>
                <w:color w:val="auto"/>
                <w:szCs w:val="21"/>
                <w:lang w:eastAsia="zh-CN"/>
              </w:rPr>
            </w:pPr>
            <w:r>
              <w:rPr>
                <w:rFonts w:hint="eastAsia" w:ascii="宋体" w:hAnsi="宋体" w:cs="Arial"/>
                <w:bCs/>
                <w:color w:val="auto"/>
                <w:szCs w:val="21"/>
              </w:rPr>
              <w:t>12、多功能方向盘、定速巡航、日间行车灯、倒车后视</w:t>
            </w:r>
            <w:r>
              <w:rPr>
                <w:rFonts w:hint="eastAsia" w:ascii="宋体" w:hAnsi="宋体" w:cs="Arial"/>
                <w:bCs/>
                <w:color w:val="auto"/>
                <w:szCs w:val="21"/>
                <w:lang w:eastAsia="zh-CN"/>
              </w:rPr>
              <w:t>。</w:t>
            </w:r>
          </w:p>
          <w:p w14:paraId="292D5C16">
            <w:pPr>
              <w:widowControl/>
              <w:spacing w:line="440" w:lineRule="exact"/>
              <w:textAlignment w:val="baseline"/>
              <w:rPr>
                <w:rFonts w:hint="eastAsia" w:ascii="宋体" w:hAnsi="宋体" w:eastAsia="宋体" w:cs="Arial"/>
                <w:bCs/>
                <w:color w:val="auto"/>
                <w:szCs w:val="21"/>
                <w:lang w:eastAsia="zh-CN"/>
              </w:rPr>
            </w:pPr>
            <w:r>
              <w:rPr>
                <w:rFonts w:hint="eastAsia" w:ascii="宋体" w:hAnsi="宋体" w:cs="Arial"/>
                <w:bCs/>
                <w:color w:val="auto"/>
                <w:szCs w:val="21"/>
              </w:rPr>
              <w:t>13、后门装透明</w:t>
            </w:r>
            <w:r>
              <w:rPr>
                <w:rFonts w:hint="eastAsia" w:ascii="宋体" w:hAnsi="宋体" w:eastAsia="宋体" w:cs="Arial"/>
                <w:bCs/>
                <w:color w:val="auto"/>
                <w:szCs w:val="21"/>
              </w:rPr>
              <w:t>玻璃, 窗户上 2/3 贴乳白色不透明防爆膜</w:t>
            </w:r>
            <w:r>
              <w:rPr>
                <w:rFonts w:hint="eastAsia" w:ascii="宋体" w:hAnsi="宋体" w:eastAsia="宋体" w:cs="Arial"/>
                <w:bCs/>
                <w:color w:val="auto"/>
                <w:szCs w:val="21"/>
                <w:lang w:eastAsia="zh-CN"/>
              </w:rPr>
              <w:t>。</w:t>
            </w:r>
          </w:p>
          <w:p w14:paraId="669CC89F">
            <w:pPr>
              <w:widowControl/>
              <w:spacing w:line="440" w:lineRule="exact"/>
              <w:textAlignment w:val="baseline"/>
              <w:rPr>
                <w:rFonts w:hint="eastAsia" w:ascii="宋体" w:hAnsi="宋体" w:eastAsia="宋体" w:cs="Arial"/>
                <w:bCs/>
                <w:color w:val="auto"/>
                <w:szCs w:val="21"/>
                <w:lang w:val="en-US" w:eastAsia="zh-CN"/>
              </w:rPr>
            </w:pPr>
            <w:r>
              <w:rPr>
                <w:rFonts w:hint="eastAsia" w:ascii="宋体" w:hAnsi="宋体" w:eastAsia="宋体" w:cs="Arial"/>
                <w:bCs/>
                <w:color w:val="auto"/>
                <w:szCs w:val="21"/>
                <w:lang w:val="en-US" w:eastAsia="zh-CN"/>
              </w:rPr>
              <w:t>14、驾驶室中控台配备≥12英寸的原厂液晶显示屏。</w:t>
            </w:r>
          </w:p>
          <w:p w14:paraId="0E1B5796">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四、内饰装配系统</w:t>
            </w:r>
          </w:p>
          <w:p w14:paraId="09863031">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1、医疗舱内饰：</w:t>
            </w:r>
            <w:r>
              <w:rPr>
                <w:rFonts w:hint="eastAsia" w:ascii="宋体" w:hAnsi="宋体" w:cs="Arial"/>
                <w:bCs/>
                <w:color w:val="auto"/>
                <w:szCs w:val="21"/>
                <w:lang w:val="en-US" w:eastAsia="zh-CN"/>
              </w:rPr>
              <w:t>救护车</w:t>
            </w:r>
            <w:r>
              <w:rPr>
                <w:rFonts w:hint="eastAsia" w:ascii="宋体" w:hAnsi="宋体" w:cs="Arial"/>
                <w:bCs/>
                <w:color w:val="auto"/>
                <w:szCs w:val="21"/>
              </w:rPr>
              <w:t>内饰</w:t>
            </w:r>
            <w:r>
              <w:rPr>
                <w:rFonts w:hint="eastAsia" w:ascii="宋体" w:hAnsi="宋体" w:cs="Arial"/>
                <w:bCs/>
                <w:color w:val="auto"/>
                <w:szCs w:val="21"/>
                <w:lang w:val="en-US" w:eastAsia="zh-CN"/>
              </w:rPr>
              <w:t>柜体</w:t>
            </w:r>
            <w:r>
              <w:rPr>
                <w:rFonts w:hint="eastAsia" w:ascii="宋体" w:hAnsi="宋体" w:cs="Arial"/>
                <w:bCs/>
                <w:color w:val="auto"/>
                <w:szCs w:val="21"/>
              </w:rPr>
              <w:t>采用高强度、防火</w:t>
            </w:r>
            <w:r>
              <w:rPr>
                <w:rFonts w:hint="eastAsia" w:ascii="宋体" w:hAnsi="宋体" w:cs="Arial"/>
                <w:bCs/>
                <w:color w:val="auto"/>
                <w:szCs w:val="21"/>
                <w:lang w:eastAsia="zh-CN"/>
              </w:rPr>
              <w:t>、</w:t>
            </w:r>
            <w:r>
              <w:rPr>
                <w:rFonts w:hint="eastAsia" w:ascii="宋体" w:hAnsi="宋体" w:cs="Arial"/>
                <w:bCs/>
                <w:color w:val="auto"/>
                <w:szCs w:val="21"/>
                <w:lang w:val="en-US" w:eastAsia="zh-CN"/>
              </w:rPr>
              <w:t>防霉、</w:t>
            </w:r>
            <w:r>
              <w:rPr>
                <w:rFonts w:hint="eastAsia" w:ascii="宋体" w:hAnsi="宋体" w:cs="Arial"/>
                <w:bCs/>
                <w:color w:val="auto"/>
                <w:szCs w:val="21"/>
              </w:rPr>
              <w:t>扛冲击性强、耐老化、方便清洗消毒的PVC材料，车辆顶部及侧围预埋金属件，采用断续焊，所有焊点处磨平并做防锈处理，增加整车顶部及侧围强度，增加顶部载重能力。</w:t>
            </w:r>
          </w:p>
          <w:p w14:paraId="5365C5FA">
            <w:pPr>
              <w:widowControl/>
              <w:spacing w:line="440" w:lineRule="exact"/>
              <w:textAlignment w:val="baseline"/>
              <w:rPr>
                <w:rFonts w:hint="eastAsia" w:ascii="宋体" w:hAnsi="宋体" w:eastAsia="宋体" w:cs="Arial"/>
                <w:bCs/>
                <w:color w:val="auto"/>
                <w:szCs w:val="21"/>
              </w:rPr>
            </w:pPr>
            <w:r>
              <w:rPr>
                <w:rFonts w:hint="eastAsia" w:ascii="宋体" w:hAnsi="宋体" w:eastAsia="宋体" w:cs="Arial"/>
                <w:bCs/>
                <w:color w:val="auto"/>
                <w:szCs w:val="21"/>
              </w:rPr>
              <w:t>2、隔断：驾驶室与医疗舱完全密封隔断（带推拉观察窗）。</w:t>
            </w:r>
          </w:p>
          <w:p w14:paraId="681C3D74">
            <w:pPr>
              <w:widowControl/>
              <w:spacing w:line="440" w:lineRule="exact"/>
              <w:textAlignment w:val="baseline"/>
              <w:rPr>
                <w:rFonts w:hint="eastAsia" w:ascii="宋体" w:hAnsi="宋体" w:eastAsia="宋体" w:cs="Arial"/>
                <w:bCs/>
                <w:color w:val="auto"/>
                <w:szCs w:val="21"/>
              </w:rPr>
            </w:pPr>
            <w:r>
              <w:rPr>
                <w:rFonts w:hint="eastAsia" w:ascii="宋体" w:hAnsi="宋体" w:eastAsia="宋体" w:cs="Arial"/>
                <w:bCs/>
                <w:color w:val="auto"/>
                <w:szCs w:val="21"/>
              </w:rPr>
              <w:t>3、舱内左侧氧气瓶柜，配置氧气瓶底座、固定支架，柜体表面无尖锐边角，采用原边处理。</w:t>
            </w:r>
          </w:p>
          <w:p w14:paraId="13C31504">
            <w:pPr>
              <w:widowControl/>
              <w:spacing w:line="440" w:lineRule="exact"/>
              <w:textAlignment w:val="baseline"/>
              <w:rPr>
                <w:rFonts w:hint="default" w:ascii="宋体" w:hAnsi="宋体" w:eastAsia="宋体" w:cs="Arial"/>
                <w:bCs/>
                <w:color w:val="auto"/>
                <w:szCs w:val="21"/>
                <w:lang w:val="en-US" w:eastAsia="zh-CN"/>
              </w:rPr>
            </w:pPr>
            <w:r>
              <w:rPr>
                <w:rFonts w:hint="eastAsia" w:ascii="宋体" w:hAnsi="宋体" w:eastAsia="宋体" w:cs="Arial"/>
                <w:bCs/>
                <w:color w:val="auto"/>
                <w:szCs w:val="21"/>
                <w:lang w:val="en-US" w:eastAsia="zh-CN"/>
              </w:rPr>
              <w:t>4、医疗舱隔断医疗柜</w:t>
            </w:r>
            <w:r>
              <w:rPr>
                <w:rFonts w:hint="eastAsia" w:ascii="宋体" w:hAnsi="宋体" w:eastAsia="宋体" w:cs="Arial"/>
                <w:bCs/>
                <w:color w:val="auto"/>
                <w:szCs w:val="21"/>
              </w:rPr>
              <w:t>，柜体表面无尖锐边角，采用原边处理。</w:t>
            </w:r>
          </w:p>
          <w:p w14:paraId="3E9B1B1B">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5</w:t>
            </w:r>
            <w:r>
              <w:rPr>
                <w:rFonts w:hint="eastAsia" w:ascii="宋体" w:hAnsi="宋体" w:cs="Arial"/>
                <w:bCs/>
                <w:color w:val="auto"/>
                <w:szCs w:val="21"/>
              </w:rPr>
              <w:t>、舱内多用医药</w:t>
            </w:r>
            <w:r>
              <w:rPr>
                <w:rFonts w:hint="eastAsia" w:ascii="宋体" w:hAnsi="宋体" w:cs="Arial"/>
                <w:bCs/>
                <w:color w:val="auto"/>
                <w:szCs w:val="21"/>
                <w:lang w:val="en-US" w:eastAsia="zh-CN"/>
              </w:rPr>
              <w:t>单层</w:t>
            </w:r>
            <w:r>
              <w:rPr>
                <w:rFonts w:hint="eastAsia" w:ascii="宋体" w:hAnsi="宋体" w:cs="Arial"/>
                <w:bCs/>
                <w:color w:val="auto"/>
                <w:szCs w:val="21"/>
              </w:rPr>
              <w:t>吊柜：吊柜为</w:t>
            </w:r>
            <w:r>
              <w:rPr>
                <w:rFonts w:hint="eastAsia" w:ascii="宋体" w:hAnsi="宋体" w:cs="Arial"/>
                <w:bCs/>
                <w:color w:val="auto"/>
                <w:szCs w:val="21"/>
                <w:lang w:val="en-US" w:eastAsia="zh-CN"/>
              </w:rPr>
              <w:t>推拉门</w:t>
            </w:r>
            <w:r>
              <w:rPr>
                <w:rFonts w:hint="eastAsia" w:ascii="宋体" w:hAnsi="宋体" w:cs="Arial"/>
                <w:bCs/>
                <w:color w:val="auto"/>
                <w:szCs w:val="21"/>
              </w:rPr>
              <w:t>，蓝色抗辐射推拉窗。</w:t>
            </w:r>
          </w:p>
          <w:p w14:paraId="7E06D4CB">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6</w:t>
            </w:r>
            <w:r>
              <w:rPr>
                <w:rFonts w:hint="eastAsia" w:ascii="宋体" w:hAnsi="宋体" w:cs="Arial"/>
                <w:bCs/>
                <w:color w:val="auto"/>
                <w:szCs w:val="21"/>
              </w:rPr>
              <w:t>、舱内左侧长医疗柜、蓝色抗辐射推拉窗</w:t>
            </w:r>
            <w:r>
              <w:rPr>
                <w:rFonts w:hint="eastAsia" w:ascii="宋体" w:hAnsi="宋体" w:cs="Arial"/>
                <w:bCs/>
                <w:color w:val="auto"/>
                <w:szCs w:val="21"/>
                <w:lang w:val="en-US" w:eastAsia="zh-CN"/>
              </w:rPr>
              <w:t>与柜体齐平，不得凸出或凹陷</w:t>
            </w:r>
            <w:r>
              <w:rPr>
                <w:rFonts w:hint="eastAsia" w:ascii="宋体" w:hAnsi="宋体" w:cs="Arial"/>
                <w:bCs/>
                <w:color w:val="auto"/>
                <w:szCs w:val="21"/>
                <w:lang w:eastAsia="zh-CN"/>
              </w:rPr>
              <w:t>，</w:t>
            </w:r>
            <w:r>
              <w:rPr>
                <w:rFonts w:hint="eastAsia" w:ascii="宋体" w:hAnsi="宋体" w:cs="Arial"/>
                <w:bCs/>
                <w:color w:val="auto"/>
                <w:szCs w:val="21"/>
                <w:lang w:val="en-US" w:eastAsia="zh-CN"/>
              </w:rPr>
              <w:t>医疗柜</w:t>
            </w:r>
            <w:r>
              <w:rPr>
                <w:rFonts w:hint="eastAsia" w:ascii="宋体" w:hAnsi="宋体" w:cs="Arial"/>
                <w:bCs/>
                <w:color w:val="auto"/>
                <w:szCs w:val="21"/>
              </w:rPr>
              <w:t>平台边缘突出3CM。</w:t>
            </w:r>
          </w:p>
          <w:p w14:paraId="21256EE6">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7</w:t>
            </w:r>
            <w:r>
              <w:rPr>
                <w:rFonts w:hint="eastAsia" w:ascii="宋体" w:hAnsi="宋体" w:cs="Arial"/>
                <w:bCs/>
                <w:color w:val="auto"/>
                <w:szCs w:val="21"/>
              </w:rPr>
              <w:t>、舱内左侧立式多层设备支架：三层上下可调节，带减震棉。</w:t>
            </w:r>
          </w:p>
          <w:p w14:paraId="2237DFD8">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8</w:t>
            </w:r>
            <w:r>
              <w:rPr>
                <w:rFonts w:hint="eastAsia" w:ascii="宋体" w:hAnsi="宋体" w:cs="Arial"/>
                <w:bCs/>
                <w:color w:val="auto"/>
                <w:szCs w:val="21"/>
              </w:rPr>
              <w:t>、输液挂钩：2个折叠挂钩，未使用时此装置可向舱顶收起，避免对人员造成损伤。</w:t>
            </w:r>
          </w:p>
          <w:p w14:paraId="28CB1B20">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9</w:t>
            </w:r>
            <w:r>
              <w:rPr>
                <w:rFonts w:hint="eastAsia" w:ascii="宋体" w:hAnsi="宋体" w:cs="Arial"/>
                <w:bCs/>
                <w:color w:val="auto"/>
                <w:szCs w:val="21"/>
              </w:rPr>
              <w:t>、舱门顶部边缘软包：舱内顶部边缘软包处理，纤维仿真皮，防止碰撞。</w:t>
            </w:r>
          </w:p>
          <w:p w14:paraId="1C6158FF">
            <w:pPr>
              <w:widowControl/>
              <w:spacing w:line="440" w:lineRule="exact"/>
              <w:textAlignment w:val="baseline"/>
              <w:rPr>
                <w:rFonts w:hint="eastAsia" w:ascii="宋体" w:hAnsi="宋体" w:eastAsia="宋体" w:cs="Arial"/>
                <w:bCs/>
                <w:color w:val="auto"/>
                <w:szCs w:val="21"/>
                <w:lang w:eastAsia="zh-CN"/>
              </w:rPr>
            </w:pPr>
            <w:r>
              <w:rPr>
                <w:rFonts w:hint="eastAsia" w:ascii="宋体" w:hAnsi="宋体" w:cs="Arial"/>
                <w:bCs/>
                <w:color w:val="auto"/>
                <w:szCs w:val="21"/>
                <w:lang w:val="en-US" w:eastAsia="zh-CN"/>
              </w:rPr>
              <w:t>10</w:t>
            </w:r>
            <w:r>
              <w:rPr>
                <w:rFonts w:hint="eastAsia" w:ascii="宋体" w:hAnsi="宋体" w:cs="Arial"/>
                <w:bCs/>
                <w:color w:val="auto"/>
                <w:szCs w:val="21"/>
              </w:rPr>
              <w:t>、隔音装置：医疗舱车体侧围及顶部用隔音材料，降低医疗舱噪音</w:t>
            </w:r>
            <w:r>
              <w:rPr>
                <w:rFonts w:hint="eastAsia" w:ascii="宋体" w:hAnsi="宋体" w:cs="Arial"/>
                <w:bCs/>
                <w:color w:val="auto"/>
                <w:szCs w:val="21"/>
                <w:lang w:eastAsia="zh-CN"/>
              </w:rPr>
              <w:t>。</w:t>
            </w:r>
          </w:p>
          <w:p w14:paraId="0FAFBBA5">
            <w:pPr>
              <w:widowControl/>
              <w:numPr>
                <w:ilvl w:val="0"/>
                <w:numId w:val="0"/>
              </w:numPr>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11、</w:t>
            </w:r>
            <w:r>
              <w:rPr>
                <w:rFonts w:hint="eastAsia" w:ascii="宋体" w:hAnsi="宋体" w:cs="Arial"/>
                <w:bCs/>
                <w:color w:val="auto"/>
                <w:szCs w:val="21"/>
              </w:rPr>
              <w:t>医疗舱内饰采用皮质软包，医疗舱乘客椅采用皮质软包。</w:t>
            </w:r>
          </w:p>
          <w:p w14:paraId="32FF8B8E">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1</w:t>
            </w:r>
            <w:r>
              <w:rPr>
                <w:rFonts w:hint="eastAsia" w:ascii="宋体" w:hAnsi="宋体" w:cs="Arial"/>
                <w:bCs/>
                <w:color w:val="auto"/>
                <w:szCs w:val="21"/>
                <w:lang w:val="en-US" w:eastAsia="zh-CN"/>
              </w:rPr>
              <w:t>2</w:t>
            </w:r>
            <w:r>
              <w:rPr>
                <w:rFonts w:hint="eastAsia" w:ascii="宋体" w:hAnsi="宋体" w:cs="Arial"/>
                <w:bCs/>
                <w:color w:val="auto"/>
                <w:szCs w:val="21"/>
              </w:rPr>
              <w:t>、全车采用PVC拼版工艺，板材收边弯折位置、美观锐角处理时应使用PVC封边条。</w:t>
            </w:r>
          </w:p>
          <w:p w14:paraId="2B07397D">
            <w:pPr>
              <w:widowControl/>
              <w:spacing w:line="440" w:lineRule="exact"/>
              <w:textAlignment w:val="baseline"/>
              <w:rPr>
                <w:rFonts w:hint="eastAsia" w:ascii="宋体" w:hAnsi="宋体" w:eastAsia="宋体" w:cs="Arial"/>
                <w:bCs/>
                <w:color w:val="auto"/>
                <w:szCs w:val="21"/>
                <w:lang w:eastAsia="zh-CN"/>
              </w:rPr>
            </w:pPr>
            <w:r>
              <w:rPr>
                <w:rFonts w:hint="eastAsia" w:ascii="宋体" w:hAnsi="宋体" w:cs="Arial"/>
                <w:bCs/>
                <w:color w:val="auto"/>
                <w:szCs w:val="21"/>
              </w:rPr>
              <w:t>1</w:t>
            </w:r>
            <w:r>
              <w:rPr>
                <w:rFonts w:hint="eastAsia" w:ascii="宋体" w:hAnsi="宋体" w:cs="Arial"/>
                <w:bCs/>
                <w:color w:val="auto"/>
                <w:szCs w:val="21"/>
                <w:lang w:val="en-US" w:eastAsia="zh-CN"/>
              </w:rPr>
              <w:t>3</w:t>
            </w:r>
            <w:r>
              <w:rPr>
                <w:rFonts w:hint="eastAsia" w:ascii="宋体" w:hAnsi="宋体" w:cs="Arial"/>
                <w:bCs/>
                <w:color w:val="auto"/>
                <w:szCs w:val="21"/>
              </w:rPr>
              <w:t>、医疗柜体开门、抽屉闭合处采用铝合金拉手锁，产品外露不应有明显疵点、划痕、气孔、凹坑、飞边、锋棱、毛刺等缺陷。连接处应牢固圆整光滑不应有裂纹</w:t>
            </w:r>
            <w:r>
              <w:rPr>
                <w:rFonts w:hint="eastAsia" w:ascii="宋体" w:hAnsi="宋体" w:cs="Arial"/>
                <w:bCs/>
                <w:color w:val="auto"/>
                <w:szCs w:val="21"/>
                <w:lang w:eastAsia="zh-CN"/>
              </w:rPr>
              <w:t>。</w:t>
            </w:r>
          </w:p>
          <w:p w14:paraId="3C789595">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1</w:t>
            </w:r>
            <w:r>
              <w:rPr>
                <w:rFonts w:hint="eastAsia" w:ascii="宋体" w:hAnsi="宋体" w:cs="Arial"/>
                <w:bCs/>
                <w:color w:val="auto"/>
                <w:szCs w:val="21"/>
                <w:lang w:val="en-US" w:eastAsia="zh-CN"/>
              </w:rPr>
              <w:t>4</w:t>
            </w:r>
            <w:r>
              <w:rPr>
                <w:rFonts w:hint="eastAsia" w:ascii="宋体" w:hAnsi="宋体" w:cs="Arial"/>
                <w:bCs/>
                <w:color w:val="auto"/>
                <w:szCs w:val="21"/>
              </w:rPr>
              <w:t>、医用地板：医用地板耐磨、耐老化、防滑防霉易清洗，医用地板下置PVC阻燃板。</w:t>
            </w:r>
          </w:p>
          <w:p w14:paraId="1AECE968">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五</w:t>
            </w:r>
            <w:r>
              <w:rPr>
                <w:rFonts w:hint="eastAsia" w:ascii="宋体" w:hAnsi="宋体" w:cs="Arial"/>
                <w:bCs/>
                <w:color w:val="auto"/>
                <w:szCs w:val="21"/>
              </w:rPr>
              <w:t>、空调排风系统</w:t>
            </w:r>
          </w:p>
          <w:p w14:paraId="373C836A">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1、空调系统：前后独立控制、可调节风速，内部焊接空调支架1套。</w:t>
            </w:r>
          </w:p>
          <w:p w14:paraId="37CAE1C8">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2、双向换气扇：车厢内换气次数30次/小时，排气量7.5m3/min</w:t>
            </w:r>
            <w:r>
              <w:rPr>
                <w:rFonts w:hint="eastAsia" w:ascii="宋体" w:hAnsi="宋体" w:cs="Arial"/>
                <w:bCs/>
                <w:color w:val="auto"/>
                <w:szCs w:val="21"/>
                <w:lang w:val="en-US" w:eastAsia="zh-CN"/>
              </w:rPr>
              <w:t xml:space="preserve"> </w:t>
            </w:r>
            <w:r>
              <w:rPr>
                <w:rFonts w:hint="eastAsia" w:ascii="宋体" w:hAnsi="宋体" w:cs="Arial"/>
                <w:bCs/>
                <w:color w:val="auto"/>
                <w:szCs w:val="21"/>
              </w:rPr>
              <w:t>1套。</w:t>
            </w:r>
          </w:p>
          <w:p w14:paraId="7C84D4D2">
            <w:pPr>
              <w:widowControl/>
              <w:spacing w:line="440" w:lineRule="exact"/>
              <w:textAlignment w:val="baseline"/>
              <w:rPr>
                <w:rFonts w:hint="eastAsia"/>
                <w:color w:val="auto"/>
              </w:rPr>
            </w:pPr>
            <w:r>
              <w:rPr>
                <w:rFonts w:hint="eastAsia" w:ascii="宋体" w:hAnsi="宋体" w:cs="Arial"/>
                <w:bCs/>
                <w:color w:val="auto"/>
                <w:szCs w:val="21"/>
              </w:rPr>
              <w:t>3、暖风系统：暖风独立控制、可调节风速1套。</w:t>
            </w:r>
          </w:p>
          <w:p w14:paraId="011E3A9C">
            <w:pPr>
              <w:widowControl/>
              <w:spacing w:line="440" w:lineRule="exact"/>
              <w:textAlignment w:val="baseline"/>
              <w:rPr>
                <w:rFonts w:hint="eastAsia" w:ascii="宋体" w:hAnsi="宋体" w:cs="Arial"/>
                <w:b w:val="0"/>
                <w:bCs/>
                <w:color w:val="auto"/>
                <w:szCs w:val="21"/>
              </w:rPr>
            </w:pPr>
            <w:r>
              <w:rPr>
                <w:rFonts w:hint="eastAsia" w:ascii="宋体" w:hAnsi="宋体" w:cs="Arial"/>
                <w:b w:val="0"/>
                <w:bCs/>
                <w:color w:val="auto"/>
                <w:szCs w:val="21"/>
                <w:lang w:val="en-US" w:eastAsia="zh-CN"/>
              </w:rPr>
              <w:t>六</w:t>
            </w:r>
            <w:r>
              <w:rPr>
                <w:rFonts w:hint="eastAsia" w:ascii="宋体" w:hAnsi="宋体" w:cs="Arial"/>
                <w:b w:val="0"/>
                <w:bCs/>
                <w:color w:val="auto"/>
                <w:szCs w:val="21"/>
              </w:rPr>
              <w:t>、照明、消毒系统</w:t>
            </w:r>
          </w:p>
          <w:p w14:paraId="323743FF">
            <w:pPr>
              <w:widowControl/>
              <w:spacing w:line="440" w:lineRule="exact"/>
              <w:textAlignment w:val="baseline"/>
              <w:rPr>
                <w:rFonts w:hint="eastAsia" w:ascii="宋体" w:hAnsi="宋体" w:cs="Arial"/>
                <w:b w:val="0"/>
                <w:bCs/>
                <w:color w:val="auto"/>
                <w:szCs w:val="21"/>
              </w:rPr>
            </w:pPr>
            <w:r>
              <w:rPr>
                <w:rFonts w:hint="eastAsia" w:ascii="宋体" w:hAnsi="宋体" w:cs="Arial"/>
                <w:b w:val="0"/>
                <w:bCs/>
                <w:color w:val="auto"/>
                <w:szCs w:val="21"/>
              </w:rPr>
              <w:t>1、紫外线消毒灯：消毒灯具备定时延时开启功能</w:t>
            </w:r>
            <w:r>
              <w:rPr>
                <w:rFonts w:hint="eastAsia" w:ascii="宋体" w:hAnsi="宋体" w:cs="Arial"/>
                <w:b w:val="0"/>
                <w:bCs/>
                <w:color w:val="auto"/>
                <w:szCs w:val="21"/>
              </w:rPr>
              <w:tab/>
            </w:r>
            <w:r>
              <w:rPr>
                <w:rFonts w:hint="eastAsia" w:ascii="宋体" w:hAnsi="宋体" w:cs="Arial"/>
                <w:b w:val="0"/>
                <w:bCs/>
                <w:color w:val="auto"/>
                <w:szCs w:val="21"/>
              </w:rPr>
              <w:t>1套。</w:t>
            </w:r>
          </w:p>
          <w:p w14:paraId="7CC94CE6">
            <w:pPr>
              <w:widowControl/>
              <w:spacing w:line="440" w:lineRule="exact"/>
              <w:textAlignment w:val="baseline"/>
              <w:rPr>
                <w:rFonts w:hint="eastAsia" w:ascii="宋体" w:hAnsi="宋体" w:cs="Arial"/>
                <w:b w:val="0"/>
                <w:bCs/>
                <w:color w:val="auto"/>
                <w:szCs w:val="21"/>
              </w:rPr>
            </w:pPr>
            <w:r>
              <w:rPr>
                <w:rFonts w:hint="eastAsia" w:ascii="宋体" w:hAnsi="宋体" w:cs="Arial"/>
                <w:b w:val="0"/>
                <w:bCs/>
                <w:color w:val="auto"/>
                <w:szCs w:val="21"/>
              </w:rPr>
              <w:t>2、医用射灯：3*1W色温中性白2套。</w:t>
            </w:r>
          </w:p>
          <w:p w14:paraId="751C2C42">
            <w:pPr>
              <w:widowControl/>
              <w:spacing w:line="440" w:lineRule="exact"/>
              <w:textAlignment w:val="baseline"/>
              <w:rPr>
                <w:rFonts w:hint="eastAsia" w:ascii="宋体" w:hAnsi="宋体" w:cs="Arial"/>
                <w:b w:val="0"/>
                <w:bCs/>
                <w:color w:val="auto"/>
                <w:szCs w:val="21"/>
              </w:rPr>
            </w:pPr>
            <w:r>
              <w:rPr>
                <w:rFonts w:hint="eastAsia" w:ascii="宋体" w:hAnsi="宋体" w:cs="Arial"/>
                <w:b w:val="0"/>
                <w:bCs/>
                <w:color w:val="auto"/>
                <w:szCs w:val="21"/>
              </w:rPr>
              <w:t>3、顶部照明灯：LED高亮照明灯4套。</w:t>
            </w:r>
          </w:p>
          <w:p w14:paraId="57BFA82B">
            <w:pPr>
              <w:widowControl/>
              <w:spacing w:line="440" w:lineRule="exact"/>
              <w:textAlignment w:val="baseline"/>
              <w:rPr>
                <w:rFonts w:hint="eastAsia"/>
                <w:color w:val="auto"/>
              </w:rPr>
            </w:pPr>
            <w:r>
              <w:rPr>
                <w:rFonts w:hint="eastAsia" w:ascii="宋体" w:hAnsi="宋体" w:cs="Arial"/>
                <w:b w:val="0"/>
                <w:bCs/>
                <w:color w:val="auto"/>
                <w:szCs w:val="21"/>
              </w:rPr>
              <w:t>4、后尾部场外照明灯：12V、投光灯、正白光1套。</w:t>
            </w:r>
          </w:p>
          <w:p w14:paraId="74CACF27">
            <w:pPr>
              <w:widowControl/>
              <w:spacing w:line="440" w:lineRule="exact"/>
              <w:textAlignment w:val="baseline"/>
              <w:rPr>
                <w:rFonts w:hint="eastAsia" w:ascii="宋体" w:hAnsi="宋体" w:eastAsia="宋体" w:cs="Arial"/>
                <w:b w:val="0"/>
                <w:bCs/>
                <w:color w:val="auto"/>
                <w:szCs w:val="21"/>
                <w:lang w:val="en-US" w:eastAsia="zh-CN"/>
              </w:rPr>
            </w:pPr>
            <w:r>
              <w:rPr>
                <w:rFonts w:hint="eastAsia" w:ascii="宋体" w:hAnsi="宋体" w:eastAsia="宋体" w:cs="Arial"/>
                <w:b w:val="0"/>
                <w:bCs/>
                <w:color w:val="auto"/>
                <w:szCs w:val="21"/>
                <w:lang w:val="en-US" w:eastAsia="zh-CN"/>
              </w:rPr>
              <w:t>七、一体化智能电源控制系统</w:t>
            </w:r>
          </w:p>
          <w:p w14:paraId="6607B946">
            <w:pPr>
              <w:widowControl/>
              <w:spacing w:line="440" w:lineRule="exact"/>
              <w:textAlignment w:val="baseline"/>
              <w:rPr>
                <w:rFonts w:hint="eastAsia" w:ascii="宋体" w:hAnsi="宋体" w:eastAsia="宋体" w:cs="Arial"/>
                <w:b w:val="0"/>
                <w:bCs/>
                <w:color w:val="auto"/>
                <w:szCs w:val="21"/>
                <w:lang w:val="en-US" w:eastAsia="zh-CN"/>
              </w:rPr>
            </w:pPr>
            <w:r>
              <w:rPr>
                <w:rFonts w:hint="eastAsia" w:hAnsi="宋体"/>
                <w:b/>
                <w:bCs/>
                <w:color w:val="auto"/>
              </w:rPr>
              <w:t>▲</w:t>
            </w:r>
            <w:r>
              <w:rPr>
                <w:rFonts w:hint="eastAsia" w:ascii="宋体" w:hAnsi="宋体" w:eastAsia="宋体" w:cs="Arial"/>
                <w:b w:val="0"/>
                <w:bCs/>
                <w:color w:val="auto"/>
                <w:szCs w:val="21"/>
                <w:lang w:val="en-US" w:eastAsia="zh-CN"/>
              </w:rPr>
              <w:t>1、一体化智能电源控制系统/器：</w:t>
            </w:r>
          </w:p>
          <w:p w14:paraId="7504048A">
            <w:pPr>
              <w:widowControl/>
              <w:spacing w:line="440" w:lineRule="exact"/>
              <w:textAlignment w:val="baseline"/>
              <w:rPr>
                <w:rFonts w:hint="default" w:ascii="宋体" w:hAnsi="宋体" w:eastAsia="宋体" w:cs="Arial"/>
                <w:b w:val="0"/>
                <w:bCs/>
                <w:color w:val="auto"/>
                <w:szCs w:val="21"/>
                <w:lang w:val="en-US" w:eastAsia="zh-CN"/>
              </w:rPr>
            </w:pPr>
            <w:r>
              <w:rPr>
                <w:rFonts w:hint="eastAsia" w:ascii="宋体" w:hAnsi="宋体" w:eastAsia="宋体" w:cs="Arial"/>
                <w:b w:val="0"/>
                <w:bCs/>
                <w:color w:val="auto"/>
                <w:szCs w:val="21"/>
                <w:lang w:val="en-US" w:eastAsia="zh-CN"/>
              </w:rPr>
              <w:t>为了能确保救护车上各种医疗设备等精密仪器的稳定安全运行，救护车电源系统须采用一体化智能电源控制系统/器。(响应文件中须提供由国家权威部门认可或中国合格评定国家认可委员会（CNAS）、中国计量认证（CMA）认证的</w:t>
            </w:r>
            <w:r>
              <w:rPr>
                <w:rFonts w:hint="eastAsia" w:ascii="宋体" w:hAnsi="宋体" w:cs="Arial"/>
                <w:b w:val="0"/>
                <w:bCs/>
                <w:color w:val="auto"/>
                <w:szCs w:val="21"/>
                <w:lang w:val="en-US" w:eastAsia="zh-CN"/>
              </w:rPr>
              <w:t>第三方</w:t>
            </w:r>
            <w:r>
              <w:rPr>
                <w:rFonts w:hint="eastAsia" w:ascii="宋体" w:hAnsi="宋体" w:eastAsia="宋体" w:cs="Arial"/>
                <w:b w:val="0"/>
                <w:bCs/>
                <w:color w:val="auto"/>
                <w:szCs w:val="21"/>
                <w:lang w:val="en-US" w:eastAsia="zh-CN"/>
              </w:rPr>
              <w:t>检测机构/中心出具的产品名称与要求相符的检验报告复印件，并同步提供在国家市场监督管理总局全国认证认可信息公共服务平台（http://cx.cnca.cn/）通过检验的</w:t>
            </w:r>
            <w:r>
              <w:rPr>
                <w:rFonts w:hint="eastAsia" w:ascii="宋体" w:hAnsi="宋体" w:cs="Arial"/>
                <w:b w:val="0"/>
                <w:bCs/>
                <w:color w:val="auto"/>
                <w:szCs w:val="21"/>
                <w:lang w:val="en-US" w:eastAsia="zh-CN"/>
              </w:rPr>
              <w:t>第三方</w:t>
            </w:r>
            <w:r>
              <w:rPr>
                <w:rFonts w:hint="eastAsia" w:ascii="宋体" w:hAnsi="宋体" w:eastAsia="宋体" w:cs="Arial"/>
                <w:b w:val="0"/>
                <w:bCs/>
                <w:color w:val="auto"/>
                <w:szCs w:val="21"/>
                <w:lang w:val="en-US" w:eastAsia="zh-CN"/>
              </w:rPr>
              <w:t>检测报告编号查询结果截图进行佐证。)</w:t>
            </w:r>
          </w:p>
          <w:p w14:paraId="01AABADD">
            <w:pPr>
              <w:widowControl/>
              <w:spacing w:line="440" w:lineRule="exact"/>
              <w:textAlignment w:val="baseline"/>
              <w:rPr>
                <w:rFonts w:hint="eastAsia" w:ascii="宋体" w:hAnsi="宋体" w:eastAsia="宋体" w:cs="Arial"/>
                <w:b w:val="0"/>
                <w:bCs/>
                <w:color w:val="auto"/>
                <w:szCs w:val="21"/>
                <w:lang w:val="en-US" w:eastAsia="zh-CN"/>
              </w:rPr>
            </w:pPr>
            <w:r>
              <w:rPr>
                <w:rFonts w:hint="eastAsia" w:ascii="宋体" w:hAnsi="宋体" w:eastAsia="宋体" w:cs="Arial"/>
                <w:b w:val="0"/>
                <w:bCs/>
                <w:color w:val="auto"/>
                <w:szCs w:val="21"/>
                <w:lang w:val="en-US" w:eastAsia="zh-CN"/>
              </w:rPr>
              <w:t>2、一体化智能电源控制系统/器接口参数要求：</w:t>
            </w:r>
          </w:p>
          <w:p w14:paraId="6722CEF7">
            <w:pPr>
              <w:widowControl/>
              <w:spacing w:line="440" w:lineRule="exact"/>
              <w:textAlignment w:val="baseline"/>
              <w:rPr>
                <w:rFonts w:hint="eastAsia" w:ascii="宋体" w:hAnsi="宋体" w:eastAsia="宋体" w:cs="Arial"/>
                <w:b w:val="0"/>
                <w:bCs/>
                <w:color w:val="auto"/>
                <w:szCs w:val="21"/>
                <w:lang w:val="en-US" w:eastAsia="zh-CN"/>
              </w:rPr>
            </w:pPr>
            <w:r>
              <w:rPr>
                <w:rFonts w:hint="eastAsia" w:ascii="宋体" w:hAnsi="宋体" w:eastAsia="宋体" w:cs="Arial"/>
                <w:b w:val="0"/>
                <w:bCs/>
                <w:color w:val="auto"/>
                <w:szCs w:val="21"/>
                <w:lang w:val="en-US" w:eastAsia="zh-CN"/>
              </w:rPr>
              <w:t>2.1、配置≧2路最大支持300A直流输入口，可支持车载主副蓄电池接入；</w:t>
            </w:r>
          </w:p>
          <w:p w14:paraId="557038CC">
            <w:pPr>
              <w:widowControl/>
              <w:spacing w:line="440" w:lineRule="exact"/>
              <w:textAlignment w:val="baseline"/>
              <w:rPr>
                <w:rFonts w:hint="eastAsia" w:ascii="宋体" w:hAnsi="宋体" w:eastAsia="宋体" w:cs="Arial"/>
                <w:b w:val="0"/>
                <w:bCs/>
                <w:color w:val="auto"/>
                <w:szCs w:val="21"/>
                <w:lang w:val="en-US" w:eastAsia="zh-CN"/>
              </w:rPr>
            </w:pPr>
            <w:r>
              <w:rPr>
                <w:rFonts w:hint="eastAsia" w:ascii="宋体" w:hAnsi="宋体" w:eastAsia="宋体" w:cs="Arial"/>
                <w:b w:val="0"/>
                <w:bCs/>
                <w:color w:val="auto"/>
                <w:szCs w:val="21"/>
                <w:lang w:val="en-US" w:eastAsia="zh-CN"/>
              </w:rPr>
              <w:t>2.2、配置≧14路（带10A保险保护）可扩展至30A直流输出口，可支持医疗舱环境照明系统、空调系统、消毒系统、新风系统、负压系统、直流插座等接入；</w:t>
            </w:r>
          </w:p>
          <w:p w14:paraId="6DDF068F">
            <w:pPr>
              <w:widowControl/>
              <w:spacing w:line="440" w:lineRule="exact"/>
              <w:textAlignment w:val="baseline"/>
              <w:rPr>
                <w:rFonts w:hint="eastAsia" w:ascii="宋体" w:hAnsi="宋体" w:eastAsia="宋体" w:cs="Arial"/>
                <w:b w:val="0"/>
                <w:bCs/>
                <w:color w:val="auto"/>
                <w:szCs w:val="21"/>
                <w:lang w:val="en-US" w:eastAsia="zh-CN"/>
              </w:rPr>
            </w:pPr>
            <w:r>
              <w:rPr>
                <w:rFonts w:hint="eastAsia" w:hAnsi="宋体"/>
                <w:b/>
                <w:bCs/>
                <w:color w:val="auto"/>
              </w:rPr>
              <w:t>▲</w:t>
            </w:r>
            <w:r>
              <w:rPr>
                <w:rFonts w:hint="eastAsia" w:ascii="宋体" w:hAnsi="宋体" w:eastAsia="宋体" w:cs="Arial"/>
                <w:b w:val="0"/>
                <w:bCs/>
                <w:color w:val="auto"/>
                <w:szCs w:val="21"/>
                <w:lang w:val="en-US" w:eastAsia="zh-CN"/>
              </w:rPr>
              <w:t>2.3、配置≧9路触发信号接口，可支持驾驶舱、医疗舱、尾门三个控制面板接入，可实现对舱内电器或设备的独立或联动控制，支持单点、多点等多种控制模式；（</w:t>
            </w:r>
            <w:r>
              <w:rPr>
                <w:rFonts w:hint="eastAsia" w:ascii="宋体" w:hAnsi="宋体" w:eastAsia="宋体" w:cs="Arial"/>
                <w:bCs/>
                <w:color w:val="auto"/>
                <w:szCs w:val="21"/>
                <w:lang w:val="en-US" w:eastAsia="zh-CN"/>
              </w:rPr>
              <w:t>响应文件中</w:t>
            </w:r>
            <w:r>
              <w:rPr>
                <w:rFonts w:hint="eastAsia" w:ascii="宋体" w:hAnsi="宋体" w:cs="Arial"/>
                <w:bCs/>
                <w:color w:val="auto"/>
                <w:szCs w:val="21"/>
                <w:lang w:val="en-US" w:eastAsia="zh-CN"/>
              </w:rPr>
              <w:t>须</w:t>
            </w:r>
            <w:r>
              <w:rPr>
                <w:rFonts w:hint="eastAsia" w:ascii="宋体" w:hAnsi="宋体" w:eastAsia="宋体" w:cs="Arial"/>
                <w:b w:val="0"/>
                <w:bCs/>
                <w:color w:val="auto"/>
                <w:szCs w:val="21"/>
                <w:lang w:val="en-US" w:eastAsia="zh-CN"/>
              </w:rPr>
              <w:t>提供具备上述功能由国家认可的</w:t>
            </w:r>
            <w:r>
              <w:rPr>
                <w:rFonts w:hint="eastAsia" w:ascii="宋体" w:hAnsi="宋体" w:cs="Arial"/>
                <w:b w:val="0"/>
                <w:bCs/>
                <w:color w:val="auto"/>
                <w:szCs w:val="21"/>
                <w:lang w:val="en-US" w:eastAsia="zh-CN"/>
              </w:rPr>
              <w:t>第三方</w:t>
            </w:r>
            <w:r>
              <w:rPr>
                <w:rFonts w:hint="eastAsia" w:ascii="宋体" w:hAnsi="宋体" w:eastAsia="宋体" w:cs="Arial"/>
                <w:b w:val="0"/>
                <w:bCs/>
                <w:color w:val="auto"/>
                <w:szCs w:val="21"/>
                <w:lang w:val="en-US" w:eastAsia="zh-CN"/>
              </w:rPr>
              <w:t>检测中心出具的检验报告，加盖</w:t>
            </w:r>
            <w:r>
              <w:rPr>
                <w:rFonts w:hint="eastAsia" w:ascii="宋体" w:hAnsi="宋体" w:cs="Arial"/>
                <w:b w:val="0"/>
                <w:bCs/>
                <w:color w:val="auto"/>
                <w:szCs w:val="21"/>
                <w:lang w:val="en-US" w:eastAsia="zh-CN"/>
              </w:rPr>
              <w:t>电子</w:t>
            </w:r>
            <w:r>
              <w:rPr>
                <w:rFonts w:hint="eastAsia" w:ascii="宋体" w:hAnsi="宋体" w:eastAsia="宋体" w:cs="Arial"/>
                <w:b w:val="0"/>
                <w:bCs/>
                <w:color w:val="auto"/>
                <w:szCs w:val="21"/>
                <w:lang w:val="en-US" w:eastAsia="zh-CN"/>
              </w:rPr>
              <w:t>公章</w:t>
            </w:r>
            <w:r>
              <w:rPr>
                <w:rFonts w:hint="eastAsia" w:ascii="宋体" w:hAnsi="宋体" w:cs="Arial"/>
                <w:b w:val="0"/>
                <w:bCs/>
                <w:color w:val="auto"/>
                <w:szCs w:val="21"/>
                <w:lang w:val="en-US" w:eastAsia="zh-CN"/>
              </w:rPr>
              <w:t>。</w:t>
            </w:r>
            <w:r>
              <w:rPr>
                <w:rFonts w:hint="eastAsia" w:ascii="宋体" w:hAnsi="宋体" w:eastAsia="宋体" w:cs="Arial"/>
                <w:b w:val="0"/>
                <w:bCs/>
                <w:color w:val="auto"/>
                <w:szCs w:val="21"/>
                <w:lang w:val="en-US" w:eastAsia="zh-CN"/>
              </w:rPr>
              <w:t>）</w:t>
            </w:r>
          </w:p>
          <w:p w14:paraId="5EB65E23">
            <w:pPr>
              <w:widowControl/>
              <w:spacing w:line="440" w:lineRule="exact"/>
              <w:textAlignment w:val="baseline"/>
              <w:rPr>
                <w:rFonts w:hint="eastAsia" w:ascii="宋体" w:hAnsi="宋体" w:eastAsia="宋体" w:cs="Arial"/>
                <w:b w:val="0"/>
                <w:bCs/>
                <w:color w:val="auto"/>
                <w:szCs w:val="21"/>
                <w:lang w:val="en-US" w:eastAsia="zh-CN"/>
              </w:rPr>
            </w:pPr>
            <w:r>
              <w:rPr>
                <w:rFonts w:hint="eastAsia" w:hAnsi="宋体"/>
                <w:b/>
                <w:bCs/>
                <w:color w:val="auto"/>
              </w:rPr>
              <w:t>▲</w:t>
            </w:r>
            <w:r>
              <w:rPr>
                <w:rFonts w:hint="eastAsia" w:ascii="宋体" w:hAnsi="宋体" w:eastAsia="宋体" w:cs="Arial"/>
                <w:b w:val="0"/>
                <w:bCs/>
                <w:color w:val="auto"/>
                <w:szCs w:val="21"/>
                <w:lang w:val="en-US" w:eastAsia="zh-CN"/>
              </w:rPr>
              <w:t>2.4、配置≧1路串行通讯口，支持MODBUS RTU协议通讯，可与上位机操作软件、总线控制器等设备进行通信；（</w:t>
            </w:r>
            <w:r>
              <w:rPr>
                <w:rFonts w:hint="eastAsia" w:ascii="宋体" w:hAnsi="宋体" w:eastAsia="宋体" w:cs="Arial"/>
                <w:bCs/>
                <w:color w:val="auto"/>
                <w:szCs w:val="21"/>
                <w:lang w:val="en-US" w:eastAsia="zh-CN"/>
              </w:rPr>
              <w:t>响应文件中</w:t>
            </w:r>
            <w:r>
              <w:rPr>
                <w:rFonts w:hint="eastAsia" w:ascii="宋体" w:hAnsi="宋体" w:cs="Arial"/>
                <w:bCs/>
                <w:color w:val="auto"/>
                <w:szCs w:val="21"/>
                <w:lang w:val="en-US" w:eastAsia="zh-CN"/>
              </w:rPr>
              <w:t>须</w:t>
            </w:r>
            <w:r>
              <w:rPr>
                <w:rFonts w:hint="eastAsia" w:ascii="宋体" w:hAnsi="宋体" w:eastAsia="宋体" w:cs="Arial"/>
                <w:b w:val="0"/>
                <w:bCs/>
                <w:color w:val="auto"/>
                <w:szCs w:val="21"/>
                <w:lang w:val="en-US" w:eastAsia="zh-CN"/>
              </w:rPr>
              <w:t>提供具备上述功能由国家认可的</w:t>
            </w:r>
            <w:r>
              <w:rPr>
                <w:rFonts w:hint="eastAsia" w:ascii="宋体" w:hAnsi="宋体" w:cs="Arial"/>
                <w:b w:val="0"/>
                <w:bCs/>
                <w:color w:val="auto"/>
                <w:szCs w:val="21"/>
                <w:lang w:val="en-US" w:eastAsia="zh-CN"/>
              </w:rPr>
              <w:t>第三方</w:t>
            </w:r>
            <w:r>
              <w:rPr>
                <w:rFonts w:hint="eastAsia" w:ascii="宋体" w:hAnsi="宋体" w:eastAsia="宋体" w:cs="Arial"/>
                <w:b w:val="0"/>
                <w:bCs/>
                <w:color w:val="auto"/>
                <w:szCs w:val="21"/>
                <w:lang w:val="en-US" w:eastAsia="zh-CN"/>
              </w:rPr>
              <w:t>检测中心出具的检验报告，加盖</w:t>
            </w:r>
            <w:r>
              <w:rPr>
                <w:rFonts w:hint="eastAsia" w:ascii="宋体" w:hAnsi="宋体" w:cs="Arial"/>
                <w:b w:val="0"/>
                <w:bCs/>
                <w:color w:val="auto"/>
                <w:szCs w:val="21"/>
                <w:lang w:val="en-US" w:eastAsia="zh-CN"/>
              </w:rPr>
              <w:t>电子</w:t>
            </w:r>
            <w:r>
              <w:rPr>
                <w:rFonts w:hint="eastAsia" w:ascii="宋体" w:hAnsi="宋体" w:eastAsia="宋体" w:cs="Arial"/>
                <w:b w:val="0"/>
                <w:bCs/>
                <w:color w:val="auto"/>
                <w:szCs w:val="21"/>
                <w:lang w:val="en-US" w:eastAsia="zh-CN"/>
              </w:rPr>
              <w:t>公章</w:t>
            </w:r>
            <w:r>
              <w:rPr>
                <w:rFonts w:hint="eastAsia" w:ascii="宋体" w:hAnsi="宋体" w:cs="Arial"/>
                <w:b w:val="0"/>
                <w:bCs/>
                <w:color w:val="auto"/>
                <w:szCs w:val="21"/>
                <w:lang w:val="en-US" w:eastAsia="zh-CN"/>
              </w:rPr>
              <w:t>。</w:t>
            </w:r>
            <w:r>
              <w:rPr>
                <w:rFonts w:hint="eastAsia" w:ascii="宋体" w:hAnsi="宋体" w:eastAsia="宋体" w:cs="Arial"/>
                <w:b w:val="0"/>
                <w:bCs/>
                <w:color w:val="auto"/>
                <w:szCs w:val="21"/>
                <w:lang w:val="en-US" w:eastAsia="zh-CN"/>
              </w:rPr>
              <w:t>）</w:t>
            </w:r>
          </w:p>
          <w:p w14:paraId="68F5FE81">
            <w:pPr>
              <w:widowControl/>
              <w:spacing w:line="440" w:lineRule="exact"/>
              <w:textAlignment w:val="baseline"/>
              <w:rPr>
                <w:rFonts w:hint="eastAsia" w:ascii="宋体" w:hAnsi="宋体" w:eastAsia="宋体" w:cs="Arial"/>
                <w:b w:val="0"/>
                <w:bCs/>
                <w:color w:val="auto"/>
                <w:szCs w:val="21"/>
                <w:lang w:val="en-US" w:eastAsia="zh-CN"/>
              </w:rPr>
            </w:pPr>
            <w:r>
              <w:rPr>
                <w:rFonts w:hint="eastAsia" w:ascii="宋体" w:hAnsi="宋体" w:eastAsia="宋体" w:cs="Arial"/>
                <w:b w:val="0"/>
                <w:bCs/>
                <w:color w:val="auto"/>
                <w:szCs w:val="21"/>
                <w:lang w:val="en-US" w:eastAsia="zh-CN"/>
              </w:rPr>
              <w:t>2.5、配置≧1路交流输入口，可支持在蓄电池亏电或长时间驻扎救援的工况下对蓄电池充电的同时不间断供医疗舱的交流用电设备使用，确保医疗设备长时间稳定运行；</w:t>
            </w:r>
          </w:p>
          <w:p w14:paraId="68C14964">
            <w:pPr>
              <w:widowControl/>
              <w:spacing w:line="440" w:lineRule="exact"/>
              <w:textAlignment w:val="baseline"/>
              <w:rPr>
                <w:rFonts w:hint="eastAsia" w:ascii="宋体" w:hAnsi="宋体" w:eastAsia="宋体" w:cs="Arial"/>
                <w:b w:val="0"/>
                <w:bCs/>
                <w:color w:val="auto"/>
                <w:szCs w:val="21"/>
                <w:lang w:val="en-US" w:eastAsia="zh-CN"/>
              </w:rPr>
            </w:pPr>
            <w:r>
              <w:rPr>
                <w:rFonts w:hint="eastAsia" w:ascii="宋体" w:hAnsi="宋体" w:eastAsia="宋体" w:cs="Arial"/>
                <w:b w:val="0"/>
                <w:bCs/>
                <w:color w:val="auto"/>
                <w:szCs w:val="21"/>
                <w:lang w:val="en-US" w:eastAsia="zh-CN"/>
              </w:rPr>
              <w:t>2.6、配置≧1路交流输出口，输出电压：210-230V，功率：≧1500W，波形：纯正弦波，频率：约50HZ，可供医疗舱的交流用的设备使用。</w:t>
            </w:r>
          </w:p>
          <w:p w14:paraId="6E1E86AB">
            <w:pPr>
              <w:widowControl/>
              <w:spacing w:line="440" w:lineRule="exact"/>
              <w:textAlignment w:val="baseline"/>
              <w:rPr>
                <w:rFonts w:hint="eastAsia" w:ascii="宋体" w:hAnsi="宋体" w:eastAsia="宋体" w:cs="Arial"/>
                <w:b w:val="0"/>
                <w:bCs/>
                <w:color w:val="auto"/>
                <w:szCs w:val="21"/>
                <w:lang w:val="en-US" w:eastAsia="zh-CN"/>
              </w:rPr>
            </w:pPr>
            <w:r>
              <w:rPr>
                <w:rFonts w:hint="eastAsia" w:ascii="宋体" w:hAnsi="宋体" w:eastAsia="宋体" w:cs="Arial"/>
                <w:b w:val="0"/>
                <w:bCs/>
                <w:color w:val="auto"/>
                <w:szCs w:val="21"/>
                <w:lang w:val="en-US" w:eastAsia="zh-CN"/>
              </w:rPr>
              <w:t>3、一体化智能电源控制系统/器逆变组件性能要求：</w:t>
            </w:r>
          </w:p>
          <w:p w14:paraId="127F8E56">
            <w:pPr>
              <w:widowControl/>
              <w:spacing w:line="440" w:lineRule="exact"/>
              <w:textAlignment w:val="baseline"/>
              <w:rPr>
                <w:rFonts w:hint="eastAsia" w:ascii="宋体" w:hAnsi="宋体" w:eastAsia="宋体" w:cs="Arial"/>
                <w:b w:val="0"/>
                <w:bCs/>
                <w:color w:val="auto"/>
                <w:szCs w:val="21"/>
                <w:lang w:val="en-US" w:eastAsia="zh-CN"/>
              </w:rPr>
            </w:pPr>
            <w:r>
              <w:rPr>
                <w:rFonts w:hint="eastAsia" w:hAnsi="宋体"/>
                <w:b/>
                <w:bCs/>
                <w:color w:val="auto"/>
              </w:rPr>
              <w:t>▲</w:t>
            </w:r>
            <w:r>
              <w:rPr>
                <w:rFonts w:hint="eastAsia" w:ascii="宋体" w:hAnsi="宋体" w:eastAsia="宋体" w:cs="Arial"/>
                <w:b w:val="0"/>
                <w:bCs/>
                <w:color w:val="auto"/>
                <w:szCs w:val="21"/>
                <w:lang w:val="en-US" w:eastAsia="zh-CN"/>
              </w:rPr>
              <w:t>3.1、采用高频DC/AC变换，实现≧92%的逆变效率和≦8W的静态功耗，保障有限电池能源得到最大的利用。（</w:t>
            </w:r>
            <w:r>
              <w:rPr>
                <w:rFonts w:hint="eastAsia" w:ascii="宋体" w:hAnsi="宋体" w:eastAsia="宋体" w:cs="Arial"/>
                <w:bCs/>
                <w:color w:val="auto"/>
                <w:szCs w:val="21"/>
                <w:lang w:val="en-US" w:eastAsia="zh-CN"/>
              </w:rPr>
              <w:t>响应文件中</w:t>
            </w:r>
            <w:r>
              <w:rPr>
                <w:rFonts w:hint="eastAsia" w:ascii="宋体" w:hAnsi="宋体" w:cs="Arial"/>
                <w:bCs/>
                <w:color w:val="auto"/>
                <w:szCs w:val="21"/>
                <w:lang w:val="en-US" w:eastAsia="zh-CN"/>
              </w:rPr>
              <w:t>须</w:t>
            </w:r>
            <w:r>
              <w:rPr>
                <w:rFonts w:hint="eastAsia" w:ascii="宋体" w:hAnsi="宋体" w:eastAsia="宋体" w:cs="Arial"/>
                <w:b w:val="0"/>
                <w:bCs/>
                <w:color w:val="auto"/>
                <w:szCs w:val="21"/>
                <w:lang w:val="en-US" w:eastAsia="zh-CN"/>
              </w:rPr>
              <w:t>提供具备上述功能由国家认可的</w:t>
            </w:r>
            <w:r>
              <w:rPr>
                <w:rFonts w:hint="eastAsia" w:ascii="宋体" w:hAnsi="宋体" w:cs="Arial"/>
                <w:b w:val="0"/>
                <w:bCs/>
                <w:color w:val="auto"/>
                <w:szCs w:val="21"/>
                <w:lang w:val="en-US" w:eastAsia="zh-CN"/>
              </w:rPr>
              <w:t>第三方</w:t>
            </w:r>
            <w:r>
              <w:rPr>
                <w:rFonts w:hint="eastAsia" w:ascii="宋体" w:hAnsi="宋体" w:eastAsia="宋体" w:cs="Arial"/>
                <w:b w:val="0"/>
                <w:bCs/>
                <w:color w:val="auto"/>
                <w:szCs w:val="21"/>
                <w:lang w:val="en-US" w:eastAsia="zh-CN"/>
              </w:rPr>
              <w:t>检测中心出具的检验报告，加盖</w:t>
            </w:r>
            <w:r>
              <w:rPr>
                <w:rFonts w:hint="eastAsia" w:ascii="宋体" w:hAnsi="宋体" w:cs="Arial"/>
                <w:b w:val="0"/>
                <w:bCs/>
                <w:color w:val="auto"/>
                <w:szCs w:val="21"/>
                <w:lang w:val="en-US" w:eastAsia="zh-CN"/>
              </w:rPr>
              <w:t>电子</w:t>
            </w:r>
            <w:r>
              <w:rPr>
                <w:rFonts w:hint="eastAsia" w:ascii="宋体" w:hAnsi="宋体" w:eastAsia="宋体" w:cs="Arial"/>
                <w:b w:val="0"/>
                <w:bCs/>
                <w:color w:val="auto"/>
                <w:szCs w:val="21"/>
                <w:lang w:val="en-US" w:eastAsia="zh-CN"/>
              </w:rPr>
              <w:t>公章</w:t>
            </w:r>
            <w:r>
              <w:rPr>
                <w:rFonts w:hint="eastAsia" w:ascii="宋体" w:hAnsi="宋体" w:cs="Arial"/>
                <w:b w:val="0"/>
                <w:bCs/>
                <w:color w:val="auto"/>
                <w:szCs w:val="21"/>
                <w:lang w:val="en-US" w:eastAsia="zh-CN"/>
              </w:rPr>
              <w:t>。</w:t>
            </w:r>
            <w:r>
              <w:rPr>
                <w:rFonts w:hint="eastAsia" w:ascii="宋体" w:hAnsi="宋体" w:eastAsia="宋体" w:cs="Arial"/>
                <w:b w:val="0"/>
                <w:bCs/>
                <w:color w:val="auto"/>
                <w:szCs w:val="21"/>
                <w:lang w:val="en-US" w:eastAsia="zh-CN"/>
              </w:rPr>
              <w:t>）</w:t>
            </w:r>
          </w:p>
          <w:p w14:paraId="28973714">
            <w:pPr>
              <w:widowControl/>
              <w:spacing w:line="440" w:lineRule="exact"/>
              <w:textAlignment w:val="baseline"/>
              <w:rPr>
                <w:rFonts w:hint="eastAsia" w:ascii="宋体" w:hAnsi="宋体" w:eastAsia="宋体" w:cs="Arial"/>
                <w:b w:val="0"/>
                <w:bCs/>
                <w:color w:val="auto"/>
                <w:szCs w:val="21"/>
                <w:lang w:val="en-US" w:eastAsia="zh-CN"/>
              </w:rPr>
            </w:pPr>
            <w:r>
              <w:rPr>
                <w:rFonts w:hint="eastAsia" w:hAnsi="宋体"/>
                <w:b/>
                <w:bCs/>
                <w:color w:val="auto"/>
              </w:rPr>
              <w:t>▲</w:t>
            </w:r>
            <w:r>
              <w:rPr>
                <w:rFonts w:hint="eastAsia" w:ascii="宋体" w:hAnsi="宋体" w:eastAsia="宋体" w:cs="Arial"/>
                <w:b w:val="0"/>
                <w:bCs/>
                <w:color w:val="auto"/>
                <w:szCs w:val="21"/>
                <w:lang w:val="en-US" w:eastAsia="zh-CN"/>
              </w:rPr>
              <w:t>3.2、直流输入电压保护：为避免电池过度放电或超压损坏用电器，系统根据默认设置有高、低压保护点（高压：≧16.5V,低压≦10.0V），输入电压高于或低于预设保护点将自动关机锁死，用户需要输入电压调整正常范围后手动重启，才可正常启动设备。（</w:t>
            </w:r>
            <w:r>
              <w:rPr>
                <w:rFonts w:hint="eastAsia" w:ascii="宋体" w:hAnsi="宋体" w:eastAsia="宋体" w:cs="Arial"/>
                <w:bCs/>
                <w:color w:val="auto"/>
                <w:szCs w:val="21"/>
                <w:lang w:val="en-US" w:eastAsia="zh-CN"/>
              </w:rPr>
              <w:t>响应文件中</w:t>
            </w:r>
            <w:r>
              <w:rPr>
                <w:rFonts w:hint="eastAsia" w:ascii="宋体" w:hAnsi="宋体" w:cs="Arial"/>
                <w:bCs/>
                <w:color w:val="auto"/>
                <w:szCs w:val="21"/>
                <w:lang w:val="en-US" w:eastAsia="zh-CN"/>
              </w:rPr>
              <w:t>须</w:t>
            </w:r>
            <w:r>
              <w:rPr>
                <w:rFonts w:hint="eastAsia" w:ascii="宋体" w:hAnsi="宋体" w:eastAsia="宋体" w:cs="Arial"/>
                <w:b w:val="0"/>
                <w:bCs/>
                <w:color w:val="auto"/>
                <w:szCs w:val="21"/>
                <w:lang w:val="en-US" w:eastAsia="zh-CN"/>
              </w:rPr>
              <w:t>提供具备上述功能由国家认可的</w:t>
            </w:r>
            <w:r>
              <w:rPr>
                <w:rFonts w:hint="eastAsia" w:ascii="宋体" w:hAnsi="宋体" w:cs="Arial"/>
                <w:b w:val="0"/>
                <w:bCs/>
                <w:color w:val="auto"/>
                <w:szCs w:val="21"/>
                <w:lang w:val="en-US" w:eastAsia="zh-CN"/>
              </w:rPr>
              <w:t>第三方</w:t>
            </w:r>
            <w:r>
              <w:rPr>
                <w:rFonts w:hint="eastAsia" w:ascii="宋体" w:hAnsi="宋体" w:eastAsia="宋体" w:cs="Arial"/>
                <w:b w:val="0"/>
                <w:bCs/>
                <w:color w:val="auto"/>
                <w:szCs w:val="21"/>
                <w:lang w:val="en-US" w:eastAsia="zh-CN"/>
              </w:rPr>
              <w:t>检测中心出具的检验报告，加盖</w:t>
            </w:r>
            <w:r>
              <w:rPr>
                <w:rFonts w:hint="eastAsia" w:ascii="宋体" w:hAnsi="宋体" w:cs="Arial"/>
                <w:b w:val="0"/>
                <w:bCs/>
                <w:color w:val="auto"/>
                <w:szCs w:val="21"/>
                <w:lang w:val="en-US" w:eastAsia="zh-CN"/>
              </w:rPr>
              <w:t>电子</w:t>
            </w:r>
            <w:r>
              <w:rPr>
                <w:rFonts w:hint="eastAsia" w:ascii="宋体" w:hAnsi="宋体" w:eastAsia="宋体" w:cs="Arial"/>
                <w:b w:val="0"/>
                <w:bCs/>
                <w:color w:val="auto"/>
                <w:szCs w:val="21"/>
                <w:lang w:val="en-US" w:eastAsia="zh-CN"/>
              </w:rPr>
              <w:t>公章</w:t>
            </w:r>
            <w:r>
              <w:rPr>
                <w:rFonts w:hint="eastAsia" w:ascii="宋体" w:hAnsi="宋体" w:cs="Arial"/>
                <w:b w:val="0"/>
                <w:bCs/>
                <w:color w:val="auto"/>
                <w:szCs w:val="21"/>
                <w:lang w:val="en-US" w:eastAsia="zh-CN"/>
              </w:rPr>
              <w:t>。</w:t>
            </w:r>
            <w:r>
              <w:rPr>
                <w:rFonts w:hint="eastAsia" w:ascii="宋体" w:hAnsi="宋体" w:eastAsia="宋体" w:cs="Arial"/>
                <w:b w:val="0"/>
                <w:bCs/>
                <w:color w:val="auto"/>
                <w:szCs w:val="21"/>
                <w:lang w:val="en-US" w:eastAsia="zh-CN"/>
              </w:rPr>
              <w:t>）</w:t>
            </w:r>
          </w:p>
          <w:p w14:paraId="386A3565">
            <w:pPr>
              <w:widowControl/>
              <w:spacing w:line="440" w:lineRule="exact"/>
              <w:textAlignment w:val="baseline"/>
              <w:rPr>
                <w:rFonts w:hint="eastAsia" w:ascii="宋体" w:hAnsi="宋体" w:eastAsia="宋体" w:cs="Arial"/>
                <w:b w:val="0"/>
                <w:bCs/>
                <w:color w:val="auto"/>
                <w:szCs w:val="21"/>
                <w:lang w:val="en-US" w:eastAsia="zh-CN"/>
              </w:rPr>
            </w:pPr>
            <w:r>
              <w:rPr>
                <w:rFonts w:hint="eastAsia" w:hAnsi="宋体"/>
                <w:b/>
                <w:bCs/>
                <w:color w:val="auto"/>
              </w:rPr>
              <w:t>▲</w:t>
            </w:r>
            <w:r>
              <w:rPr>
                <w:rFonts w:hint="eastAsia" w:ascii="宋体" w:hAnsi="宋体" w:eastAsia="宋体" w:cs="Arial"/>
                <w:b w:val="0"/>
                <w:bCs/>
                <w:color w:val="auto"/>
                <w:szCs w:val="21"/>
                <w:lang w:val="en-US" w:eastAsia="zh-CN"/>
              </w:rPr>
              <w:t>3.3、交流输出过载和短路报警保护：当交流输出过载时，机器自动关机，进入过载保护状态，机器不会自动重启，用户需要关闭超额负载后手动重启，才可正常输出交流;并且支持软、硬件对逆变输出接口进行双重短路保护</w:t>
            </w:r>
            <w:r>
              <w:rPr>
                <w:rFonts w:hint="eastAsia" w:ascii="宋体" w:hAnsi="宋体" w:cs="Arial"/>
                <w:b w:val="0"/>
                <w:bCs/>
                <w:color w:val="auto"/>
                <w:szCs w:val="21"/>
                <w:lang w:val="en-US" w:eastAsia="zh-CN"/>
              </w:rPr>
              <w:t>；</w:t>
            </w:r>
          </w:p>
          <w:p w14:paraId="14C5AA5B">
            <w:pPr>
              <w:widowControl/>
              <w:spacing w:line="440" w:lineRule="exact"/>
              <w:textAlignment w:val="baseline"/>
              <w:rPr>
                <w:rFonts w:hint="eastAsia" w:ascii="宋体" w:hAnsi="宋体" w:eastAsia="宋体" w:cs="Arial"/>
                <w:b w:val="0"/>
                <w:bCs/>
                <w:color w:val="auto"/>
                <w:szCs w:val="21"/>
                <w:lang w:val="en-US" w:eastAsia="zh-CN"/>
              </w:rPr>
            </w:pPr>
            <w:r>
              <w:rPr>
                <w:rFonts w:hint="eastAsia" w:ascii="宋体" w:hAnsi="宋体" w:eastAsia="宋体" w:cs="Arial"/>
                <w:b w:val="0"/>
                <w:bCs/>
                <w:color w:val="auto"/>
                <w:szCs w:val="21"/>
                <w:lang w:val="en-US" w:eastAsia="zh-CN"/>
              </w:rPr>
              <w:t>3.4、过温报警保护：当设备内部温度过高时，将进入过温保护状态；待内部温度恢复正常后可自动恢复正常工作;</w:t>
            </w:r>
          </w:p>
          <w:p w14:paraId="0F5AD93B">
            <w:pPr>
              <w:widowControl/>
              <w:spacing w:line="440" w:lineRule="exact"/>
              <w:textAlignment w:val="baseline"/>
              <w:rPr>
                <w:rFonts w:hint="eastAsia" w:ascii="宋体" w:hAnsi="宋体" w:eastAsia="宋体" w:cs="Arial"/>
                <w:b w:val="0"/>
                <w:bCs/>
                <w:color w:val="auto"/>
                <w:szCs w:val="21"/>
                <w:lang w:val="en-US" w:eastAsia="zh-CN"/>
              </w:rPr>
            </w:pPr>
            <w:r>
              <w:rPr>
                <w:rFonts w:hint="eastAsia" w:ascii="宋体" w:hAnsi="宋体" w:eastAsia="宋体" w:cs="Arial"/>
                <w:b w:val="0"/>
                <w:bCs/>
                <w:color w:val="auto"/>
                <w:szCs w:val="21"/>
                <w:lang w:val="en-US" w:eastAsia="zh-CN"/>
              </w:rPr>
              <w:t>3.5、不间断供电：在直流输入电压≧12V且无市电交流电输入状态下，可实现≧48小时不间断逆变输出交流电压≧220V、功率≧1000W;</w:t>
            </w:r>
          </w:p>
          <w:p w14:paraId="596FAAF0">
            <w:pPr>
              <w:widowControl/>
              <w:spacing w:line="440" w:lineRule="exact"/>
              <w:textAlignment w:val="baseline"/>
              <w:rPr>
                <w:rFonts w:hint="eastAsia" w:ascii="宋体" w:hAnsi="宋体" w:eastAsia="宋体" w:cs="Arial"/>
                <w:b w:val="0"/>
                <w:bCs/>
                <w:color w:val="auto"/>
                <w:szCs w:val="21"/>
                <w:lang w:val="en-US" w:eastAsia="zh-CN"/>
              </w:rPr>
            </w:pPr>
            <w:r>
              <w:rPr>
                <w:rFonts w:hint="eastAsia" w:hAnsi="宋体"/>
                <w:b/>
                <w:bCs/>
                <w:color w:val="auto"/>
              </w:rPr>
              <w:t>▲</w:t>
            </w:r>
            <w:r>
              <w:rPr>
                <w:rFonts w:hint="eastAsia" w:ascii="宋体" w:hAnsi="宋体" w:eastAsia="宋体" w:cs="Arial"/>
                <w:b w:val="0"/>
                <w:bCs/>
                <w:color w:val="auto"/>
                <w:szCs w:val="21"/>
                <w:lang w:val="en-US" w:eastAsia="zh-CN"/>
              </w:rPr>
              <w:t>3.6、智能多段式充电：通过实时监测充电过程中电压、电流及温度数值，根据计算出各项参数的综合系数实时补偿的多段电池充电管理功能，能迅速充满电池，并有效延长电池使用寿命</w:t>
            </w:r>
            <w:r>
              <w:rPr>
                <w:rFonts w:hint="eastAsia" w:ascii="宋体" w:hAnsi="宋体" w:cs="Arial"/>
                <w:b w:val="0"/>
                <w:bCs/>
                <w:color w:val="auto"/>
                <w:szCs w:val="21"/>
                <w:lang w:val="en-US" w:eastAsia="zh-CN"/>
              </w:rPr>
              <w:t>；</w:t>
            </w:r>
            <w:r>
              <w:rPr>
                <w:rFonts w:hint="eastAsia" w:ascii="宋体" w:hAnsi="宋体" w:eastAsia="宋体" w:cs="Arial"/>
                <w:b w:val="0"/>
                <w:bCs/>
                <w:color w:val="auto"/>
                <w:szCs w:val="21"/>
                <w:lang w:val="en-US" w:eastAsia="zh-CN"/>
              </w:rPr>
              <w:t>（</w:t>
            </w:r>
            <w:r>
              <w:rPr>
                <w:rFonts w:hint="eastAsia" w:ascii="宋体" w:hAnsi="宋体" w:eastAsia="宋体" w:cs="Arial"/>
                <w:bCs/>
                <w:color w:val="auto"/>
                <w:szCs w:val="21"/>
                <w:lang w:val="en-US" w:eastAsia="zh-CN"/>
              </w:rPr>
              <w:t>响应文件中</w:t>
            </w:r>
            <w:r>
              <w:rPr>
                <w:rFonts w:hint="eastAsia" w:ascii="宋体" w:hAnsi="宋体" w:cs="Arial"/>
                <w:bCs/>
                <w:color w:val="auto"/>
                <w:szCs w:val="21"/>
                <w:lang w:val="en-US" w:eastAsia="zh-CN"/>
              </w:rPr>
              <w:t>须</w:t>
            </w:r>
            <w:r>
              <w:rPr>
                <w:rFonts w:hint="eastAsia" w:ascii="宋体" w:hAnsi="宋体" w:eastAsia="宋体" w:cs="Arial"/>
                <w:b w:val="0"/>
                <w:bCs/>
                <w:color w:val="auto"/>
                <w:szCs w:val="21"/>
                <w:lang w:val="en-US" w:eastAsia="zh-CN"/>
              </w:rPr>
              <w:t>提供具备上述功能由国家认可的</w:t>
            </w:r>
            <w:r>
              <w:rPr>
                <w:rFonts w:hint="eastAsia" w:ascii="宋体" w:hAnsi="宋体" w:cs="Arial"/>
                <w:b w:val="0"/>
                <w:bCs/>
                <w:color w:val="auto"/>
                <w:szCs w:val="21"/>
                <w:lang w:val="en-US" w:eastAsia="zh-CN"/>
              </w:rPr>
              <w:t>第三方</w:t>
            </w:r>
            <w:r>
              <w:rPr>
                <w:rFonts w:hint="eastAsia" w:ascii="宋体" w:hAnsi="宋体" w:eastAsia="宋体" w:cs="Arial"/>
                <w:b w:val="0"/>
                <w:bCs/>
                <w:color w:val="auto"/>
                <w:szCs w:val="21"/>
                <w:lang w:val="en-US" w:eastAsia="zh-CN"/>
              </w:rPr>
              <w:t>检测中心出具的检验报告，加盖</w:t>
            </w:r>
            <w:r>
              <w:rPr>
                <w:rFonts w:hint="eastAsia" w:ascii="宋体" w:hAnsi="宋体" w:cs="Arial"/>
                <w:b w:val="0"/>
                <w:bCs/>
                <w:color w:val="auto"/>
                <w:szCs w:val="21"/>
                <w:lang w:val="en-US" w:eastAsia="zh-CN"/>
              </w:rPr>
              <w:t>电子</w:t>
            </w:r>
            <w:r>
              <w:rPr>
                <w:rFonts w:hint="eastAsia" w:ascii="宋体" w:hAnsi="宋体" w:eastAsia="宋体" w:cs="Arial"/>
                <w:b w:val="0"/>
                <w:bCs/>
                <w:color w:val="auto"/>
                <w:szCs w:val="21"/>
                <w:lang w:val="en-US" w:eastAsia="zh-CN"/>
              </w:rPr>
              <w:t>公章</w:t>
            </w:r>
            <w:r>
              <w:rPr>
                <w:rFonts w:hint="eastAsia" w:ascii="宋体" w:hAnsi="宋体" w:cs="Arial"/>
                <w:b w:val="0"/>
                <w:bCs/>
                <w:color w:val="auto"/>
                <w:szCs w:val="21"/>
                <w:lang w:val="en-US" w:eastAsia="zh-CN"/>
              </w:rPr>
              <w:t>。</w:t>
            </w:r>
            <w:r>
              <w:rPr>
                <w:rFonts w:hint="eastAsia" w:ascii="宋体" w:hAnsi="宋体" w:eastAsia="宋体" w:cs="Arial"/>
                <w:b w:val="0"/>
                <w:bCs/>
                <w:color w:val="auto"/>
                <w:szCs w:val="21"/>
                <w:lang w:val="en-US" w:eastAsia="zh-CN"/>
              </w:rPr>
              <w:t>）</w:t>
            </w:r>
          </w:p>
          <w:p w14:paraId="585471BD">
            <w:pPr>
              <w:widowControl/>
              <w:spacing w:line="440" w:lineRule="exact"/>
              <w:textAlignment w:val="baseline"/>
              <w:rPr>
                <w:rFonts w:hint="eastAsia" w:ascii="宋体" w:hAnsi="宋体" w:eastAsia="宋体" w:cs="Arial"/>
                <w:b w:val="0"/>
                <w:bCs/>
                <w:color w:val="auto"/>
                <w:szCs w:val="21"/>
                <w:lang w:val="en-US" w:eastAsia="zh-CN"/>
              </w:rPr>
            </w:pPr>
            <w:r>
              <w:rPr>
                <w:rFonts w:hint="eastAsia" w:ascii="宋体" w:hAnsi="宋体" w:eastAsia="宋体" w:cs="Arial"/>
                <w:b w:val="0"/>
                <w:bCs/>
                <w:color w:val="auto"/>
                <w:szCs w:val="21"/>
                <w:lang w:val="en-US" w:eastAsia="zh-CN"/>
              </w:rPr>
              <w:t>4、一体化智能电源控制系统/器电源管理组件性能要求：</w:t>
            </w:r>
          </w:p>
          <w:p w14:paraId="0DA4CE5A">
            <w:pPr>
              <w:widowControl/>
              <w:spacing w:line="440" w:lineRule="exact"/>
              <w:textAlignment w:val="baseline"/>
              <w:rPr>
                <w:rFonts w:hint="eastAsia" w:ascii="宋体" w:hAnsi="宋体" w:eastAsia="宋体" w:cs="Arial"/>
                <w:b w:val="0"/>
                <w:bCs/>
                <w:color w:val="auto"/>
                <w:szCs w:val="21"/>
                <w:lang w:val="en-US" w:eastAsia="zh-CN"/>
              </w:rPr>
            </w:pPr>
            <w:r>
              <w:rPr>
                <w:rFonts w:hint="eastAsia" w:ascii="宋体" w:hAnsi="宋体" w:eastAsia="宋体" w:cs="Arial"/>
                <w:b w:val="0"/>
                <w:bCs/>
                <w:color w:val="auto"/>
                <w:szCs w:val="21"/>
                <w:lang w:val="en-US" w:eastAsia="zh-CN"/>
              </w:rPr>
              <w:t>4.1、双电池隔离：车辆启动后根据选择的场景预设模式运行自动并联主/副电池充电，熄火后根据选择的场景预设模式运行自动隔离防止过放，优先保护主电池电量;支持不低于250A电流负载运行;</w:t>
            </w:r>
          </w:p>
          <w:p w14:paraId="49D61D8A">
            <w:pPr>
              <w:widowControl/>
              <w:spacing w:line="440" w:lineRule="exact"/>
              <w:textAlignment w:val="baseline"/>
              <w:rPr>
                <w:rFonts w:hint="eastAsia" w:ascii="宋体" w:hAnsi="宋体" w:eastAsia="宋体" w:cs="Arial"/>
                <w:b w:val="0"/>
                <w:bCs/>
                <w:color w:val="auto"/>
                <w:szCs w:val="21"/>
                <w:lang w:val="en-US" w:eastAsia="zh-CN"/>
              </w:rPr>
            </w:pPr>
            <w:r>
              <w:rPr>
                <w:rFonts w:hint="eastAsia" w:ascii="宋体" w:hAnsi="宋体" w:eastAsia="宋体" w:cs="Arial"/>
                <w:b w:val="0"/>
                <w:bCs/>
                <w:color w:val="auto"/>
                <w:szCs w:val="21"/>
                <w:lang w:val="en-US" w:eastAsia="zh-CN"/>
              </w:rPr>
              <w:t>4.2、应急搭电：在车辆主电瓶亏电导致无法启动发电机的情况下，可以通过长按紧急按钮实现副电瓶给主电瓶搭电来发动车辆;</w:t>
            </w:r>
          </w:p>
          <w:p w14:paraId="763A59A0">
            <w:pPr>
              <w:widowControl/>
              <w:spacing w:line="440" w:lineRule="exact"/>
              <w:textAlignment w:val="baseline"/>
              <w:rPr>
                <w:rFonts w:hint="eastAsia" w:ascii="宋体" w:hAnsi="宋体" w:eastAsia="宋体" w:cs="Arial"/>
                <w:b w:val="0"/>
                <w:bCs/>
                <w:color w:val="auto"/>
                <w:szCs w:val="21"/>
                <w:lang w:val="en-US" w:eastAsia="zh-CN"/>
              </w:rPr>
            </w:pPr>
            <w:r>
              <w:rPr>
                <w:rFonts w:hint="eastAsia" w:ascii="宋体" w:hAnsi="宋体" w:eastAsia="宋体" w:cs="Arial"/>
                <w:b w:val="0"/>
                <w:bCs/>
                <w:color w:val="auto"/>
                <w:szCs w:val="21"/>
                <w:lang w:val="en-US" w:eastAsia="zh-CN"/>
              </w:rPr>
              <w:t>4.3、交流电应急开关：在远程启动开关失效的情况下，可通过拨动紧急开关启动逆变器确保交流供应;</w:t>
            </w:r>
          </w:p>
          <w:p w14:paraId="26D3D3F9">
            <w:pPr>
              <w:widowControl/>
              <w:spacing w:line="440" w:lineRule="exact"/>
              <w:textAlignment w:val="baseline"/>
              <w:rPr>
                <w:rFonts w:hint="eastAsia" w:ascii="宋体" w:hAnsi="宋体" w:eastAsia="宋体" w:cs="Arial"/>
                <w:b w:val="0"/>
                <w:bCs/>
                <w:color w:val="auto"/>
                <w:szCs w:val="21"/>
                <w:lang w:val="en-US" w:eastAsia="zh-CN"/>
              </w:rPr>
            </w:pPr>
            <w:r>
              <w:rPr>
                <w:rFonts w:hint="eastAsia" w:hAnsi="宋体"/>
                <w:b/>
                <w:bCs/>
                <w:color w:val="auto"/>
              </w:rPr>
              <w:t>▲</w:t>
            </w:r>
            <w:r>
              <w:rPr>
                <w:rFonts w:hint="eastAsia" w:ascii="宋体" w:hAnsi="宋体" w:eastAsia="宋体" w:cs="Arial"/>
                <w:b w:val="0"/>
                <w:bCs/>
                <w:color w:val="auto"/>
                <w:szCs w:val="21"/>
                <w:lang w:val="en-US" w:eastAsia="zh-CN"/>
              </w:rPr>
              <w:t>4.4、自动关机：系统在监测到输入的开机触发信号断开后待机10秒，如紫外消毒功能未启动，系统立即自动关机；如紫外消毒功能已启动，系统会等待消毒完成后自动关机；此待机时间可以通过通讯口设置；（响应文件中须提供具备上述功能由国家认可的</w:t>
            </w:r>
            <w:r>
              <w:rPr>
                <w:rFonts w:hint="eastAsia" w:ascii="宋体" w:hAnsi="宋体" w:cs="Arial"/>
                <w:b w:val="0"/>
                <w:bCs/>
                <w:color w:val="auto"/>
                <w:szCs w:val="21"/>
                <w:lang w:val="en-US" w:eastAsia="zh-CN"/>
              </w:rPr>
              <w:t>第三方</w:t>
            </w:r>
            <w:r>
              <w:rPr>
                <w:rFonts w:hint="eastAsia" w:ascii="宋体" w:hAnsi="宋体" w:eastAsia="宋体" w:cs="Arial"/>
                <w:b w:val="0"/>
                <w:bCs/>
                <w:color w:val="auto"/>
                <w:szCs w:val="21"/>
                <w:lang w:val="en-US" w:eastAsia="zh-CN"/>
              </w:rPr>
              <w:t>检测中心出具的检验报告，加盖</w:t>
            </w:r>
            <w:r>
              <w:rPr>
                <w:rFonts w:hint="eastAsia" w:ascii="宋体" w:hAnsi="宋体" w:cs="Arial"/>
                <w:b w:val="0"/>
                <w:bCs/>
                <w:color w:val="auto"/>
                <w:szCs w:val="21"/>
                <w:lang w:val="en-US" w:eastAsia="zh-CN"/>
              </w:rPr>
              <w:t>电子</w:t>
            </w:r>
            <w:r>
              <w:rPr>
                <w:rFonts w:hint="eastAsia" w:ascii="宋体" w:hAnsi="宋体" w:eastAsia="宋体" w:cs="Arial"/>
                <w:b w:val="0"/>
                <w:bCs/>
                <w:color w:val="auto"/>
                <w:szCs w:val="21"/>
                <w:lang w:val="en-US" w:eastAsia="zh-CN"/>
              </w:rPr>
              <w:t>公章</w:t>
            </w:r>
            <w:r>
              <w:rPr>
                <w:rFonts w:hint="eastAsia" w:ascii="宋体" w:hAnsi="宋体" w:cs="Arial"/>
                <w:b w:val="0"/>
                <w:bCs/>
                <w:color w:val="auto"/>
                <w:szCs w:val="21"/>
                <w:lang w:val="en-US" w:eastAsia="zh-CN"/>
              </w:rPr>
              <w:t>。</w:t>
            </w:r>
            <w:r>
              <w:rPr>
                <w:rFonts w:hint="eastAsia" w:ascii="宋体" w:hAnsi="宋体" w:eastAsia="宋体" w:cs="Arial"/>
                <w:b w:val="0"/>
                <w:bCs/>
                <w:color w:val="auto"/>
                <w:szCs w:val="21"/>
                <w:lang w:val="en-US" w:eastAsia="zh-CN"/>
              </w:rPr>
              <w:t>）</w:t>
            </w:r>
          </w:p>
          <w:p w14:paraId="2329F60C">
            <w:pPr>
              <w:widowControl/>
              <w:spacing w:line="440" w:lineRule="exact"/>
              <w:textAlignment w:val="baseline"/>
              <w:rPr>
                <w:rFonts w:hint="eastAsia" w:ascii="宋体" w:hAnsi="宋体" w:eastAsia="宋体" w:cs="Arial"/>
                <w:b w:val="0"/>
                <w:bCs/>
                <w:color w:val="auto"/>
                <w:szCs w:val="21"/>
                <w:lang w:val="en-US" w:eastAsia="zh-CN"/>
              </w:rPr>
            </w:pPr>
            <w:r>
              <w:rPr>
                <w:rFonts w:hint="eastAsia" w:hAnsi="宋体"/>
                <w:b/>
                <w:bCs/>
                <w:color w:val="auto"/>
              </w:rPr>
              <w:t>▲</w:t>
            </w:r>
            <w:r>
              <w:rPr>
                <w:rFonts w:hint="eastAsia" w:ascii="宋体" w:hAnsi="宋体" w:eastAsia="宋体" w:cs="Arial"/>
                <w:b w:val="0"/>
                <w:bCs/>
                <w:color w:val="auto"/>
                <w:szCs w:val="21"/>
                <w:lang w:val="en-US" w:eastAsia="zh-CN"/>
              </w:rPr>
              <w:t>4.5、应用场景模式预设：为了快速适配各种不同的应用场景，便于对接入的蓄电池充放电智能管理；系统须支持不少于4种预设应用场景模式可选，如输入电压趋势智能分析、固定输入电压阈值、多段输入电压阈值、机器学习(对输入电压、运行时间、启动次数、电池使用时长等关键参数分析学习)运行模式，选择方式可以支持拨码开关和串口设置</w:t>
            </w:r>
            <w:r>
              <w:rPr>
                <w:rFonts w:hint="eastAsia" w:ascii="宋体" w:hAnsi="宋体" w:cs="Arial"/>
                <w:b w:val="0"/>
                <w:bCs/>
                <w:color w:val="auto"/>
                <w:szCs w:val="21"/>
                <w:lang w:val="en-US" w:eastAsia="zh-CN"/>
              </w:rPr>
              <w:t>；</w:t>
            </w:r>
            <w:r>
              <w:rPr>
                <w:rFonts w:hint="eastAsia" w:ascii="宋体" w:hAnsi="宋体" w:eastAsia="宋体" w:cs="Arial"/>
                <w:b w:val="0"/>
                <w:bCs/>
                <w:color w:val="auto"/>
                <w:szCs w:val="21"/>
                <w:lang w:val="en-US" w:eastAsia="zh-CN"/>
              </w:rPr>
              <w:t>（</w:t>
            </w:r>
            <w:r>
              <w:rPr>
                <w:rFonts w:hint="eastAsia" w:ascii="宋体" w:hAnsi="宋体" w:eastAsia="宋体" w:cs="Arial"/>
                <w:bCs/>
                <w:color w:val="auto"/>
                <w:szCs w:val="21"/>
                <w:lang w:val="en-US" w:eastAsia="zh-CN"/>
              </w:rPr>
              <w:t>响应文件中</w:t>
            </w:r>
            <w:r>
              <w:rPr>
                <w:rFonts w:hint="eastAsia" w:ascii="宋体" w:hAnsi="宋体" w:cs="Arial"/>
                <w:bCs/>
                <w:color w:val="auto"/>
                <w:szCs w:val="21"/>
                <w:lang w:val="en-US" w:eastAsia="zh-CN"/>
              </w:rPr>
              <w:t>须</w:t>
            </w:r>
            <w:r>
              <w:rPr>
                <w:rFonts w:hint="eastAsia" w:ascii="宋体" w:hAnsi="宋体" w:eastAsia="宋体" w:cs="Arial"/>
                <w:b w:val="0"/>
                <w:bCs/>
                <w:color w:val="auto"/>
                <w:szCs w:val="21"/>
                <w:lang w:val="en-US" w:eastAsia="zh-CN"/>
              </w:rPr>
              <w:t>提供具备上述功能由国家认可的</w:t>
            </w:r>
            <w:r>
              <w:rPr>
                <w:rFonts w:hint="eastAsia" w:ascii="宋体" w:hAnsi="宋体" w:cs="Arial"/>
                <w:b w:val="0"/>
                <w:bCs/>
                <w:color w:val="auto"/>
                <w:szCs w:val="21"/>
                <w:lang w:val="en-US" w:eastAsia="zh-CN"/>
              </w:rPr>
              <w:t>第三方</w:t>
            </w:r>
            <w:r>
              <w:rPr>
                <w:rFonts w:hint="eastAsia" w:ascii="宋体" w:hAnsi="宋体" w:eastAsia="宋体" w:cs="Arial"/>
                <w:b w:val="0"/>
                <w:bCs/>
                <w:color w:val="auto"/>
                <w:szCs w:val="21"/>
                <w:lang w:val="en-US" w:eastAsia="zh-CN"/>
              </w:rPr>
              <w:t>检测中心出具的检验报告，加盖</w:t>
            </w:r>
            <w:r>
              <w:rPr>
                <w:rFonts w:hint="eastAsia" w:ascii="宋体" w:hAnsi="宋体" w:cs="Arial"/>
                <w:b w:val="0"/>
                <w:bCs/>
                <w:color w:val="auto"/>
                <w:szCs w:val="21"/>
                <w:lang w:val="en-US" w:eastAsia="zh-CN"/>
              </w:rPr>
              <w:t>电子</w:t>
            </w:r>
            <w:r>
              <w:rPr>
                <w:rFonts w:hint="eastAsia" w:ascii="宋体" w:hAnsi="宋体" w:eastAsia="宋体" w:cs="Arial"/>
                <w:b w:val="0"/>
                <w:bCs/>
                <w:color w:val="auto"/>
                <w:szCs w:val="21"/>
                <w:lang w:val="en-US" w:eastAsia="zh-CN"/>
              </w:rPr>
              <w:t>公章</w:t>
            </w:r>
            <w:r>
              <w:rPr>
                <w:rFonts w:hint="eastAsia" w:ascii="宋体" w:hAnsi="宋体" w:cs="Arial"/>
                <w:b w:val="0"/>
                <w:bCs/>
                <w:color w:val="auto"/>
                <w:szCs w:val="21"/>
                <w:lang w:val="en-US" w:eastAsia="zh-CN"/>
              </w:rPr>
              <w:t>。</w:t>
            </w:r>
            <w:r>
              <w:rPr>
                <w:rFonts w:hint="eastAsia" w:ascii="宋体" w:hAnsi="宋体" w:eastAsia="宋体" w:cs="Arial"/>
                <w:b w:val="0"/>
                <w:bCs/>
                <w:color w:val="auto"/>
                <w:szCs w:val="21"/>
                <w:lang w:val="en-US" w:eastAsia="zh-CN"/>
              </w:rPr>
              <w:t>）</w:t>
            </w:r>
          </w:p>
          <w:p w14:paraId="02487AD0">
            <w:pPr>
              <w:widowControl/>
              <w:spacing w:line="440" w:lineRule="exact"/>
              <w:textAlignment w:val="baseline"/>
              <w:rPr>
                <w:rFonts w:hint="eastAsia" w:ascii="宋体" w:hAnsi="宋体" w:eastAsia="宋体" w:cs="Arial"/>
                <w:b w:val="0"/>
                <w:bCs/>
                <w:color w:val="auto"/>
                <w:szCs w:val="21"/>
                <w:lang w:val="en-US" w:eastAsia="zh-CN"/>
              </w:rPr>
            </w:pPr>
            <w:r>
              <w:rPr>
                <w:rFonts w:hint="eastAsia" w:ascii="宋体" w:hAnsi="宋体" w:eastAsia="宋体" w:cs="Arial"/>
                <w:b w:val="0"/>
                <w:bCs/>
                <w:color w:val="auto"/>
                <w:szCs w:val="21"/>
                <w:lang w:val="en-US" w:eastAsia="zh-CN"/>
              </w:rPr>
              <w:t>5、一体化智能电源控制系统/器显示组件性能要求：</w:t>
            </w:r>
          </w:p>
          <w:p w14:paraId="0848E884">
            <w:pPr>
              <w:widowControl/>
              <w:spacing w:line="440" w:lineRule="exact"/>
              <w:textAlignment w:val="baseline"/>
              <w:rPr>
                <w:rFonts w:hint="eastAsia" w:ascii="宋体" w:hAnsi="宋体" w:eastAsia="宋体" w:cs="Arial"/>
                <w:b w:val="0"/>
                <w:bCs/>
                <w:color w:val="auto"/>
                <w:szCs w:val="21"/>
                <w:lang w:val="en-US" w:eastAsia="zh-CN"/>
              </w:rPr>
            </w:pPr>
            <w:r>
              <w:rPr>
                <w:rFonts w:hint="eastAsia" w:ascii="宋体" w:hAnsi="宋体" w:eastAsia="宋体" w:cs="Arial"/>
                <w:b w:val="0"/>
                <w:bCs/>
                <w:color w:val="auto"/>
                <w:szCs w:val="21"/>
                <w:lang w:val="en-US" w:eastAsia="zh-CN"/>
              </w:rPr>
              <w:t>5.1、信息显示：可实时显示输入的交、直流电压，逆变输出交流电的电压、频率、负载率，电池剩余容量，故障报警代码，充电电压、状态，旁路运行状态等信息;</w:t>
            </w:r>
          </w:p>
          <w:p w14:paraId="13DD352B">
            <w:pPr>
              <w:widowControl/>
              <w:spacing w:line="440" w:lineRule="exact"/>
              <w:textAlignment w:val="baseline"/>
              <w:rPr>
                <w:rFonts w:hint="eastAsia" w:ascii="宋体" w:hAnsi="宋体" w:eastAsia="宋体" w:cs="Arial"/>
                <w:b w:val="0"/>
                <w:bCs/>
                <w:color w:val="auto"/>
                <w:szCs w:val="21"/>
                <w:lang w:val="en-US" w:eastAsia="zh-CN"/>
              </w:rPr>
            </w:pPr>
            <w:r>
              <w:rPr>
                <w:rFonts w:hint="eastAsia" w:ascii="宋体" w:hAnsi="宋体" w:eastAsia="宋体" w:cs="Arial"/>
                <w:b w:val="0"/>
                <w:bCs/>
                <w:color w:val="auto"/>
                <w:szCs w:val="21"/>
                <w:lang w:val="en-US" w:eastAsia="zh-CN"/>
              </w:rPr>
              <w:t>5.2、故障告警提示：系统可实时监测系统运行中的各种参数，如超出预设告警值，设备会间歇发出蜂鸣声提醒用户；如超出预设过载值，设备会瞬时自动关机并锁死，有效的保护设备不被损坏，同时设备会一直发出蜂鸣声提醒用户;</w:t>
            </w:r>
          </w:p>
          <w:p w14:paraId="5230D029">
            <w:pPr>
              <w:widowControl/>
              <w:spacing w:line="440" w:lineRule="exact"/>
              <w:textAlignment w:val="baseline"/>
              <w:rPr>
                <w:rFonts w:hint="eastAsia" w:ascii="宋体" w:hAnsi="宋体" w:eastAsia="宋体" w:cs="Arial"/>
                <w:b w:val="0"/>
                <w:bCs/>
                <w:color w:val="auto"/>
                <w:szCs w:val="21"/>
                <w:lang w:val="en-US" w:eastAsia="zh-CN"/>
              </w:rPr>
            </w:pPr>
            <w:r>
              <w:rPr>
                <w:rFonts w:hint="eastAsia" w:ascii="宋体" w:hAnsi="宋体" w:cs="Arial"/>
                <w:b w:val="0"/>
                <w:bCs/>
                <w:color w:val="auto"/>
                <w:szCs w:val="21"/>
                <w:lang w:val="en-US" w:eastAsia="zh-CN"/>
              </w:rPr>
              <w:t>6</w:t>
            </w:r>
            <w:r>
              <w:rPr>
                <w:rFonts w:hint="eastAsia" w:ascii="宋体" w:hAnsi="宋体" w:eastAsia="宋体" w:cs="Arial"/>
                <w:b w:val="0"/>
                <w:bCs/>
                <w:color w:val="auto"/>
                <w:szCs w:val="21"/>
                <w:lang w:val="en-US" w:eastAsia="zh-CN"/>
              </w:rPr>
              <w:t>、交/直流插座:组合插座、可接三/二孔的多功能插座3-5个，12V交流插座2个1套。</w:t>
            </w:r>
          </w:p>
          <w:p w14:paraId="2B0AAE32">
            <w:pPr>
              <w:widowControl/>
              <w:spacing w:line="440" w:lineRule="exact"/>
              <w:textAlignment w:val="baseline"/>
              <w:rPr>
                <w:rFonts w:hint="eastAsia" w:ascii="宋体" w:hAnsi="宋体" w:eastAsia="宋体" w:cs="Arial"/>
                <w:b w:val="0"/>
                <w:bCs/>
                <w:color w:val="auto"/>
                <w:szCs w:val="21"/>
                <w:lang w:val="en-US" w:eastAsia="zh-CN"/>
              </w:rPr>
            </w:pPr>
            <w:r>
              <w:rPr>
                <w:rFonts w:hint="eastAsia" w:ascii="宋体" w:hAnsi="宋体" w:cs="Arial"/>
                <w:b w:val="0"/>
                <w:bCs/>
                <w:color w:val="auto"/>
                <w:szCs w:val="21"/>
                <w:lang w:val="en-US" w:eastAsia="zh-CN"/>
              </w:rPr>
              <w:t>7</w:t>
            </w:r>
            <w:r>
              <w:rPr>
                <w:rFonts w:hint="eastAsia" w:ascii="宋体" w:hAnsi="宋体" w:eastAsia="宋体" w:cs="Arial"/>
                <w:b w:val="0"/>
                <w:bCs/>
                <w:color w:val="auto"/>
                <w:szCs w:val="21"/>
                <w:lang w:val="en-US" w:eastAsia="zh-CN"/>
              </w:rPr>
              <w:t>、控制面板:整车电路集成控制面板1套，安装在隔断后左侧立柜上。驾驶室顶部安装1套，后门安装1套。</w:t>
            </w:r>
          </w:p>
          <w:p w14:paraId="36C4483F">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八</w:t>
            </w:r>
            <w:r>
              <w:rPr>
                <w:rFonts w:hint="eastAsia" w:ascii="宋体" w:hAnsi="宋体" w:cs="Arial"/>
                <w:bCs/>
                <w:color w:val="auto"/>
                <w:szCs w:val="21"/>
              </w:rPr>
              <w:t>、担架、座椅系统</w:t>
            </w:r>
          </w:p>
          <w:p w14:paraId="3E6BC3E1">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1</w:t>
            </w:r>
            <w:r>
              <w:rPr>
                <w:rFonts w:hint="eastAsia" w:ascii="宋体" w:hAnsi="宋体" w:cs="Arial"/>
                <w:bCs/>
                <w:color w:val="auto"/>
                <w:szCs w:val="21"/>
              </w:rPr>
              <w:t>、右侧安装单人后背可调节式座椅</w:t>
            </w:r>
            <w:r>
              <w:rPr>
                <w:rFonts w:hint="eastAsia" w:ascii="宋体" w:hAnsi="宋体" w:cs="Arial"/>
                <w:bCs/>
                <w:color w:val="auto"/>
                <w:szCs w:val="21"/>
                <w:lang w:val="en-US" w:eastAsia="zh-CN"/>
              </w:rPr>
              <w:t>1</w:t>
            </w:r>
            <w:r>
              <w:rPr>
                <w:rFonts w:hint="eastAsia" w:ascii="宋体" w:hAnsi="宋体" w:cs="Arial"/>
                <w:bCs/>
                <w:color w:val="auto"/>
                <w:szCs w:val="21"/>
              </w:rPr>
              <w:t>套</w:t>
            </w:r>
            <w:r>
              <w:rPr>
                <w:rFonts w:hint="eastAsia" w:ascii="宋体" w:hAnsi="宋体" w:cs="Arial"/>
                <w:bCs/>
                <w:color w:val="auto"/>
                <w:szCs w:val="21"/>
                <w:lang w:eastAsia="zh-CN"/>
              </w:rPr>
              <w:t>、</w:t>
            </w:r>
            <w:r>
              <w:rPr>
                <w:rFonts w:hint="eastAsia" w:ascii="宋体" w:hAnsi="宋体" w:cs="Arial"/>
                <w:bCs/>
                <w:color w:val="auto"/>
                <w:szCs w:val="21"/>
                <w:lang w:val="en-US" w:eastAsia="zh-CN"/>
              </w:rPr>
              <w:t>长条坐柜1套</w:t>
            </w:r>
            <w:r>
              <w:rPr>
                <w:rFonts w:hint="eastAsia" w:ascii="宋体" w:hAnsi="宋体" w:cs="Arial"/>
                <w:bCs/>
                <w:color w:val="auto"/>
                <w:szCs w:val="21"/>
              </w:rPr>
              <w:t>。</w:t>
            </w:r>
          </w:p>
          <w:p w14:paraId="7EA69B73">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2</w:t>
            </w:r>
            <w:r>
              <w:rPr>
                <w:rFonts w:hint="eastAsia" w:ascii="宋体" w:hAnsi="宋体" w:cs="Arial"/>
                <w:bCs/>
                <w:color w:val="auto"/>
                <w:szCs w:val="21"/>
              </w:rPr>
              <w:t>、自动上车担架：自动上车担架1套。</w:t>
            </w:r>
          </w:p>
          <w:p w14:paraId="08EAA385">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3</w:t>
            </w:r>
            <w:r>
              <w:rPr>
                <w:rFonts w:hint="eastAsia" w:ascii="宋体" w:hAnsi="宋体" w:cs="Arial"/>
                <w:bCs/>
                <w:color w:val="auto"/>
                <w:szCs w:val="21"/>
              </w:rPr>
              <w:t>、自动上车担架配套担架平台：采用优质不锈钢材料制作，辅助担架上下车1套。</w:t>
            </w:r>
          </w:p>
          <w:p w14:paraId="1E8134FB">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4</w:t>
            </w:r>
            <w:r>
              <w:rPr>
                <w:rFonts w:hint="eastAsia" w:ascii="宋体" w:hAnsi="宋体" w:cs="Arial"/>
                <w:bCs/>
                <w:color w:val="auto"/>
                <w:szCs w:val="21"/>
              </w:rPr>
              <w:t>、铲式担架：采用优质铝合金材料制作，置于左后门上。</w:t>
            </w:r>
          </w:p>
          <w:p w14:paraId="671409D5">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九</w:t>
            </w:r>
            <w:r>
              <w:rPr>
                <w:rFonts w:hint="eastAsia" w:ascii="宋体" w:hAnsi="宋体" w:cs="Arial"/>
                <w:bCs/>
                <w:color w:val="auto"/>
                <w:szCs w:val="21"/>
              </w:rPr>
              <w:t>、医疗警示外观系统</w:t>
            </w:r>
          </w:p>
          <w:p w14:paraId="6CA3970B">
            <w:pPr>
              <w:widowControl/>
              <w:spacing w:line="440" w:lineRule="exact"/>
              <w:textAlignment w:val="baseline"/>
              <w:rPr>
                <w:rFonts w:hint="eastAsia" w:ascii="宋体" w:hAnsi="宋体" w:cs="Arial"/>
                <w:bCs/>
                <w:color w:val="auto"/>
                <w:szCs w:val="21"/>
                <w:lang w:val="en-US" w:eastAsia="zh-CN"/>
              </w:rPr>
            </w:pPr>
            <w:r>
              <w:rPr>
                <w:rFonts w:hint="eastAsia" w:ascii="宋体" w:hAnsi="宋体" w:cs="Arial"/>
                <w:bCs/>
                <w:color w:val="auto"/>
                <w:szCs w:val="21"/>
              </w:rPr>
              <w:t>1、</w:t>
            </w:r>
            <w:r>
              <w:rPr>
                <w:rFonts w:hint="eastAsia" w:ascii="宋体" w:hAnsi="宋体" w:cs="Arial"/>
                <w:bCs/>
                <w:color w:val="auto"/>
                <w:szCs w:val="21"/>
                <w:lang w:val="en-US" w:eastAsia="zh-CN"/>
              </w:rPr>
              <w:t>车顶前部蓝色嵌入式警灯</w:t>
            </w:r>
            <w:r>
              <w:rPr>
                <w:rFonts w:hint="eastAsia" w:ascii="宋体" w:hAnsi="宋体" w:cs="Arial"/>
                <w:bCs/>
                <w:color w:val="auto"/>
                <w:szCs w:val="21"/>
              </w:rPr>
              <w:t>1套</w:t>
            </w:r>
            <w:r>
              <w:rPr>
                <w:rFonts w:hint="eastAsia" w:ascii="宋体" w:hAnsi="宋体" w:cs="Arial"/>
                <w:bCs/>
                <w:color w:val="auto"/>
                <w:szCs w:val="21"/>
                <w:lang w:val="en-US" w:eastAsia="zh-CN"/>
              </w:rPr>
              <w:t>，车辆尾部安装尾翼警灯</w:t>
            </w:r>
            <w:r>
              <w:rPr>
                <w:rFonts w:hint="eastAsia" w:ascii="宋体" w:hAnsi="宋体" w:cs="Arial"/>
                <w:bCs/>
                <w:color w:val="auto"/>
                <w:szCs w:val="21"/>
              </w:rPr>
              <w:t>1套</w:t>
            </w:r>
            <w:r>
              <w:rPr>
                <w:rFonts w:hint="eastAsia" w:ascii="宋体" w:hAnsi="宋体" w:cs="Arial"/>
                <w:bCs/>
                <w:color w:val="auto"/>
                <w:szCs w:val="21"/>
                <w:lang w:eastAsia="zh-CN"/>
              </w:rPr>
              <w:t>。</w:t>
            </w:r>
            <w:r>
              <w:rPr>
                <w:rFonts w:hint="eastAsia" w:ascii="宋体" w:hAnsi="宋体" w:cs="Arial"/>
                <w:bCs/>
                <w:color w:val="auto"/>
                <w:szCs w:val="21"/>
                <w:lang w:val="en-US" w:eastAsia="zh-CN"/>
              </w:rPr>
              <w:t>前部警灯运用独具匠心的三段式布局设计，左右两侧块状灯体与中间长条状灯体实现了功能与美学的有机融合。警灯整体长度严格适配救护车顶部尺寸，误差控制在极小范围内，安装后能与车身完美契合，既不影响车辆行驶的流畅性，又最大程度提升警示效果。尾翼警灯专为车辆警示场景打造，采用集成式外观设计，主体灯条沿尾翼轮廓分布，线条流畅自然，安装后与车辆尾部造型高度适配，大幅提升车辆辨识度。灯体外壳采用高强度PC材料，具备抗冲击、耐磨损、抗紫外线等特性，防护等级达到IP65，可在各种恶劣环境下稳定使用。</w:t>
            </w:r>
          </w:p>
          <w:p w14:paraId="7126CECB">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2、左右两侧爆闪警示灯：3套。</w:t>
            </w:r>
          </w:p>
          <w:p w14:paraId="5207EED8">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3、尾部LED警灯：2套。</w:t>
            </w:r>
          </w:p>
          <w:p w14:paraId="0E84EE18">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4、驾驶室安装警报、警灯控制器；工作方式:警报器面板控制； 警报器音调调节  灯控制1套。</w:t>
            </w:r>
          </w:p>
          <w:p w14:paraId="340F96C2">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5、医疗舱玻璃窗膜1/2磨砂膜1套。</w:t>
            </w:r>
          </w:p>
          <w:p w14:paraId="5B191E16">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6、车身外观：安装客户要求定制1套。</w:t>
            </w:r>
          </w:p>
          <w:p w14:paraId="23C2DE3B">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十</w:t>
            </w:r>
            <w:r>
              <w:rPr>
                <w:rFonts w:hint="eastAsia" w:ascii="宋体" w:hAnsi="宋体" w:cs="Arial"/>
                <w:bCs/>
                <w:color w:val="auto"/>
                <w:szCs w:val="21"/>
              </w:rPr>
              <w:t>、供氧系统</w:t>
            </w:r>
          </w:p>
          <w:p w14:paraId="3F717BDF">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1、氧气管道：采用医用管作为氧气管道，无缝焊接，壁厚1.5mm 1套。</w:t>
            </w:r>
          </w:p>
          <w:p w14:paraId="76C45FB6">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2、氧气瓶</w:t>
            </w:r>
            <w:r>
              <w:rPr>
                <w:rFonts w:hint="eastAsia" w:ascii="宋体" w:hAnsi="宋体" w:cs="Arial"/>
                <w:bCs/>
                <w:color w:val="auto"/>
                <w:szCs w:val="21"/>
                <w:lang w:val="en-US" w:eastAsia="zh-CN"/>
              </w:rPr>
              <w:t>≥</w:t>
            </w:r>
            <w:r>
              <w:rPr>
                <w:rFonts w:hint="eastAsia" w:ascii="宋体" w:hAnsi="宋体" w:cs="Arial"/>
                <w:bCs/>
                <w:color w:val="auto"/>
                <w:szCs w:val="21"/>
              </w:rPr>
              <w:t>1</w:t>
            </w:r>
            <w:r>
              <w:rPr>
                <w:rFonts w:hint="eastAsia" w:ascii="宋体" w:hAnsi="宋体" w:cs="Arial"/>
                <w:bCs/>
                <w:color w:val="auto"/>
                <w:szCs w:val="21"/>
                <w:lang w:val="en-US" w:eastAsia="zh-CN"/>
              </w:rPr>
              <w:t>0</w:t>
            </w:r>
            <w:r>
              <w:rPr>
                <w:rFonts w:hint="eastAsia" w:ascii="宋体" w:hAnsi="宋体" w:cs="Arial"/>
                <w:bCs/>
                <w:color w:val="auto"/>
                <w:szCs w:val="21"/>
              </w:rPr>
              <w:t>L、钢质无缝，含固定支架</w:t>
            </w:r>
            <w:r>
              <w:rPr>
                <w:rFonts w:hint="eastAsia" w:ascii="宋体" w:hAnsi="宋体" w:cs="Arial"/>
                <w:bCs/>
                <w:color w:val="auto"/>
                <w:szCs w:val="21"/>
                <w:lang w:eastAsia="zh-CN"/>
              </w:rPr>
              <w:t>，</w:t>
            </w:r>
            <w:r>
              <w:rPr>
                <w:rFonts w:hint="eastAsia" w:ascii="宋体" w:hAnsi="宋体" w:cs="Arial"/>
                <w:bCs/>
                <w:color w:val="auto"/>
                <w:szCs w:val="21"/>
              </w:rPr>
              <w:t>2套。</w:t>
            </w:r>
          </w:p>
          <w:p w14:paraId="50678426">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3、湿化器快速转换接口，插头体总成(氧气)</w:t>
            </w:r>
            <w:r>
              <w:rPr>
                <w:rFonts w:hint="eastAsia" w:ascii="宋体" w:hAnsi="宋体" w:cs="Arial"/>
                <w:bCs/>
                <w:color w:val="auto"/>
                <w:szCs w:val="21"/>
              </w:rPr>
              <w:tab/>
            </w:r>
            <w:r>
              <w:rPr>
                <w:rFonts w:hint="eastAsia" w:ascii="宋体" w:hAnsi="宋体" w:cs="Arial"/>
                <w:bCs/>
                <w:color w:val="auto"/>
                <w:szCs w:val="21"/>
              </w:rPr>
              <w:t>2</w:t>
            </w:r>
            <w:r>
              <w:rPr>
                <w:rFonts w:hint="eastAsia" w:ascii="宋体" w:hAnsi="宋体" w:cs="Arial"/>
                <w:bCs/>
                <w:color w:val="auto"/>
                <w:szCs w:val="21"/>
                <w:lang w:val="en-US" w:eastAsia="zh-CN"/>
              </w:rPr>
              <w:t>-3</w:t>
            </w:r>
            <w:r>
              <w:rPr>
                <w:rFonts w:hint="eastAsia" w:ascii="宋体" w:hAnsi="宋体" w:cs="Arial"/>
                <w:bCs/>
                <w:color w:val="auto"/>
                <w:szCs w:val="21"/>
              </w:rPr>
              <w:t>套。</w:t>
            </w:r>
          </w:p>
          <w:p w14:paraId="1B54098C">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4、湿化器：流量调节阀和湿化杯连为一体，湿化杯可以360°旋转1套。</w:t>
            </w:r>
          </w:p>
          <w:p w14:paraId="49AE9A3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b/>
                <w:color w:val="auto"/>
                <w:szCs w:val="21"/>
                <w:lang w:val="en-US" w:eastAsia="zh-CN"/>
              </w:rPr>
            </w:pPr>
            <w:r>
              <w:rPr>
                <w:rFonts w:hint="eastAsia" w:ascii="宋体" w:hAnsi="宋体" w:cs="Arial"/>
                <w:bCs/>
                <w:color w:val="auto"/>
                <w:szCs w:val="21"/>
              </w:rPr>
              <w:t>5、氧气终端：吸氧用终端连接湿化器，呼吸机用的终端连接呼吸机专用接头2套。</w:t>
            </w:r>
          </w:p>
        </w:tc>
      </w:tr>
      <w:tr w14:paraId="315B6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415" w:type="dxa"/>
            <w:vAlign w:val="center"/>
          </w:tcPr>
          <w:p w14:paraId="784E9BD3">
            <w:pPr>
              <w:keepNext w:val="0"/>
              <w:keepLines w:val="0"/>
              <w:pageBreakBefore w:val="0"/>
              <w:kinsoku/>
              <w:wordWrap/>
              <w:overflowPunct/>
              <w:topLinePunct w:val="0"/>
              <w:autoSpaceDE/>
              <w:autoSpaceDN/>
              <w:bidi w:val="0"/>
              <w:adjustRightInd/>
              <w:spacing w:line="380" w:lineRule="atLeast"/>
              <w:jc w:val="center"/>
              <w:rPr>
                <w:rFonts w:hint="default" w:ascii="宋体" w:hAnsi="宋体" w:cs="宋体"/>
                <w:color w:val="auto"/>
                <w:szCs w:val="21"/>
                <w:lang w:val="en-US" w:eastAsia="zh-CN"/>
              </w:rPr>
            </w:pPr>
            <w:r>
              <w:rPr>
                <w:rFonts w:hint="eastAsia" w:ascii="宋体" w:hAnsi="宋体" w:cs="宋体"/>
                <w:color w:val="auto"/>
                <w:szCs w:val="21"/>
                <w:lang w:val="en-US" w:eastAsia="zh-CN"/>
              </w:rPr>
              <w:t>2</w:t>
            </w:r>
          </w:p>
        </w:tc>
        <w:tc>
          <w:tcPr>
            <w:tcW w:w="870" w:type="dxa"/>
            <w:vAlign w:val="center"/>
          </w:tcPr>
          <w:p w14:paraId="7487A305">
            <w:pPr>
              <w:spacing w:line="400" w:lineRule="atLeast"/>
              <w:jc w:val="center"/>
              <w:rPr>
                <w:rFonts w:hint="eastAsia" w:ascii="宋体" w:hAnsi="宋体" w:eastAsia="宋体" w:cs="宋体"/>
                <w:color w:val="auto"/>
                <w:szCs w:val="21"/>
              </w:rPr>
            </w:pPr>
            <w:r>
              <w:rPr>
                <w:rFonts w:hint="eastAsia" w:ascii="Calibri" w:hAnsi="Calibri"/>
                <w:color w:val="auto"/>
                <w:szCs w:val="21"/>
                <w:lang w:val="en-US" w:eastAsia="zh-CN"/>
              </w:rPr>
              <w:t>监护</w:t>
            </w:r>
            <w:r>
              <w:rPr>
                <w:rFonts w:hint="eastAsia" w:ascii="Calibri" w:hAnsi="Calibri"/>
                <w:color w:val="auto"/>
                <w:szCs w:val="21"/>
              </w:rPr>
              <w:t>型救护车</w:t>
            </w:r>
          </w:p>
        </w:tc>
        <w:tc>
          <w:tcPr>
            <w:tcW w:w="830" w:type="dxa"/>
            <w:gridSpan w:val="2"/>
            <w:vAlign w:val="center"/>
          </w:tcPr>
          <w:p w14:paraId="284ED493">
            <w:pPr>
              <w:spacing w:line="400" w:lineRule="atLeas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4辆</w:t>
            </w:r>
          </w:p>
        </w:tc>
        <w:tc>
          <w:tcPr>
            <w:tcW w:w="1220" w:type="dxa"/>
            <w:vAlign w:val="center"/>
          </w:tcPr>
          <w:p w14:paraId="7FA7B216">
            <w:pPr>
              <w:keepNext w:val="0"/>
              <w:keepLines w:val="0"/>
              <w:widowControl/>
              <w:suppressLineNumbers w:val="0"/>
              <w:jc w:val="center"/>
              <w:textAlignment w:val="center"/>
              <w:rPr>
                <w:rFonts w:hint="default" w:ascii="宋体" w:hAnsi="宋体" w:cs="宋体"/>
                <w:color w:val="auto"/>
                <w:szCs w:val="21"/>
                <w:lang w:val="en-US" w:eastAsia="zh-CN"/>
              </w:rPr>
            </w:pPr>
            <w:r>
              <w:rPr>
                <w:rFonts w:hint="eastAsia" w:ascii="宋体" w:hAnsi="宋体" w:cs="宋体"/>
                <w:color w:val="auto"/>
                <w:szCs w:val="21"/>
                <w:lang w:val="en-US" w:eastAsia="zh-CN"/>
              </w:rPr>
              <w:t>289800.00</w:t>
            </w:r>
          </w:p>
        </w:tc>
        <w:tc>
          <w:tcPr>
            <w:tcW w:w="700" w:type="dxa"/>
            <w:vAlign w:val="center"/>
          </w:tcPr>
          <w:p w14:paraId="7D84033F">
            <w:pPr>
              <w:keepNext w:val="0"/>
              <w:keepLines w:val="0"/>
              <w:pageBreakBefore w:val="0"/>
              <w:kinsoku/>
              <w:wordWrap/>
              <w:overflowPunct/>
              <w:topLinePunct w:val="0"/>
              <w:autoSpaceDE/>
              <w:autoSpaceDN/>
              <w:bidi w:val="0"/>
              <w:adjustRightInd/>
              <w:spacing w:line="380" w:lineRule="atLeast"/>
              <w:jc w:val="center"/>
              <w:rPr>
                <w:rFonts w:hint="eastAsia" w:ascii="宋体" w:hAnsi="宋体" w:eastAsia="宋体" w:cs="宋体"/>
                <w:color w:val="auto"/>
                <w:szCs w:val="21"/>
                <w:lang w:eastAsia="zh-CN"/>
              </w:rPr>
            </w:pPr>
            <w:r>
              <w:rPr>
                <w:rFonts w:hint="eastAsia" w:ascii="宋体" w:hAnsi="宋体" w:cs="宋体"/>
                <w:color w:val="auto"/>
                <w:szCs w:val="21"/>
                <w:lang w:eastAsia="zh-CN"/>
              </w:rPr>
              <w:t>工业</w:t>
            </w:r>
          </w:p>
        </w:tc>
        <w:tc>
          <w:tcPr>
            <w:tcW w:w="5605" w:type="dxa"/>
            <w:vAlign w:val="center"/>
          </w:tcPr>
          <w:p w14:paraId="0B866ABC">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一、基本要求：</w:t>
            </w:r>
          </w:p>
          <w:p w14:paraId="60DBC231">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1、车型：</w:t>
            </w:r>
            <w:r>
              <w:rPr>
                <w:rFonts w:hint="eastAsia" w:ascii="宋体" w:hAnsi="宋体" w:cs="Arial"/>
                <w:bCs/>
                <w:color w:val="auto"/>
                <w:szCs w:val="21"/>
                <w:lang w:eastAsia="zh-CN"/>
              </w:rPr>
              <w:t>竞标</w:t>
            </w:r>
            <w:r>
              <w:rPr>
                <w:rFonts w:hint="eastAsia" w:ascii="宋体" w:hAnsi="宋体" w:cs="Arial"/>
                <w:bCs/>
                <w:color w:val="auto"/>
                <w:szCs w:val="21"/>
              </w:rPr>
              <w:t>车型必须为救护车。</w:t>
            </w:r>
          </w:p>
          <w:p w14:paraId="73A47DCD">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2、功能：主要用于运输和抢救病人。</w:t>
            </w:r>
          </w:p>
          <w:p w14:paraId="2CCE9507">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3、上牌要求：</w:t>
            </w:r>
            <w:r>
              <w:rPr>
                <w:rFonts w:hint="eastAsia" w:ascii="宋体" w:hAnsi="宋体" w:cs="Arial"/>
                <w:bCs/>
                <w:color w:val="auto"/>
                <w:szCs w:val="21"/>
                <w:lang w:eastAsia="zh-CN"/>
              </w:rPr>
              <w:t>竞标</w:t>
            </w:r>
            <w:r>
              <w:rPr>
                <w:rFonts w:hint="eastAsia" w:ascii="宋体" w:hAnsi="宋体" w:cs="Arial"/>
                <w:bCs/>
                <w:color w:val="auto"/>
                <w:szCs w:val="21"/>
              </w:rPr>
              <w:t>车辆应具备国家发改委目录公告，能在</w:t>
            </w:r>
            <w:r>
              <w:rPr>
                <w:rFonts w:hint="eastAsia" w:ascii="宋体" w:hAnsi="宋体" w:cs="Arial"/>
                <w:bCs/>
                <w:color w:val="auto"/>
                <w:szCs w:val="21"/>
                <w:lang w:eastAsia="zh-CN"/>
              </w:rPr>
              <w:t>采购人</w:t>
            </w:r>
            <w:r>
              <w:rPr>
                <w:rFonts w:hint="eastAsia" w:ascii="宋体" w:hAnsi="宋体" w:cs="Arial"/>
                <w:bCs/>
                <w:color w:val="auto"/>
                <w:szCs w:val="21"/>
              </w:rPr>
              <w:t>所在地的公安交通管理部门办理特种车上牌照手续。</w:t>
            </w:r>
          </w:p>
          <w:p w14:paraId="267B1787">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4、驾驶证要求：C1驾照即可驾驶。</w:t>
            </w:r>
          </w:p>
          <w:p w14:paraId="1B26246C">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5、工作条件：车辆应适应全国自然条件，适应户外作业的需求。</w:t>
            </w:r>
          </w:p>
          <w:p w14:paraId="551457B6">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6</w:t>
            </w:r>
            <w:r>
              <w:rPr>
                <w:rFonts w:hint="eastAsia" w:ascii="宋体" w:hAnsi="宋体" w:cs="Arial"/>
                <w:bCs/>
                <w:color w:val="auto"/>
                <w:szCs w:val="21"/>
              </w:rPr>
              <w:t>、舒适配置：多功能方向盘、定速巡航、日间行车灯、倒车后视</w:t>
            </w:r>
            <w:r>
              <w:rPr>
                <w:rFonts w:hint="eastAsia" w:ascii="宋体" w:hAnsi="宋体" w:cs="Arial"/>
                <w:bCs/>
                <w:color w:val="auto"/>
                <w:szCs w:val="21"/>
                <w:lang w:eastAsia="zh-CN"/>
              </w:rPr>
              <w:t>、</w:t>
            </w:r>
            <w:r>
              <w:rPr>
                <w:rFonts w:hint="eastAsia" w:ascii="宋体" w:hAnsi="宋体" w:cs="Arial"/>
                <w:bCs/>
                <w:color w:val="auto"/>
                <w:szCs w:val="21"/>
                <w:lang w:val="en-US" w:eastAsia="zh-CN"/>
              </w:rPr>
              <w:t>行车记录仪</w:t>
            </w:r>
            <w:r>
              <w:rPr>
                <w:rFonts w:hint="eastAsia" w:ascii="宋体" w:hAnsi="宋体" w:cs="Arial"/>
                <w:bCs/>
                <w:color w:val="auto"/>
                <w:szCs w:val="21"/>
              </w:rPr>
              <w:t>。</w:t>
            </w:r>
          </w:p>
          <w:p w14:paraId="09544E03">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二、底盘要求：</w:t>
            </w:r>
          </w:p>
          <w:p w14:paraId="79356F74">
            <w:pPr>
              <w:widowControl/>
              <w:spacing w:line="440" w:lineRule="exact"/>
              <w:textAlignment w:val="baseline"/>
              <w:rPr>
                <w:rFonts w:hint="eastAsia" w:ascii="宋体" w:hAnsi="宋体" w:cs="Arial"/>
                <w:bCs/>
                <w:color w:val="auto"/>
                <w:szCs w:val="21"/>
              </w:rPr>
            </w:pPr>
            <w:r>
              <w:rPr>
                <w:rFonts w:hint="eastAsia" w:hAnsi="宋体"/>
                <w:b/>
                <w:bCs/>
                <w:color w:val="auto"/>
              </w:rPr>
              <w:t>▲</w:t>
            </w:r>
            <w:r>
              <w:rPr>
                <w:rFonts w:hint="eastAsia" w:ascii="宋体" w:hAnsi="宋体" w:cs="Arial"/>
                <w:bCs/>
                <w:color w:val="auto"/>
                <w:szCs w:val="21"/>
              </w:rPr>
              <w:t>1.车辆尺寸：整车长(mm) ：≤</w:t>
            </w:r>
            <w:r>
              <w:rPr>
                <w:rFonts w:hint="eastAsia" w:ascii="宋体" w:hAnsi="宋体" w:cs="Arial"/>
                <w:bCs/>
                <w:color w:val="auto"/>
                <w:szCs w:val="21"/>
                <w:lang w:val="en-US" w:eastAsia="zh-CN"/>
              </w:rPr>
              <w:t>5400</w:t>
            </w:r>
            <w:r>
              <w:rPr>
                <w:rFonts w:hint="eastAsia" w:ascii="宋体" w:hAnsi="宋体" w:cs="Arial"/>
                <w:bCs/>
                <w:color w:val="auto"/>
                <w:szCs w:val="21"/>
              </w:rPr>
              <w:t>；整车宽(mm)：≤</w:t>
            </w:r>
            <w:r>
              <w:rPr>
                <w:rFonts w:hint="eastAsia" w:ascii="宋体" w:hAnsi="宋体" w:cs="Arial"/>
                <w:bCs/>
                <w:color w:val="auto"/>
                <w:szCs w:val="21"/>
                <w:lang w:val="en-US" w:eastAsia="zh-CN"/>
              </w:rPr>
              <w:t>2000</w:t>
            </w:r>
            <w:r>
              <w:rPr>
                <w:rFonts w:hint="eastAsia" w:ascii="宋体" w:hAnsi="宋体" w:cs="Arial"/>
                <w:bCs/>
                <w:color w:val="auto"/>
                <w:szCs w:val="21"/>
              </w:rPr>
              <w:t>；整车高：≤</w:t>
            </w:r>
            <w:r>
              <w:rPr>
                <w:rFonts w:hint="eastAsia" w:ascii="宋体" w:hAnsi="宋体" w:cs="Arial"/>
                <w:bCs/>
                <w:color w:val="auto"/>
                <w:szCs w:val="21"/>
                <w:lang w:val="en-US" w:eastAsia="zh-CN"/>
              </w:rPr>
              <w:t>2500</w:t>
            </w:r>
            <w:r>
              <w:rPr>
                <w:rFonts w:hint="eastAsia" w:ascii="宋体" w:hAnsi="宋体" w:cs="Arial"/>
                <w:bCs/>
                <w:color w:val="auto"/>
                <w:szCs w:val="21"/>
              </w:rPr>
              <w:t>；轴距(mm)：</w:t>
            </w:r>
            <w:r>
              <w:rPr>
                <w:rFonts w:hint="eastAsia" w:ascii="宋体" w:hAnsi="宋体" w:cs="Arial"/>
                <w:bCs/>
                <w:color w:val="auto"/>
                <w:szCs w:val="21"/>
                <w:lang w:val="en-US" w:eastAsia="zh-CN"/>
              </w:rPr>
              <w:t>≥</w:t>
            </w:r>
            <w:r>
              <w:rPr>
                <w:rFonts w:hint="eastAsia" w:ascii="宋体" w:hAnsi="宋体" w:cs="Arial"/>
                <w:bCs/>
                <w:color w:val="auto"/>
                <w:szCs w:val="21"/>
              </w:rPr>
              <w:t>3</w:t>
            </w:r>
            <w:r>
              <w:rPr>
                <w:rFonts w:hint="eastAsia" w:ascii="宋体" w:hAnsi="宋体" w:cs="Arial"/>
                <w:bCs/>
                <w:color w:val="auto"/>
                <w:szCs w:val="21"/>
                <w:lang w:val="en-US" w:eastAsia="zh-CN"/>
              </w:rPr>
              <w:t>300</w:t>
            </w:r>
            <w:r>
              <w:rPr>
                <w:rFonts w:hint="eastAsia" w:ascii="宋体" w:hAnsi="宋体" w:cs="Arial"/>
                <w:bCs/>
                <w:color w:val="auto"/>
                <w:szCs w:val="21"/>
              </w:rPr>
              <w:t>。（</w:t>
            </w:r>
            <w:r>
              <w:rPr>
                <w:rFonts w:hint="eastAsia" w:ascii="宋体" w:hAnsi="宋体" w:cs="Arial"/>
                <w:bCs/>
                <w:color w:val="auto"/>
                <w:szCs w:val="21"/>
                <w:lang w:val="en-US" w:eastAsia="zh-CN"/>
              </w:rPr>
              <w:t>响应文件中需</w:t>
            </w:r>
            <w:r>
              <w:rPr>
                <w:rFonts w:hint="eastAsia" w:ascii="宋体" w:hAnsi="宋体" w:cs="Arial"/>
                <w:bCs/>
                <w:color w:val="auto"/>
                <w:szCs w:val="21"/>
              </w:rPr>
              <w:t>提供相应的</w:t>
            </w:r>
            <w:r>
              <w:rPr>
                <w:rFonts w:hint="eastAsia" w:ascii="宋体" w:hAnsi="宋体" w:cs="Arial"/>
                <w:bCs/>
                <w:color w:val="auto"/>
                <w:szCs w:val="21"/>
                <w:lang w:val="en-US" w:eastAsia="zh-CN"/>
              </w:rPr>
              <w:t>中国工信部</w:t>
            </w:r>
            <w:r>
              <w:rPr>
                <w:rFonts w:hint="eastAsia" w:ascii="宋体" w:hAnsi="宋体" w:cs="Arial"/>
                <w:bCs/>
                <w:color w:val="auto"/>
                <w:szCs w:val="21"/>
              </w:rPr>
              <w:t>产品参数公告截图</w:t>
            </w:r>
            <w:r>
              <w:rPr>
                <w:rFonts w:hint="eastAsia" w:ascii="宋体" w:hAnsi="宋体" w:cs="Arial"/>
                <w:bCs/>
                <w:color w:val="auto"/>
                <w:szCs w:val="21"/>
                <w:lang w:val="en-US" w:eastAsia="zh-CN"/>
              </w:rPr>
              <w:t>证明并标注。</w:t>
            </w:r>
            <w:r>
              <w:rPr>
                <w:rFonts w:hint="eastAsia" w:ascii="宋体" w:hAnsi="宋体" w:cs="Arial"/>
                <w:bCs/>
                <w:color w:val="auto"/>
                <w:szCs w:val="21"/>
              </w:rPr>
              <w:t>）</w:t>
            </w:r>
          </w:p>
          <w:p w14:paraId="60DD28AF">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▲2.排放标准：国六、排气量：≤2</w:t>
            </w:r>
            <w:r>
              <w:rPr>
                <w:rFonts w:hint="eastAsia" w:ascii="宋体" w:hAnsi="宋体" w:cs="Arial"/>
                <w:bCs/>
                <w:color w:val="auto"/>
                <w:szCs w:val="21"/>
                <w:lang w:val="en-US" w:eastAsia="zh-CN"/>
              </w:rPr>
              <w:t>0</w:t>
            </w:r>
            <w:r>
              <w:rPr>
                <w:rFonts w:hint="eastAsia" w:ascii="宋体" w:hAnsi="宋体" w:cs="Arial"/>
                <w:bCs/>
                <w:color w:val="auto"/>
                <w:szCs w:val="21"/>
              </w:rPr>
              <w:t>00ml、功率：≥1</w:t>
            </w:r>
            <w:r>
              <w:rPr>
                <w:rFonts w:hint="eastAsia" w:ascii="宋体" w:hAnsi="宋体" w:cs="Arial"/>
                <w:bCs/>
                <w:color w:val="auto"/>
                <w:szCs w:val="21"/>
                <w:lang w:val="en-US" w:eastAsia="zh-CN"/>
              </w:rPr>
              <w:t>60</w:t>
            </w:r>
            <w:r>
              <w:rPr>
                <w:rFonts w:hint="eastAsia" w:ascii="宋体" w:hAnsi="宋体" w:cs="Arial"/>
                <w:bCs/>
                <w:color w:val="auto"/>
                <w:szCs w:val="21"/>
              </w:rPr>
              <w:t>kw、</w:t>
            </w:r>
          </w:p>
          <w:p w14:paraId="3665D122">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总质量（kg）：</w:t>
            </w:r>
            <w:r>
              <w:rPr>
                <w:rFonts w:hint="eastAsia" w:ascii="宋体" w:hAnsi="宋体" w:cs="Arial"/>
                <w:bCs/>
                <w:color w:val="auto"/>
                <w:szCs w:val="21"/>
                <w:lang w:val="en-US" w:eastAsia="zh-CN"/>
              </w:rPr>
              <w:t>≥</w:t>
            </w:r>
            <w:r>
              <w:rPr>
                <w:rFonts w:hint="eastAsia" w:ascii="宋体" w:hAnsi="宋体" w:cs="Arial"/>
                <w:bCs/>
                <w:color w:val="auto"/>
                <w:szCs w:val="21"/>
              </w:rPr>
              <w:t>3</w:t>
            </w:r>
            <w:r>
              <w:rPr>
                <w:rFonts w:hint="eastAsia" w:ascii="宋体" w:hAnsi="宋体" w:cs="Arial"/>
                <w:bCs/>
                <w:color w:val="auto"/>
                <w:szCs w:val="21"/>
                <w:lang w:val="en-US" w:eastAsia="zh-CN"/>
              </w:rPr>
              <w:t>2</w:t>
            </w:r>
            <w:r>
              <w:rPr>
                <w:rFonts w:hint="eastAsia" w:ascii="宋体" w:hAnsi="宋体" w:cs="Arial"/>
                <w:bCs/>
                <w:color w:val="auto"/>
                <w:szCs w:val="21"/>
              </w:rPr>
              <w:t>00、 整备质量（kg）：</w:t>
            </w:r>
            <w:r>
              <w:rPr>
                <w:rFonts w:hint="eastAsia" w:ascii="宋体" w:hAnsi="宋体" w:cs="Arial"/>
                <w:bCs/>
                <w:color w:val="auto"/>
                <w:szCs w:val="21"/>
                <w:lang w:val="en-US" w:eastAsia="zh-CN"/>
              </w:rPr>
              <w:t>≥</w:t>
            </w:r>
            <w:r>
              <w:rPr>
                <w:rFonts w:hint="eastAsia" w:ascii="宋体" w:hAnsi="宋体" w:cs="Arial"/>
                <w:bCs/>
                <w:color w:val="auto"/>
                <w:szCs w:val="21"/>
              </w:rPr>
              <w:t>2</w:t>
            </w:r>
            <w:r>
              <w:rPr>
                <w:rFonts w:hint="eastAsia" w:ascii="宋体" w:hAnsi="宋体" w:cs="Arial"/>
                <w:bCs/>
                <w:color w:val="auto"/>
                <w:szCs w:val="21"/>
                <w:lang w:val="en-US" w:eastAsia="zh-CN"/>
              </w:rPr>
              <w:t>2</w:t>
            </w:r>
            <w:r>
              <w:rPr>
                <w:rFonts w:hint="eastAsia" w:ascii="宋体" w:hAnsi="宋体" w:cs="Arial"/>
                <w:bCs/>
                <w:color w:val="auto"/>
                <w:szCs w:val="21"/>
              </w:rPr>
              <w:t>00。（</w:t>
            </w:r>
            <w:r>
              <w:rPr>
                <w:rFonts w:hint="eastAsia" w:ascii="宋体" w:hAnsi="宋体" w:cs="Arial"/>
                <w:bCs/>
                <w:color w:val="auto"/>
                <w:szCs w:val="21"/>
                <w:lang w:val="en-US" w:eastAsia="zh-CN"/>
              </w:rPr>
              <w:t>响应文件中需</w:t>
            </w:r>
            <w:r>
              <w:rPr>
                <w:rFonts w:hint="eastAsia" w:ascii="宋体" w:hAnsi="宋体" w:cs="Arial"/>
                <w:bCs/>
                <w:color w:val="auto"/>
                <w:szCs w:val="21"/>
              </w:rPr>
              <w:t>提供相应的</w:t>
            </w:r>
            <w:r>
              <w:rPr>
                <w:rFonts w:hint="eastAsia" w:ascii="宋体" w:hAnsi="宋体" w:cs="Arial"/>
                <w:bCs/>
                <w:color w:val="auto"/>
                <w:szCs w:val="21"/>
                <w:lang w:val="en-US" w:eastAsia="zh-CN"/>
              </w:rPr>
              <w:t>中国工信部</w:t>
            </w:r>
            <w:r>
              <w:rPr>
                <w:rFonts w:hint="eastAsia" w:ascii="宋体" w:hAnsi="宋体" w:cs="Arial"/>
                <w:bCs/>
                <w:color w:val="auto"/>
                <w:szCs w:val="21"/>
              </w:rPr>
              <w:t>产品参数公告截图</w:t>
            </w:r>
            <w:r>
              <w:rPr>
                <w:rFonts w:hint="eastAsia" w:ascii="宋体" w:hAnsi="宋体" w:cs="Arial"/>
                <w:bCs/>
                <w:color w:val="auto"/>
                <w:szCs w:val="21"/>
                <w:lang w:val="en-US" w:eastAsia="zh-CN"/>
              </w:rPr>
              <w:t>证明并标注。</w:t>
            </w:r>
            <w:r>
              <w:rPr>
                <w:rFonts w:hint="eastAsia" w:ascii="宋体" w:hAnsi="宋体" w:cs="Arial"/>
                <w:bCs/>
                <w:color w:val="auto"/>
                <w:szCs w:val="21"/>
              </w:rPr>
              <w:t>）</w:t>
            </w:r>
          </w:p>
          <w:p w14:paraId="0B9E743D">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3、接近角/离去角≥2</w:t>
            </w:r>
            <w:r>
              <w:rPr>
                <w:rFonts w:hint="eastAsia" w:ascii="宋体" w:hAnsi="宋体" w:cs="Arial"/>
                <w:bCs/>
                <w:color w:val="auto"/>
                <w:szCs w:val="21"/>
                <w:lang w:val="en-US" w:eastAsia="zh-CN"/>
              </w:rPr>
              <w:t>0</w:t>
            </w:r>
            <w:r>
              <w:rPr>
                <w:rFonts w:hint="eastAsia" w:ascii="宋体" w:hAnsi="宋体" w:cs="Arial"/>
                <w:bCs/>
                <w:color w:val="auto"/>
                <w:szCs w:val="21"/>
              </w:rPr>
              <w:t>/2</w:t>
            </w:r>
            <w:r>
              <w:rPr>
                <w:rFonts w:hint="eastAsia" w:ascii="宋体" w:hAnsi="宋体" w:cs="Arial"/>
                <w:bCs/>
                <w:color w:val="auto"/>
                <w:szCs w:val="21"/>
                <w:lang w:val="en-US" w:eastAsia="zh-CN"/>
              </w:rPr>
              <w:t>0</w:t>
            </w:r>
            <w:r>
              <w:rPr>
                <w:rFonts w:hint="eastAsia" w:ascii="宋体" w:hAnsi="宋体" w:cs="Arial"/>
                <w:bCs/>
                <w:color w:val="auto"/>
                <w:szCs w:val="21"/>
              </w:rPr>
              <w:t>°</w:t>
            </w:r>
          </w:p>
          <w:p w14:paraId="436B1A8F">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4、乘员数：</w:t>
            </w:r>
            <w:r>
              <w:rPr>
                <w:rFonts w:hint="eastAsia" w:ascii="宋体" w:hAnsi="宋体" w:cs="Arial"/>
                <w:bCs/>
                <w:color w:val="auto"/>
                <w:szCs w:val="21"/>
                <w:lang w:val="en-US" w:eastAsia="zh-CN"/>
              </w:rPr>
              <w:t>5-8</w:t>
            </w:r>
            <w:r>
              <w:rPr>
                <w:rFonts w:hint="eastAsia" w:ascii="宋体" w:hAnsi="宋体" w:cs="Arial"/>
                <w:bCs/>
                <w:color w:val="auto"/>
                <w:szCs w:val="21"/>
              </w:rPr>
              <w:t>人</w:t>
            </w:r>
          </w:p>
          <w:p w14:paraId="491D982A">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5、燃油种类：</w:t>
            </w:r>
            <w:r>
              <w:rPr>
                <w:rFonts w:hint="eastAsia" w:ascii="宋体" w:hAnsi="宋体" w:cs="Arial"/>
                <w:bCs/>
                <w:color w:val="auto"/>
                <w:szCs w:val="21"/>
                <w:lang w:val="en-US" w:eastAsia="zh-CN"/>
              </w:rPr>
              <w:t>汽</w:t>
            </w:r>
            <w:r>
              <w:rPr>
                <w:rFonts w:hint="eastAsia" w:ascii="宋体" w:hAnsi="宋体" w:cs="Arial"/>
                <w:bCs/>
                <w:color w:val="auto"/>
                <w:szCs w:val="21"/>
              </w:rPr>
              <w:t>油。</w:t>
            </w:r>
          </w:p>
          <w:p w14:paraId="14A9C070">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6、百公里油耗：≤9L。</w:t>
            </w:r>
          </w:p>
          <w:p w14:paraId="7224542C">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7、变速器：</w:t>
            </w:r>
            <w:r>
              <w:rPr>
                <w:rFonts w:hint="eastAsia" w:ascii="宋体" w:hAnsi="宋体" w:cs="Arial"/>
                <w:bCs/>
                <w:color w:val="auto"/>
                <w:szCs w:val="21"/>
                <w:lang w:val="en-US" w:eastAsia="zh-CN"/>
              </w:rPr>
              <w:t>九挡自动</w:t>
            </w:r>
            <w:r>
              <w:rPr>
                <w:rFonts w:hint="eastAsia" w:ascii="宋体" w:hAnsi="宋体" w:cs="Arial"/>
                <w:bCs/>
                <w:color w:val="auto"/>
                <w:szCs w:val="21"/>
              </w:rPr>
              <w:t>变速器，中控台集成式换挡杆。</w:t>
            </w:r>
          </w:p>
          <w:p w14:paraId="67DBD879">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8、最高时速：≥1</w:t>
            </w:r>
            <w:r>
              <w:rPr>
                <w:rFonts w:hint="eastAsia" w:ascii="宋体" w:hAnsi="宋体" w:cs="Arial"/>
                <w:bCs/>
                <w:color w:val="auto"/>
                <w:szCs w:val="21"/>
                <w:lang w:val="en-US" w:eastAsia="zh-CN"/>
              </w:rPr>
              <w:t>60</w:t>
            </w:r>
            <w:r>
              <w:rPr>
                <w:rFonts w:hint="eastAsia" w:ascii="宋体" w:hAnsi="宋体" w:cs="Arial"/>
                <w:bCs/>
                <w:color w:val="auto"/>
                <w:szCs w:val="21"/>
              </w:rPr>
              <w:t>Km/h。</w:t>
            </w:r>
          </w:p>
          <w:p w14:paraId="0218A115">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9、轮胎：215/75R16LT，钢制轮毂。</w:t>
            </w:r>
          </w:p>
          <w:p w14:paraId="621A9385">
            <w:pPr>
              <w:widowControl/>
              <w:spacing w:line="440" w:lineRule="exact"/>
              <w:textAlignment w:val="baseline"/>
              <w:rPr>
                <w:rFonts w:hint="eastAsia" w:ascii="宋体" w:hAnsi="宋体" w:cs="Arial"/>
                <w:bCs/>
                <w:color w:val="auto"/>
                <w:szCs w:val="21"/>
                <w:lang w:eastAsia="zh-CN"/>
              </w:rPr>
            </w:pPr>
            <w:r>
              <w:rPr>
                <w:rFonts w:hint="eastAsia" w:ascii="宋体" w:hAnsi="宋体" w:cs="Arial"/>
                <w:bCs/>
                <w:color w:val="auto"/>
                <w:szCs w:val="21"/>
              </w:rPr>
              <w:t>10、刹车系统：前：通风盘式</w:t>
            </w:r>
            <w:r>
              <w:rPr>
                <w:rFonts w:hint="eastAsia" w:ascii="宋体" w:hAnsi="宋体" w:cs="Arial"/>
                <w:bCs/>
                <w:color w:val="auto"/>
                <w:szCs w:val="21"/>
                <w:lang w:eastAsia="zh-CN"/>
              </w:rPr>
              <w:t>，</w:t>
            </w:r>
            <w:r>
              <w:rPr>
                <w:rFonts w:hint="eastAsia" w:ascii="宋体" w:hAnsi="宋体" w:cs="Arial"/>
                <w:bCs/>
                <w:color w:val="auto"/>
                <w:szCs w:val="21"/>
              </w:rPr>
              <w:t>后：盘式</w:t>
            </w:r>
            <w:r>
              <w:rPr>
                <w:rFonts w:hint="eastAsia" w:ascii="宋体" w:hAnsi="宋体" w:cs="Arial"/>
                <w:bCs/>
                <w:color w:val="auto"/>
                <w:szCs w:val="21"/>
                <w:lang w:eastAsia="zh-CN"/>
              </w:rPr>
              <w:t>。</w:t>
            </w:r>
          </w:p>
          <w:p w14:paraId="1B348A0B">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三、车辆主要配置</w:t>
            </w:r>
          </w:p>
          <w:p w14:paraId="594C4233">
            <w:pPr>
              <w:widowControl/>
              <w:spacing w:line="440" w:lineRule="exact"/>
              <w:textAlignment w:val="baseline"/>
              <w:rPr>
                <w:rFonts w:hint="eastAsia" w:ascii="宋体" w:hAnsi="宋体" w:eastAsia="宋体" w:cs="Arial"/>
                <w:bCs/>
                <w:color w:val="auto"/>
                <w:szCs w:val="21"/>
                <w:lang w:eastAsia="zh-CN"/>
              </w:rPr>
            </w:pPr>
            <w:r>
              <w:rPr>
                <w:rFonts w:hint="eastAsia" w:ascii="宋体" w:hAnsi="宋体" w:cs="Arial"/>
                <w:bCs/>
                <w:color w:val="auto"/>
                <w:szCs w:val="21"/>
              </w:rPr>
              <w:t>1、防抱死制动系统 (ABS)</w:t>
            </w:r>
            <w:r>
              <w:rPr>
                <w:rFonts w:hint="eastAsia" w:ascii="宋体" w:hAnsi="宋体" w:cs="Arial"/>
                <w:bCs/>
                <w:color w:val="auto"/>
                <w:szCs w:val="21"/>
                <w:lang w:eastAsia="zh-CN"/>
              </w:rPr>
              <w:t>。</w:t>
            </w:r>
          </w:p>
          <w:p w14:paraId="46217C50">
            <w:pPr>
              <w:widowControl/>
              <w:spacing w:line="440" w:lineRule="exact"/>
              <w:textAlignment w:val="baseline"/>
              <w:rPr>
                <w:rFonts w:hint="eastAsia" w:ascii="宋体" w:hAnsi="宋体" w:eastAsia="宋体" w:cs="Arial"/>
                <w:bCs/>
                <w:color w:val="auto"/>
                <w:szCs w:val="21"/>
                <w:lang w:eastAsia="zh-CN"/>
              </w:rPr>
            </w:pPr>
            <w:r>
              <w:rPr>
                <w:rFonts w:hint="eastAsia" w:ascii="宋体" w:hAnsi="宋体" w:cs="Arial"/>
                <w:bCs/>
                <w:color w:val="auto"/>
                <w:szCs w:val="21"/>
              </w:rPr>
              <w:t>2、制动力分配系统(EBD)</w:t>
            </w:r>
            <w:r>
              <w:rPr>
                <w:rFonts w:hint="eastAsia" w:ascii="宋体" w:hAnsi="宋体" w:cs="Arial"/>
                <w:bCs/>
                <w:color w:val="auto"/>
                <w:szCs w:val="21"/>
                <w:lang w:eastAsia="zh-CN"/>
              </w:rPr>
              <w:t>。</w:t>
            </w:r>
          </w:p>
          <w:p w14:paraId="7932B494">
            <w:pPr>
              <w:widowControl/>
              <w:spacing w:line="440" w:lineRule="exact"/>
              <w:textAlignment w:val="baseline"/>
              <w:rPr>
                <w:rFonts w:hint="eastAsia" w:ascii="宋体" w:hAnsi="宋体" w:eastAsia="宋体" w:cs="Arial"/>
                <w:bCs/>
                <w:color w:val="auto"/>
                <w:szCs w:val="21"/>
                <w:lang w:eastAsia="zh-CN"/>
              </w:rPr>
            </w:pPr>
            <w:r>
              <w:rPr>
                <w:rFonts w:hint="eastAsia" w:ascii="宋体" w:hAnsi="宋体" w:cs="Arial"/>
                <w:bCs/>
                <w:color w:val="auto"/>
                <w:szCs w:val="21"/>
              </w:rPr>
              <w:t>3、车辆维护警告系统</w:t>
            </w:r>
            <w:r>
              <w:rPr>
                <w:rFonts w:hint="eastAsia" w:ascii="宋体" w:hAnsi="宋体" w:cs="Arial"/>
                <w:bCs/>
                <w:color w:val="auto"/>
                <w:szCs w:val="21"/>
                <w:lang w:eastAsia="zh-CN"/>
              </w:rPr>
              <w:t>。</w:t>
            </w:r>
          </w:p>
          <w:p w14:paraId="70FB4E7B">
            <w:pPr>
              <w:widowControl/>
              <w:spacing w:line="440" w:lineRule="exact"/>
              <w:textAlignment w:val="baseline"/>
              <w:rPr>
                <w:rFonts w:hint="eastAsia" w:ascii="宋体" w:hAnsi="宋体" w:eastAsia="宋体" w:cs="Arial"/>
                <w:bCs/>
                <w:color w:val="auto"/>
                <w:szCs w:val="21"/>
                <w:lang w:eastAsia="zh-CN"/>
              </w:rPr>
            </w:pPr>
            <w:r>
              <w:rPr>
                <w:rFonts w:hint="eastAsia" w:ascii="宋体" w:hAnsi="宋体" w:cs="Arial"/>
                <w:bCs/>
                <w:color w:val="auto"/>
                <w:szCs w:val="21"/>
              </w:rPr>
              <w:t>4、中控门锁</w:t>
            </w:r>
            <w:r>
              <w:rPr>
                <w:rFonts w:hint="eastAsia" w:ascii="宋体" w:hAnsi="宋体" w:cs="Arial"/>
                <w:bCs/>
                <w:color w:val="auto"/>
                <w:szCs w:val="21"/>
                <w:lang w:eastAsia="zh-CN"/>
              </w:rPr>
              <w:t>。</w:t>
            </w:r>
          </w:p>
          <w:p w14:paraId="1C3B588E">
            <w:pPr>
              <w:widowControl/>
              <w:spacing w:line="440" w:lineRule="exact"/>
              <w:textAlignment w:val="baseline"/>
              <w:rPr>
                <w:rFonts w:hint="eastAsia" w:ascii="宋体" w:hAnsi="宋体" w:eastAsia="宋体" w:cs="Arial"/>
                <w:bCs/>
                <w:color w:val="auto"/>
                <w:szCs w:val="21"/>
                <w:lang w:eastAsia="zh-CN"/>
              </w:rPr>
            </w:pPr>
            <w:r>
              <w:rPr>
                <w:rFonts w:hint="eastAsia" w:ascii="宋体" w:hAnsi="宋体" w:cs="Arial"/>
                <w:bCs/>
                <w:color w:val="auto"/>
                <w:szCs w:val="21"/>
              </w:rPr>
              <w:t>5、驾驶室3座椅</w:t>
            </w:r>
            <w:r>
              <w:rPr>
                <w:rFonts w:hint="eastAsia" w:ascii="宋体" w:hAnsi="宋体" w:cs="Arial"/>
                <w:bCs/>
                <w:color w:val="auto"/>
                <w:szCs w:val="21"/>
                <w:lang w:eastAsia="zh-CN"/>
              </w:rPr>
              <w:t>。</w:t>
            </w:r>
          </w:p>
          <w:p w14:paraId="0AF5414C">
            <w:pPr>
              <w:widowControl/>
              <w:spacing w:line="440" w:lineRule="exact"/>
              <w:textAlignment w:val="baseline"/>
              <w:rPr>
                <w:rFonts w:hint="eastAsia" w:ascii="宋体" w:hAnsi="宋体" w:eastAsia="宋体" w:cs="Arial"/>
                <w:bCs/>
                <w:color w:val="auto"/>
                <w:szCs w:val="21"/>
                <w:lang w:eastAsia="zh-CN"/>
              </w:rPr>
            </w:pPr>
            <w:r>
              <w:rPr>
                <w:rFonts w:hint="eastAsia" w:ascii="宋体" w:hAnsi="宋体" w:cs="Arial"/>
                <w:bCs/>
                <w:color w:val="auto"/>
                <w:szCs w:val="21"/>
              </w:rPr>
              <w:t>6、驾驶员安全气囊</w:t>
            </w:r>
            <w:r>
              <w:rPr>
                <w:rFonts w:hint="eastAsia" w:ascii="宋体" w:hAnsi="宋体" w:cs="Arial"/>
                <w:bCs/>
                <w:color w:val="auto"/>
                <w:szCs w:val="21"/>
                <w:lang w:eastAsia="zh-CN"/>
              </w:rPr>
              <w:t>。</w:t>
            </w:r>
          </w:p>
          <w:p w14:paraId="2A278483">
            <w:pPr>
              <w:widowControl/>
              <w:spacing w:line="440" w:lineRule="exact"/>
              <w:textAlignment w:val="baseline"/>
              <w:rPr>
                <w:rFonts w:hint="eastAsia" w:ascii="宋体" w:hAnsi="宋体" w:eastAsia="宋体" w:cs="Arial"/>
                <w:bCs/>
                <w:color w:val="auto"/>
                <w:szCs w:val="21"/>
                <w:lang w:eastAsia="zh-CN"/>
              </w:rPr>
            </w:pPr>
            <w:r>
              <w:rPr>
                <w:rFonts w:hint="eastAsia" w:ascii="宋体" w:hAnsi="宋体" w:cs="Arial"/>
                <w:bCs/>
                <w:color w:val="auto"/>
                <w:szCs w:val="21"/>
              </w:rPr>
              <w:t xml:space="preserve">7、多媒体收音机 </w:t>
            </w:r>
            <w:r>
              <w:rPr>
                <w:rFonts w:hint="eastAsia" w:ascii="宋体" w:hAnsi="宋体" w:cs="Arial"/>
                <w:bCs/>
                <w:color w:val="auto"/>
                <w:szCs w:val="21"/>
                <w:lang w:eastAsia="zh-CN"/>
              </w:rPr>
              <w:t>。</w:t>
            </w:r>
          </w:p>
          <w:p w14:paraId="1A8F5D59">
            <w:pPr>
              <w:widowControl/>
              <w:spacing w:line="440" w:lineRule="exact"/>
              <w:textAlignment w:val="baseline"/>
              <w:rPr>
                <w:rFonts w:hint="eastAsia" w:ascii="宋体" w:hAnsi="宋体" w:eastAsia="宋体" w:cs="Arial"/>
                <w:bCs/>
                <w:color w:val="auto"/>
                <w:szCs w:val="21"/>
                <w:lang w:eastAsia="zh-CN"/>
              </w:rPr>
            </w:pPr>
            <w:r>
              <w:rPr>
                <w:rFonts w:hint="eastAsia" w:ascii="宋体" w:hAnsi="宋体" w:cs="Arial"/>
                <w:bCs/>
                <w:color w:val="auto"/>
                <w:szCs w:val="21"/>
              </w:rPr>
              <w:t>8、驾驶室电动车窗</w:t>
            </w:r>
            <w:r>
              <w:rPr>
                <w:rFonts w:hint="eastAsia" w:ascii="宋体" w:hAnsi="宋体" w:cs="Arial"/>
                <w:bCs/>
                <w:color w:val="auto"/>
                <w:szCs w:val="21"/>
                <w:lang w:eastAsia="zh-CN"/>
              </w:rPr>
              <w:t>。</w:t>
            </w:r>
          </w:p>
          <w:p w14:paraId="3DC427DB">
            <w:pPr>
              <w:widowControl/>
              <w:spacing w:line="440" w:lineRule="exact"/>
              <w:textAlignment w:val="baseline"/>
              <w:rPr>
                <w:rFonts w:hint="eastAsia" w:ascii="宋体" w:hAnsi="宋体" w:eastAsia="宋体" w:cs="Arial"/>
                <w:bCs/>
                <w:color w:val="auto"/>
                <w:szCs w:val="21"/>
                <w:lang w:eastAsia="zh-CN"/>
              </w:rPr>
            </w:pPr>
            <w:r>
              <w:rPr>
                <w:rFonts w:hint="eastAsia" w:ascii="宋体" w:hAnsi="宋体" w:cs="Arial"/>
                <w:bCs/>
                <w:color w:val="auto"/>
                <w:szCs w:val="21"/>
              </w:rPr>
              <w:t>9、后双开门</w:t>
            </w:r>
            <w:r>
              <w:rPr>
                <w:rFonts w:hint="eastAsia" w:ascii="宋体" w:hAnsi="宋体" w:cs="Arial"/>
                <w:bCs/>
                <w:color w:val="auto"/>
                <w:szCs w:val="21"/>
                <w:lang w:eastAsia="zh-CN"/>
              </w:rPr>
              <w:t>。</w:t>
            </w:r>
          </w:p>
          <w:p w14:paraId="0185FC83">
            <w:pPr>
              <w:widowControl/>
              <w:spacing w:line="440" w:lineRule="exact"/>
              <w:textAlignment w:val="baseline"/>
              <w:rPr>
                <w:rFonts w:hint="eastAsia" w:ascii="宋体" w:hAnsi="宋体" w:eastAsia="宋体" w:cs="Arial"/>
                <w:bCs/>
                <w:color w:val="auto"/>
                <w:szCs w:val="21"/>
                <w:lang w:eastAsia="zh-CN"/>
              </w:rPr>
            </w:pPr>
            <w:r>
              <w:rPr>
                <w:rFonts w:hint="eastAsia" w:ascii="宋体" w:hAnsi="宋体" w:cs="Arial"/>
                <w:bCs/>
                <w:color w:val="auto"/>
                <w:szCs w:val="21"/>
              </w:rPr>
              <w:t>10、后上车踏板</w:t>
            </w:r>
            <w:r>
              <w:rPr>
                <w:rFonts w:hint="eastAsia" w:ascii="宋体" w:hAnsi="宋体" w:cs="Arial"/>
                <w:bCs/>
                <w:color w:val="auto"/>
                <w:szCs w:val="21"/>
                <w:lang w:eastAsia="zh-CN"/>
              </w:rPr>
              <w:t>。</w:t>
            </w:r>
          </w:p>
          <w:p w14:paraId="0F6A1CA6">
            <w:pPr>
              <w:widowControl/>
              <w:spacing w:line="440" w:lineRule="exact"/>
              <w:textAlignment w:val="baseline"/>
              <w:rPr>
                <w:rFonts w:hint="eastAsia" w:ascii="宋体" w:hAnsi="宋体" w:eastAsia="宋体" w:cs="Arial"/>
                <w:bCs/>
                <w:color w:val="auto"/>
                <w:szCs w:val="21"/>
                <w:lang w:eastAsia="zh-CN"/>
              </w:rPr>
            </w:pPr>
            <w:r>
              <w:rPr>
                <w:rFonts w:hint="eastAsia" w:ascii="宋体" w:hAnsi="宋体" w:cs="Arial"/>
                <w:bCs/>
                <w:color w:val="auto"/>
                <w:szCs w:val="21"/>
              </w:rPr>
              <w:t>1</w:t>
            </w:r>
            <w:r>
              <w:rPr>
                <w:rFonts w:hint="eastAsia" w:ascii="宋体" w:hAnsi="宋体" w:cs="Arial"/>
                <w:bCs/>
                <w:color w:val="auto"/>
                <w:szCs w:val="21"/>
                <w:lang w:val="en-US" w:eastAsia="zh-CN"/>
              </w:rPr>
              <w:t>1</w:t>
            </w:r>
            <w:r>
              <w:rPr>
                <w:rFonts w:hint="eastAsia" w:ascii="宋体" w:hAnsi="宋体" w:cs="Arial"/>
                <w:bCs/>
                <w:color w:val="auto"/>
                <w:szCs w:val="21"/>
              </w:rPr>
              <w:t>、第二把摇控钥匙</w:t>
            </w:r>
            <w:r>
              <w:rPr>
                <w:rFonts w:hint="eastAsia" w:ascii="宋体" w:hAnsi="宋体" w:cs="Arial"/>
                <w:bCs/>
                <w:color w:val="auto"/>
                <w:szCs w:val="21"/>
                <w:lang w:eastAsia="zh-CN"/>
              </w:rPr>
              <w:t>。</w:t>
            </w:r>
          </w:p>
          <w:p w14:paraId="5525192E">
            <w:pPr>
              <w:widowControl/>
              <w:spacing w:line="440" w:lineRule="exact"/>
              <w:textAlignment w:val="baseline"/>
              <w:rPr>
                <w:rFonts w:hint="eastAsia" w:ascii="宋体" w:hAnsi="宋体" w:eastAsia="宋体" w:cs="Arial"/>
                <w:bCs/>
                <w:color w:val="auto"/>
                <w:szCs w:val="21"/>
                <w:lang w:eastAsia="zh-CN"/>
              </w:rPr>
            </w:pPr>
            <w:r>
              <w:rPr>
                <w:rFonts w:hint="eastAsia" w:ascii="宋体" w:hAnsi="宋体" w:cs="Arial"/>
                <w:bCs/>
                <w:color w:val="auto"/>
                <w:szCs w:val="21"/>
              </w:rPr>
              <w:t>1</w:t>
            </w:r>
            <w:r>
              <w:rPr>
                <w:rFonts w:hint="eastAsia" w:ascii="宋体" w:hAnsi="宋体" w:cs="Arial"/>
                <w:bCs/>
                <w:color w:val="auto"/>
                <w:szCs w:val="21"/>
                <w:lang w:val="en-US" w:eastAsia="zh-CN"/>
              </w:rPr>
              <w:t>2</w:t>
            </w:r>
            <w:r>
              <w:rPr>
                <w:rFonts w:hint="eastAsia" w:ascii="宋体" w:hAnsi="宋体" w:cs="Arial"/>
                <w:bCs/>
                <w:color w:val="auto"/>
                <w:szCs w:val="21"/>
              </w:rPr>
              <w:t>、后门装透明玻璃, 窗户上 2/3 贴乳白色不透明防爆膜</w:t>
            </w:r>
            <w:r>
              <w:rPr>
                <w:rFonts w:hint="eastAsia" w:ascii="宋体" w:hAnsi="宋体" w:cs="Arial"/>
                <w:bCs/>
                <w:color w:val="auto"/>
                <w:szCs w:val="21"/>
                <w:lang w:eastAsia="zh-CN"/>
              </w:rPr>
              <w:t>。</w:t>
            </w:r>
          </w:p>
          <w:p w14:paraId="138B2D5B">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四、内饰装配系统</w:t>
            </w:r>
          </w:p>
          <w:p w14:paraId="792ADBA2">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1、医疗舱内饰：内饰车顶采用高强度、扛冲击性强、耐老化、方便清洗和消毒的</w:t>
            </w:r>
            <w:r>
              <w:rPr>
                <w:rFonts w:hint="eastAsia" w:ascii="宋体" w:hAnsi="宋体" w:cs="Arial"/>
                <w:bCs/>
                <w:color w:val="auto"/>
                <w:szCs w:val="21"/>
                <w:lang w:val="en-US" w:eastAsia="zh-CN"/>
              </w:rPr>
              <w:t>PVC</w:t>
            </w:r>
            <w:r>
              <w:rPr>
                <w:rFonts w:hint="eastAsia" w:ascii="宋体" w:hAnsi="宋体" w:cs="Arial"/>
                <w:bCs/>
                <w:color w:val="auto"/>
                <w:szCs w:val="21"/>
              </w:rPr>
              <w:t>材料，车辆顶部及侧围预埋金属件，采用断续焊，所有焊点处磨平并做防锈处理，增加整车顶部及侧围强度，增加顶部载重能力，1套。</w:t>
            </w:r>
          </w:p>
          <w:p w14:paraId="3EC3B490">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2、隔断：驾驶室与医疗舱完全密封隔断（带推拉观察窗）1套。</w:t>
            </w:r>
          </w:p>
          <w:p w14:paraId="27725FAB">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3、隔断后多功能医疗柜：</w:t>
            </w:r>
            <w:r>
              <w:rPr>
                <w:rFonts w:hint="eastAsia" w:ascii="宋体" w:hAnsi="宋体" w:eastAsia="宋体" w:cs="Arial"/>
                <w:bCs/>
                <w:color w:val="auto"/>
                <w:szCs w:val="21"/>
              </w:rPr>
              <w:t>柜体表面无尖锐边角，采用原边处理。</w:t>
            </w:r>
          </w:p>
          <w:p w14:paraId="5E63CD24">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4</w:t>
            </w:r>
            <w:r>
              <w:rPr>
                <w:rFonts w:hint="eastAsia" w:ascii="宋体" w:hAnsi="宋体" w:cs="Arial"/>
                <w:bCs/>
                <w:color w:val="auto"/>
                <w:szCs w:val="21"/>
              </w:rPr>
              <w:t>、舱内左侧双10L氧气瓶柜，配置氧气瓶底座、固定支架，柜体表面无尖锐边角，采用原边处理1套。</w:t>
            </w:r>
          </w:p>
          <w:p w14:paraId="700CEF9A">
            <w:pPr>
              <w:widowControl/>
              <w:spacing w:line="440" w:lineRule="exact"/>
              <w:textAlignment w:val="baseline"/>
              <w:rPr>
                <w:rFonts w:hint="eastAsia" w:ascii="宋体" w:hAnsi="宋体" w:eastAsia="宋体" w:cs="Arial"/>
                <w:bCs/>
                <w:color w:val="auto"/>
                <w:szCs w:val="21"/>
                <w:lang w:eastAsia="zh-CN"/>
              </w:rPr>
            </w:pPr>
            <w:r>
              <w:rPr>
                <w:rFonts w:hint="eastAsia" w:ascii="宋体" w:hAnsi="宋体" w:cs="Arial"/>
                <w:bCs/>
                <w:color w:val="auto"/>
                <w:szCs w:val="21"/>
                <w:lang w:val="en-US" w:eastAsia="zh-CN"/>
              </w:rPr>
              <w:t>5</w:t>
            </w:r>
            <w:r>
              <w:rPr>
                <w:rFonts w:hint="eastAsia" w:ascii="宋体" w:hAnsi="宋体" w:cs="Arial"/>
                <w:bCs/>
                <w:color w:val="auto"/>
                <w:szCs w:val="21"/>
              </w:rPr>
              <w:t>、舱内多用医药吊柜：吊柜为</w:t>
            </w:r>
            <w:r>
              <w:rPr>
                <w:rFonts w:hint="eastAsia" w:ascii="宋体" w:hAnsi="宋体" w:cs="Arial"/>
                <w:bCs/>
                <w:color w:val="auto"/>
                <w:szCs w:val="21"/>
                <w:lang w:val="en-US" w:eastAsia="zh-CN"/>
              </w:rPr>
              <w:t>推拉门</w:t>
            </w:r>
            <w:r>
              <w:rPr>
                <w:rFonts w:hint="eastAsia" w:ascii="宋体" w:hAnsi="宋体" w:cs="Arial"/>
                <w:bCs/>
                <w:color w:val="auto"/>
                <w:szCs w:val="21"/>
              </w:rPr>
              <w:t>，蓝色抗辐射推拉窗。1套</w:t>
            </w:r>
            <w:r>
              <w:rPr>
                <w:rFonts w:hint="eastAsia" w:ascii="宋体" w:hAnsi="宋体" w:cs="Arial"/>
                <w:bCs/>
                <w:color w:val="auto"/>
                <w:szCs w:val="21"/>
                <w:lang w:eastAsia="zh-CN"/>
              </w:rPr>
              <w:t>。</w:t>
            </w:r>
          </w:p>
          <w:p w14:paraId="6D9245E2">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6</w:t>
            </w:r>
            <w:r>
              <w:rPr>
                <w:rFonts w:hint="eastAsia" w:ascii="宋体" w:hAnsi="宋体" w:cs="Arial"/>
                <w:bCs/>
                <w:color w:val="auto"/>
                <w:szCs w:val="21"/>
              </w:rPr>
              <w:t>、舱内左侧长医疗柜PVC轻型环保材料、蓝色抗辐射推拉窗</w:t>
            </w:r>
            <w:r>
              <w:rPr>
                <w:rFonts w:hint="eastAsia" w:ascii="宋体" w:hAnsi="宋体" w:cs="Arial"/>
                <w:bCs/>
                <w:color w:val="auto"/>
                <w:szCs w:val="21"/>
                <w:lang w:val="en-US" w:eastAsia="zh-CN"/>
              </w:rPr>
              <w:t>,</w:t>
            </w:r>
            <w:r>
              <w:rPr>
                <w:rFonts w:hint="eastAsia" w:ascii="宋体" w:hAnsi="宋体" w:cs="Arial"/>
                <w:bCs/>
                <w:color w:val="auto"/>
                <w:szCs w:val="21"/>
              </w:rPr>
              <w:t>平台边缘突出3CM，1套。</w:t>
            </w:r>
          </w:p>
          <w:p w14:paraId="6A453837">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7</w:t>
            </w:r>
            <w:r>
              <w:rPr>
                <w:rFonts w:hint="eastAsia" w:ascii="宋体" w:hAnsi="宋体" w:cs="Arial"/>
                <w:bCs/>
                <w:color w:val="auto"/>
                <w:szCs w:val="21"/>
              </w:rPr>
              <w:t>、舱内左侧立式多层设备支架：三层上下可调节，带减震棉1套。</w:t>
            </w:r>
          </w:p>
          <w:p w14:paraId="65D61219">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8</w:t>
            </w:r>
            <w:r>
              <w:rPr>
                <w:rFonts w:hint="eastAsia" w:ascii="宋体" w:hAnsi="宋体" w:cs="Arial"/>
                <w:bCs/>
                <w:color w:val="auto"/>
                <w:szCs w:val="21"/>
              </w:rPr>
              <w:t>、输液挂钩：2个折叠挂钩，未使用时此装置可向舱顶收起，避免对人员造成损伤1套。</w:t>
            </w:r>
          </w:p>
          <w:p w14:paraId="58281B4E">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9</w:t>
            </w:r>
            <w:r>
              <w:rPr>
                <w:rFonts w:hint="eastAsia" w:ascii="宋体" w:hAnsi="宋体" w:cs="Arial"/>
                <w:bCs/>
                <w:color w:val="auto"/>
                <w:szCs w:val="21"/>
              </w:rPr>
              <w:t>、舱门顶部边缘软包：舱内顶部边缘软包处理，纤维仿真皮，防止碰撞1套。</w:t>
            </w:r>
          </w:p>
          <w:p w14:paraId="07705578">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10</w:t>
            </w:r>
            <w:r>
              <w:rPr>
                <w:rFonts w:hint="eastAsia" w:ascii="宋体" w:hAnsi="宋体" w:cs="Arial"/>
                <w:bCs/>
                <w:color w:val="auto"/>
                <w:szCs w:val="21"/>
              </w:rPr>
              <w:t>、隔音装置：医疗舱车体侧围及顶部用隔音材料，降低医疗舱噪音</w:t>
            </w:r>
            <w:r>
              <w:rPr>
                <w:rFonts w:hint="eastAsia" w:ascii="宋体" w:hAnsi="宋体" w:cs="Arial"/>
                <w:bCs/>
                <w:color w:val="auto"/>
                <w:szCs w:val="21"/>
                <w:lang w:eastAsia="zh-CN"/>
              </w:rPr>
              <w:t>。</w:t>
            </w:r>
            <w:r>
              <w:rPr>
                <w:rFonts w:hint="eastAsia" w:ascii="宋体" w:hAnsi="宋体" w:cs="Arial"/>
                <w:bCs/>
                <w:color w:val="auto"/>
                <w:szCs w:val="21"/>
              </w:rPr>
              <w:t>1套。</w:t>
            </w:r>
          </w:p>
          <w:p w14:paraId="1CCDFBE5">
            <w:pPr>
              <w:widowControl/>
              <w:numPr>
                <w:ilvl w:val="0"/>
                <w:numId w:val="0"/>
              </w:numPr>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11、</w:t>
            </w:r>
            <w:r>
              <w:rPr>
                <w:rFonts w:hint="eastAsia" w:ascii="宋体" w:hAnsi="宋体" w:cs="Arial"/>
                <w:bCs/>
                <w:color w:val="auto"/>
                <w:szCs w:val="21"/>
              </w:rPr>
              <w:t>医疗舱内饰顶采用皮质软包，医疗舱乘客椅采用白/蓝皮质软包。</w:t>
            </w:r>
          </w:p>
          <w:p w14:paraId="1533043A">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1</w:t>
            </w:r>
            <w:r>
              <w:rPr>
                <w:rFonts w:hint="eastAsia" w:ascii="宋体" w:hAnsi="宋体" w:cs="Arial"/>
                <w:bCs/>
                <w:color w:val="auto"/>
                <w:szCs w:val="21"/>
                <w:lang w:val="en-US" w:eastAsia="zh-CN"/>
              </w:rPr>
              <w:t>2</w:t>
            </w:r>
            <w:r>
              <w:rPr>
                <w:rFonts w:hint="eastAsia" w:ascii="宋体" w:hAnsi="宋体" w:cs="Arial"/>
                <w:bCs/>
                <w:color w:val="auto"/>
                <w:szCs w:val="21"/>
              </w:rPr>
              <w:t>、全车采用PVC拼版工艺，板材收边弯折位置、美观锐角处理时应使用PVC封边条。</w:t>
            </w:r>
          </w:p>
          <w:p w14:paraId="663A884E">
            <w:pPr>
              <w:widowControl/>
              <w:spacing w:line="440" w:lineRule="exact"/>
              <w:textAlignment w:val="baseline"/>
              <w:rPr>
                <w:rFonts w:hint="eastAsia" w:ascii="宋体" w:hAnsi="宋体" w:eastAsia="宋体" w:cs="Arial"/>
                <w:bCs/>
                <w:color w:val="auto"/>
                <w:szCs w:val="21"/>
                <w:lang w:eastAsia="zh-CN"/>
              </w:rPr>
            </w:pPr>
            <w:r>
              <w:rPr>
                <w:rFonts w:hint="eastAsia" w:ascii="宋体" w:hAnsi="宋体" w:cs="Arial"/>
                <w:bCs/>
                <w:color w:val="auto"/>
                <w:szCs w:val="21"/>
              </w:rPr>
              <w:t>1</w:t>
            </w:r>
            <w:r>
              <w:rPr>
                <w:rFonts w:hint="eastAsia" w:ascii="宋体" w:hAnsi="宋体" w:cs="Arial"/>
                <w:bCs/>
                <w:color w:val="auto"/>
                <w:szCs w:val="21"/>
                <w:lang w:val="en-US" w:eastAsia="zh-CN"/>
              </w:rPr>
              <w:t>3</w:t>
            </w:r>
            <w:r>
              <w:rPr>
                <w:rFonts w:hint="eastAsia" w:ascii="宋体" w:hAnsi="宋体" w:cs="Arial"/>
                <w:bCs/>
                <w:color w:val="auto"/>
                <w:szCs w:val="21"/>
              </w:rPr>
              <w:t>、医疗柜体开门、抽屉闭合处采用铝合金拉手锁，产品外露不应有明显疵点、划痕、气孔、凹坑、飞边、锋棱、毛刺等缺陷。连接处应牢固圆整光滑不应有裂纹</w:t>
            </w:r>
            <w:r>
              <w:rPr>
                <w:rFonts w:hint="eastAsia" w:ascii="宋体" w:hAnsi="宋体" w:cs="Arial"/>
                <w:bCs/>
                <w:color w:val="auto"/>
                <w:szCs w:val="21"/>
                <w:lang w:eastAsia="zh-CN"/>
              </w:rPr>
              <w:t>。</w:t>
            </w:r>
          </w:p>
          <w:p w14:paraId="43168B39">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1</w:t>
            </w:r>
            <w:r>
              <w:rPr>
                <w:rFonts w:hint="eastAsia" w:ascii="宋体" w:hAnsi="宋体" w:cs="Arial"/>
                <w:bCs/>
                <w:color w:val="auto"/>
                <w:szCs w:val="21"/>
                <w:lang w:val="en-US" w:eastAsia="zh-CN"/>
              </w:rPr>
              <w:t>4</w:t>
            </w:r>
            <w:r>
              <w:rPr>
                <w:rFonts w:hint="eastAsia" w:ascii="宋体" w:hAnsi="宋体" w:cs="Arial"/>
                <w:bCs/>
                <w:color w:val="auto"/>
                <w:szCs w:val="21"/>
              </w:rPr>
              <w:t>、医用地板：医用地板耐磨、耐老化、防滑防霉易清洗，医用地板下置PVC阻燃板1套。</w:t>
            </w:r>
          </w:p>
          <w:p w14:paraId="4A880841">
            <w:pPr>
              <w:widowControl/>
              <w:spacing w:line="440" w:lineRule="exact"/>
              <w:textAlignment w:val="baseline"/>
              <w:rPr>
                <w:rFonts w:hint="eastAsia" w:ascii="宋体" w:hAnsi="宋体" w:cs="Arial"/>
                <w:b w:val="0"/>
                <w:bCs/>
                <w:color w:val="auto"/>
                <w:szCs w:val="21"/>
              </w:rPr>
            </w:pPr>
            <w:r>
              <w:rPr>
                <w:rFonts w:hint="eastAsia" w:ascii="宋体" w:hAnsi="宋体" w:cs="Arial"/>
                <w:b w:val="0"/>
                <w:bCs/>
                <w:color w:val="auto"/>
                <w:szCs w:val="21"/>
                <w:lang w:val="en-US" w:eastAsia="zh-CN"/>
              </w:rPr>
              <w:t>五</w:t>
            </w:r>
            <w:r>
              <w:rPr>
                <w:rFonts w:hint="eastAsia" w:ascii="宋体" w:hAnsi="宋体" w:cs="Arial"/>
                <w:b w:val="0"/>
                <w:bCs/>
                <w:color w:val="auto"/>
                <w:szCs w:val="21"/>
              </w:rPr>
              <w:t>、照明、消毒系统</w:t>
            </w:r>
          </w:p>
          <w:p w14:paraId="23FF6FB1">
            <w:pPr>
              <w:widowControl/>
              <w:spacing w:line="440" w:lineRule="exact"/>
              <w:textAlignment w:val="baseline"/>
              <w:rPr>
                <w:rFonts w:hint="eastAsia" w:ascii="宋体" w:hAnsi="宋体" w:cs="Arial"/>
                <w:b w:val="0"/>
                <w:bCs/>
                <w:color w:val="auto"/>
                <w:szCs w:val="21"/>
              </w:rPr>
            </w:pPr>
            <w:r>
              <w:rPr>
                <w:rFonts w:hint="eastAsia" w:ascii="宋体" w:hAnsi="宋体" w:cs="Arial"/>
                <w:b w:val="0"/>
                <w:bCs/>
                <w:color w:val="auto"/>
                <w:szCs w:val="21"/>
              </w:rPr>
              <w:t>1、紫外线消毒灯：消毒灯具备定时延时开启功能</w:t>
            </w:r>
            <w:r>
              <w:rPr>
                <w:rFonts w:hint="eastAsia" w:ascii="宋体" w:hAnsi="宋体" w:cs="Arial"/>
                <w:b w:val="0"/>
                <w:bCs/>
                <w:color w:val="auto"/>
                <w:szCs w:val="21"/>
              </w:rPr>
              <w:tab/>
            </w:r>
            <w:r>
              <w:rPr>
                <w:rFonts w:hint="eastAsia" w:ascii="宋体" w:hAnsi="宋体" w:cs="Arial"/>
                <w:b w:val="0"/>
                <w:bCs/>
                <w:color w:val="auto"/>
                <w:szCs w:val="21"/>
              </w:rPr>
              <w:t>1套。</w:t>
            </w:r>
          </w:p>
          <w:p w14:paraId="0F86A65A">
            <w:pPr>
              <w:widowControl/>
              <w:spacing w:line="440" w:lineRule="exact"/>
              <w:textAlignment w:val="baseline"/>
              <w:rPr>
                <w:rFonts w:hint="eastAsia" w:ascii="宋体" w:hAnsi="宋体" w:cs="Arial"/>
                <w:b w:val="0"/>
                <w:bCs/>
                <w:color w:val="auto"/>
                <w:szCs w:val="21"/>
              </w:rPr>
            </w:pPr>
            <w:r>
              <w:rPr>
                <w:rFonts w:hint="eastAsia" w:ascii="宋体" w:hAnsi="宋体" w:cs="Arial"/>
                <w:b w:val="0"/>
                <w:bCs/>
                <w:color w:val="auto"/>
                <w:szCs w:val="21"/>
              </w:rPr>
              <w:t>2、医用射灯：3*1W色温中性白2套。</w:t>
            </w:r>
          </w:p>
          <w:p w14:paraId="6072CA79">
            <w:pPr>
              <w:widowControl/>
              <w:spacing w:line="440" w:lineRule="exact"/>
              <w:textAlignment w:val="baseline"/>
              <w:rPr>
                <w:rFonts w:hint="eastAsia" w:ascii="宋体" w:hAnsi="宋体" w:cs="Arial"/>
                <w:b w:val="0"/>
                <w:bCs/>
                <w:color w:val="auto"/>
                <w:szCs w:val="21"/>
              </w:rPr>
            </w:pPr>
            <w:r>
              <w:rPr>
                <w:rFonts w:hint="eastAsia" w:ascii="宋体" w:hAnsi="宋体" w:cs="Arial"/>
                <w:b w:val="0"/>
                <w:bCs/>
                <w:color w:val="auto"/>
                <w:szCs w:val="21"/>
              </w:rPr>
              <w:t>3、顶部照明灯：LED高亮照明灯4套。</w:t>
            </w:r>
          </w:p>
          <w:p w14:paraId="000D9E25">
            <w:pPr>
              <w:widowControl/>
              <w:spacing w:line="440" w:lineRule="exact"/>
              <w:textAlignment w:val="baseline"/>
              <w:rPr>
                <w:rFonts w:hint="eastAsia" w:ascii="宋体" w:hAnsi="宋体" w:cs="Arial"/>
                <w:b w:val="0"/>
                <w:bCs/>
                <w:color w:val="auto"/>
                <w:szCs w:val="21"/>
              </w:rPr>
            </w:pPr>
            <w:r>
              <w:rPr>
                <w:rFonts w:hint="eastAsia" w:ascii="宋体" w:hAnsi="宋体" w:cs="Arial"/>
                <w:b w:val="0"/>
                <w:bCs/>
                <w:color w:val="auto"/>
                <w:szCs w:val="21"/>
              </w:rPr>
              <w:t>4、后尾部场外照明灯：12V、投光灯、正白光1套。</w:t>
            </w:r>
          </w:p>
          <w:p w14:paraId="623BBFDC">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六</w:t>
            </w:r>
            <w:r>
              <w:rPr>
                <w:rFonts w:hint="eastAsia" w:ascii="宋体" w:hAnsi="宋体" w:cs="Arial"/>
                <w:bCs/>
                <w:color w:val="auto"/>
                <w:szCs w:val="21"/>
              </w:rPr>
              <w:t>、供氧系统</w:t>
            </w:r>
          </w:p>
          <w:p w14:paraId="30E72608">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1、氧气管道：采用医用紫铜管作为氧气管道，无缝焊接，壁厚1.5mm 1套。</w:t>
            </w:r>
          </w:p>
          <w:p w14:paraId="0E5FFF35">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2、氧气瓶10L、钢质无缝，含固定支架2套。</w:t>
            </w:r>
          </w:p>
          <w:p w14:paraId="18F3E80A">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3、湿化器快速转换接口，插头体总成(氧气)</w:t>
            </w:r>
            <w:r>
              <w:rPr>
                <w:rFonts w:hint="eastAsia" w:ascii="宋体" w:hAnsi="宋体" w:cs="Arial"/>
                <w:bCs/>
                <w:color w:val="auto"/>
                <w:szCs w:val="21"/>
              </w:rPr>
              <w:tab/>
            </w:r>
            <w:r>
              <w:rPr>
                <w:rFonts w:hint="eastAsia" w:ascii="宋体" w:hAnsi="宋体" w:cs="Arial"/>
                <w:bCs/>
                <w:color w:val="auto"/>
                <w:szCs w:val="21"/>
              </w:rPr>
              <w:t>2套。</w:t>
            </w:r>
          </w:p>
          <w:p w14:paraId="49D692E4">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4、湿化器：流量调节阀和湿化杯连为一体，湿化杯可以360°旋转1套。</w:t>
            </w:r>
          </w:p>
          <w:p w14:paraId="1CC706D1">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5、氧气终端：吸氧用终端连接湿化器，呼吸机用的终端连接呼吸机专用接头2套。</w:t>
            </w:r>
          </w:p>
          <w:p w14:paraId="09E1DE66">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lang w:val="en-US" w:eastAsia="zh-CN"/>
              </w:rPr>
              <w:t>七</w:t>
            </w:r>
            <w:r>
              <w:rPr>
                <w:rFonts w:hint="eastAsia" w:ascii="宋体" w:hAnsi="宋体" w:cs="Arial"/>
                <w:bCs/>
                <w:color w:val="auto"/>
                <w:szCs w:val="21"/>
              </w:rPr>
              <w:t>、一体化智能电源控制系统</w:t>
            </w:r>
          </w:p>
          <w:p w14:paraId="5755F5EE">
            <w:pPr>
              <w:widowControl/>
              <w:spacing w:line="440" w:lineRule="exact"/>
              <w:textAlignment w:val="baseline"/>
              <w:rPr>
                <w:rFonts w:hint="eastAsia" w:ascii="宋体" w:hAnsi="宋体" w:cs="Arial"/>
                <w:bCs/>
                <w:color w:val="auto"/>
                <w:szCs w:val="21"/>
                <w:lang w:val="en-US" w:eastAsia="zh-CN"/>
              </w:rPr>
            </w:pPr>
            <w:r>
              <w:rPr>
                <w:rFonts w:hint="eastAsia" w:hAnsi="宋体"/>
                <w:b/>
                <w:bCs/>
                <w:color w:val="auto"/>
              </w:rPr>
              <w:t>▲</w:t>
            </w:r>
            <w:r>
              <w:rPr>
                <w:rFonts w:hint="eastAsia" w:ascii="宋体" w:hAnsi="宋体" w:cs="Arial"/>
                <w:bCs/>
                <w:color w:val="auto"/>
                <w:szCs w:val="21"/>
                <w:lang w:val="en-US" w:eastAsia="zh-CN"/>
              </w:rPr>
              <w:t>1、一体化智能电源控制系统/器：</w:t>
            </w:r>
          </w:p>
          <w:p w14:paraId="0AD75F21">
            <w:pPr>
              <w:widowControl/>
              <w:spacing w:line="440" w:lineRule="exact"/>
              <w:textAlignment w:val="baseline"/>
              <w:rPr>
                <w:rFonts w:hint="eastAsia" w:ascii="宋体" w:hAnsi="宋体" w:cs="Arial"/>
                <w:bCs/>
                <w:color w:val="auto"/>
                <w:szCs w:val="21"/>
                <w:lang w:val="en-US" w:eastAsia="zh-CN"/>
              </w:rPr>
            </w:pPr>
            <w:r>
              <w:rPr>
                <w:rFonts w:hint="eastAsia" w:ascii="宋体" w:hAnsi="宋体" w:cs="Arial"/>
                <w:bCs/>
                <w:color w:val="auto"/>
                <w:szCs w:val="21"/>
                <w:lang w:val="en-US" w:eastAsia="zh-CN"/>
              </w:rPr>
              <w:t>为了能确保救护车上各种医疗设备等精密仪器的稳定安全运行，救护车电源系统须采用一体化智能电源控制系统/器。（响应文件中须提供由国家权威部门认可或中国合格评定国家认可委员会（CNAS）、中国计量认证（CMA）认证的检测机构/中心出具的产品名称与要求相符的</w:t>
            </w:r>
            <w:r>
              <w:rPr>
                <w:rFonts w:hint="eastAsia" w:ascii="宋体" w:hAnsi="宋体" w:cs="Arial"/>
                <w:b w:val="0"/>
                <w:bCs/>
                <w:color w:val="auto"/>
                <w:szCs w:val="21"/>
                <w:lang w:val="en-US" w:eastAsia="zh-CN"/>
              </w:rPr>
              <w:t>第三方</w:t>
            </w:r>
            <w:r>
              <w:rPr>
                <w:rFonts w:hint="eastAsia" w:ascii="宋体" w:hAnsi="宋体" w:cs="Arial"/>
                <w:bCs/>
                <w:color w:val="auto"/>
                <w:szCs w:val="21"/>
                <w:lang w:val="en-US" w:eastAsia="zh-CN"/>
              </w:rPr>
              <w:t>检验报告复印件，并同步提供在国家市场监督管理总局全国认证认可信息公共服务平台（http://cx.cnca.cn/）通过检验的</w:t>
            </w:r>
            <w:r>
              <w:rPr>
                <w:rFonts w:hint="eastAsia" w:ascii="宋体" w:hAnsi="宋体" w:cs="Arial"/>
                <w:b w:val="0"/>
                <w:bCs/>
                <w:color w:val="auto"/>
                <w:szCs w:val="21"/>
                <w:lang w:val="en-US" w:eastAsia="zh-CN"/>
              </w:rPr>
              <w:t>第三方</w:t>
            </w:r>
            <w:r>
              <w:rPr>
                <w:rFonts w:hint="eastAsia" w:ascii="宋体" w:hAnsi="宋体" w:cs="Arial"/>
                <w:bCs/>
                <w:color w:val="auto"/>
                <w:szCs w:val="21"/>
                <w:lang w:val="en-US" w:eastAsia="zh-CN"/>
              </w:rPr>
              <w:t>检测报告编号查询结果截图进行佐证。）</w:t>
            </w:r>
          </w:p>
          <w:p w14:paraId="3E179709">
            <w:pPr>
              <w:widowControl/>
              <w:spacing w:line="440" w:lineRule="exact"/>
              <w:textAlignment w:val="baseline"/>
              <w:rPr>
                <w:rFonts w:hint="eastAsia" w:ascii="宋体" w:hAnsi="宋体" w:cs="Arial"/>
                <w:bCs/>
                <w:color w:val="auto"/>
                <w:szCs w:val="21"/>
                <w:lang w:val="en-US" w:eastAsia="zh-CN"/>
              </w:rPr>
            </w:pPr>
            <w:r>
              <w:rPr>
                <w:rFonts w:hint="eastAsia" w:ascii="宋体" w:hAnsi="宋体" w:cs="Arial"/>
                <w:bCs/>
                <w:color w:val="auto"/>
                <w:szCs w:val="21"/>
                <w:lang w:val="en-US" w:eastAsia="zh-CN"/>
              </w:rPr>
              <w:t>2、一体化智能电源控制系统/器接口参数要求：</w:t>
            </w:r>
          </w:p>
          <w:p w14:paraId="16BFCEA6">
            <w:pPr>
              <w:widowControl/>
              <w:spacing w:line="440" w:lineRule="exact"/>
              <w:textAlignment w:val="baseline"/>
              <w:rPr>
                <w:rFonts w:hint="eastAsia" w:ascii="宋体" w:hAnsi="宋体" w:cs="Arial"/>
                <w:bCs/>
                <w:color w:val="auto"/>
                <w:szCs w:val="21"/>
                <w:lang w:val="en-US" w:eastAsia="zh-CN"/>
              </w:rPr>
            </w:pPr>
            <w:r>
              <w:rPr>
                <w:rFonts w:hint="eastAsia" w:ascii="宋体" w:hAnsi="宋体" w:cs="Arial"/>
                <w:bCs/>
                <w:color w:val="auto"/>
                <w:szCs w:val="21"/>
                <w:lang w:val="en-US" w:eastAsia="zh-CN"/>
              </w:rPr>
              <w:t>2.1、配置≧2路最大支持300A直流输入口，可支持车载主副蓄电池接入；</w:t>
            </w:r>
          </w:p>
          <w:p w14:paraId="1B5F1E29">
            <w:pPr>
              <w:widowControl/>
              <w:spacing w:line="440" w:lineRule="exact"/>
              <w:textAlignment w:val="baseline"/>
              <w:rPr>
                <w:rFonts w:hint="eastAsia" w:ascii="宋体" w:hAnsi="宋体" w:cs="Arial"/>
                <w:bCs/>
                <w:color w:val="auto"/>
                <w:szCs w:val="21"/>
                <w:lang w:val="en-US" w:eastAsia="zh-CN"/>
              </w:rPr>
            </w:pPr>
            <w:r>
              <w:rPr>
                <w:rFonts w:hint="eastAsia" w:ascii="宋体" w:hAnsi="宋体" w:cs="Arial"/>
                <w:bCs/>
                <w:color w:val="auto"/>
                <w:szCs w:val="21"/>
                <w:lang w:val="en-US" w:eastAsia="zh-CN"/>
              </w:rPr>
              <w:t>2.2、配置≧14路（带10A保险保护）可扩展至30A直流输出口，可支持医疗舱环境照明系统、空调系统、消毒系统、新风系统、负压系统、直流插座等接入；</w:t>
            </w:r>
          </w:p>
          <w:p w14:paraId="15845317">
            <w:pPr>
              <w:widowControl/>
              <w:spacing w:line="440" w:lineRule="exact"/>
              <w:textAlignment w:val="baseline"/>
              <w:rPr>
                <w:rFonts w:hint="eastAsia" w:ascii="宋体" w:hAnsi="宋体" w:cs="Arial"/>
                <w:bCs/>
                <w:color w:val="auto"/>
                <w:szCs w:val="21"/>
                <w:lang w:val="en-US" w:eastAsia="zh-CN"/>
              </w:rPr>
            </w:pPr>
            <w:r>
              <w:rPr>
                <w:rFonts w:hint="eastAsia" w:hAnsi="宋体"/>
                <w:b/>
                <w:bCs/>
                <w:color w:val="auto"/>
              </w:rPr>
              <w:t>▲</w:t>
            </w:r>
            <w:r>
              <w:rPr>
                <w:rFonts w:hint="eastAsia" w:ascii="宋体" w:hAnsi="宋体" w:cs="Arial"/>
                <w:bCs/>
                <w:color w:val="auto"/>
                <w:szCs w:val="21"/>
                <w:lang w:val="en-US" w:eastAsia="zh-CN"/>
              </w:rPr>
              <w:t>2.3、配置≧9路触发信号接口，可支持驾驶舱、医疗舱、尾门三个控制面板接入，可实现对舱内电器或设备的独立或联动控制，支持单点、多点等多种控制模式；（响应文件中须提供具备上述功能由国家认可的</w:t>
            </w:r>
            <w:r>
              <w:rPr>
                <w:rFonts w:hint="eastAsia" w:ascii="宋体" w:hAnsi="宋体" w:cs="Arial"/>
                <w:b w:val="0"/>
                <w:bCs/>
                <w:color w:val="auto"/>
                <w:szCs w:val="21"/>
                <w:lang w:val="en-US" w:eastAsia="zh-CN"/>
              </w:rPr>
              <w:t>第三方</w:t>
            </w:r>
            <w:r>
              <w:rPr>
                <w:rFonts w:hint="eastAsia" w:ascii="宋体" w:hAnsi="宋体" w:cs="Arial"/>
                <w:bCs/>
                <w:color w:val="auto"/>
                <w:szCs w:val="21"/>
                <w:lang w:val="en-US" w:eastAsia="zh-CN"/>
              </w:rPr>
              <w:t>检测中心出具的检验报告，</w:t>
            </w:r>
            <w:r>
              <w:rPr>
                <w:rFonts w:hint="eastAsia" w:ascii="宋体" w:hAnsi="宋体" w:eastAsia="宋体" w:cs="Arial"/>
                <w:b w:val="0"/>
                <w:bCs/>
                <w:color w:val="auto"/>
                <w:szCs w:val="21"/>
                <w:lang w:val="en-US" w:eastAsia="zh-CN"/>
              </w:rPr>
              <w:t>加盖</w:t>
            </w:r>
            <w:r>
              <w:rPr>
                <w:rFonts w:hint="eastAsia" w:ascii="宋体" w:hAnsi="宋体" w:cs="Arial"/>
                <w:b w:val="0"/>
                <w:bCs/>
                <w:color w:val="auto"/>
                <w:szCs w:val="21"/>
                <w:lang w:val="en-US" w:eastAsia="zh-CN"/>
              </w:rPr>
              <w:t>电子</w:t>
            </w:r>
            <w:r>
              <w:rPr>
                <w:rFonts w:hint="eastAsia" w:ascii="宋体" w:hAnsi="宋体" w:eastAsia="宋体" w:cs="Arial"/>
                <w:b w:val="0"/>
                <w:bCs/>
                <w:color w:val="auto"/>
                <w:szCs w:val="21"/>
                <w:lang w:val="en-US" w:eastAsia="zh-CN"/>
              </w:rPr>
              <w:t>公章</w:t>
            </w:r>
            <w:r>
              <w:rPr>
                <w:rFonts w:hint="eastAsia" w:ascii="宋体" w:hAnsi="宋体" w:cs="Arial"/>
                <w:b w:val="0"/>
                <w:bCs/>
                <w:color w:val="auto"/>
                <w:szCs w:val="21"/>
                <w:lang w:val="en-US" w:eastAsia="zh-CN"/>
              </w:rPr>
              <w:t>。</w:t>
            </w:r>
            <w:r>
              <w:rPr>
                <w:rFonts w:hint="eastAsia" w:ascii="宋体" w:hAnsi="宋体" w:cs="Arial"/>
                <w:bCs/>
                <w:color w:val="auto"/>
                <w:szCs w:val="21"/>
                <w:lang w:val="en-US" w:eastAsia="zh-CN"/>
              </w:rPr>
              <w:t>）</w:t>
            </w:r>
          </w:p>
          <w:p w14:paraId="066CED61">
            <w:pPr>
              <w:widowControl/>
              <w:spacing w:line="440" w:lineRule="exact"/>
              <w:textAlignment w:val="baseline"/>
              <w:rPr>
                <w:rFonts w:hint="eastAsia" w:ascii="宋体" w:hAnsi="宋体" w:cs="Arial"/>
                <w:bCs/>
                <w:color w:val="auto"/>
                <w:szCs w:val="21"/>
                <w:lang w:val="en-US" w:eastAsia="zh-CN"/>
              </w:rPr>
            </w:pPr>
            <w:r>
              <w:rPr>
                <w:rFonts w:hint="eastAsia" w:hAnsi="宋体"/>
                <w:b/>
                <w:bCs/>
                <w:color w:val="auto"/>
              </w:rPr>
              <w:t>▲</w:t>
            </w:r>
            <w:r>
              <w:rPr>
                <w:rFonts w:hint="eastAsia" w:ascii="宋体" w:hAnsi="宋体" w:cs="Arial"/>
                <w:bCs/>
                <w:color w:val="auto"/>
                <w:szCs w:val="21"/>
                <w:lang w:val="en-US" w:eastAsia="zh-CN"/>
              </w:rPr>
              <w:t>2.4、配置≧1路串行通讯口，支持MODBUS RTU协议通讯，可与上位机操作软件、总线控制器等设备进行通信；（响应文件中须提供具备上述功能由国家认可的</w:t>
            </w:r>
            <w:r>
              <w:rPr>
                <w:rFonts w:hint="eastAsia" w:ascii="宋体" w:hAnsi="宋体" w:cs="Arial"/>
                <w:b w:val="0"/>
                <w:bCs/>
                <w:color w:val="auto"/>
                <w:szCs w:val="21"/>
                <w:lang w:val="en-US" w:eastAsia="zh-CN"/>
              </w:rPr>
              <w:t>第三方</w:t>
            </w:r>
            <w:r>
              <w:rPr>
                <w:rFonts w:hint="eastAsia" w:ascii="宋体" w:hAnsi="宋体" w:cs="Arial"/>
                <w:bCs/>
                <w:color w:val="auto"/>
                <w:szCs w:val="21"/>
                <w:lang w:val="en-US" w:eastAsia="zh-CN"/>
              </w:rPr>
              <w:t>检测中心出具的检验报告，</w:t>
            </w:r>
            <w:r>
              <w:rPr>
                <w:rFonts w:hint="eastAsia" w:ascii="宋体" w:hAnsi="宋体" w:eastAsia="宋体" w:cs="Arial"/>
                <w:b w:val="0"/>
                <w:bCs/>
                <w:color w:val="auto"/>
                <w:szCs w:val="21"/>
                <w:lang w:val="en-US" w:eastAsia="zh-CN"/>
              </w:rPr>
              <w:t>加盖</w:t>
            </w:r>
            <w:r>
              <w:rPr>
                <w:rFonts w:hint="eastAsia" w:ascii="宋体" w:hAnsi="宋体" w:cs="Arial"/>
                <w:b w:val="0"/>
                <w:bCs/>
                <w:color w:val="auto"/>
                <w:szCs w:val="21"/>
                <w:lang w:val="en-US" w:eastAsia="zh-CN"/>
              </w:rPr>
              <w:t>电子</w:t>
            </w:r>
            <w:r>
              <w:rPr>
                <w:rFonts w:hint="eastAsia" w:ascii="宋体" w:hAnsi="宋体" w:eastAsia="宋体" w:cs="Arial"/>
                <w:b w:val="0"/>
                <w:bCs/>
                <w:color w:val="auto"/>
                <w:szCs w:val="21"/>
                <w:lang w:val="en-US" w:eastAsia="zh-CN"/>
              </w:rPr>
              <w:t>公章</w:t>
            </w:r>
            <w:r>
              <w:rPr>
                <w:rFonts w:hint="eastAsia" w:ascii="宋体" w:hAnsi="宋体" w:cs="Arial"/>
                <w:b w:val="0"/>
                <w:bCs/>
                <w:color w:val="auto"/>
                <w:szCs w:val="21"/>
                <w:lang w:val="en-US" w:eastAsia="zh-CN"/>
              </w:rPr>
              <w:t>。</w:t>
            </w:r>
            <w:r>
              <w:rPr>
                <w:rFonts w:hint="eastAsia" w:ascii="宋体" w:hAnsi="宋体" w:cs="Arial"/>
                <w:bCs/>
                <w:color w:val="auto"/>
                <w:szCs w:val="21"/>
                <w:lang w:val="en-US" w:eastAsia="zh-CN"/>
              </w:rPr>
              <w:t>）</w:t>
            </w:r>
          </w:p>
          <w:p w14:paraId="0B7EA7CD">
            <w:pPr>
              <w:widowControl/>
              <w:spacing w:line="440" w:lineRule="exact"/>
              <w:textAlignment w:val="baseline"/>
              <w:rPr>
                <w:rFonts w:hint="eastAsia" w:ascii="宋体" w:hAnsi="宋体" w:cs="Arial"/>
                <w:bCs/>
                <w:color w:val="auto"/>
                <w:szCs w:val="21"/>
                <w:lang w:val="en-US" w:eastAsia="zh-CN"/>
              </w:rPr>
            </w:pPr>
            <w:r>
              <w:rPr>
                <w:rFonts w:hint="eastAsia" w:ascii="宋体" w:hAnsi="宋体" w:cs="Arial"/>
                <w:bCs/>
                <w:color w:val="auto"/>
                <w:szCs w:val="21"/>
                <w:lang w:val="en-US" w:eastAsia="zh-CN"/>
              </w:rPr>
              <w:t>2.5、配置≧1路交流输入口，可支持在蓄电池亏电或长时间驻扎救援的工况下对蓄电池充电的同时不间断供医疗舱的交流用电设备使用，确保医疗设备长时间稳定运行；</w:t>
            </w:r>
          </w:p>
          <w:p w14:paraId="0FF6C986">
            <w:pPr>
              <w:widowControl/>
              <w:spacing w:line="440" w:lineRule="exact"/>
              <w:textAlignment w:val="baseline"/>
              <w:rPr>
                <w:rFonts w:hint="eastAsia" w:ascii="宋体" w:hAnsi="宋体" w:cs="Arial"/>
                <w:bCs/>
                <w:color w:val="auto"/>
                <w:szCs w:val="21"/>
                <w:lang w:val="en-US" w:eastAsia="zh-CN"/>
              </w:rPr>
            </w:pPr>
            <w:r>
              <w:rPr>
                <w:rFonts w:hint="eastAsia" w:ascii="宋体" w:hAnsi="宋体" w:cs="Arial"/>
                <w:bCs/>
                <w:color w:val="auto"/>
                <w:szCs w:val="21"/>
                <w:lang w:val="en-US" w:eastAsia="zh-CN"/>
              </w:rPr>
              <w:t>2.6、配置≧1路交流输出口，输出电压：210-230V，功率：≧1500W，波形：纯正弦波，频率：约50HZ，可供医疗舱的交流用的设备使用。</w:t>
            </w:r>
          </w:p>
          <w:p w14:paraId="60485296">
            <w:pPr>
              <w:widowControl/>
              <w:spacing w:line="440" w:lineRule="exact"/>
              <w:textAlignment w:val="baseline"/>
              <w:rPr>
                <w:rFonts w:hint="eastAsia" w:ascii="宋体" w:hAnsi="宋体" w:cs="Arial"/>
                <w:bCs/>
                <w:color w:val="auto"/>
                <w:szCs w:val="21"/>
                <w:lang w:val="en-US" w:eastAsia="zh-CN"/>
              </w:rPr>
            </w:pPr>
            <w:r>
              <w:rPr>
                <w:rFonts w:hint="eastAsia" w:ascii="宋体" w:hAnsi="宋体" w:cs="Arial"/>
                <w:bCs/>
                <w:color w:val="auto"/>
                <w:szCs w:val="21"/>
                <w:lang w:val="en-US" w:eastAsia="zh-CN"/>
              </w:rPr>
              <w:t>3、一体化智能电源控制系统/器逆变组件性能要求：</w:t>
            </w:r>
          </w:p>
          <w:p w14:paraId="1EA09B33">
            <w:pPr>
              <w:widowControl/>
              <w:spacing w:line="440" w:lineRule="exact"/>
              <w:textAlignment w:val="baseline"/>
              <w:rPr>
                <w:rFonts w:hint="eastAsia" w:ascii="宋体" w:hAnsi="宋体" w:cs="Arial"/>
                <w:bCs/>
                <w:color w:val="auto"/>
                <w:szCs w:val="21"/>
                <w:lang w:val="en-US" w:eastAsia="zh-CN"/>
              </w:rPr>
            </w:pPr>
            <w:r>
              <w:rPr>
                <w:rFonts w:hint="eastAsia" w:hAnsi="宋体"/>
                <w:b/>
                <w:bCs/>
                <w:color w:val="auto"/>
              </w:rPr>
              <w:t>▲</w:t>
            </w:r>
            <w:r>
              <w:rPr>
                <w:rFonts w:hint="eastAsia" w:ascii="宋体" w:hAnsi="宋体" w:cs="Arial"/>
                <w:bCs/>
                <w:color w:val="auto"/>
                <w:szCs w:val="21"/>
                <w:lang w:val="en-US" w:eastAsia="zh-CN"/>
              </w:rPr>
              <w:t>3.1、采用高频DC/AC变换，实现≧92%的逆变效率和≦8W的静态功耗，保障有限电池能源得到最大的利用；（响应文件中须提供具备上述功能由国家认可的</w:t>
            </w:r>
            <w:r>
              <w:rPr>
                <w:rFonts w:hint="eastAsia" w:ascii="宋体" w:hAnsi="宋体" w:cs="Arial"/>
                <w:b w:val="0"/>
                <w:bCs/>
                <w:color w:val="auto"/>
                <w:szCs w:val="21"/>
                <w:lang w:val="en-US" w:eastAsia="zh-CN"/>
              </w:rPr>
              <w:t>第三方</w:t>
            </w:r>
            <w:r>
              <w:rPr>
                <w:rFonts w:hint="eastAsia" w:ascii="宋体" w:hAnsi="宋体" w:cs="Arial"/>
                <w:bCs/>
                <w:color w:val="auto"/>
                <w:szCs w:val="21"/>
                <w:lang w:val="en-US" w:eastAsia="zh-CN"/>
              </w:rPr>
              <w:t>检测中心出具的检验报告，</w:t>
            </w:r>
            <w:r>
              <w:rPr>
                <w:rFonts w:hint="eastAsia" w:ascii="宋体" w:hAnsi="宋体" w:eastAsia="宋体" w:cs="Arial"/>
                <w:b w:val="0"/>
                <w:bCs/>
                <w:color w:val="auto"/>
                <w:szCs w:val="21"/>
                <w:lang w:val="en-US" w:eastAsia="zh-CN"/>
              </w:rPr>
              <w:t>加盖</w:t>
            </w:r>
            <w:r>
              <w:rPr>
                <w:rFonts w:hint="eastAsia" w:ascii="宋体" w:hAnsi="宋体" w:cs="Arial"/>
                <w:b w:val="0"/>
                <w:bCs/>
                <w:color w:val="auto"/>
                <w:szCs w:val="21"/>
                <w:lang w:val="en-US" w:eastAsia="zh-CN"/>
              </w:rPr>
              <w:t>电子</w:t>
            </w:r>
            <w:r>
              <w:rPr>
                <w:rFonts w:hint="eastAsia" w:ascii="宋体" w:hAnsi="宋体" w:eastAsia="宋体" w:cs="Arial"/>
                <w:b w:val="0"/>
                <w:bCs/>
                <w:color w:val="auto"/>
                <w:szCs w:val="21"/>
                <w:lang w:val="en-US" w:eastAsia="zh-CN"/>
              </w:rPr>
              <w:t>公章</w:t>
            </w:r>
            <w:r>
              <w:rPr>
                <w:rFonts w:hint="eastAsia" w:ascii="宋体" w:hAnsi="宋体" w:cs="Arial"/>
                <w:b w:val="0"/>
                <w:bCs/>
                <w:color w:val="auto"/>
                <w:szCs w:val="21"/>
                <w:lang w:val="en-US" w:eastAsia="zh-CN"/>
              </w:rPr>
              <w:t>。</w:t>
            </w:r>
            <w:r>
              <w:rPr>
                <w:rFonts w:hint="eastAsia" w:ascii="宋体" w:hAnsi="宋体" w:cs="Arial"/>
                <w:bCs/>
                <w:color w:val="auto"/>
                <w:szCs w:val="21"/>
                <w:lang w:val="en-US" w:eastAsia="zh-CN"/>
              </w:rPr>
              <w:t>）</w:t>
            </w:r>
          </w:p>
          <w:p w14:paraId="0B155F4A">
            <w:pPr>
              <w:widowControl/>
              <w:spacing w:line="440" w:lineRule="exact"/>
              <w:textAlignment w:val="baseline"/>
              <w:rPr>
                <w:rFonts w:hint="eastAsia" w:ascii="宋体" w:hAnsi="宋体" w:cs="Arial"/>
                <w:bCs/>
                <w:color w:val="auto"/>
                <w:szCs w:val="21"/>
                <w:lang w:val="en-US" w:eastAsia="zh-CN"/>
              </w:rPr>
            </w:pPr>
            <w:r>
              <w:rPr>
                <w:rFonts w:hint="eastAsia" w:hAnsi="宋体"/>
                <w:b/>
                <w:bCs/>
                <w:color w:val="auto"/>
              </w:rPr>
              <w:t>▲</w:t>
            </w:r>
            <w:r>
              <w:rPr>
                <w:rFonts w:hint="eastAsia" w:ascii="宋体" w:hAnsi="宋体" w:cs="Arial"/>
                <w:bCs/>
                <w:color w:val="auto"/>
                <w:szCs w:val="21"/>
                <w:lang w:val="en-US" w:eastAsia="zh-CN"/>
              </w:rPr>
              <w:t>3.2、直流输入电压保护：为避免电池过度放电或超压损坏用电器，系统根据默认设置有高、低压保护点（高压：≧16.5V,低压≦10.0V），输入电压高于或低于预设保护点将自动关机锁死，用户需要输入电压调整正常范围后手动重启，才可正常启动设备；（响应文件中须提供具备上述功能由国家认可的</w:t>
            </w:r>
            <w:r>
              <w:rPr>
                <w:rFonts w:hint="eastAsia" w:ascii="宋体" w:hAnsi="宋体" w:cs="Arial"/>
                <w:b w:val="0"/>
                <w:bCs/>
                <w:color w:val="auto"/>
                <w:szCs w:val="21"/>
                <w:lang w:val="en-US" w:eastAsia="zh-CN"/>
              </w:rPr>
              <w:t>第三方</w:t>
            </w:r>
            <w:r>
              <w:rPr>
                <w:rFonts w:hint="eastAsia" w:ascii="宋体" w:hAnsi="宋体" w:cs="Arial"/>
                <w:bCs/>
                <w:color w:val="auto"/>
                <w:szCs w:val="21"/>
                <w:lang w:val="en-US" w:eastAsia="zh-CN"/>
              </w:rPr>
              <w:t>检测中心出具的检验报告，</w:t>
            </w:r>
            <w:r>
              <w:rPr>
                <w:rFonts w:hint="eastAsia" w:ascii="宋体" w:hAnsi="宋体" w:eastAsia="宋体" w:cs="Arial"/>
                <w:b w:val="0"/>
                <w:bCs/>
                <w:color w:val="auto"/>
                <w:szCs w:val="21"/>
                <w:lang w:val="en-US" w:eastAsia="zh-CN"/>
              </w:rPr>
              <w:t>加盖</w:t>
            </w:r>
            <w:r>
              <w:rPr>
                <w:rFonts w:hint="eastAsia" w:ascii="宋体" w:hAnsi="宋体" w:cs="Arial"/>
                <w:b w:val="0"/>
                <w:bCs/>
                <w:color w:val="auto"/>
                <w:szCs w:val="21"/>
                <w:lang w:val="en-US" w:eastAsia="zh-CN"/>
              </w:rPr>
              <w:t>电子</w:t>
            </w:r>
            <w:r>
              <w:rPr>
                <w:rFonts w:hint="eastAsia" w:ascii="宋体" w:hAnsi="宋体" w:eastAsia="宋体" w:cs="Arial"/>
                <w:b w:val="0"/>
                <w:bCs/>
                <w:color w:val="auto"/>
                <w:szCs w:val="21"/>
                <w:lang w:val="en-US" w:eastAsia="zh-CN"/>
              </w:rPr>
              <w:t>公章</w:t>
            </w:r>
            <w:r>
              <w:rPr>
                <w:rFonts w:hint="eastAsia" w:ascii="宋体" w:hAnsi="宋体" w:cs="Arial"/>
                <w:b w:val="0"/>
                <w:bCs/>
                <w:color w:val="auto"/>
                <w:szCs w:val="21"/>
                <w:lang w:val="en-US" w:eastAsia="zh-CN"/>
              </w:rPr>
              <w:t>。</w:t>
            </w:r>
            <w:r>
              <w:rPr>
                <w:rFonts w:hint="eastAsia" w:ascii="宋体" w:hAnsi="宋体" w:cs="Arial"/>
                <w:bCs/>
                <w:color w:val="auto"/>
                <w:szCs w:val="21"/>
                <w:lang w:val="en-US" w:eastAsia="zh-CN"/>
              </w:rPr>
              <w:t>）</w:t>
            </w:r>
          </w:p>
          <w:p w14:paraId="44E1B30C">
            <w:pPr>
              <w:widowControl/>
              <w:spacing w:line="440" w:lineRule="exact"/>
              <w:textAlignment w:val="baseline"/>
              <w:rPr>
                <w:rFonts w:hint="eastAsia" w:ascii="宋体" w:hAnsi="宋体" w:cs="Arial"/>
                <w:bCs/>
                <w:color w:val="auto"/>
                <w:szCs w:val="21"/>
                <w:lang w:val="en-US" w:eastAsia="zh-CN"/>
              </w:rPr>
            </w:pPr>
            <w:r>
              <w:rPr>
                <w:rFonts w:hint="eastAsia" w:hAnsi="宋体"/>
                <w:b/>
                <w:bCs/>
                <w:color w:val="auto"/>
              </w:rPr>
              <w:t>▲</w:t>
            </w:r>
            <w:r>
              <w:rPr>
                <w:rFonts w:hint="eastAsia" w:ascii="宋体" w:hAnsi="宋体" w:cs="Arial"/>
                <w:bCs/>
                <w:color w:val="auto"/>
                <w:szCs w:val="21"/>
                <w:lang w:val="en-US" w:eastAsia="zh-CN"/>
              </w:rPr>
              <w:t>3.3、交流输出过载和短路报警保护：当交流输出过载时，机器自动关机，进入过载保护状态，机器不会自动重启，用户需要关闭超额负载后手动重启，才可正常输出交流;并且支持软、硬件对逆变输出接口进行双重短路保护；</w:t>
            </w:r>
          </w:p>
          <w:p w14:paraId="347CDCB0">
            <w:pPr>
              <w:widowControl/>
              <w:spacing w:line="440" w:lineRule="exact"/>
              <w:textAlignment w:val="baseline"/>
              <w:rPr>
                <w:rFonts w:hint="eastAsia" w:ascii="宋体" w:hAnsi="宋体" w:cs="Arial"/>
                <w:bCs/>
                <w:color w:val="auto"/>
                <w:szCs w:val="21"/>
                <w:lang w:val="en-US" w:eastAsia="zh-CN"/>
              </w:rPr>
            </w:pPr>
            <w:r>
              <w:rPr>
                <w:rFonts w:hint="eastAsia" w:ascii="宋体" w:hAnsi="宋体" w:cs="Arial"/>
                <w:bCs/>
                <w:color w:val="auto"/>
                <w:szCs w:val="21"/>
                <w:lang w:val="en-US" w:eastAsia="zh-CN"/>
              </w:rPr>
              <w:t>3.4、过温报警保护：当设备内部温度过高时，将进入过温保护状态；待内部温度恢复正常后可自动恢复正常工作；</w:t>
            </w:r>
          </w:p>
          <w:p w14:paraId="44E1B50B">
            <w:pPr>
              <w:widowControl/>
              <w:spacing w:line="440" w:lineRule="exact"/>
              <w:textAlignment w:val="baseline"/>
              <w:rPr>
                <w:rFonts w:hint="eastAsia" w:ascii="宋体" w:hAnsi="宋体" w:cs="Arial"/>
                <w:bCs/>
                <w:color w:val="auto"/>
                <w:szCs w:val="21"/>
                <w:lang w:val="en-US" w:eastAsia="zh-CN"/>
              </w:rPr>
            </w:pPr>
            <w:r>
              <w:rPr>
                <w:rFonts w:hint="eastAsia" w:ascii="宋体" w:hAnsi="宋体" w:cs="Arial"/>
                <w:bCs/>
                <w:color w:val="auto"/>
                <w:szCs w:val="21"/>
                <w:lang w:val="en-US" w:eastAsia="zh-CN"/>
              </w:rPr>
              <w:t>3.5、不间断供电：在直流输入电压≧12V且无市电交流电输入状态下，可实现≧48小时不间断逆变输出交流电压≧220V、功率≧1000W；</w:t>
            </w:r>
          </w:p>
          <w:p w14:paraId="15696DA6">
            <w:pPr>
              <w:widowControl/>
              <w:spacing w:line="440" w:lineRule="exact"/>
              <w:textAlignment w:val="baseline"/>
              <w:rPr>
                <w:rFonts w:hint="eastAsia" w:ascii="宋体" w:hAnsi="宋体" w:cs="Arial"/>
                <w:bCs/>
                <w:color w:val="auto"/>
                <w:szCs w:val="21"/>
                <w:lang w:val="en-US" w:eastAsia="zh-CN"/>
              </w:rPr>
            </w:pPr>
            <w:r>
              <w:rPr>
                <w:rFonts w:hint="eastAsia" w:hAnsi="宋体"/>
                <w:b/>
                <w:bCs/>
                <w:color w:val="auto"/>
              </w:rPr>
              <w:t>▲</w:t>
            </w:r>
            <w:r>
              <w:rPr>
                <w:rFonts w:hint="eastAsia" w:ascii="宋体" w:hAnsi="宋体" w:cs="Arial"/>
                <w:bCs/>
                <w:color w:val="auto"/>
                <w:szCs w:val="21"/>
                <w:lang w:val="en-US" w:eastAsia="zh-CN"/>
              </w:rPr>
              <w:t>3.6、智能多段式充电：通过实时监测充电过程中电压、电流及温度数值，根据计算出各项参数的综合系数实时补偿的多段电池充电管理功能，能迅速充满电池，并有效延长电池使用寿命。（响应文件中须提供具备上述功能由国家认可的</w:t>
            </w:r>
            <w:r>
              <w:rPr>
                <w:rFonts w:hint="eastAsia" w:ascii="宋体" w:hAnsi="宋体" w:cs="Arial"/>
                <w:b w:val="0"/>
                <w:bCs/>
                <w:color w:val="auto"/>
                <w:szCs w:val="21"/>
                <w:lang w:val="en-US" w:eastAsia="zh-CN"/>
              </w:rPr>
              <w:t>第三方</w:t>
            </w:r>
            <w:r>
              <w:rPr>
                <w:rFonts w:hint="eastAsia" w:ascii="宋体" w:hAnsi="宋体" w:cs="Arial"/>
                <w:bCs/>
                <w:color w:val="auto"/>
                <w:szCs w:val="21"/>
                <w:lang w:val="en-US" w:eastAsia="zh-CN"/>
              </w:rPr>
              <w:t>检测中心出具的检验报告，</w:t>
            </w:r>
            <w:r>
              <w:rPr>
                <w:rFonts w:hint="eastAsia" w:ascii="宋体" w:hAnsi="宋体" w:eastAsia="宋体" w:cs="Arial"/>
                <w:b w:val="0"/>
                <w:bCs/>
                <w:color w:val="auto"/>
                <w:szCs w:val="21"/>
                <w:lang w:val="en-US" w:eastAsia="zh-CN"/>
              </w:rPr>
              <w:t>加盖</w:t>
            </w:r>
            <w:r>
              <w:rPr>
                <w:rFonts w:hint="eastAsia" w:ascii="宋体" w:hAnsi="宋体" w:cs="Arial"/>
                <w:b w:val="0"/>
                <w:bCs/>
                <w:color w:val="auto"/>
                <w:szCs w:val="21"/>
                <w:lang w:val="en-US" w:eastAsia="zh-CN"/>
              </w:rPr>
              <w:t>电子</w:t>
            </w:r>
            <w:r>
              <w:rPr>
                <w:rFonts w:hint="eastAsia" w:ascii="宋体" w:hAnsi="宋体" w:eastAsia="宋体" w:cs="Arial"/>
                <w:b w:val="0"/>
                <w:bCs/>
                <w:color w:val="auto"/>
                <w:szCs w:val="21"/>
                <w:lang w:val="en-US" w:eastAsia="zh-CN"/>
              </w:rPr>
              <w:t>公章</w:t>
            </w:r>
            <w:r>
              <w:rPr>
                <w:rFonts w:hint="eastAsia" w:ascii="宋体" w:hAnsi="宋体" w:cs="Arial"/>
                <w:b w:val="0"/>
                <w:bCs/>
                <w:color w:val="auto"/>
                <w:szCs w:val="21"/>
                <w:lang w:val="en-US" w:eastAsia="zh-CN"/>
              </w:rPr>
              <w:t>。</w:t>
            </w:r>
            <w:r>
              <w:rPr>
                <w:rFonts w:hint="eastAsia" w:ascii="宋体" w:hAnsi="宋体" w:cs="Arial"/>
                <w:bCs/>
                <w:color w:val="auto"/>
                <w:szCs w:val="21"/>
                <w:lang w:val="en-US" w:eastAsia="zh-CN"/>
              </w:rPr>
              <w:t>）</w:t>
            </w:r>
          </w:p>
          <w:p w14:paraId="7E4B269D">
            <w:pPr>
              <w:widowControl/>
              <w:spacing w:line="440" w:lineRule="exact"/>
              <w:textAlignment w:val="baseline"/>
              <w:rPr>
                <w:rFonts w:hint="eastAsia" w:ascii="宋体" w:hAnsi="宋体" w:cs="Arial"/>
                <w:bCs/>
                <w:color w:val="auto"/>
                <w:szCs w:val="21"/>
                <w:lang w:val="en-US" w:eastAsia="zh-CN"/>
              </w:rPr>
            </w:pPr>
            <w:r>
              <w:rPr>
                <w:rFonts w:hint="eastAsia" w:ascii="宋体" w:hAnsi="宋体" w:cs="Arial"/>
                <w:bCs/>
                <w:color w:val="auto"/>
                <w:szCs w:val="21"/>
                <w:lang w:val="en-US" w:eastAsia="zh-CN"/>
              </w:rPr>
              <w:t>4、一体化智能电源控制系统/器电源管理组件性能要求：</w:t>
            </w:r>
          </w:p>
          <w:p w14:paraId="586BAF58">
            <w:pPr>
              <w:widowControl/>
              <w:spacing w:line="440" w:lineRule="exact"/>
              <w:textAlignment w:val="baseline"/>
              <w:rPr>
                <w:rFonts w:hint="eastAsia" w:ascii="宋体" w:hAnsi="宋体" w:cs="Arial"/>
                <w:bCs/>
                <w:color w:val="auto"/>
                <w:szCs w:val="21"/>
                <w:lang w:val="en-US" w:eastAsia="zh-CN"/>
              </w:rPr>
            </w:pPr>
            <w:r>
              <w:rPr>
                <w:rFonts w:hint="eastAsia" w:ascii="宋体" w:hAnsi="宋体" w:cs="Arial"/>
                <w:bCs/>
                <w:color w:val="auto"/>
                <w:szCs w:val="21"/>
                <w:lang w:val="en-US" w:eastAsia="zh-CN"/>
              </w:rPr>
              <w:t>4.1、双电池隔离：车辆启动后根据选择的场景预设模式运行自动并联主/副电池充电，熄火后根据选择的场景预设模式运行自动隔离防止过放，优先保护主电池电量;支持不低于250A电流负载运行；</w:t>
            </w:r>
          </w:p>
          <w:p w14:paraId="227BE24B">
            <w:pPr>
              <w:widowControl/>
              <w:spacing w:line="440" w:lineRule="exact"/>
              <w:textAlignment w:val="baseline"/>
              <w:rPr>
                <w:rFonts w:hint="eastAsia" w:ascii="宋体" w:hAnsi="宋体" w:cs="Arial"/>
                <w:bCs/>
                <w:color w:val="auto"/>
                <w:szCs w:val="21"/>
                <w:lang w:val="en-US" w:eastAsia="zh-CN"/>
              </w:rPr>
            </w:pPr>
            <w:r>
              <w:rPr>
                <w:rFonts w:hint="eastAsia" w:ascii="宋体" w:hAnsi="宋体" w:cs="Arial"/>
                <w:bCs/>
                <w:color w:val="auto"/>
                <w:szCs w:val="21"/>
                <w:lang w:val="en-US" w:eastAsia="zh-CN"/>
              </w:rPr>
              <w:t>4.2、应急搭电：在车辆主电瓶亏电导致无法启动发电机的情况下，可以通过长按紧急按钮实现副电瓶给主电瓶搭电来发动车辆；</w:t>
            </w:r>
          </w:p>
          <w:p w14:paraId="791E562E">
            <w:pPr>
              <w:widowControl/>
              <w:spacing w:line="440" w:lineRule="exact"/>
              <w:textAlignment w:val="baseline"/>
              <w:rPr>
                <w:rFonts w:hint="eastAsia" w:ascii="宋体" w:hAnsi="宋体" w:cs="Arial"/>
                <w:bCs/>
                <w:color w:val="auto"/>
                <w:szCs w:val="21"/>
                <w:lang w:val="en-US" w:eastAsia="zh-CN"/>
              </w:rPr>
            </w:pPr>
            <w:r>
              <w:rPr>
                <w:rFonts w:hint="eastAsia" w:ascii="宋体" w:hAnsi="宋体" w:cs="Arial"/>
                <w:bCs/>
                <w:color w:val="auto"/>
                <w:szCs w:val="21"/>
                <w:lang w:val="en-US" w:eastAsia="zh-CN"/>
              </w:rPr>
              <w:t>4.3、交流电应急开关：在远程启动开关失效的情况下，可通过拨动紧急开关启动逆变器确保交流供应；</w:t>
            </w:r>
          </w:p>
          <w:p w14:paraId="15957E89">
            <w:pPr>
              <w:widowControl/>
              <w:spacing w:line="440" w:lineRule="exact"/>
              <w:textAlignment w:val="baseline"/>
              <w:rPr>
                <w:rFonts w:hint="eastAsia" w:ascii="宋体" w:hAnsi="宋体" w:cs="Arial"/>
                <w:bCs/>
                <w:color w:val="auto"/>
                <w:szCs w:val="21"/>
                <w:lang w:val="en-US" w:eastAsia="zh-CN"/>
              </w:rPr>
            </w:pPr>
            <w:r>
              <w:rPr>
                <w:rFonts w:hint="eastAsia" w:hAnsi="宋体"/>
                <w:b/>
                <w:bCs/>
                <w:color w:val="auto"/>
              </w:rPr>
              <w:t>▲</w:t>
            </w:r>
            <w:r>
              <w:rPr>
                <w:rFonts w:hint="eastAsia" w:ascii="宋体" w:hAnsi="宋体" w:cs="Arial"/>
                <w:bCs/>
                <w:color w:val="auto"/>
                <w:szCs w:val="21"/>
                <w:lang w:val="en-US" w:eastAsia="zh-CN"/>
              </w:rPr>
              <w:t>4.4、自动关机：系统在监测到输入的开机触发信号断开后待机10秒，如紫外消毒功能未启动，系统立即自动关机；如紫外消毒功能已启动，系统会等待消毒完成后自动关机；此待机时间可以通过通讯口设置；（响应文件中须提供具备上述功能由国家认可的</w:t>
            </w:r>
            <w:r>
              <w:rPr>
                <w:rFonts w:hint="eastAsia" w:ascii="宋体" w:hAnsi="宋体" w:cs="Arial"/>
                <w:b w:val="0"/>
                <w:bCs/>
                <w:color w:val="auto"/>
                <w:szCs w:val="21"/>
                <w:lang w:val="en-US" w:eastAsia="zh-CN"/>
              </w:rPr>
              <w:t>第三方</w:t>
            </w:r>
            <w:r>
              <w:rPr>
                <w:rFonts w:hint="eastAsia" w:ascii="宋体" w:hAnsi="宋体" w:cs="Arial"/>
                <w:bCs/>
                <w:color w:val="auto"/>
                <w:szCs w:val="21"/>
                <w:lang w:val="en-US" w:eastAsia="zh-CN"/>
              </w:rPr>
              <w:t>检测中心出具的检验报告，</w:t>
            </w:r>
            <w:r>
              <w:rPr>
                <w:rFonts w:hint="eastAsia" w:ascii="宋体" w:hAnsi="宋体" w:eastAsia="宋体" w:cs="Arial"/>
                <w:b w:val="0"/>
                <w:bCs/>
                <w:color w:val="auto"/>
                <w:szCs w:val="21"/>
                <w:lang w:val="en-US" w:eastAsia="zh-CN"/>
              </w:rPr>
              <w:t>加盖</w:t>
            </w:r>
            <w:r>
              <w:rPr>
                <w:rFonts w:hint="eastAsia" w:ascii="宋体" w:hAnsi="宋体" w:cs="Arial"/>
                <w:b w:val="0"/>
                <w:bCs/>
                <w:color w:val="auto"/>
                <w:szCs w:val="21"/>
                <w:lang w:val="en-US" w:eastAsia="zh-CN"/>
              </w:rPr>
              <w:t>电子</w:t>
            </w:r>
            <w:r>
              <w:rPr>
                <w:rFonts w:hint="eastAsia" w:ascii="宋体" w:hAnsi="宋体" w:eastAsia="宋体" w:cs="Arial"/>
                <w:b w:val="0"/>
                <w:bCs/>
                <w:color w:val="auto"/>
                <w:szCs w:val="21"/>
                <w:lang w:val="en-US" w:eastAsia="zh-CN"/>
              </w:rPr>
              <w:t>公章</w:t>
            </w:r>
            <w:r>
              <w:rPr>
                <w:rFonts w:hint="eastAsia" w:ascii="宋体" w:hAnsi="宋体" w:cs="Arial"/>
                <w:b w:val="0"/>
                <w:bCs/>
                <w:color w:val="auto"/>
                <w:szCs w:val="21"/>
                <w:lang w:val="en-US" w:eastAsia="zh-CN"/>
              </w:rPr>
              <w:t>。</w:t>
            </w:r>
            <w:r>
              <w:rPr>
                <w:rFonts w:hint="eastAsia" w:ascii="宋体" w:hAnsi="宋体" w:cs="Arial"/>
                <w:bCs/>
                <w:color w:val="auto"/>
                <w:szCs w:val="21"/>
                <w:lang w:val="en-US" w:eastAsia="zh-CN"/>
              </w:rPr>
              <w:t>）</w:t>
            </w:r>
          </w:p>
          <w:p w14:paraId="51299F0E">
            <w:pPr>
              <w:widowControl/>
              <w:spacing w:line="440" w:lineRule="exact"/>
              <w:textAlignment w:val="baseline"/>
              <w:rPr>
                <w:rFonts w:hint="eastAsia" w:ascii="宋体" w:hAnsi="宋体" w:cs="Arial"/>
                <w:bCs/>
                <w:color w:val="auto"/>
                <w:szCs w:val="21"/>
                <w:lang w:val="en-US" w:eastAsia="zh-CN"/>
              </w:rPr>
            </w:pPr>
            <w:r>
              <w:rPr>
                <w:rFonts w:hint="eastAsia" w:hAnsi="宋体"/>
                <w:b/>
                <w:bCs/>
                <w:color w:val="auto"/>
              </w:rPr>
              <w:t>▲</w:t>
            </w:r>
            <w:r>
              <w:rPr>
                <w:rFonts w:hint="eastAsia" w:ascii="宋体" w:hAnsi="宋体" w:cs="Arial"/>
                <w:bCs/>
                <w:color w:val="auto"/>
                <w:szCs w:val="21"/>
                <w:lang w:val="en-US" w:eastAsia="zh-CN"/>
              </w:rPr>
              <w:t>4.5、应用场景模式预设：为了快速适配各种不同的应用场景，便于对接入的蓄电池充放电智能管理；系统须支持不少于4种预设应用场景模式可选，如输入电压趋势智能分析、固定输入电压阈值、多段输入电压阈值、机器学习(对输入电压、运行时间、启动次数、电池使用时长等关键参数分析学习)运行模式，选择方式可以支持拨码开关和串口设置；（响应文件中须提供具备上述功能由国家认可的</w:t>
            </w:r>
            <w:r>
              <w:rPr>
                <w:rFonts w:hint="eastAsia" w:ascii="宋体" w:hAnsi="宋体" w:cs="Arial"/>
                <w:b w:val="0"/>
                <w:bCs/>
                <w:color w:val="auto"/>
                <w:szCs w:val="21"/>
                <w:lang w:val="en-US" w:eastAsia="zh-CN"/>
              </w:rPr>
              <w:t>第三方</w:t>
            </w:r>
            <w:r>
              <w:rPr>
                <w:rFonts w:hint="eastAsia" w:ascii="宋体" w:hAnsi="宋体" w:cs="Arial"/>
                <w:bCs/>
                <w:color w:val="auto"/>
                <w:szCs w:val="21"/>
                <w:lang w:val="en-US" w:eastAsia="zh-CN"/>
              </w:rPr>
              <w:t>检测中心出具的检验报告，</w:t>
            </w:r>
            <w:r>
              <w:rPr>
                <w:rFonts w:hint="eastAsia" w:ascii="宋体" w:hAnsi="宋体" w:eastAsia="宋体" w:cs="Arial"/>
                <w:b w:val="0"/>
                <w:bCs/>
                <w:color w:val="auto"/>
                <w:szCs w:val="21"/>
                <w:lang w:val="en-US" w:eastAsia="zh-CN"/>
              </w:rPr>
              <w:t>加盖</w:t>
            </w:r>
            <w:r>
              <w:rPr>
                <w:rFonts w:hint="eastAsia" w:ascii="宋体" w:hAnsi="宋体" w:cs="Arial"/>
                <w:b w:val="0"/>
                <w:bCs/>
                <w:color w:val="auto"/>
                <w:szCs w:val="21"/>
                <w:lang w:val="en-US" w:eastAsia="zh-CN"/>
              </w:rPr>
              <w:t>电子</w:t>
            </w:r>
            <w:r>
              <w:rPr>
                <w:rFonts w:hint="eastAsia" w:ascii="宋体" w:hAnsi="宋体" w:eastAsia="宋体" w:cs="Arial"/>
                <w:b w:val="0"/>
                <w:bCs/>
                <w:color w:val="auto"/>
                <w:szCs w:val="21"/>
                <w:lang w:val="en-US" w:eastAsia="zh-CN"/>
              </w:rPr>
              <w:t>公章</w:t>
            </w:r>
            <w:r>
              <w:rPr>
                <w:rFonts w:hint="eastAsia" w:ascii="宋体" w:hAnsi="宋体" w:cs="Arial"/>
                <w:b w:val="0"/>
                <w:bCs/>
                <w:color w:val="auto"/>
                <w:szCs w:val="21"/>
                <w:lang w:val="en-US" w:eastAsia="zh-CN"/>
              </w:rPr>
              <w:t>。</w:t>
            </w:r>
            <w:r>
              <w:rPr>
                <w:rFonts w:hint="eastAsia" w:ascii="宋体" w:hAnsi="宋体" w:cs="Arial"/>
                <w:bCs/>
                <w:color w:val="auto"/>
                <w:szCs w:val="21"/>
                <w:lang w:val="en-US" w:eastAsia="zh-CN"/>
              </w:rPr>
              <w:t>）</w:t>
            </w:r>
          </w:p>
          <w:p w14:paraId="0C6720DE">
            <w:pPr>
              <w:widowControl/>
              <w:spacing w:line="440" w:lineRule="exact"/>
              <w:textAlignment w:val="baseline"/>
              <w:rPr>
                <w:rFonts w:hint="eastAsia" w:ascii="宋体" w:hAnsi="宋体" w:cs="Arial"/>
                <w:bCs/>
                <w:color w:val="auto"/>
                <w:szCs w:val="21"/>
                <w:lang w:val="en-US" w:eastAsia="zh-CN"/>
              </w:rPr>
            </w:pPr>
            <w:r>
              <w:rPr>
                <w:rFonts w:hint="eastAsia" w:ascii="宋体" w:hAnsi="宋体" w:cs="Arial"/>
                <w:bCs/>
                <w:color w:val="auto"/>
                <w:szCs w:val="21"/>
                <w:lang w:val="en-US" w:eastAsia="zh-CN"/>
              </w:rPr>
              <w:t>5、一体化智能电源控制系统/器显示组件性能要求：</w:t>
            </w:r>
          </w:p>
          <w:p w14:paraId="07E71533">
            <w:pPr>
              <w:widowControl/>
              <w:spacing w:line="440" w:lineRule="exact"/>
              <w:textAlignment w:val="baseline"/>
              <w:rPr>
                <w:rFonts w:hint="eastAsia" w:ascii="宋体" w:hAnsi="宋体" w:cs="Arial"/>
                <w:bCs/>
                <w:color w:val="auto"/>
                <w:szCs w:val="21"/>
                <w:lang w:val="en-US" w:eastAsia="zh-CN"/>
              </w:rPr>
            </w:pPr>
            <w:r>
              <w:rPr>
                <w:rFonts w:hint="eastAsia" w:ascii="宋体" w:hAnsi="宋体" w:cs="Arial"/>
                <w:bCs/>
                <w:color w:val="auto"/>
                <w:szCs w:val="21"/>
                <w:lang w:val="en-US" w:eastAsia="zh-CN"/>
              </w:rPr>
              <w:t>5.1、信息显示：可实时显示输入的交、直流电压，逆变输出交流电的电压、频率、负载率，电池剩余容量，故障报警代码，充电电压、状态，旁路运行状态等信息;</w:t>
            </w:r>
          </w:p>
          <w:p w14:paraId="5CDBD23D">
            <w:pPr>
              <w:widowControl/>
              <w:spacing w:line="440" w:lineRule="exact"/>
              <w:textAlignment w:val="baseline"/>
              <w:rPr>
                <w:rFonts w:hint="eastAsia" w:ascii="宋体" w:hAnsi="宋体" w:cs="Arial"/>
                <w:bCs/>
                <w:color w:val="auto"/>
                <w:szCs w:val="21"/>
                <w:lang w:val="en-US" w:eastAsia="zh-CN"/>
              </w:rPr>
            </w:pPr>
            <w:r>
              <w:rPr>
                <w:rFonts w:hint="eastAsia" w:ascii="宋体" w:hAnsi="宋体" w:cs="Arial"/>
                <w:bCs/>
                <w:color w:val="auto"/>
                <w:szCs w:val="21"/>
                <w:lang w:val="en-US" w:eastAsia="zh-CN"/>
              </w:rPr>
              <w:t>5.2、故障告警提示：系统可实时监测系统运行中的各种参数，如超出预设告警值，设备会间歇发出蜂鸣声提醒用户；如超出预设过载值，设备会瞬时自动关机并锁死，有效的保护设备不被损坏，同时设备会一直发出蜂鸣声提醒用户;</w:t>
            </w:r>
          </w:p>
          <w:p w14:paraId="59FDA772">
            <w:pPr>
              <w:widowControl/>
              <w:spacing w:line="440" w:lineRule="exact"/>
              <w:textAlignment w:val="baseline"/>
              <w:rPr>
                <w:rFonts w:hint="eastAsia" w:ascii="宋体" w:hAnsi="宋体" w:cs="Arial"/>
                <w:bCs/>
                <w:color w:val="auto"/>
                <w:szCs w:val="21"/>
                <w:lang w:val="en-US" w:eastAsia="zh-CN"/>
              </w:rPr>
            </w:pPr>
            <w:r>
              <w:rPr>
                <w:rFonts w:hint="eastAsia" w:ascii="宋体" w:hAnsi="宋体" w:cs="Arial"/>
                <w:bCs/>
                <w:color w:val="auto"/>
                <w:szCs w:val="21"/>
                <w:lang w:val="en-US" w:eastAsia="zh-CN"/>
              </w:rPr>
              <w:t>6、交/直流插座:组合插座、可接三/二孔的多功能插座3-5个，12V交流插座2个1套。</w:t>
            </w:r>
          </w:p>
          <w:p w14:paraId="189EC475">
            <w:pPr>
              <w:widowControl/>
              <w:spacing w:line="440" w:lineRule="exact"/>
              <w:textAlignment w:val="baseline"/>
              <w:rPr>
                <w:rFonts w:hint="eastAsia" w:ascii="宋体" w:hAnsi="宋体" w:cs="Arial"/>
                <w:bCs/>
                <w:color w:val="auto"/>
                <w:szCs w:val="21"/>
                <w:lang w:val="en-US" w:eastAsia="zh-CN"/>
              </w:rPr>
            </w:pPr>
            <w:r>
              <w:rPr>
                <w:rFonts w:hint="eastAsia" w:ascii="宋体" w:hAnsi="宋体" w:cs="Arial"/>
                <w:bCs/>
                <w:color w:val="auto"/>
                <w:szCs w:val="21"/>
                <w:lang w:val="en-US" w:eastAsia="zh-CN"/>
              </w:rPr>
              <w:t>7、控制面板:整车电路集成控制面板1套，安装在隔断后左侧立柜上。驾驶室顶部安装1套，后门安装1套。</w:t>
            </w:r>
          </w:p>
          <w:p w14:paraId="08EFA30D">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八、空调排风系统</w:t>
            </w:r>
          </w:p>
          <w:p w14:paraId="7CB5479F">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1、空调系统：前后独立控制、可调节风速，内部焊接空调支架1套。</w:t>
            </w:r>
          </w:p>
          <w:p w14:paraId="301CEE30">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2、双向换气扇：车厢内换气次数30次/小时，排气量7.5m3/min 1套。</w:t>
            </w:r>
          </w:p>
          <w:p w14:paraId="1A91A78F">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3、暖风系统：暖风独立控制、可调节风速1套。</w:t>
            </w:r>
          </w:p>
          <w:p w14:paraId="650E8656">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九、担架、座椅系统</w:t>
            </w:r>
          </w:p>
          <w:p w14:paraId="1F50545E">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1、长排柜式座椅：PVC轻型环保材料、蓝/白色纤维仿真皮、配三点式安全带，配前后上车扶手1套。</w:t>
            </w:r>
          </w:p>
          <w:p w14:paraId="4FD87AB4">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2、朝前座椅：纤维仿真皮，右侧长条座椅前部安装一个单人后背可调节式座椅1套。</w:t>
            </w:r>
          </w:p>
          <w:p w14:paraId="486DDD22">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3、自动上车担架：铝合金自动上车担架</w:t>
            </w:r>
            <w:r>
              <w:rPr>
                <w:rFonts w:hint="eastAsia" w:ascii="宋体" w:hAnsi="宋体" w:cs="Arial"/>
                <w:bCs/>
                <w:color w:val="auto"/>
                <w:szCs w:val="21"/>
              </w:rPr>
              <w:tab/>
            </w:r>
            <w:r>
              <w:rPr>
                <w:rFonts w:hint="eastAsia" w:ascii="宋体" w:hAnsi="宋体" w:cs="Arial"/>
                <w:bCs/>
                <w:color w:val="auto"/>
                <w:szCs w:val="21"/>
              </w:rPr>
              <w:t>1套。</w:t>
            </w:r>
          </w:p>
          <w:p w14:paraId="16F5B103">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4、自动上车担架配套担架平台：采用优质不锈钢材料制作，辅助担架上下车1套。</w:t>
            </w:r>
          </w:p>
          <w:p w14:paraId="48C13182">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5、铲式担架：采用优质铝合金材料制作，置于</w:t>
            </w:r>
            <w:r>
              <w:rPr>
                <w:rFonts w:hint="eastAsia" w:ascii="宋体" w:hAnsi="宋体" w:cs="Arial"/>
                <w:bCs/>
                <w:color w:val="auto"/>
                <w:szCs w:val="21"/>
                <w:lang w:val="en-US" w:eastAsia="zh-CN"/>
              </w:rPr>
              <w:t>右</w:t>
            </w:r>
            <w:r>
              <w:rPr>
                <w:rFonts w:hint="eastAsia" w:ascii="宋体" w:hAnsi="宋体" w:cs="Arial"/>
                <w:bCs/>
                <w:color w:val="auto"/>
                <w:szCs w:val="21"/>
              </w:rPr>
              <w:t>后门上。</w:t>
            </w:r>
          </w:p>
          <w:p w14:paraId="6D2C274B">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十、医疗警示外观系统</w:t>
            </w:r>
          </w:p>
          <w:p w14:paraId="6A6B74D7">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1、</w:t>
            </w:r>
            <w:r>
              <w:rPr>
                <w:rFonts w:hint="eastAsia" w:ascii="宋体" w:hAnsi="宋体" w:cs="Arial"/>
                <w:bCs/>
                <w:color w:val="auto"/>
                <w:szCs w:val="21"/>
                <w:lang w:val="en-US" w:eastAsia="zh-CN"/>
              </w:rPr>
              <w:t>车顶前部蓝色嵌入式警灯</w:t>
            </w:r>
            <w:r>
              <w:rPr>
                <w:rFonts w:hint="eastAsia" w:ascii="宋体" w:hAnsi="宋体" w:cs="Arial"/>
                <w:bCs/>
                <w:color w:val="auto"/>
                <w:szCs w:val="21"/>
              </w:rPr>
              <w:t>1套</w:t>
            </w:r>
            <w:r>
              <w:rPr>
                <w:rFonts w:hint="eastAsia" w:ascii="宋体" w:hAnsi="宋体" w:cs="Arial"/>
                <w:bCs/>
                <w:color w:val="auto"/>
                <w:szCs w:val="21"/>
                <w:lang w:val="en-US" w:eastAsia="zh-CN"/>
              </w:rPr>
              <w:t>，车辆尾部安装尾翼警灯</w:t>
            </w:r>
            <w:r>
              <w:rPr>
                <w:rFonts w:hint="eastAsia" w:ascii="宋体" w:hAnsi="宋体" w:cs="Arial"/>
                <w:bCs/>
                <w:color w:val="auto"/>
                <w:szCs w:val="21"/>
              </w:rPr>
              <w:t>1套</w:t>
            </w:r>
            <w:r>
              <w:rPr>
                <w:rFonts w:hint="eastAsia" w:ascii="宋体" w:hAnsi="宋体" w:cs="Arial"/>
                <w:bCs/>
                <w:color w:val="auto"/>
                <w:szCs w:val="21"/>
                <w:lang w:eastAsia="zh-CN"/>
              </w:rPr>
              <w:t>。</w:t>
            </w:r>
            <w:r>
              <w:rPr>
                <w:rFonts w:hint="eastAsia" w:ascii="宋体" w:hAnsi="宋体" w:cs="Arial"/>
                <w:bCs/>
                <w:color w:val="auto"/>
                <w:szCs w:val="21"/>
                <w:lang w:val="en-US" w:eastAsia="zh-CN"/>
              </w:rPr>
              <w:t>前部警灯运用独具匠心的三段式布局设计，左右两侧块状灯体与中间长条状灯体实现了功能与美学的有机融合。警灯整体长度严格适配救护车顶部尺寸，误差控制在极小范围内，安装后能与车身完美契合，既不影响车辆行驶的流畅性，又最大程度提升警示效果。尾翼警灯专为车辆警示场景打造，采用集成式外观设计，主体灯条沿尾翼轮廓分布，线条流畅自然，安装后与车辆尾部造型高度适配，大幅提升车辆辨识度。灯体外壳采用高强度PC材料，具备抗冲击、耐磨损、抗紫外线等特性，防护等级达到IP65，可在各种恶劣环境下稳定使用</w:t>
            </w:r>
            <w:r>
              <w:rPr>
                <w:rFonts w:hint="eastAsia" w:ascii="宋体" w:hAnsi="宋体" w:cs="Arial"/>
                <w:bCs/>
                <w:color w:val="auto"/>
                <w:szCs w:val="21"/>
              </w:rPr>
              <w:t>。</w:t>
            </w:r>
          </w:p>
          <w:p w14:paraId="15A6F3A1">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2、左右两侧爆闪警示灯：3套。</w:t>
            </w:r>
          </w:p>
          <w:p w14:paraId="2CE8BDA1">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3、尾部LED警灯：2套。</w:t>
            </w:r>
          </w:p>
          <w:p w14:paraId="3AAC5D4A">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4、驾驶室安装警报、警灯控制器；音调:多音调；工作方式:警报器面板控制； 警报器音调调节  灯控制1套。</w:t>
            </w:r>
          </w:p>
          <w:p w14:paraId="7AAC9DCA">
            <w:pPr>
              <w:widowControl/>
              <w:spacing w:line="440" w:lineRule="exact"/>
              <w:textAlignment w:val="baseline"/>
              <w:rPr>
                <w:rFonts w:hint="eastAsia" w:ascii="宋体" w:hAnsi="宋体" w:cs="Arial"/>
                <w:bCs/>
                <w:color w:val="auto"/>
                <w:szCs w:val="21"/>
              </w:rPr>
            </w:pPr>
            <w:r>
              <w:rPr>
                <w:rFonts w:hint="eastAsia" w:ascii="宋体" w:hAnsi="宋体" w:cs="Arial"/>
                <w:bCs/>
                <w:color w:val="auto"/>
                <w:szCs w:val="21"/>
              </w:rPr>
              <w:t>5、医疗舱玻璃窗膜1/2磨砂膜1套。</w:t>
            </w:r>
          </w:p>
          <w:p w14:paraId="2423F4C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b/>
                <w:color w:val="auto"/>
                <w:szCs w:val="21"/>
                <w:lang w:val="en-US" w:eastAsia="zh-CN"/>
              </w:rPr>
            </w:pPr>
            <w:r>
              <w:rPr>
                <w:rFonts w:hint="eastAsia" w:ascii="宋体" w:hAnsi="宋体" w:cs="Arial"/>
                <w:bCs/>
                <w:color w:val="auto"/>
                <w:szCs w:val="21"/>
              </w:rPr>
              <w:t>6、车身外观：安装客户要求定制1套。</w:t>
            </w:r>
          </w:p>
        </w:tc>
      </w:tr>
      <w:tr w14:paraId="5C1F98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640" w:type="dxa"/>
            <w:gridSpan w:val="7"/>
            <w:tcBorders>
              <w:top w:val="single" w:color="auto" w:sz="4" w:space="0"/>
              <w:left w:val="single" w:color="auto" w:sz="4" w:space="0"/>
              <w:bottom w:val="single" w:color="auto" w:sz="4" w:space="0"/>
              <w:right w:val="single" w:color="auto" w:sz="4" w:space="0"/>
            </w:tcBorders>
            <w:vAlign w:val="center"/>
          </w:tcPr>
          <w:p w14:paraId="1BFC8CCE">
            <w:pPr>
              <w:spacing w:line="400" w:lineRule="atLeast"/>
              <w:rPr>
                <w:rFonts w:ascii="宋体" w:hAnsi="宋体"/>
                <w:b/>
                <w:color w:val="auto"/>
                <w:szCs w:val="21"/>
              </w:rPr>
            </w:pPr>
            <w:r>
              <w:rPr>
                <w:rFonts w:hint="eastAsia" w:ascii="宋体" w:hAnsi="宋体"/>
                <w:color w:val="auto"/>
                <w:szCs w:val="21"/>
              </w:rPr>
              <w:t>▲</w:t>
            </w:r>
            <w:r>
              <w:rPr>
                <w:rFonts w:hint="eastAsia" w:ascii="宋体" w:hAnsi="宋体"/>
                <w:b/>
                <w:color w:val="auto"/>
                <w:szCs w:val="21"/>
              </w:rPr>
              <w:t>一、商务要求</w:t>
            </w:r>
          </w:p>
        </w:tc>
      </w:tr>
      <w:tr w14:paraId="5F86FE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14:paraId="2E503864">
            <w:pPr>
              <w:spacing w:line="400" w:lineRule="atLeast"/>
              <w:jc w:val="center"/>
              <w:rPr>
                <w:rFonts w:ascii="宋体" w:hAnsi="宋体"/>
                <w:b/>
                <w:color w:val="auto"/>
                <w:szCs w:val="21"/>
              </w:rPr>
            </w:pPr>
            <w:r>
              <w:rPr>
                <w:rFonts w:hint="eastAsia" w:ascii="宋体" w:hAnsi="宋体"/>
                <w:color w:val="auto"/>
                <w:szCs w:val="21"/>
              </w:rPr>
              <w:t>合同签订时间</w:t>
            </w:r>
          </w:p>
        </w:tc>
        <w:tc>
          <w:tcPr>
            <w:tcW w:w="7996" w:type="dxa"/>
            <w:gridSpan w:val="4"/>
            <w:tcBorders>
              <w:top w:val="single" w:color="auto" w:sz="4" w:space="0"/>
              <w:left w:val="single" w:color="auto" w:sz="4" w:space="0"/>
              <w:bottom w:val="single" w:color="auto" w:sz="4" w:space="0"/>
              <w:right w:val="single" w:color="auto" w:sz="4" w:space="0"/>
            </w:tcBorders>
            <w:vAlign w:val="center"/>
          </w:tcPr>
          <w:p w14:paraId="78B52F3E">
            <w:pPr>
              <w:spacing w:line="400" w:lineRule="atLeast"/>
              <w:rPr>
                <w:rFonts w:ascii="宋体" w:hAnsi="宋体"/>
                <w:color w:val="auto"/>
                <w:szCs w:val="21"/>
              </w:rPr>
            </w:pPr>
            <w:bookmarkStart w:id="28" w:name="_Toc118384921"/>
            <w:r>
              <w:rPr>
                <w:rFonts w:hint="eastAsia" w:ascii="宋体" w:hAnsi="宋体"/>
                <w:color w:val="auto"/>
                <w:szCs w:val="21"/>
              </w:rPr>
              <w:t>自成交通知书发出之日起</w:t>
            </w:r>
            <w:r>
              <w:rPr>
                <w:rFonts w:hint="eastAsia" w:ascii="宋体" w:hAnsi="宋体"/>
                <w:color w:val="auto"/>
                <w:szCs w:val="21"/>
                <w:u w:val="single"/>
              </w:rPr>
              <w:t xml:space="preserve"> 25 </w:t>
            </w:r>
            <w:r>
              <w:rPr>
                <w:rFonts w:hint="eastAsia" w:ascii="宋体" w:hAnsi="宋体"/>
                <w:color w:val="auto"/>
                <w:szCs w:val="21"/>
              </w:rPr>
              <w:t>日内。</w:t>
            </w:r>
            <w:bookmarkEnd w:id="28"/>
          </w:p>
        </w:tc>
      </w:tr>
      <w:tr w14:paraId="1CF312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7"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14:paraId="3ACCCE96">
            <w:pPr>
              <w:spacing w:line="400" w:lineRule="atLeast"/>
              <w:jc w:val="center"/>
              <w:rPr>
                <w:rFonts w:ascii="宋体" w:hAnsi="宋体"/>
                <w:color w:val="auto"/>
                <w:szCs w:val="21"/>
              </w:rPr>
            </w:pPr>
            <w:r>
              <w:rPr>
                <w:rFonts w:hint="eastAsia" w:ascii="宋体" w:hAnsi="宋体" w:cs="宋体"/>
                <w:color w:val="auto"/>
                <w:szCs w:val="21"/>
                <w:lang w:eastAsia="zh-CN"/>
              </w:rPr>
              <w:t>合同履约期限</w:t>
            </w:r>
            <w:r>
              <w:rPr>
                <w:rFonts w:hint="eastAsia" w:ascii="宋体" w:hAnsi="宋体" w:cs="宋体"/>
                <w:color w:val="auto"/>
                <w:szCs w:val="21"/>
              </w:rPr>
              <w:t>和地点</w:t>
            </w:r>
          </w:p>
        </w:tc>
        <w:tc>
          <w:tcPr>
            <w:tcW w:w="7996" w:type="dxa"/>
            <w:gridSpan w:val="4"/>
            <w:tcBorders>
              <w:top w:val="single" w:color="auto" w:sz="4" w:space="0"/>
              <w:left w:val="single" w:color="auto" w:sz="4" w:space="0"/>
              <w:bottom w:val="single" w:color="auto" w:sz="4" w:space="0"/>
              <w:right w:val="single" w:color="auto" w:sz="4" w:space="0"/>
            </w:tcBorders>
            <w:vAlign w:val="center"/>
          </w:tcPr>
          <w:p w14:paraId="09F03944">
            <w:pPr>
              <w:spacing w:line="400" w:lineRule="atLeast"/>
              <w:rPr>
                <w:rFonts w:hint="eastAsia" w:ascii="宋体" w:hAnsi="宋体" w:eastAsia="宋体"/>
                <w:b w:val="0"/>
                <w:bCs w:val="0"/>
                <w:color w:val="auto"/>
                <w:szCs w:val="21"/>
                <w:lang w:eastAsia="zh-CN"/>
              </w:rPr>
            </w:pPr>
            <w:r>
              <w:rPr>
                <w:rFonts w:hint="eastAsia" w:ascii="宋体" w:hAnsi="宋体"/>
                <w:b w:val="0"/>
                <w:bCs w:val="0"/>
                <w:color w:val="auto"/>
                <w:szCs w:val="21"/>
                <w:lang w:val="en-US" w:eastAsia="zh-CN"/>
              </w:rPr>
              <w:t>1、</w:t>
            </w:r>
            <w:r>
              <w:rPr>
                <w:rFonts w:hint="eastAsia" w:ascii="宋体" w:hAnsi="宋体"/>
                <w:b w:val="0"/>
                <w:bCs w:val="0"/>
                <w:color w:val="auto"/>
                <w:szCs w:val="21"/>
                <w:lang w:eastAsia="zh-CN"/>
              </w:rPr>
              <w:t>合同履约期限</w:t>
            </w:r>
            <w:r>
              <w:rPr>
                <w:rFonts w:hint="eastAsia" w:ascii="宋体" w:hAnsi="宋体"/>
                <w:b w:val="0"/>
                <w:bCs w:val="0"/>
                <w:color w:val="auto"/>
                <w:szCs w:val="21"/>
              </w:rPr>
              <w:t>：</w:t>
            </w:r>
            <w:r>
              <w:rPr>
                <w:rFonts w:hint="eastAsia" w:ascii="宋体" w:hAnsi="宋体"/>
                <w:b w:val="0"/>
                <w:bCs w:val="0"/>
                <w:color w:val="auto"/>
                <w:szCs w:val="21"/>
                <w:lang w:eastAsia="zh-CN"/>
              </w:rPr>
              <w:t>自签订合同之日起30天（日历天）内交货安装调试完毕。</w:t>
            </w:r>
          </w:p>
          <w:p w14:paraId="4DF902E8">
            <w:pPr>
              <w:spacing w:line="400" w:lineRule="atLeast"/>
              <w:rPr>
                <w:rFonts w:ascii="宋体" w:hAnsi="宋体"/>
                <w:b w:val="0"/>
                <w:bCs w:val="0"/>
                <w:color w:val="auto"/>
                <w:szCs w:val="21"/>
              </w:rPr>
            </w:pPr>
            <w:r>
              <w:rPr>
                <w:rFonts w:hint="eastAsia" w:ascii="宋体" w:hAnsi="宋体"/>
                <w:b w:val="0"/>
                <w:bCs w:val="0"/>
                <w:color w:val="auto"/>
                <w:szCs w:val="21"/>
                <w:lang w:val="en-US" w:eastAsia="zh-CN"/>
              </w:rPr>
              <w:t>2、</w:t>
            </w:r>
            <w:r>
              <w:rPr>
                <w:rFonts w:hint="eastAsia" w:ascii="宋体" w:hAnsi="宋体"/>
                <w:b w:val="0"/>
                <w:bCs w:val="0"/>
                <w:color w:val="auto"/>
                <w:szCs w:val="21"/>
              </w:rPr>
              <w:t>交货地点：</w:t>
            </w:r>
            <w:r>
              <w:rPr>
                <w:rFonts w:hint="eastAsia" w:ascii="宋体" w:hAnsi="宋体"/>
                <w:b w:val="0"/>
                <w:bCs w:val="0"/>
                <w:color w:val="auto"/>
                <w:szCs w:val="21"/>
                <w:lang w:eastAsia="zh-CN"/>
              </w:rPr>
              <w:t>博白县人民医院</w:t>
            </w:r>
            <w:r>
              <w:rPr>
                <w:rFonts w:hint="eastAsia" w:ascii="宋体" w:hAnsi="宋体"/>
                <w:b w:val="0"/>
                <w:bCs w:val="0"/>
                <w:color w:val="auto"/>
                <w:szCs w:val="21"/>
              </w:rPr>
              <w:t>指定地点。</w:t>
            </w:r>
          </w:p>
        </w:tc>
      </w:tr>
      <w:tr w14:paraId="16D31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14:paraId="29D514B6">
            <w:pPr>
              <w:spacing w:line="400" w:lineRule="atLeast"/>
              <w:jc w:val="center"/>
              <w:rPr>
                <w:rFonts w:ascii="宋体" w:hAnsi="宋体"/>
                <w:color w:val="auto"/>
                <w:szCs w:val="21"/>
              </w:rPr>
            </w:pPr>
            <w:r>
              <w:rPr>
                <w:rFonts w:hint="eastAsia" w:ascii="宋体" w:hAnsi="宋体"/>
                <w:color w:val="auto"/>
                <w:szCs w:val="21"/>
              </w:rPr>
              <w:t>质保期</w:t>
            </w:r>
          </w:p>
        </w:tc>
        <w:tc>
          <w:tcPr>
            <w:tcW w:w="7996" w:type="dxa"/>
            <w:gridSpan w:val="4"/>
            <w:tcBorders>
              <w:top w:val="single" w:color="auto" w:sz="4" w:space="0"/>
              <w:left w:val="single" w:color="auto" w:sz="4" w:space="0"/>
              <w:bottom w:val="single" w:color="auto" w:sz="4" w:space="0"/>
              <w:right w:val="single" w:color="auto" w:sz="4" w:space="0"/>
            </w:tcBorders>
            <w:vAlign w:val="center"/>
          </w:tcPr>
          <w:p w14:paraId="2659B77D">
            <w:pPr>
              <w:wordWrap w:val="0"/>
              <w:spacing w:line="400" w:lineRule="exac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车辆质保三年或六万公里。</w:t>
            </w:r>
          </w:p>
          <w:p w14:paraId="051C46DA">
            <w:pPr>
              <w:wordWrap w:val="0"/>
              <w:spacing w:line="400" w:lineRule="exac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w:t>
            </w:r>
            <w:r>
              <w:rPr>
                <w:rFonts w:hint="eastAsia" w:ascii="宋体" w:hAnsi="宋体" w:eastAsia="宋体" w:cs="宋体"/>
                <w:color w:val="auto"/>
              </w:rPr>
              <w:t>医疗舱及底盘终身质保（人为外力因素除外）。</w:t>
            </w:r>
          </w:p>
          <w:p w14:paraId="065196CE">
            <w:pPr>
              <w:wordWrap w:val="0"/>
              <w:spacing w:line="400" w:lineRule="exact"/>
              <w:rPr>
                <w:rFonts w:hint="eastAsia" w:ascii="宋体" w:hAnsi="宋体" w:eastAsia="宋体" w:cs="宋体"/>
                <w:color w:val="auto"/>
              </w:rPr>
            </w:pPr>
            <w:r>
              <w:rPr>
                <w:rFonts w:hint="eastAsia" w:ascii="宋体" w:hAnsi="宋体" w:eastAsia="宋体" w:cs="宋体"/>
                <w:color w:val="auto"/>
              </w:rPr>
              <w:t>注：供应商必须提供其厂家质保的售后服务承诺书。</w:t>
            </w:r>
          </w:p>
        </w:tc>
      </w:tr>
      <w:tr w14:paraId="16B405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8"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14:paraId="19AC53B7">
            <w:pPr>
              <w:spacing w:line="400" w:lineRule="atLeast"/>
              <w:jc w:val="center"/>
              <w:rPr>
                <w:rFonts w:ascii="宋体" w:hAnsi="宋体"/>
                <w:b/>
                <w:color w:val="auto"/>
                <w:szCs w:val="21"/>
              </w:rPr>
            </w:pPr>
            <w:r>
              <w:rPr>
                <w:rFonts w:hint="eastAsia" w:ascii="宋体" w:hAnsi="宋体"/>
                <w:color w:val="auto"/>
                <w:szCs w:val="21"/>
              </w:rPr>
              <w:t>付款条件（进度和方式）</w:t>
            </w:r>
          </w:p>
        </w:tc>
        <w:tc>
          <w:tcPr>
            <w:tcW w:w="7996" w:type="dxa"/>
            <w:gridSpan w:val="4"/>
            <w:tcBorders>
              <w:top w:val="single" w:color="auto" w:sz="4" w:space="0"/>
              <w:left w:val="single" w:color="auto" w:sz="4" w:space="0"/>
              <w:bottom w:val="single" w:color="auto" w:sz="4" w:space="0"/>
              <w:right w:val="single" w:color="auto" w:sz="4" w:space="0"/>
            </w:tcBorders>
            <w:vAlign w:val="center"/>
          </w:tcPr>
          <w:p w14:paraId="60C54D18">
            <w:pPr>
              <w:wordWrap w:val="0"/>
              <w:spacing w:line="400" w:lineRule="exact"/>
              <w:rPr>
                <w:rFonts w:hint="eastAsia" w:ascii="宋体" w:hAnsi="宋体" w:eastAsia="宋体" w:cs="宋体"/>
                <w:color w:val="auto"/>
                <w:lang w:val="en-US" w:eastAsia="zh-CN"/>
              </w:rPr>
            </w:pPr>
            <w:r>
              <w:rPr>
                <w:rFonts w:hint="eastAsia" w:ascii="宋体" w:hAnsi="宋体"/>
                <w:b w:val="0"/>
                <w:bCs w:val="0"/>
                <w:color w:val="auto"/>
                <w:szCs w:val="21"/>
                <w:lang w:eastAsia="zh-CN"/>
              </w:rPr>
              <w:t>交货完毕验收合格之日起</w:t>
            </w:r>
            <w:r>
              <w:rPr>
                <w:rFonts w:hint="eastAsia" w:ascii="宋体" w:hAnsi="宋体"/>
                <w:b w:val="0"/>
                <w:bCs w:val="0"/>
                <w:color w:val="auto"/>
                <w:szCs w:val="21"/>
                <w:lang w:val="en-US" w:eastAsia="zh-CN"/>
              </w:rPr>
              <w:t>1</w:t>
            </w:r>
            <w:r>
              <w:rPr>
                <w:rFonts w:hint="eastAsia" w:ascii="宋体" w:hAnsi="宋体"/>
                <w:b w:val="0"/>
                <w:bCs w:val="0"/>
                <w:color w:val="auto"/>
                <w:szCs w:val="21"/>
                <w:lang w:eastAsia="zh-CN"/>
              </w:rPr>
              <w:t>个月内支付</w:t>
            </w:r>
            <w:r>
              <w:rPr>
                <w:rFonts w:hint="eastAsia" w:ascii="宋体" w:hAnsi="宋体"/>
                <w:b w:val="0"/>
                <w:bCs w:val="0"/>
                <w:color w:val="auto"/>
                <w:szCs w:val="21"/>
                <w:lang w:val="en-US" w:eastAsia="zh-CN"/>
              </w:rPr>
              <w:t>合同款30%；</w:t>
            </w:r>
            <w:r>
              <w:rPr>
                <w:rFonts w:hint="eastAsia" w:ascii="宋体" w:hAnsi="宋体"/>
                <w:b w:val="0"/>
                <w:bCs w:val="0"/>
                <w:color w:val="auto"/>
                <w:szCs w:val="21"/>
                <w:lang w:eastAsia="zh-CN"/>
              </w:rPr>
              <w:t>交货完毕验收合格之日起6个月内支付合同65%，交货完毕验收合格之日起满1年后，剩余5%合同款自验收合格之日起满一年后支付。</w:t>
            </w:r>
          </w:p>
        </w:tc>
      </w:tr>
      <w:tr w14:paraId="27C5A1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6"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14:paraId="03FA569D">
            <w:pPr>
              <w:spacing w:line="400" w:lineRule="atLeast"/>
              <w:jc w:val="center"/>
              <w:rPr>
                <w:rFonts w:ascii="宋体" w:hAnsi="宋体"/>
                <w:b/>
                <w:color w:val="auto"/>
                <w:szCs w:val="21"/>
              </w:rPr>
            </w:pPr>
            <w:r>
              <w:rPr>
                <w:rFonts w:hint="eastAsia" w:ascii="宋体" w:hAnsi="宋体"/>
                <w:color w:val="auto"/>
                <w:szCs w:val="21"/>
              </w:rPr>
              <w:t>售后服务</w:t>
            </w:r>
          </w:p>
        </w:tc>
        <w:tc>
          <w:tcPr>
            <w:tcW w:w="7996" w:type="dxa"/>
            <w:gridSpan w:val="4"/>
            <w:tcBorders>
              <w:top w:val="single" w:color="auto" w:sz="4" w:space="0"/>
              <w:left w:val="single" w:color="auto" w:sz="4" w:space="0"/>
              <w:bottom w:val="single" w:color="auto" w:sz="4" w:space="0"/>
              <w:right w:val="single" w:color="auto" w:sz="4" w:space="0"/>
            </w:tcBorders>
            <w:vAlign w:val="center"/>
          </w:tcPr>
          <w:p w14:paraId="49D06571">
            <w:pPr>
              <w:numPr>
                <w:ilvl w:val="0"/>
                <w:numId w:val="0"/>
              </w:numPr>
              <w:tabs>
                <w:tab w:val="left" w:pos="180"/>
                <w:tab w:val="left" w:pos="1620"/>
              </w:tabs>
              <w:wordWrap w:val="0"/>
              <w:spacing w:line="400" w:lineRule="exact"/>
              <w:rPr>
                <w:rFonts w:ascii="宋体" w:hAnsi="宋体" w:cs="宋体"/>
                <w:color w:val="auto"/>
              </w:rPr>
            </w:pPr>
            <w:r>
              <w:rPr>
                <w:rFonts w:hint="eastAsia" w:ascii="宋体" w:hAnsi="宋体" w:cs="宋体"/>
                <w:color w:val="auto"/>
                <w:lang w:val="en-US" w:eastAsia="zh-CN"/>
              </w:rPr>
              <w:t>1、</w:t>
            </w:r>
            <w:r>
              <w:rPr>
                <w:rFonts w:hint="eastAsia" w:ascii="宋体" w:hAnsi="宋体" w:cs="宋体"/>
                <w:color w:val="auto"/>
              </w:rPr>
              <w:t>按照国家有关产品“三包”规定执行“三包”，医疗舱及底盘终身质保（人为外力因素除外）。</w:t>
            </w:r>
          </w:p>
          <w:p w14:paraId="72114B36">
            <w:pPr>
              <w:numPr>
                <w:ilvl w:val="0"/>
                <w:numId w:val="0"/>
              </w:numPr>
              <w:tabs>
                <w:tab w:val="left" w:pos="180"/>
                <w:tab w:val="left" w:pos="1620"/>
              </w:tabs>
              <w:wordWrap w:val="0"/>
              <w:spacing w:line="400" w:lineRule="exact"/>
              <w:rPr>
                <w:rFonts w:ascii="宋体" w:hAnsi="宋体" w:cs="宋体"/>
                <w:color w:val="auto"/>
              </w:rPr>
            </w:pPr>
            <w:r>
              <w:rPr>
                <w:rFonts w:hint="eastAsia" w:ascii="宋体" w:hAnsi="宋体" w:cs="宋体"/>
                <w:color w:val="auto"/>
                <w:lang w:val="en-US" w:eastAsia="zh-CN"/>
              </w:rPr>
              <w:t>2、</w:t>
            </w:r>
            <w:r>
              <w:rPr>
                <w:rFonts w:hint="eastAsia" w:ascii="宋体" w:hAnsi="宋体" w:cs="宋体"/>
                <w:color w:val="auto"/>
              </w:rPr>
              <w:t>采购范围内的货物送货上门，装卸、安装调试合格，提供使用培训，直至采购人技术人员可熟练操作使用。</w:t>
            </w:r>
          </w:p>
          <w:p w14:paraId="3F428C7D">
            <w:pPr>
              <w:tabs>
                <w:tab w:val="left" w:pos="180"/>
                <w:tab w:val="left" w:pos="1620"/>
              </w:tabs>
              <w:wordWrap w:val="0"/>
              <w:spacing w:line="400" w:lineRule="exact"/>
              <w:rPr>
                <w:rFonts w:ascii="宋体" w:hAnsi="宋体" w:cs="宋体"/>
                <w:color w:val="auto"/>
              </w:rPr>
            </w:pPr>
            <w:r>
              <w:rPr>
                <w:rFonts w:hint="eastAsia" w:ascii="宋体" w:hAnsi="宋体" w:cs="宋体"/>
                <w:color w:val="auto"/>
                <w:lang w:val="en-US" w:eastAsia="zh-CN"/>
              </w:rPr>
              <w:t>3、</w:t>
            </w:r>
            <w:r>
              <w:rPr>
                <w:rFonts w:hint="eastAsia" w:ascii="宋体" w:hAnsi="宋体" w:cs="宋体"/>
                <w:color w:val="auto"/>
              </w:rPr>
              <w:t>在使用过程中若产品发生质量问题或故障，接到采购人报修通知后，立即响应并在2小时内采取相应措施，在收到采购人要求服务通知的24小时内，服务人员到达现场，对设备出现的较大问题，解决时间不超过3个工作日。</w:t>
            </w:r>
          </w:p>
          <w:p w14:paraId="3C0BE2C6">
            <w:pPr>
              <w:tabs>
                <w:tab w:val="left" w:pos="180"/>
                <w:tab w:val="left" w:pos="1620"/>
              </w:tabs>
              <w:wordWrap w:val="0"/>
              <w:spacing w:line="400" w:lineRule="exact"/>
              <w:rPr>
                <w:rFonts w:ascii="宋体" w:hAnsi="宋体" w:cs="宋体"/>
                <w:color w:val="auto"/>
              </w:rPr>
            </w:pPr>
            <w:r>
              <w:rPr>
                <w:rFonts w:hint="eastAsia" w:ascii="宋体" w:hAnsi="宋体" w:cs="宋体"/>
                <w:color w:val="auto"/>
                <w:lang w:val="en-US" w:eastAsia="zh-CN"/>
              </w:rPr>
              <w:t>4、</w:t>
            </w:r>
            <w:r>
              <w:rPr>
                <w:rFonts w:hint="eastAsia" w:ascii="宋体" w:hAnsi="宋体" w:cs="宋体"/>
                <w:color w:val="auto"/>
              </w:rPr>
              <w:t>免费保修期内免材料费及维修费；免费保修期外成交人须继续提供免费电话咨询服务，并以优惠的价格提供有偿服务，终身维修。</w:t>
            </w:r>
          </w:p>
          <w:p w14:paraId="70FC62FF">
            <w:pPr>
              <w:spacing w:line="400" w:lineRule="atLeast"/>
              <w:rPr>
                <w:rFonts w:ascii="宋体" w:hAnsi="宋体"/>
                <w:color w:val="auto"/>
                <w:szCs w:val="21"/>
              </w:rPr>
            </w:pPr>
            <w:r>
              <w:rPr>
                <w:rFonts w:hint="eastAsia" w:ascii="宋体" w:hAnsi="宋体" w:cs="宋体"/>
                <w:color w:val="auto"/>
                <w:lang w:val="en-US" w:eastAsia="zh-CN"/>
              </w:rPr>
              <w:t>5、</w:t>
            </w:r>
            <w:r>
              <w:rPr>
                <w:rFonts w:hint="eastAsia" w:ascii="宋体" w:hAnsi="宋体" w:cs="宋体"/>
                <w:color w:val="auto"/>
              </w:rPr>
              <w:t>竞标人根据以上售后服务基本要求，于</w:t>
            </w:r>
            <w:r>
              <w:rPr>
                <w:rFonts w:hint="eastAsia" w:ascii="宋体" w:hAnsi="宋体" w:cs="宋体"/>
                <w:color w:val="auto"/>
                <w:lang w:eastAsia="zh-CN"/>
              </w:rPr>
              <w:t>响应</w:t>
            </w:r>
            <w:r>
              <w:rPr>
                <w:rFonts w:hint="eastAsia" w:ascii="宋体" w:hAnsi="宋体" w:cs="宋体"/>
                <w:color w:val="auto"/>
              </w:rPr>
              <w:t>文件中必须提供相应的售后服务承诺书。</w:t>
            </w:r>
          </w:p>
        </w:tc>
      </w:tr>
      <w:tr w14:paraId="6294D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7"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14:paraId="2CCB71B3">
            <w:pPr>
              <w:spacing w:line="400" w:lineRule="atLeast"/>
              <w:jc w:val="center"/>
              <w:rPr>
                <w:rFonts w:hint="eastAsia" w:ascii="宋体" w:hAnsi="宋体" w:eastAsia="宋体" w:cs="宋体"/>
                <w:b/>
                <w:color w:val="auto"/>
                <w:szCs w:val="21"/>
              </w:rPr>
            </w:pPr>
            <w:r>
              <w:rPr>
                <w:rFonts w:hint="eastAsia" w:ascii="宋体" w:hAnsi="宋体" w:eastAsia="宋体" w:cs="宋体"/>
                <w:color w:val="auto"/>
                <w:szCs w:val="21"/>
              </w:rPr>
              <w:t>报价要求</w:t>
            </w:r>
          </w:p>
        </w:tc>
        <w:tc>
          <w:tcPr>
            <w:tcW w:w="7996" w:type="dxa"/>
            <w:gridSpan w:val="4"/>
            <w:tcBorders>
              <w:top w:val="single" w:color="auto" w:sz="4" w:space="0"/>
              <w:left w:val="single" w:color="auto" w:sz="4" w:space="0"/>
              <w:bottom w:val="single" w:color="auto" w:sz="4" w:space="0"/>
              <w:right w:val="single" w:color="auto" w:sz="4" w:space="0"/>
            </w:tcBorders>
            <w:vAlign w:val="center"/>
          </w:tcPr>
          <w:p w14:paraId="1D60B5CD">
            <w:pPr>
              <w:spacing w:line="400" w:lineRule="atLeast"/>
              <w:rPr>
                <w:rFonts w:hint="eastAsia" w:ascii="宋体" w:hAnsi="宋体" w:eastAsia="宋体" w:cs="宋体"/>
                <w:color w:val="auto"/>
              </w:rPr>
            </w:pPr>
            <w:r>
              <w:rPr>
                <w:rFonts w:hint="eastAsia" w:ascii="宋体" w:hAnsi="宋体" w:eastAsia="宋体" w:cs="宋体"/>
                <w:color w:val="auto"/>
              </w:rPr>
              <w:t>竞标报价为采购人指定地点的现场交货价，包括：</w:t>
            </w:r>
          </w:p>
          <w:p w14:paraId="56B60217">
            <w:pPr>
              <w:spacing w:line="400" w:lineRule="atLeast"/>
              <w:rPr>
                <w:rFonts w:hint="eastAsia" w:ascii="宋体" w:hAnsi="宋体" w:eastAsia="宋体" w:cs="宋体"/>
                <w:color w:val="auto"/>
              </w:rPr>
            </w:pPr>
            <w:r>
              <w:rPr>
                <w:rFonts w:hint="eastAsia" w:ascii="宋体" w:hAnsi="宋体" w:eastAsia="宋体" w:cs="宋体"/>
                <w:color w:val="auto"/>
              </w:rPr>
              <w:t>1、货物的价格：包括货款、杂配件、安装调试费、验收费等完成本项过程所需的全部费用；</w:t>
            </w:r>
          </w:p>
          <w:p w14:paraId="7769D61D">
            <w:pPr>
              <w:spacing w:line="400" w:lineRule="atLeast"/>
              <w:rPr>
                <w:rFonts w:hint="eastAsia" w:ascii="宋体" w:hAnsi="宋体" w:eastAsia="宋体" w:cs="宋体"/>
                <w:color w:val="auto"/>
              </w:rPr>
            </w:pPr>
            <w:r>
              <w:rPr>
                <w:rFonts w:hint="eastAsia" w:ascii="宋体" w:hAnsi="宋体" w:eastAsia="宋体" w:cs="宋体"/>
                <w:color w:val="auto"/>
              </w:rPr>
              <w:t>2、货物的标准附件、备品备件、辅助材料、专用工具的价格；</w:t>
            </w:r>
          </w:p>
          <w:p w14:paraId="1AEFC4B1">
            <w:pPr>
              <w:spacing w:line="400" w:lineRule="atLeast"/>
              <w:rPr>
                <w:rFonts w:hint="eastAsia" w:ascii="宋体" w:hAnsi="宋体" w:eastAsia="宋体" w:cs="宋体"/>
                <w:color w:val="auto"/>
              </w:rPr>
            </w:pPr>
            <w:r>
              <w:rPr>
                <w:rFonts w:hint="eastAsia" w:ascii="宋体" w:hAnsi="宋体" w:eastAsia="宋体" w:cs="宋体"/>
                <w:color w:val="auto"/>
              </w:rPr>
              <w:t>3、运输、装卸、保管、调试、培训、技术支持、售后服务费；</w:t>
            </w:r>
          </w:p>
          <w:p w14:paraId="5C4463B9">
            <w:pPr>
              <w:spacing w:line="400" w:lineRule="atLeast"/>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eastAsia="zh-CN"/>
              </w:rPr>
              <w:t>采购</w:t>
            </w:r>
            <w:r>
              <w:rPr>
                <w:rFonts w:hint="eastAsia" w:ascii="宋体" w:hAnsi="宋体" w:eastAsia="宋体" w:cs="宋体"/>
                <w:color w:val="auto"/>
              </w:rPr>
              <w:t>代理服务费、保险费和各项税金。</w:t>
            </w:r>
          </w:p>
          <w:p w14:paraId="0ED5CE08">
            <w:pPr>
              <w:spacing w:line="400" w:lineRule="atLeast"/>
              <w:rPr>
                <w:rFonts w:hint="eastAsia" w:ascii="宋体" w:hAnsi="宋体" w:eastAsia="宋体" w:cs="宋体"/>
                <w:color w:val="auto"/>
              </w:rPr>
            </w:pPr>
            <w:r>
              <w:rPr>
                <w:rFonts w:hint="eastAsia" w:ascii="宋体" w:hAnsi="宋体" w:eastAsia="宋体" w:cs="宋体"/>
                <w:b/>
                <w:bCs/>
                <w:color w:val="auto"/>
              </w:rPr>
              <w:t>注：以上标注有预算单价的产品，竞标人报价时单价不得超预算单价，否则</w:t>
            </w:r>
            <w:r>
              <w:rPr>
                <w:rFonts w:hint="eastAsia" w:ascii="宋体" w:hAnsi="宋体" w:eastAsia="宋体" w:cs="宋体"/>
                <w:b/>
                <w:bCs/>
                <w:color w:val="auto"/>
                <w:lang w:eastAsia="zh-CN"/>
              </w:rPr>
              <w:t>竞标</w:t>
            </w:r>
            <w:r>
              <w:rPr>
                <w:rFonts w:hint="eastAsia" w:ascii="宋体" w:hAnsi="宋体" w:eastAsia="宋体" w:cs="宋体"/>
                <w:b/>
                <w:bCs/>
                <w:color w:val="auto"/>
              </w:rPr>
              <w:t>无效。</w:t>
            </w:r>
          </w:p>
        </w:tc>
      </w:tr>
      <w:tr w14:paraId="7DC76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14:paraId="73BEB297">
            <w:pPr>
              <w:spacing w:line="400" w:lineRule="atLeast"/>
              <w:rPr>
                <w:rFonts w:ascii="宋体" w:hAnsi="宋体"/>
                <w:b/>
                <w:color w:val="auto"/>
                <w:szCs w:val="21"/>
              </w:rPr>
            </w:pPr>
            <w:r>
              <w:rPr>
                <w:rFonts w:hint="eastAsia" w:ascii="宋体" w:hAnsi="宋体"/>
                <w:color w:val="auto"/>
                <w:szCs w:val="21"/>
              </w:rPr>
              <w:t>项目验收要求</w:t>
            </w:r>
          </w:p>
        </w:tc>
        <w:tc>
          <w:tcPr>
            <w:tcW w:w="7996" w:type="dxa"/>
            <w:gridSpan w:val="4"/>
            <w:tcBorders>
              <w:top w:val="single" w:color="auto" w:sz="4" w:space="0"/>
              <w:left w:val="single" w:color="auto" w:sz="4" w:space="0"/>
              <w:bottom w:val="single" w:color="auto" w:sz="4" w:space="0"/>
              <w:right w:val="single" w:color="auto" w:sz="4" w:space="0"/>
            </w:tcBorders>
            <w:vAlign w:val="center"/>
          </w:tcPr>
          <w:p w14:paraId="06652E40">
            <w:pPr>
              <w:tabs>
                <w:tab w:val="left" w:pos="180"/>
                <w:tab w:val="left" w:pos="1620"/>
              </w:tabs>
              <w:wordWrap w:val="0"/>
              <w:spacing w:line="400" w:lineRule="exac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w:t>
            </w:r>
            <w:r>
              <w:rPr>
                <w:rFonts w:hint="eastAsia" w:ascii="宋体" w:hAnsi="宋体" w:cs="宋体"/>
                <w:color w:val="auto"/>
                <w:szCs w:val="21"/>
              </w:rPr>
              <w:t>验收过程中所产生的一切费用均由中标承担。</w:t>
            </w:r>
          </w:p>
          <w:p w14:paraId="6154B0D5">
            <w:pPr>
              <w:tabs>
                <w:tab w:val="left" w:pos="180"/>
                <w:tab w:val="left" w:pos="1620"/>
              </w:tabs>
              <w:wordWrap w:val="0"/>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w:t>
            </w:r>
            <w:r>
              <w:rPr>
                <w:rFonts w:hint="eastAsia" w:ascii="宋体" w:hAnsi="宋体" w:cs="宋体"/>
                <w:color w:val="auto"/>
                <w:szCs w:val="21"/>
              </w:rPr>
              <w:t>竞标人提供的产品必须符合国家、行业强制执行的相关质量标准要求以及产品制造厂家合格产品的出厂质量标准。</w:t>
            </w:r>
          </w:p>
          <w:p w14:paraId="1B381C38">
            <w:pPr>
              <w:tabs>
                <w:tab w:val="left" w:pos="180"/>
                <w:tab w:val="left" w:pos="1620"/>
              </w:tabs>
              <w:wordWrap w:val="0"/>
              <w:spacing w:line="400" w:lineRule="exact"/>
              <w:rPr>
                <w:color w:val="auto"/>
              </w:rPr>
            </w:pPr>
            <w:r>
              <w:rPr>
                <w:rFonts w:hint="eastAsia" w:ascii="宋体" w:hAnsi="宋体" w:cs="宋体"/>
                <w:color w:val="auto"/>
                <w:szCs w:val="21"/>
              </w:rPr>
              <w:t>3</w:t>
            </w:r>
            <w:r>
              <w:rPr>
                <w:rFonts w:hint="eastAsia" w:ascii="宋体" w:hAnsi="宋体" w:cs="宋体"/>
                <w:color w:val="auto"/>
                <w:szCs w:val="21"/>
                <w:lang w:eastAsia="zh-CN"/>
              </w:rPr>
              <w:t>、</w:t>
            </w:r>
            <w:r>
              <w:rPr>
                <w:rFonts w:hint="eastAsia" w:ascii="宋体" w:hAnsi="宋体" w:cs="宋体"/>
                <w:color w:val="auto"/>
                <w:szCs w:val="21"/>
              </w:rPr>
              <w:t>设备需全新、完好、无破损，产品到货后，采购人现场根据采购文件要求及响应文件承诺逐条对应进行核验符合要求后，由采购人组织成立的验收小组按照采购合同规定的技术、服务、功能、安全标准组织对供应商履约情况进行验收，验收小组应以书面形式将验收情况报告采购人，作出验收结论性意见，并出具采购项目验收书。采购项目的验收，必须严格按照合同与补充合同的约定进行，不得增加合同与补充合同内容规定以外的新的验收内容或标准。验收过程，采购人派代表全程监督。同时必须提供采购需求中“一体化智能电源控制系统”货物的</w:t>
            </w:r>
            <w:r>
              <w:rPr>
                <w:rFonts w:hint="eastAsia" w:ascii="宋体" w:hAnsi="宋体" w:cs="宋体"/>
                <w:color w:val="auto"/>
                <w:szCs w:val="21"/>
                <w:lang w:eastAsia="zh-CN"/>
              </w:rPr>
              <w:t>第三方</w:t>
            </w:r>
            <w:r>
              <w:rPr>
                <w:rFonts w:hint="eastAsia" w:ascii="宋体" w:hAnsi="宋体" w:cs="宋体"/>
                <w:color w:val="auto"/>
                <w:szCs w:val="21"/>
              </w:rPr>
              <w:t>检测报告原件，采购人现场根据采购文件的要求、响应文件的承诺及</w:t>
            </w:r>
            <w:r>
              <w:rPr>
                <w:rFonts w:hint="eastAsia" w:ascii="宋体" w:hAnsi="宋体" w:cs="宋体"/>
                <w:color w:val="auto"/>
                <w:szCs w:val="21"/>
                <w:lang w:eastAsia="zh-CN"/>
              </w:rPr>
              <w:t>第三方</w:t>
            </w:r>
            <w:r>
              <w:rPr>
                <w:rFonts w:hint="eastAsia" w:ascii="宋体" w:hAnsi="宋体" w:cs="宋体"/>
                <w:color w:val="auto"/>
                <w:szCs w:val="21"/>
              </w:rPr>
              <w:t>检测报告原件逐条对应进行核验，核验不合格、产品不满足竞争性谈判文件要求、成交人竞标承诺或国家、行业强制执行的相关质量标准要求以及产品制造厂家合格产品的出厂质量标准，采购人有权终止合同执行并全部退货，由此造成采购人的经济损失由成交人承担全部赔偿责任。</w:t>
            </w:r>
          </w:p>
          <w:p w14:paraId="3FB3AA37">
            <w:pPr>
              <w:tabs>
                <w:tab w:val="left" w:pos="180"/>
                <w:tab w:val="left" w:pos="1620"/>
              </w:tabs>
              <w:wordWrap w:val="0"/>
              <w:spacing w:line="400" w:lineRule="exact"/>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eastAsia="zh-CN"/>
              </w:rPr>
              <w:t>、</w:t>
            </w:r>
            <w:r>
              <w:rPr>
                <w:rFonts w:hint="eastAsia" w:ascii="宋体" w:hAnsi="宋体" w:cs="宋体"/>
                <w:color w:val="auto"/>
                <w:szCs w:val="21"/>
              </w:rPr>
              <w:t>在交付车辆时，成交人必须提供随车的工具器材、保养手册。</w:t>
            </w:r>
          </w:p>
          <w:p w14:paraId="6E109B8A">
            <w:pPr>
              <w:spacing w:line="400" w:lineRule="atLeast"/>
              <w:rPr>
                <w:rFonts w:ascii="宋体" w:hAnsi="宋体"/>
                <w:color w:val="auto"/>
                <w:szCs w:val="21"/>
              </w:rPr>
            </w:pPr>
            <w:r>
              <w:rPr>
                <w:rFonts w:hint="eastAsia" w:ascii="宋体" w:hAnsi="宋体" w:cs="宋体"/>
                <w:color w:val="auto"/>
                <w:szCs w:val="21"/>
              </w:rPr>
              <w:t>5、产品包装材料归采购人所有。</w:t>
            </w:r>
          </w:p>
        </w:tc>
      </w:tr>
      <w:tr w14:paraId="42198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14:paraId="3425B82C">
            <w:pPr>
              <w:spacing w:line="400" w:lineRule="atLeast"/>
              <w:jc w:val="center"/>
              <w:rPr>
                <w:rFonts w:hint="eastAsia" w:ascii="宋体" w:hAnsi="宋体" w:eastAsia="宋体"/>
                <w:color w:val="auto"/>
                <w:szCs w:val="21"/>
                <w:lang w:eastAsia="zh-CN"/>
              </w:rPr>
            </w:pPr>
            <w:r>
              <w:rPr>
                <w:rFonts w:hint="eastAsia" w:ascii="宋体" w:hAnsi="宋体" w:eastAsia="宋体" w:cs="Times New Roman"/>
                <w:color w:val="auto"/>
                <w:szCs w:val="21"/>
                <w:lang w:eastAsia="zh-CN"/>
              </w:rPr>
              <w:t>其它要求</w:t>
            </w:r>
          </w:p>
        </w:tc>
        <w:tc>
          <w:tcPr>
            <w:tcW w:w="7996" w:type="dxa"/>
            <w:gridSpan w:val="4"/>
            <w:tcBorders>
              <w:top w:val="single" w:color="auto" w:sz="4" w:space="0"/>
              <w:left w:val="single" w:color="auto" w:sz="4" w:space="0"/>
              <w:bottom w:val="single" w:color="auto" w:sz="4" w:space="0"/>
              <w:right w:val="single" w:color="auto" w:sz="4" w:space="0"/>
            </w:tcBorders>
            <w:vAlign w:val="center"/>
          </w:tcPr>
          <w:p w14:paraId="0ABC0506">
            <w:pPr>
              <w:spacing w:line="360" w:lineRule="auto"/>
              <w:rPr>
                <w:rFonts w:hint="eastAsia" w:ascii="Times New Roman" w:hAnsi="Times New Roman" w:eastAsia="宋体" w:cs="Times New Roman"/>
                <w:color w:val="auto"/>
                <w:lang w:val="en-US" w:eastAsia="zh-CN"/>
              </w:rPr>
            </w:pPr>
            <w:r>
              <w:rPr>
                <w:rFonts w:hint="eastAsia" w:ascii="宋体" w:hAnsi="宋体"/>
                <w:color w:val="auto"/>
                <w:szCs w:val="21"/>
                <w:lang w:val="en-US" w:eastAsia="zh-CN"/>
              </w:rPr>
              <w:t>1、</w:t>
            </w:r>
            <w:r>
              <w:rPr>
                <w:rFonts w:hint="eastAsia" w:ascii="Times New Roman" w:hAnsi="Times New Roman" w:eastAsia="宋体" w:cs="Times New Roman"/>
                <w:color w:val="auto"/>
                <w:lang w:val="en-US" w:eastAsia="zh-CN"/>
              </w:rPr>
              <w:t>本表未明确的技术要求和规范，按国家、行业的相关标准执行。</w:t>
            </w:r>
          </w:p>
          <w:p w14:paraId="5F9732C0">
            <w:pPr>
              <w:spacing w:line="360" w:lineRule="auto"/>
              <w:rPr>
                <w:rFonts w:hint="eastAsia"/>
                <w:color w:val="auto"/>
                <w:lang w:val="en-US" w:eastAsia="zh-CN"/>
              </w:rPr>
            </w:pPr>
            <w:r>
              <w:rPr>
                <w:rFonts w:hint="eastAsia" w:ascii="宋体" w:hAnsi="宋体" w:eastAsia="宋体" w:cs="Times New Roman"/>
                <w:color w:val="auto"/>
                <w:szCs w:val="21"/>
                <w:lang w:val="en-US" w:eastAsia="zh-CN"/>
              </w:rPr>
              <w:t>2、采购人保留对所采购的任一服务的成果检验的权利。如成交人不具备实施本项目的技术</w:t>
            </w:r>
            <w:r>
              <w:rPr>
                <w:rFonts w:hint="eastAsia" w:ascii="Times New Roman" w:hAnsi="Times New Roman" w:eastAsia="宋体" w:cs="Times New Roman"/>
                <w:color w:val="auto"/>
                <w:lang w:val="en-US" w:eastAsia="zh-CN"/>
              </w:rPr>
              <w:t>能</w:t>
            </w:r>
            <w:r>
              <w:rPr>
                <w:rFonts w:hint="eastAsia"/>
                <w:color w:val="auto"/>
                <w:lang w:val="en-US" w:eastAsia="zh-CN"/>
              </w:rPr>
              <w:t>力和服务能力，虚假应标的，采购单位有权不予验收，可解除双方的采购合同，并且保留追究成交人虚假应标的法律责任。</w:t>
            </w:r>
          </w:p>
          <w:p w14:paraId="4D7B44EB">
            <w:pPr>
              <w:spacing w:line="360" w:lineRule="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3、产品质量：所供产品符合国家标准和相关标准，成交后，必要时，能提供相关</w:t>
            </w:r>
            <w:r>
              <w:rPr>
                <w:rFonts w:hint="default" w:ascii="Times New Roman" w:hAnsi="Times New Roman" w:eastAsia="宋体" w:cs="Times New Roman"/>
                <w:color w:val="auto"/>
                <w:lang w:val="en-US" w:eastAsia="zh-CN"/>
              </w:rPr>
              <w:t>产品的检验报告、合格证</w:t>
            </w:r>
            <w:r>
              <w:rPr>
                <w:rFonts w:hint="eastAsia" w:ascii="Times New Roman" w:hAnsi="Times New Roman" w:eastAsia="宋体" w:cs="Times New Roman"/>
                <w:color w:val="auto"/>
                <w:lang w:val="en-US" w:eastAsia="zh-CN"/>
              </w:rPr>
              <w:t>等材料</w:t>
            </w:r>
            <w:r>
              <w:rPr>
                <w:rFonts w:hint="default" w:ascii="Times New Roman" w:hAnsi="Times New Roman" w:eastAsia="宋体" w:cs="Times New Roman"/>
                <w:color w:val="auto"/>
                <w:lang w:val="en-US" w:eastAsia="zh-CN"/>
              </w:rPr>
              <w:t>。</w:t>
            </w:r>
          </w:p>
          <w:p w14:paraId="6E0423DD">
            <w:pPr>
              <w:numPr>
                <w:ilvl w:val="0"/>
                <w:numId w:val="0"/>
              </w:numPr>
              <w:spacing w:line="360" w:lineRule="auto"/>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4、采购需求中的“功能目标、服务内容及技术要求”（包含附件）中标注“</w:t>
            </w:r>
            <w:r>
              <w:rPr>
                <w:rFonts w:hint="eastAsia" w:ascii="宋体" w:hAnsi="宋体" w:eastAsia="宋体" w:cs="Times New Roman"/>
                <w:color w:val="auto"/>
                <w:szCs w:val="21"/>
              </w:rPr>
              <w:t>▲</w:t>
            </w:r>
            <w:r>
              <w:rPr>
                <w:rFonts w:hint="eastAsia" w:ascii="Times New Roman" w:hAnsi="Times New Roman" w:eastAsia="宋体" w:cs="Times New Roman"/>
                <w:b/>
                <w:bCs/>
                <w:color w:val="auto"/>
                <w:lang w:val="en-US" w:eastAsia="zh-CN"/>
              </w:rPr>
              <w:t>”为本次项目重要技术要求，不允许负偏离，必须提供相应的佐证材料，</w:t>
            </w:r>
            <w:r>
              <w:rPr>
                <w:rFonts w:hint="eastAsia" w:hAnsi="宋体" w:cs="宋体"/>
                <w:b/>
                <w:bCs/>
                <w:color w:val="auto"/>
                <w:sz w:val="21"/>
                <w:szCs w:val="21"/>
                <w:lang w:eastAsia="zh-CN"/>
              </w:rPr>
              <w:t>且该证明材料必需包含</w:t>
            </w:r>
            <w:r>
              <w:rPr>
                <w:rFonts w:hint="eastAsia"/>
                <w:b/>
                <w:bCs/>
                <w:color w:val="auto"/>
                <w:lang w:val="en-US" w:eastAsia="zh-CN"/>
              </w:rPr>
              <w:t>竞标产品</w:t>
            </w:r>
            <w:r>
              <w:rPr>
                <w:rFonts w:hint="eastAsia" w:ascii="Times New Roman" w:hAnsi="Times New Roman" w:eastAsia="宋体" w:cs="Times New Roman"/>
                <w:b/>
                <w:bCs/>
                <w:color w:val="auto"/>
                <w:lang w:val="en-US" w:eastAsia="zh-CN"/>
              </w:rPr>
              <w:t>所有标注“</w:t>
            </w:r>
            <w:r>
              <w:rPr>
                <w:rFonts w:hint="eastAsia" w:ascii="宋体" w:hAnsi="宋体" w:eastAsia="宋体" w:cs="Times New Roman"/>
                <w:color w:val="auto"/>
                <w:szCs w:val="21"/>
              </w:rPr>
              <w:t>▲</w:t>
            </w:r>
            <w:r>
              <w:rPr>
                <w:rFonts w:hint="eastAsia" w:ascii="Times New Roman" w:hAnsi="Times New Roman" w:eastAsia="宋体" w:cs="Times New Roman"/>
                <w:b/>
                <w:bCs/>
                <w:color w:val="auto"/>
                <w:lang w:val="en-US" w:eastAsia="zh-CN"/>
              </w:rPr>
              <w:t>”的技术参数，同时，在提供的佐证材料中圈出或标注出证明材料中的所有标注“</w:t>
            </w:r>
            <w:r>
              <w:rPr>
                <w:rFonts w:hint="eastAsia" w:ascii="宋体" w:hAnsi="宋体" w:eastAsia="宋体" w:cs="Times New Roman"/>
                <w:color w:val="auto"/>
                <w:szCs w:val="21"/>
              </w:rPr>
              <w:t>▲</w:t>
            </w:r>
            <w:r>
              <w:rPr>
                <w:rFonts w:hint="eastAsia" w:ascii="Times New Roman" w:hAnsi="Times New Roman" w:eastAsia="宋体" w:cs="Times New Roman"/>
                <w:b/>
                <w:bCs/>
                <w:color w:val="auto"/>
                <w:lang w:val="en-US" w:eastAsia="zh-CN"/>
              </w:rPr>
              <w:t>”的技术参数，以方便评审。加盖供应商公章，否则响应文件按无效响应处理。当技术要求偏离表响应参数与第三方检验机构出具检验报告不符的，以后者为准。</w:t>
            </w:r>
          </w:p>
          <w:p w14:paraId="08E0F5B5">
            <w:pPr>
              <w:numPr>
                <w:ilvl w:val="0"/>
                <w:numId w:val="0"/>
              </w:numPr>
              <w:spacing w:line="360" w:lineRule="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5、为确保本项目的顺利实施，项目进度按时推进、确保售后服务质量，竞标时，</w:t>
            </w:r>
            <w:r>
              <w:rPr>
                <w:rFonts w:hint="eastAsia" w:ascii="Times New Roman" w:hAnsi="Times New Roman" w:eastAsia="宋体" w:cs="Times New Roman"/>
                <w:b/>
                <w:bCs/>
                <w:color w:val="auto"/>
                <w:lang w:val="en-US" w:eastAsia="zh-CN"/>
              </w:rPr>
              <w:t>必须提供符合下面要求的项目实施方案和售后服务方案</w:t>
            </w:r>
            <w:r>
              <w:rPr>
                <w:rFonts w:hint="eastAsia" w:ascii="Times New Roman" w:hAnsi="Times New Roman" w:eastAsia="宋体" w:cs="Times New Roman"/>
                <w:color w:val="auto"/>
                <w:lang w:val="en-US" w:eastAsia="zh-CN"/>
              </w:rPr>
              <w:t>，</w:t>
            </w:r>
            <w:r>
              <w:rPr>
                <w:rFonts w:hint="eastAsia" w:ascii="Times New Roman" w:hAnsi="Times New Roman" w:eastAsia="宋体" w:cs="Times New Roman"/>
                <w:b/>
                <w:bCs/>
                <w:color w:val="auto"/>
                <w:lang w:val="en-US" w:eastAsia="zh-CN"/>
              </w:rPr>
              <w:t>且方案要素齐全，内容完整，有针对性，科学，可行，否则按无效响应处理。</w:t>
            </w:r>
          </w:p>
          <w:p w14:paraId="4457D01D">
            <w:pPr>
              <w:numPr>
                <w:ilvl w:val="0"/>
                <w:numId w:val="0"/>
              </w:numPr>
              <w:spacing w:line="360" w:lineRule="auto"/>
              <w:ind w:firstLine="211" w:firstLineChars="100"/>
              <w:rPr>
                <w:rFonts w:hint="eastAsia" w:ascii="Times New Roman" w:hAnsi="Times New Roman" w:eastAsia="宋体" w:cs="Times New Roman"/>
                <w:color w:val="auto"/>
                <w:lang w:val="en-US" w:eastAsia="zh-CN"/>
              </w:rPr>
            </w:pPr>
            <w:r>
              <w:rPr>
                <w:rFonts w:hint="eastAsia" w:ascii="Times New Roman" w:hAnsi="Times New Roman" w:eastAsia="宋体" w:cs="Times New Roman"/>
                <w:b/>
                <w:bCs/>
                <w:color w:val="auto"/>
                <w:lang w:val="en-US" w:eastAsia="zh-CN"/>
              </w:rPr>
              <w:t>项目实施方案内容至少包括以下要素：</w:t>
            </w:r>
            <w:r>
              <w:rPr>
                <w:rFonts w:hint="eastAsia" w:ascii="Times New Roman" w:hAnsi="Times New Roman" w:eastAsia="宋体" w:cs="Times New Roman"/>
                <w:color w:val="auto"/>
                <w:lang w:val="en-US" w:eastAsia="zh-CN"/>
              </w:rPr>
              <w:t>①保证项目实施的技术力量和人力资源安排；②项目进度计划；③有良好的质量保障措施及安全控制措施；④项目实施过程中的沟通渠道便捷顺畅；⑤项目安装、调试、验收方法；</w:t>
            </w:r>
          </w:p>
          <w:p w14:paraId="7ED5E5F5">
            <w:pPr>
              <w:spacing w:line="440" w:lineRule="exact"/>
              <w:ind w:firstLine="211" w:firstLineChars="1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b/>
                <w:bCs/>
                <w:color w:val="auto"/>
                <w:lang w:val="en-US" w:eastAsia="zh-CN"/>
              </w:rPr>
              <w:t>售后服务方案至少包括以下要素：</w:t>
            </w:r>
            <w:r>
              <w:rPr>
                <w:rFonts w:hint="eastAsia"/>
                <w:color w:val="auto"/>
                <w:highlight w:val="none"/>
              </w:rPr>
              <w:t>①售后服务体系</w:t>
            </w:r>
            <w:r>
              <w:rPr>
                <w:rFonts w:hint="eastAsia"/>
                <w:bCs/>
                <w:color w:val="auto"/>
                <w:highlight w:val="none"/>
              </w:rPr>
              <w:t>；</w:t>
            </w:r>
            <w:r>
              <w:rPr>
                <w:rFonts w:hint="eastAsia"/>
                <w:color w:val="auto"/>
                <w:highlight w:val="none"/>
              </w:rPr>
              <w:t>②质保期内</w:t>
            </w:r>
            <w:r>
              <w:rPr>
                <w:rFonts w:hint="eastAsia"/>
                <w:color w:val="auto"/>
                <w:highlight w:val="none"/>
                <w:lang w:val="en-US" w:eastAsia="zh-CN"/>
              </w:rPr>
              <w:t>拟投入</w:t>
            </w:r>
            <w:r>
              <w:rPr>
                <w:rFonts w:hint="eastAsia"/>
                <w:bCs/>
                <w:color w:val="auto"/>
                <w:highlight w:val="none"/>
              </w:rPr>
              <w:t>维保人员能力及经验说明</w:t>
            </w:r>
            <w:r>
              <w:rPr>
                <w:rFonts w:hint="eastAsia"/>
                <w:color w:val="auto"/>
                <w:highlight w:val="none"/>
              </w:rPr>
              <w:t>、③合同履约期限、④质保期、⑤到达现场处理故障时间、⑥免费保修期外维修维护方案（含零配件的优惠供应等内容）、⑦是否具备故障时的替代产品、⑧培训技术人员</w:t>
            </w:r>
            <w:r>
              <w:rPr>
                <w:rFonts w:hint="eastAsia" w:ascii="Times New Roman" w:hAnsi="Times New Roman" w:eastAsia="宋体" w:cs="Times New Roman"/>
                <w:color w:val="auto"/>
                <w:lang w:val="en-US" w:eastAsia="zh-CN"/>
              </w:rPr>
              <w:t>方案、⑨定期回访、检查、日常保养安排、⑩其他增值售后服务或其他</w:t>
            </w:r>
            <w:r>
              <w:rPr>
                <w:rFonts w:hint="eastAsia" w:ascii="Times New Roman" w:hAnsi="Times New Roman" w:eastAsia="宋体" w:cs="Times New Roman"/>
                <w:color w:val="auto"/>
                <w:highlight w:val="none"/>
                <w:lang w:val="en-US" w:eastAsia="zh-CN"/>
              </w:rPr>
              <w:t>实质性优惠措施</w:t>
            </w:r>
            <w:r>
              <w:rPr>
                <w:rFonts w:hint="eastAsia" w:ascii="Times New Roman" w:hAnsi="Times New Roman" w:eastAsia="宋体" w:cs="Times New Roman"/>
                <w:color w:val="auto"/>
                <w:lang w:val="en-US" w:eastAsia="zh-CN"/>
              </w:rPr>
              <w:t>（可以是：安装后的后续服务内容、供应商自身的特色服务等</w:t>
            </w:r>
            <w:r>
              <w:rPr>
                <w:rFonts w:hint="eastAsia" w:ascii="Times New Roman" w:hAnsi="Times New Roman" w:eastAsia="宋体" w:cs="Times New Roman"/>
                <w:color w:val="auto"/>
                <w:highlight w:val="none"/>
                <w:lang w:val="en-US" w:eastAsia="zh-CN"/>
              </w:rPr>
              <w:t>。没有则写“无”）、</w:t>
            </w:r>
            <w:r>
              <w:rPr>
                <w:rFonts w:hint="eastAsia" w:ascii="Times New Roman" w:hAnsi="Times New Roman" w:eastAsia="宋体" w:cs="Times New Roman"/>
                <w:color w:val="auto"/>
                <w:highlight w:val="none"/>
                <w:lang w:val="en-US" w:eastAsia="zh-CN"/>
              </w:rPr>
              <w:fldChar w:fldCharType="begin"/>
            </w:r>
            <w:r>
              <w:rPr>
                <w:rFonts w:hint="eastAsia" w:ascii="Times New Roman" w:hAnsi="Times New Roman" w:eastAsia="宋体" w:cs="Times New Roman"/>
                <w:color w:val="auto"/>
                <w:highlight w:val="none"/>
                <w:lang w:val="en-US" w:eastAsia="zh-CN"/>
              </w:rPr>
              <w:instrText xml:space="preserve"> = 11 \* GB2 \* MERGEFORMAT </w:instrText>
            </w:r>
            <w:r>
              <w:rPr>
                <w:rFonts w:hint="eastAsia" w:ascii="Times New Roman" w:hAnsi="Times New Roman" w:eastAsia="宋体" w:cs="Times New Roman"/>
                <w:color w:val="auto"/>
                <w:highlight w:val="none"/>
                <w:lang w:val="en-US" w:eastAsia="zh-CN"/>
              </w:rPr>
              <w:fldChar w:fldCharType="separate"/>
            </w:r>
            <w:r>
              <w:rPr>
                <w:rFonts w:hint="eastAsia" w:ascii="Times New Roman" w:hAnsi="Times New Roman" w:eastAsia="宋体" w:cs="Times New Roman"/>
                <w:color w:val="auto"/>
                <w:highlight w:val="none"/>
                <w:lang w:val="en-US" w:eastAsia="zh-CN"/>
              </w:rPr>
              <w:t>⑾</w:t>
            </w:r>
            <w:r>
              <w:rPr>
                <w:rFonts w:hint="eastAsia" w:ascii="Times New Roman" w:hAnsi="Times New Roman" w:eastAsia="宋体" w:cs="Times New Roman"/>
                <w:color w:val="auto"/>
                <w:highlight w:val="none"/>
                <w:lang w:val="en-US" w:eastAsia="zh-CN"/>
              </w:rPr>
              <w:fldChar w:fldCharType="end"/>
            </w:r>
            <w:r>
              <w:rPr>
                <w:rFonts w:hint="eastAsia" w:ascii="Times New Roman" w:hAnsi="Times New Roman" w:eastAsia="宋体" w:cs="Times New Roman"/>
                <w:color w:val="auto"/>
                <w:highlight w:val="none"/>
                <w:lang w:val="en-US" w:eastAsia="zh-CN"/>
              </w:rPr>
              <w:t>承诺后续服务中不私自转包，不委托他人管理，并积极响应并配合采购人相关工作安排。</w:t>
            </w:r>
          </w:p>
          <w:p w14:paraId="1D58DBFB">
            <w:pPr>
              <w:spacing w:line="360" w:lineRule="auto"/>
              <w:rPr>
                <w:rFonts w:hint="default" w:ascii="宋体" w:hAnsi="宋体"/>
                <w:color w:val="auto"/>
                <w:szCs w:val="21"/>
                <w:lang w:val="en-US" w:eastAsia="zh-CN"/>
              </w:rPr>
            </w:pPr>
            <w:r>
              <w:rPr>
                <w:rFonts w:hint="eastAsia" w:ascii="Times New Roman" w:hAnsi="Times New Roman" w:eastAsia="宋体" w:cs="Times New Roman"/>
                <w:color w:val="auto"/>
                <w:highlight w:val="none"/>
                <w:lang w:val="en-US" w:eastAsia="zh-CN"/>
              </w:rPr>
              <w:t>6.产品生产厂家或代理商出具了授权书（如有），请在响应文件中提供。</w:t>
            </w:r>
          </w:p>
        </w:tc>
      </w:tr>
      <w:tr w14:paraId="3473A1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44" w:type="dxa"/>
            <w:gridSpan w:val="3"/>
            <w:tcBorders>
              <w:top w:val="single" w:color="auto" w:sz="4" w:space="0"/>
              <w:left w:val="single" w:color="auto" w:sz="4" w:space="0"/>
              <w:bottom w:val="single" w:color="auto" w:sz="4" w:space="0"/>
              <w:right w:val="single" w:color="auto" w:sz="4" w:space="0"/>
            </w:tcBorders>
            <w:vAlign w:val="center"/>
          </w:tcPr>
          <w:p w14:paraId="507C2472">
            <w:pPr>
              <w:spacing w:line="360" w:lineRule="exact"/>
              <w:jc w:val="center"/>
              <w:rPr>
                <w:rFonts w:hint="eastAsia" w:ascii="宋体" w:hAnsi="宋体" w:eastAsia="宋体" w:cs="Times New Roman"/>
                <w:color w:val="auto"/>
                <w:szCs w:val="21"/>
                <w:lang w:eastAsia="zh-CN"/>
              </w:rPr>
            </w:pPr>
            <w:r>
              <w:rPr>
                <w:rFonts w:hint="eastAsia" w:ascii="宋体" w:hAnsi="宋体"/>
                <w:color w:val="auto"/>
                <w:szCs w:val="21"/>
              </w:rPr>
              <w:t>核心产品</w:t>
            </w:r>
          </w:p>
        </w:tc>
        <w:tc>
          <w:tcPr>
            <w:tcW w:w="7996" w:type="dxa"/>
            <w:gridSpan w:val="4"/>
            <w:tcBorders>
              <w:top w:val="single" w:color="auto" w:sz="4" w:space="0"/>
              <w:left w:val="single" w:color="auto" w:sz="4" w:space="0"/>
              <w:bottom w:val="single" w:color="auto" w:sz="4" w:space="0"/>
              <w:right w:val="single" w:color="auto" w:sz="4" w:space="0"/>
            </w:tcBorders>
            <w:vAlign w:val="center"/>
          </w:tcPr>
          <w:p w14:paraId="36AA0E59">
            <w:pPr>
              <w:spacing w:line="360" w:lineRule="exact"/>
              <w:ind w:firstLine="411" w:firstLineChars="196"/>
              <w:rPr>
                <w:rFonts w:hint="eastAsia" w:ascii="宋体" w:hAnsi="宋体"/>
                <w:color w:val="auto"/>
                <w:szCs w:val="21"/>
                <w:u w:val="none"/>
                <w:lang w:val="en-US" w:eastAsia="zh-CN"/>
              </w:rPr>
            </w:pPr>
            <w:r>
              <w:rPr>
                <w:rFonts w:hint="eastAsia" w:ascii="宋体" w:hAnsi="宋体"/>
                <w:color w:val="auto"/>
                <w:szCs w:val="21"/>
              </w:rPr>
              <w:t>核心产品：</w:t>
            </w:r>
            <w:r>
              <w:rPr>
                <w:rFonts w:hint="eastAsia" w:ascii="宋体" w:hAnsi="宋体"/>
                <w:color w:val="auto"/>
                <w:szCs w:val="21"/>
                <w:u w:val="single"/>
                <w:lang w:val="en-US" w:eastAsia="zh-CN"/>
              </w:rPr>
              <w:t xml:space="preserve">   重症型救护车   </w:t>
            </w:r>
            <w:r>
              <w:rPr>
                <w:rFonts w:hint="eastAsia" w:ascii="宋体" w:hAnsi="宋体"/>
                <w:color w:val="auto"/>
                <w:szCs w:val="21"/>
                <w:u w:val="none"/>
                <w:lang w:val="en-US" w:eastAsia="zh-CN"/>
              </w:rPr>
              <w:t xml:space="preserve">    </w:t>
            </w:r>
          </w:p>
          <w:p w14:paraId="7CC6D2C3">
            <w:pPr>
              <w:spacing w:line="360" w:lineRule="exact"/>
              <w:ind w:firstLine="411" w:firstLineChars="196"/>
              <w:rPr>
                <w:rFonts w:hint="eastAsia" w:ascii="宋体" w:hAnsi="宋体" w:cs="宋体"/>
                <w:color w:val="auto"/>
                <w:szCs w:val="21"/>
                <w:lang w:eastAsia="zh-CN"/>
              </w:rPr>
            </w:pPr>
            <w:r>
              <w:rPr>
                <w:rFonts w:hint="eastAsia" w:ascii="宋体" w:hAnsi="宋体"/>
                <w:color w:val="auto"/>
                <w:szCs w:val="21"/>
              </w:rPr>
              <w:t>提供相同品牌产品的不同供应商参加单一产品的同一合同项下的政府采购活动的（或非单一产品采购项目中，多家供应商提供的核心产品品牌相同的），取其中质量和服务均能满足谈判文件实质性响应要求且最后竞标总报价最低的供应商参加评审；最后报价相同时，则由采购人自主选择确定一家供应商参加评审，其他</w:t>
            </w:r>
            <w:r>
              <w:rPr>
                <w:rFonts w:hint="eastAsia" w:ascii="宋体" w:hAnsi="宋体"/>
                <w:color w:val="auto"/>
                <w:szCs w:val="21"/>
                <w:lang w:val="en-US" w:eastAsia="zh-CN"/>
              </w:rPr>
              <w:t>按无效响应处理</w:t>
            </w:r>
            <w:r>
              <w:rPr>
                <w:rFonts w:hint="eastAsia" w:ascii="宋体" w:hAnsi="宋体"/>
                <w:color w:val="auto"/>
                <w:szCs w:val="21"/>
              </w:rPr>
              <w:t>。</w:t>
            </w:r>
          </w:p>
        </w:tc>
      </w:tr>
      <w:tr w14:paraId="31D7BC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640" w:type="dxa"/>
            <w:gridSpan w:val="7"/>
            <w:tcBorders>
              <w:top w:val="single" w:color="auto" w:sz="4" w:space="0"/>
              <w:left w:val="single" w:color="auto" w:sz="4" w:space="0"/>
              <w:bottom w:val="single" w:color="auto" w:sz="4" w:space="0"/>
              <w:right w:val="single" w:color="auto" w:sz="4" w:space="0"/>
            </w:tcBorders>
            <w:vAlign w:val="center"/>
          </w:tcPr>
          <w:p w14:paraId="6CEE5471">
            <w:pPr>
              <w:spacing w:line="360" w:lineRule="auto"/>
              <w:rPr>
                <w:rFonts w:hint="eastAsia" w:ascii="宋体" w:hAnsi="宋体" w:eastAsia="宋体" w:cs="Times New Roman"/>
                <w:color w:val="auto"/>
                <w:szCs w:val="21"/>
                <w:lang w:eastAsia="zh-CN"/>
              </w:rPr>
            </w:pPr>
            <w:r>
              <w:rPr>
                <w:rFonts w:hint="eastAsia" w:ascii="宋体" w:hAnsi="宋体"/>
                <w:color w:val="auto"/>
                <w:szCs w:val="21"/>
              </w:rPr>
              <w:t>▲</w:t>
            </w:r>
            <w:r>
              <w:rPr>
                <w:rFonts w:hint="eastAsia" w:ascii="宋体" w:hAnsi="宋体"/>
                <w:b/>
                <w:color w:val="auto"/>
                <w:szCs w:val="21"/>
                <w:lang w:eastAsia="zh-CN"/>
              </w:rPr>
              <w:t>二</w:t>
            </w:r>
            <w:r>
              <w:rPr>
                <w:rFonts w:hint="eastAsia" w:ascii="宋体" w:hAnsi="宋体"/>
                <w:b/>
                <w:color w:val="auto"/>
                <w:szCs w:val="21"/>
              </w:rPr>
              <w:t>、进口产品说明</w:t>
            </w:r>
          </w:p>
        </w:tc>
      </w:tr>
      <w:tr w14:paraId="72715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9640" w:type="dxa"/>
            <w:gridSpan w:val="7"/>
            <w:tcBorders>
              <w:top w:val="single" w:color="auto" w:sz="4" w:space="0"/>
              <w:left w:val="single" w:color="auto" w:sz="4" w:space="0"/>
              <w:bottom w:val="single" w:color="auto" w:sz="4" w:space="0"/>
              <w:right w:val="single" w:color="auto" w:sz="4" w:space="0"/>
            </w:tcBorders>
            <w:vAlign w:val="center"/>
          </w:tcPr>
          <w:p w14:paraId="16E2684A">
            <w:pPr>
              <w:spacing w:line="360" w:lineRule="auto"/>
              <w:rPr>
                <w:rFonts w:hint="eastAsia" w:ascii="宋体" w:hAnsi="宋体" w:eastAsia="宋体" w:cs="Times New Roman"/>
                <w:color w:val="auto"/>
                <w:szCs w:val="21"/>
                <w:lang w:eastAsia="zh-CN"/>
              </w:rPr>
            </w:pPr>
            <w:r>
              <w:rPr>
                <w:rFonts w:hint="eastAsia"/>
                <w:b/>
                <w:color w:val="auto"/>
              </w:rPr>
              <w:t>本项目货物不接受进口产品竞标（</w:t>
            </w:r>
            <w:r>
              <w:rPr>
                <w:rFonts w:hint="eastAsia" w:hAnsi="宋体"/>
                <w:b/>
                <w:color w:val="auto"/>
              </w:rPr>
              <w:t>即通过中国海关报关验放进入中国境内且产自关境外的产品</w:t>
            </w:r>
            <w:r>
              <w:rPr>
                <w:rFonts w:hint="eastAsia"/>
                <w:b/>
                <w:color w:val="auto"/>
              </w:rPr>
              <w:t>）</w:t>
            </w:r>
            <w:r>
              <w:rPr>
                <w:rFonts w:hint="eastAsia"/>
                <w:color w:val="auto"/>
              </w:rPr>
              <w:t>，</w:t>
            </w:r>
            <w:r>
              <w:rPr>
                <w:rFonts w:hint="eastAsia"/>
                <w:b/>
                <w:color w:val="auto"/>
              </w:rPr>
              <w:t>如有此类产品参与竞标的，响应文件按无效响应处理。</w:t>
            </w:r>
          </w:p>
        </w:tc>
      </w:tr>
    </w:tbl>
    <w:p w14:paraId="04568535">
      <w:pPr>
        <w:spacing w:line="528" w:lineRule="exact"/>
        <w:rPr>
          <w:rFonts w:ascii="Arial Unicode MS" w:hAnsi="Arial Unicode MS" w:eastAsia="Arial Unicode MS" w:cs="Arial Unicode MS"/>
          <w:color w:val="auto"/>
          <w:sz w:val="40"/>
          <w:szCs w:val="40"/>
        </w:rPr>
      </w:pPr>
    </w:p>
    <w:p w14:paraId="618F6DC3">
      <w:pPr>
        <w:spacing w:line="528" w:lineRule="exact"/>
        <w:rPr>
          <w:rFonts w:ascii="Arial Unicode MS" w:hAnsi="Arial Unicode MS" w:eastAsia="Arial Unicode MS" w:cs="Arial Unicode MS"/>
          <w:color w:val="auto"/>
          <w:sz w:val="40"/>
          <w:szCs w:val="40"/>
        </w:rPr>
      </w:pPr>
    </w:p>
    <w:p w14:paraId="59B26EBC">
      <w:pPr>
        <w:spacing w:line="528" w:lineRule="exact"/>
        <w:rPr>
          <w:rFonts w:ascii="Arial Unicode MS" w:hAnsi="Arial Unicode MS" w:eastAsia="Arial Unicode MS" w:cs="Arial Unicode MS"/>
          <w:color w:val="auto"/>
          <w:sz w:val="40"/>
          <w:szCs w:val="40"/>
        </w:rPr>
      </w:pPr>
    </w:p>
    <w:p w14:paraId="380F04D2">
      <w:pPr>
        <w:spacing w:line="528" w:lineRule="exact"/>
        <w:rPr>
          <w:rFonts w:ascii="Arial Unicode MS" w:hAnsi="Arial Unicode MS" w:eastAsia="Arial Unicode MS" w:cs="Arial Unicode MS"/>
          <w:color w:val="auto"/>
          <w:sz w:val="40"/>
          <w:szCs w:val="40"/>
        </w:rPr>
      </w:pPr>
    </w:p>
    <w:p w14:paraId="34AD88BA">
      <w:pPr>
        <w:spacing w:line="528" w:lineRule="exact"/>
        <w:rPr>
          <w:rFonts w:ascii="Arial Unicode MS" w:hAnsi="Arial Unicode MS" w:eastAsia="Arial Unicode MS" w:cs="Arial Unicode MS"/>
          <w:color w:val="auto"/>
          <w:sz w:val="40"/>
          <w:szCs w:val="40"/>
        </w:rPr>
      </w:pPr>
    </w:p>
    <w:p w14:paraId="0E23B387">
      <w:pPr>
        <w:spacing w:line="528" w:lineRule="exact"/>
        <w:rPr>
          <w:rFonts w:ascii="Arial Unicode MS" w:hAnsi="Arial Unicode MS" w:eastAsia="Arial Unicode MS" w:cs="Arial Unicode MS"/>
          <w:color w:val="auto"/>
          <w:sz w:val="40"/>
          <w:szCs w:val="40"/>
        </w:rPr>
      </w:pPr>
    </w:p>
    <w:p w14:paraId="173C40F9">
      <w:pPr>
        <w:spacing w:line="528" w:lineRule="exact"/>
        <w:rPr>
          <w:rFonts w:ascii="Arial Unicode MS" w:hAnsi="Arial Unicode MS" w:eastAsia="Arial Unicode MS" w:cs="Arial Unicode MS"/>
          <w:color w:val="auto"/>
          <w:sz w:val="40"/>
          <w:szCs w:val="40"/>
        </w:rPr>
      </w:pPr>
    </w:p>
    <w:p w14:paraId="1511C63C">
      <w:pPr>
        <w:spacing w:line="528" w:lineRule="exact"/>
        <w:rPr>
          <w:rFonts w:ascii="Arial Unicode MS" w:hAnsi="Arial Unicode MS" w:eastAsia="Arial Unicode MS" w:cs="Arial Unicode MS"/>
          <w:color w:val="auto"/>
          <w:sz w:val="40"/>
          <w:szCs w:val="40"/>
        </w:rPr>
      </w:pPr>
    </w:p>
    <w:p w14:paraId="2736C458">
      <w:pPr>
        <w:rPr>
          <w:color w:val="auto"/>
        </w:rPr>
      </w:pPr>
    </w:p>
    <w:p w14:paraId="525FA739">
      <w:pPr>
        <w:rPr>
          <w:color w:val="auto"/>
        </w:rPr>
      </w:pPr>
    </w:p>
    <w:p w14:paraId="561F8461">
      <w:pPr>
        <w:spacing w:line="528" w:lineRule="exact"/>
        <w:jc w:val="center"/>
        <w:rPr>
          <w:color w:val="auto"/>
        </w:rPr>
      </w:pPr>
      <w:r>
        <w:rPr>
          <w:rFonts w:hint="eastAsia" w:ascii="Arial Unicode MS" w:hAnsi="Arial Unicode MS" w:eastAsia="Arial Unicode MS" w:cs="Arial Unicode MS"/>
          <w:color w:val="auto"/>
          <w:sz w:val="40"/>
          <w:szCs w:val="40"/>
        </w:rPr>
        <w:t>节能产品政府采购品目清单</w:t>
      </w:r>
    </w:p>
    <w:p w14:paraId="43EDC8D0">
      <w:pPr>
        <w:pStyle w:val="18"/>
        <w:rPr>
          <w:color w:val="auto"/>
        </w:rPr>
      </w:pPr>
    </w:p>
    <w:tbl>
      <w:tblPr>
        <w:tblStyle w:val="27"/>
        <w:tblW w:w="9220" w:type="dxa"/>
        <w:tblInd w:w="93" w:type="dxa"/>
        <w:tblLayout w:type="fixed"/>
        <w:tblCellMar>
          <w:top w:w="0" w:type="dxa"/>
          <w:left w:w="108" w:type="dxa"/>
          <w:bottom w:w="0" w:type="dxa"/>
          <w:right w:w="108" w:type="dxa"/>
        </w:tblCellMar>
      </w:tblPr>
      <w:tblGrid>
        <w:gridCol w:w="716"/>
        <w:gridCol w:w="1041"/>
        <w:gridCol w:w="1516"/>
        <w:gridCol w:w="1612"/>
        <w:gridCol w:w="4335"/>
      </w:tblGrid>
      <w:tr w14:paraId="197021ED">
        <w:tblPrEx>
          <w:tblCellMar>
            <w:top w:w="0" w:type="dxa"/>
            <w:left w:w="108" w:type="dxa"/>
            <w:bottom w:w="0" w:type="dxa"/>
            <w:right w:w="108" w:type="dxa"/>
          </w:tblCellMar>
        </w:tblPrEx>
        <w:trPr>
          <w:trHeight w:val="555" w:hRule="atLeast"/>
        </w:trPr>
        <w:tc>
          <w:tcPr>
            <w:tcW w:w="716" w:type="dxa"/>
            <w:tcBorders>
              <w:top w:val="single" w:color="000000" w:sz="8" w:space="0"/>
              <w:left w:val="single" w:color="000000" w:sz="8" w:space="0"/>
              <w:bottom w:val="single" w:color="000000" w:sz="8" w:space="0"/>
              <w:right w:val="single" w:color="000000" w:sz="8" w:space="0"/>
            </w:tcBorders>
          </w:tcPr>
          <w:p w14:paraId="205EE3E4">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品目序号</w:t>
            </w:r>
          </w:p>
        </w:tc>
        <w:tc>
          <w:tcPr>
            <w:tcW w:w="4169" w:type="dxa"/>
            <w:gridSpan w:val="3"/>
            <w:tcBorders>
              <w:top w:val="single" w:color="000000" w:sz="8" w:space="0"/>
              <w:left w:val="nil"/>
              <w:bottom w:val="single" w:color="000000" w:sz="8" w:space="0"/>
              <w:right w:val="single" w:color="000000" w:sz="8" w:space="0"/>
            </w:tcBorders>
            <w:vAlign w:val="center"/>
          </w:tcPr>
          <w:p w14:paraId="3781FA96">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名称</w:t>
            </w:r>
          </w:p>
        </w:tc>
        <w:tc>
          <w:tcPr>
            <w:tcW w:w="4335" w:type="dxa"/>
            <w:tcBorders>
              <w:top w:val="single" w:color="000000" w:sz="8" w:space="0"/>
              <w:left w:val="nil"/>
              <w:bottom w:val="single" w:color="000000" w:sz="8" w:space="0"/>
              <w:right w:val="single" w:color="000000" w:sz="8" w:space="0"/>
            </w:tcBorders>
            <w:vAlign w:val="center"/>
          </w:tcPr>
          <w:p w14:paraId="7FE31121">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依据的标准</w:t>
            </w:r>
          </w:p>
        </w:tc>
      </w:tr>
      <w:tr w14:paraId="534D6ADA">
        <w:tblPrEx>
          <w:tblCellMar>
            <w:top w:w="0" w:type="dxa"/>
            <w:left w:w="108" w:type="dxa"/>
            <w:bottom w:w="0" w:type="dxa"/>
            <w:right w:w="108" w:type="dxa"/>
          </w:tblCellMar>
        </w:tblPrEx>
        <w:trPr>
          <w:trHeight w:val="495" w:hRule="atLeast"/>
        </w:trPr>
        <w:tc>
          <w:tcPr>
            <w:tcW w:w="716" w:type="dxa"/>
            <w:vMerge w:val="restart"/>
            <w:tcBorders>
              <w:top w:val="nil"/>
              <w:left w:val="single" w:color="000000" w:sz="8" w:space="0"/>
              <w:bottom w:val="single" w:color="000000" w:sz="8" w:space="0"/>
              <w:right w:val="single" w:color="000000" w:sz="8" w:space="0"/>
            </w:tcBorders>
            <w:vAlign w:val="center"/>
          </w:tcPr>
          <w:p w14:paraId="112ED835">
            <w:pPr>
              <w:widowControl/>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1041" w:type="dxa"/>
            <w:vMerge w:val="restart"/>
            <w:tcBorders>
              <w:top w:val="nil"/>
              <w:left w:val="single" w:color="000000" w:sz="8" w:space="0"/>
              <w:bottom w:val="single" w:color="000000" w:sz="8" w:space="0"/>
              <w:right w:val="single" w:color="000000" w:sz="8" w:space="0"/>
            </w:tcBorders>
            <w:vAlign w:val="center"/>
          </w:tcPr>
          <w:p w14:paraId="5681341C">
            <w:pPr>
              <w:widowControl/>
              <w:jc w:val="center"/>
              <w:rPr>
                <w:rFonts w:ascii="宋体" w:hAnsi="宋体" w:cs="宋体"/>
                <w:color w:val="auto"/>
                <w:kern w:val="0"/>
                <w:sz w:val="20"/>
                <w:szCs w:val="20"/>
              </w:rPr>
            </w:pPr>
            <w:r>
              <w:rPr>
                <w:rFonts w:hint="eastAsia" w:ascii="宋体" w:hAnsi="宋体" w:cs="宋体"/>
                <w:color w:val="auto"/>
                <w:kern w:val="0"/>
                <w:sz w:val="20"/>
                <w:szCs w:val="20"/>
              </w:rPr>
              <w:t>A020101计算机设备</w:t>
            </w:r>
          </w:p>
        </w:tc>
        <w:tc>
          <w:tcPr>
            <w:tcW w:w="1516" w:type="dxa"/>
            <w:tcBorders>
              <w:top w:val="nil"/>
              <w:left w:val="nil"/>
              <w:bottom w:val="single" w:color="000000" w:sz="8" w:space="0"/>
              <w:right w:val="single" w:color="000000" w:sz="8" w:space="0"/>
            </w:tcBorders>
            <w:vAlign w:val="center"/>
          </w:tcPr>
          <w:p w14:paraId="27B6B93F">
            <w:pPr>
              <w:widowControl/>
              <w:jc w:val="center"/>
              <w:rPr>
                <w:rFonts w:ascii="宋体" w:hAnsi="宋体" w:cs="宋体"/>
                <w:color w:val="auto"/>
                <w:kern w:val="0"/>
                <w:sz w:val="20"/>
                <w:szCs w:val="20"/>
              </w:rPr>
            </w:pPr>
            <w:r>
              <w:rPr>
                <w:rFonts w:hint="eastAsia" w:ascii="宋体" w:hAnsi="宋体" w:cs="宋体"/>
                <w:color w:val="auto"/>
                <w:kern w:val="0"/>
                <w:sz w:val="20"/>
                <w:szCs w:val="20"/>
              </w:rPr>
              <w:t>★A02010104台式计算机</w:t>
            </w:r>
          </w:p>
        </w:tc>
        <w:tc>
          <w:tcPr>
            <w:tcW w:w="1612" w:type="dxa"/>
            <w:tcBorders>
              <w:top w:val="nil"/>
              <w:left w:val="nil"/>
              <w:bottom w:val="single" w:color="000000" w:sz="8" w:space="0"/>
              <w:right w:val="single" w:color="000000" w:sz="8" w:space="0"/>
            </w:tcBorders>
            <w:vAlign w:val="center"/>
          </w:tcPr>
          <w:p w14:paraId="7A7200DA">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120DBAE6">
            <w:pPr>
              <w:widowControl/>
              <w:jc w:val="left"/>
              <w:rPr>
                <w:rFonts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72EE80F8">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vAlign w:val="center"/>
          </w:tcPr>
          <w:p w14:paraId="17434BE9">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177C69D7">
            <w:pPr>
              <w:widowControl/>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vAlign w:val="center"/>
          </w:tcPr>
          <w:p w14:paraId="02462A1E">
            <w:pPr>
              <w:widowControl/>
              <w:jc w:val="center"/>
              <w:rPr>
                <w:rFonts w:ascii="宋体" w:hAnsi="宋体" w:cs="宋体"/>
                <w:color w:val="auto"/>
                <w:kern w:val="0"/>
                <w:sz w:val="20"/>
                <w:szCs w:val="20"/>
              </w:rPr>
            </w:pPr>
            <w:r>
              <w:rPr>
                <w:rFonts w:hint="eastAsia" w:ascii="宋体" w:hAnsi="宋体" w:cs="宋体"/>
                <w:color w:val="auto"/>
                <w:kern w:val="0"/>
                <w:sz w:val="20"/>
                <w:szCs w:val="20"/>
              </w:rPr>
              <w:t>★A02010105便携式计算机</w:t>
            </w:r>
          </w:p>
        </w:tc>
        <w:tc>
          <w:tcPr>
            <w:tcW w:w="1612" w:type="dxa"/>
            <w:tcBorders>
              <w:top w:val="nil"/>
              <w:left w:val="nil"/>
              <w:bottom w:val="single" w:color="000000" w:sz="8" w:space="0"/>
              <w:right w:val="single" w:color="000000" w:sz="8" w:space="0"/>
            </w:tcBorders>
            <w:vAlign w:val="center"/>
          </w:tcPr>
          <w:p w14:paraId="5BD10D37">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27CB4ECB">
            <w:pPr>
              <w:widowControl/>
              <w:jc w:val="left"/>
              <w:rPr>
                <w:rFonts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6EBEF3E7">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vAlign w:val="center"/>
          </w:tcPr>
          <w:p w14:paraId="1F8C6684">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089ED4F2">
            <w:pPr>
              <w:widowControl/>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vAlign w:val="center"/>
          </w:tcPr>
          <w:p w14:paraId="1BCEF4FD">
            <w:pPr>
              <w:widowControl/>
              <w:jc w:val="center"/>
              <w:rPr>
                <w:rFonts w:ascii="宋体" w:hAnsi="宋体" w:cs="宋体"/>
                <w:color w:val="auto"/>
                <w:kern w:val="0"/>
                <w:sz w:val="20"/>
                <w:szCs w:val="20"/>
              </w:rPr>
            </w:pPr>
            <w:r>
              <w:rPr>
                <w:rFonts w:hint="eastAsia" w:ascii="宋体" w:hAnsi="宋体" w:cs="宋体"/>
                <w:color w:val="auto"/>
                <w:kern w:val="0"/>
                <w:sz w:val="20"/>
                <w:szCs w:val="20"/>
              </w:rPr>
              <w:t>★A02010107平板式微型计算机</w:t>
            </w:r>
          </w:p>
        </w:tc>
        <w:tc>
          <w:tcPr>
            <w:tcW w:w="1612" w:type="dxa"/>
            <w:tcBorders>
              <w:top w:val="nil"/>
              <w:left w:val="nil"/>
              <w:bottom w:val="single" w:color="000000" w:sz="8" w:space="0"/>
              <w:right w:val="single" w:color="000000" w:sz="8" w:space="0"/>
            </w:tcBorders>
            <w:vAlign w:val="center"/>
          </w:tcPr>
          <w:p w14:paraId="436FA049">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04F75698">
            <w:pPr>
              <w:widowControl/>
              <w:jc w:val="left"/>
              <w:rPr>
                <w:rFonts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67725C81">
        <w:tblPrEx>
          <w:tblCellMar>
            <w:top w:w="0" w:type="dxa"/>
            <w:left w:w="108" w:type="dxa"/>
            <w:bottom w:w="0" w:type="dxa"/>
            <w:right w:w="108" w:type="dxa"/>
          </w:tblCellMar>
        </w:tblPrEx>
        <w:trPr>
          <w:trHeight w:val="495" w:hRule="atLeast"/>
        </w:trPr>
        <w:tc>
          <w:tcPr>
            <w:tcW w:w="716" w:type="dxa"/>
            <w:vMerge w:val="restart"/>
            <w:tcBorders>
              <w:top w:val="nil"/>
              <w:left w:val="single" w:color="000000" w:sz="8" w:space="0"/>
              <w:bottom w:val="single" w:color="000000" w:sz="8" w:space="0"/>
              <w:right w:val="single" w:color="000000" w:sz="8" w:space="0"/>
            </w:tcBorders>
            <w:vAlign w:val="center"/>
          </w:tcPr>
          <w:p w14:paraId="121D4DE4">
            <w:pPr>
              <w:widowControl/>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1041" w:type="dxa"/>
            <w:vMerge w:val="restart"/>
            <w:tcBorders>
              <w:top w:val="nil"/>
              <w:left w:val="single" w:color="000000" w:sz="8" w:space="0"/>
              <w:bottom w:val="single" w:color="000000" w:sz="8" w:space="0"/>
              <w:right w:val="single" w:color="000000" w:sz="8" w:space="0"/>
            </w:tcBorders>
            <w:vAlign w:val="center"/>
          </w:tcPr>
          <w:p w14:paraId="007A8712">
            <w:pPr>
              <w:widowControl/>
              <w:jc w:val="center"/>
              <w:rPr>
                <w:rFonts w:ascii="宋体" w:hAnsi="宋体" w:cs="宋体"/>
                <w:color w:val="auto"/>
                <w:kern w:val="0"/>
                <w:sz w:val="20"/>
                <w:szCs w:val="20"/>
              </w:rPr>
            </w:pPr>
            <w:r>
              <w:rPr>
                <w:rFonts w:hint="eastAsia" w:ascii="宋体" w:hAnsi="宋体" w:cs="宋体"/>
                <w:color w:val="auto"/>
                <w:kern w:val="0"/>
                <w:sz w:val="20"/>
                <w:szCs w:val="20"/>
              </w:rPr>
              <w:t>A020106输入输出设备</w:t>
            </w:r>
          </w:p>
        </w:tc>
        <w:tc>
          <w:tcPr>
            <w:tcW w:w="1516" w:type="dxa"/>
            <w:vMerge w:val="restart"/>
            <w:tcBorders>
              <w:top w:val="nil"/>
              <w:left w:val="single" w:color="000000" w:sz="8" w:space="0"/>
              <w:bottom w:val="single" w:color="000000" w:sz="8" w:space="0"/>
              <w:right w:val="single" w:color="000000" w:sz="8" w:space="0"/>
            </w:tcBorders>
            <w:vAlign w:val="center"/>
          </w:tcPr>
          <w:p w14:paraId="6DE2808C">
            <w:pPr>
              <w:widowControl/>
              <w:jc w:val="center"/>
              <w:rPr>
                <w:rFonts w:ascii="宋体" w:hAnsi="宋体" w:cs="宋体"/>
                <w:color w:val="auto"/>
                <w:kern w:val="0"/>
                <w:sz w:val="20"/>
                <w:szCs w:val="20"/>
              </w:rPr>
            </w:pPr>
            <w:r>
              <w:rPr>
                <w:rFonts w:hint="eastAsia" w:ascii="宋体" w:hAnsi="宋体" w:cs="宋体"/>
                <w:color w:val="auto"/>
                <w:kern w:val="0"/>
                <w:sz w:val="20"/>
                <w:szCs w:val="20"/>
              </w:rPr>
              <w:t>A02010601打印设备</w:t>
            </w:r>
          </w:p>
        </w:tc>
        <w:tc>
          <w:tcPr>
            <w:tcW w:w="1612" w:type="dxa"/>
            <w:tcBorders>
              <w:top w:val="nil"/>
              <w:left w:val="nil"/>
              <w:bottom w:val="single" w:color="000000" w:sz="8" w:space="0"/>
              <w:right w:val="single" w:color="000000" w:sz="8" w:space="0"/>
            </w:tcBorders>
            <w:vAlign w:val="center"/>
          </w:tcPr>
          <w:p w14:paraId="49381C35">
            <w:pPr>
              <w:widowControl/>
              <w:jc w:val="center"/>
              <w:rPr>
                <w:rFonts w:ascii="宋体" w:hAnsi="宋体" w:cs="宋体"/>
                <w:color w:val="auto"/>
                <w:kern w:val="0"/>
                <w:sz w:val="20"/>
                <w:szCs w:val="20"/>
              </w:rPr>
            </w:pPr>
            <w:r>
              <w:rPr>
                <w:rFonts w:hint="eastAsia" w:ascii="宋体" w:hAnsi="宋体" w:cs="宋体"/>
                <w:color w:val="auto"/>
                <w:kern w:val="0"/>
                <w:sz w:val="20"/>
                <w:szCs w:val="20"/>
              </w:rPr>
              <w:t>A0201060101喷墨打印机</w:t>
            </w:r>
          </w:p>
        </w:tc>
        <w:tc>
          <w:tcPr>
            <w:tcW w:w="4335" w:type="dxa"/>
            <w:tcBorders>
              <w:top w:val="nil"/>
              <w:left w:val="nil"/>
              <w:bottom w:val="single" w:color="000000" w:sz="8" w:space="0"/>
              <w:right w:val="single" w:color="000000" w:sz="8" w:space="0"/>
            </w:tcBorders>
            <w:vAlign w:val="center"/>
          </w:tcPr>
          <w:p w14:paraId="0791E60D">
            <w:pPr>
              <w:widowControl/>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3D7ACD58">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vAlign w:val="center"/>
          </w:tcPr>
          <w:p w14:paraId="73B4ADF5">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7AD2A09E">
            <w:pPr>
              <w:widowControl/>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6495CA2C">
            <w:pPr>
              <w:widowControl/>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vAlign w:val="center"/>
          </w:tcPr>
          <w:p w14:paraId="316D5D5C">
            <w:pPr>
              <w:widowControl/>
              <w:jc w:val="center"/>
              <w:rPr>
                <w:rFonts w:ascii="宋体" w:hAnsi="宋体" w:cs="宋体"/>
                <w:color w:val="auto"/>
                <w:kern w:val="0"/>
                <w:sz w:val="20"/>
                <w:szCs w:val="20"/>
              </w:rPr>
            </w:pPr>
            <w:r>
              <w:rPr>
                <w:rFonts w:hint="eastAsia" w:ascii="宋体" w:hAnsi="宋体" w:cs="宋体"/>
                <w:color w:val="auto"/>
                <w:kern w:val="0"/>
                <w:sz w:val="20"/>
                <w:szCs w:val="20"/>
              </w:rPr>
              <w:t>★A0201060102激光打印机</w:t>
            </w:r>
          </w:p>
        </w:tc>
        <w:tc>
          <w:tcPr>
            <w:tcW w:w="4335" w:type="dxa"/>
            <w:tcBorders>
              <w:top w:val="nil"/>
              <w:left w:val="nil"/>
              <w:bottom w:val="single" w:color="000000" w:sz="8" w:space="0"/>
              <w:right w:val="single" w:color="000000" w:sz="8" w:space="0"/>
            </w:tcBorders>
            <w:vAlign w:val="center"/>
          </w:tcPr>
          <w:p w14:paraId="6310D515">
            <w:pPr>
              <w:widowControl/>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27B4A3D4">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vAlign w:val="center"/>
          </w:tcPr>
          <w:p w14:paraId="0AC30670">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2C704D78">
            <w:pPr>
              <w:widowControl/>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307C1B3C">
            <w:pPr>
              <w:widowControl/>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vAlign w:val="center"/>
          </w:tcPr>
          <w:p w14:paraId="7ED221FC">
            <w:pPr>
              <w:widowControl/>
              <w:jc w:val="center"/>
              <w:rPr>
                <w:rFonts w:ascii="宋体" w:hAnsi="宋体" w:cs="宋体"/>
                <w:color w:val="auto"/>
                <w:kern w:val="0"/>
                <w:sz w:val="20"/>
                <w:szCs w:val="20"/>
              </w:rPr>
            </w:pPr>
            <w:r>
              <w:rPr>
                <w:rFonts w:hint="eastAsia" w:ascii="宋体" w:hAnsi="宋体" w:cs="宋体"/>
                <w:color w:val="auto"/>
                <w:kern w:val="0"/>
                <w:sz w:val="20"/>
                <w:szCs w:val="20"/>
              </w:rPr>
              <w:t>★A0201060104针式打印机</w:t>
            </w:r>
          </w:p>
        </w:tc>
        <w:tc>
          <w:tcPr>
            <w:tcW w:w="4335" w:type="dxa"/>
            <w:tcBorders>
              <w:top w:val="nil"/>
              <w:left w:val="nil"/>
              <w:bottom w:val="single" w:color="000000" w:sz="8" w:space="0"/>
              <w:right w:val="single" w:color="000000" w:sz="8" w:space="0"/>
            </w:tcBorders>
            <w:vAlign w:val="center"/>
          </w:tcPr>
          <w:p w14:paraId="79DFC196">
            <w:pPr>
              <w:widowControl/>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0ECEAD46">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vAlign w:val="center"/>
          </w:tcPr>
          <w:p w14:paraId="29C18E5B">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675B05B6">
            <w:pPr>
              <w:widowControl/>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vAlign w:val="center"/>
          </w:tcPr>
          <w:p w14:paraId="6E1D6ADE">
            <w:pPr>
              <w:widowControl/>
              <w:jc w:val="center"/>
              <w:rPr>
                <w:rFonts w:ascii="宋体" w:hAnsi="宋体" w:cs="宋体"/>
                <w:color w:val="auto"/>
                <w:kern w:val="0"/>
                <w:sz w:val="20"/>
                <w:szCs w:val="20"/>
              </w:rPr>
            </w:pPr>
            <w:r>
              <w:rPr>
                <w:rFonts w:hint="eastAsia" w:ascii="宋体" w:hAnsi="宋体" w:cs="宋体"/>
                <w:color w:val="auto"/>
                <w:kern w:val="0"/>
                <w:sz w:val="20"/>
                <w:szCs w:val="20"/>
              </w:rPr>
              <w:t>A02010604显示设备</w:t>
            </w:r>
          </w:p>
        </w:tc>
        <w:tc>
          <w:tcPr>
            <w:tcW w:w="1612" w:type="dxa"/>
            <w:tcBorders>
              <w:top w:val="nil"/>
              <w:left w:val="nil"/>
              <w:bottom w:val="single" w:color="000000" w:sz="8" w:space="0"/>
              <w:right w:val="single" w:color="000000" w:sz="8" w:space="0"/>
            </w:tcBorders>
            <w:vAlign w:val="center"/>
          </w:tcPr>
          <w:p w14:paraId="329607E8">
            <w:pPr>
              <w:widowControl/>
              <w:jc w:val="center"/>
              <w:rPr>
                <w:rFonts w:ascii="宋体" w:hAnsi="宋体" w:cs="宋体"/>
                <w:color w:val="auto"/>
                <w:kern w:val="0"/>
                <w:sz w:val="20"/>
                <w:szCs w:val="20"/>
              </w:rPr>
            </w:pPr>
            <w:r>
              <w:rPr>
                <w:rFonts w:hint="eastAsia" w:ascii="宋体" w:hAnsi="宋体" w:cs="宋体"/>
                <w:color w:val="auto"/>
                <w:kern w:val="0"/>
                <w:sz w:val="20"/>
                <w:szCs w:val="20"/>
              </w:rPr>
              <w:t>★A0201060401液晶显示器</w:t>
            </w:r>
          </w:p>
        </w:tc>
        <w:tc>
          <w:tcPr>
            <w:tcW w:w="4335" w:type="dxa"/>
            <w:tcBorders>
              <w:top w:val="nil"/>
              <w:left w:val="nil"/>
              <w:bottom w:val="single" w:color="000000" w:sz="8" w:space="0"/>
              <w:right w:val="single" w:color="000000" w:sz="8" w:space="0"/>
            </w:tcBorders>
            <w:vAlign w:val="center"/>
          </w:tcPr>
          <w:p w14:paraId="20E5350F">
            <w:pPr>
              <w:widowControl/>
              <w:jc w:val="left"/>
              <w:rPr>
                <w:rFonts w:ascii="宋体" w:hAnsi="宋体" w:cs="宋体"/>
                <w:color w:val="auto"/>
                <w:kern w:val="0"/>
                <w:sz w:val="20"/>
                <w:szCs w:val="20"/>
              </w:rPr>
            </w:pPr>
            <w:r>
              <w:rPr>
                <w:rFonts w:hint="eastAsia" w:ascii="宋体" w:hAnsi="宋体" w:cs="宋体"/>
                <w:color w:val="auto"/>
                <w:kern w:val="0"/>
                <w:sz w:val="20"/>
                <w:szCs w:val="20"/>
              </w:rPr>
              <w:t>《计算机显示器能效限定值及能效等级》（GB21520）</w:t>
            </w:r>
          </w:p>
        </w:tc>
      </w:tr>
      <w:tr w14:paraId="5853233C">
        <w:tblPrEx>
          <w:tblCellMar>
            <w:top w:w="0" w:type="dxa"/>
            <w:left w:w="108" w:type="dxa"/>
            <w:bottom w:w="0" w:type="dxa"/>
            <w:right w:w="108" w:type="dxa"/>
          </w:tblCellMar>
        </w:tblPrEx>
        <w:trPr>
          <w:trHeight w:val="975" w:hRule="atLeast"/>
        </w:trPr>
        <w:tc>
          <w:tcPr>
            <w:tcW w:w="716" w:type="dxa"/>
            <w:vMerge w:val="continue"/>
            <w:tcBorders>
              <w:top w:val="nil"/>
              <w:left w:val="single" w:color="000000" w:sz="8" w:space="0"/>
              <w:bottom w:val="single" w:color="000000" w:sz="8" w:space="0"/>
              <w:right w:val="single" w:color="000000" w:sz="8" w:space="0"/>
            </w:tcBorders>
            <w:vAlign w:val="center"/>
          </w:tcPr>
          <w:p w14:paraId="08E5CA86">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5100452D">
            <w:pPr>
              <w:widowControl/>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vAlign w:val="center"/>
          </w:tcPr>
          <w:p w14:paraId="3B1BBA97">
            <w:pPr>
              <w:widowControl/>
              <w:jc w:val="center"/>
              <w:rPr>
                <w:rFonts w:ascii="宋体" w:hAnsi="宋体" w:cs="宋体"/>
                <w:color w:val="auto"/>
                <w:kern w:val="0"/>
                <w:sz w:val="20"/>
                <w:szCs w:val="20"/>
              </w:rPr>
            </w:pPr>
            <w:r>
              <w:rPr>
                <w:rFonts w:hint="eastAsia" w:ascii="宋体" w:hAnsi="宋体" w:cs="宋体"/>
                <w:color w:val="auto"/>
                <w:kern w:val="0"/>
                <w:sz w:val="20"/>
                <w:szCs w:val="20"/>
              </w:rPr>
              <w:t>A02010609图形图像输入设备</w:t>
            </w:r>
          </w:p>
        </w:tc>
        <w:tc>
          <w:tcPr>
            <w:tcW w:w="1612" w:type="dxa"/>
            <w:tcBorders>
              <w:top w:val="nil"/>
              <w:left w:val="nil"/>
              <w:bottom w:val="single" w:color="000000" w:sz="8" w:space="0"/>
              <w:right w:val="single" w:color="000000" w:sz="8" w:space="0"/>
            </w:tcBorders>
            <w:vAlign w:val="center"/>
          </w:tcPr>
          <w:p w14:paraId="4971C0DB">
            <w:pPr>
              <w:widowControl/>
              <w:jc w:val="center"/>
              <w:rPr>
                <w:rFonts w:ascii="宋体" w:hAnsi="宋体" w:cs="宋体"/>
                <w:color w:val="auto"/>
                <w:kern w:val="0"/>
                <w:sz w:val="20"/>
                <w:szCs w:val="20"/>
              </w:rPr>
            </w:pPr>
            <w:r>
              <w:rPr>
                <w:rFonts w:hint="eastAsia" w:ascii="宋体" w:hAnsi="宋体" w:cs="宋体"/>
                <w:color w:val="auto"/>
                <w:kern w:val="0"/>
                <w:sz w:val="20"/>
                <w:szCs w:val="20"/>
              </w:rPr>
              <w:t>A0201060901扫描仪</w:t>
            </w:r>
          </w:p>
        </w:tc>
        <w:tc>
          <w:tcPr>
            <w:tcW w:w="4335" w:type="dxa"/>
            <w:tcBorders>
              <w:top w:val="nil"/>
              <w:left w:val="nil"/>
              <w:bottom w:val="single" w:color="000000" w:sz="8" w:space="0"/>
              <w:right w:val="single" w:color="000000" w:sz="8" w:space="0"/>
            </w:tcBorders>
            <w:vAlign w:val="center"/>
          </w:tcPr>
          <w:p w14:paraId="7E61D1FD">
            <w:pPr>
              <w:widowControl/>
              <w:jc w:val="left"/>
              <w:rPr>
                <w:rFonts w:ascii="宋体" w:hAnsi="宋体" w:cs="宋体"/>
                <w:color w:val="auto"/>
                <w:kern w:val="0"/>
                <w:sz w:val="20"/>
                <w:szCs w:val="20"/>
              </w:rPr>
            </w:pPr>
            <w:r>
              <w:rPr>
                <w:rFonts w:hint="eastAsia" w:ascii="宋体" w:hAnsi="宋体" w:cs="宋体"/>
                <w:color w:val="auto"/>
                <w:kern w:val="0"/>
                <w:sz w:val="20"/>
                <w:szCs w:val="20"/>
              </w:rPr>
              <w:t>参照《复印机、打印机和传真机能效限定值及能效等级》（GB21521中打印速度为15页/分的针式打印机相关要求中打印速度为15页/分的针式打印机相关要求</w:t>
            </w:r>
          </w:p>
        </w:tc>
      </w:tr>
      <w:tr w14:paraId="46022469">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vAlign w:val="center"/>
          </w:tcPr>
          <w:p w14:paraId="3EFF4715">
            <w:pPr>
              <w:widowControl/>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1041" w:type="dxa"/>
            <w:tcBorders>
              <w:top w:val="nil"/>
              <w:left w:val="nil"/>
              <w:bottom w:val="single" w:color="000000" w:sz="8" w:space="0"/>
              <w:right w:val="single" w:color="000000" w:sz="8" w:space="0"/>
            </w:tcBorders>
            <w:vAlign w:val="center"/>
          </w:tcPr>
          <w:p w14:paraId="720C22F1">
            <w:pPr>
              <w:widowControl/>
              <w:jc w:val="center"/>
              <w:rPr>
                <w:rFonts w:ascii="宋体" w:hAnsi="宋体" w:cs="宋体"/>
                <w:color w:val="auto"/>
                <w:kern w:val="0"/>
                <w:sz w:val="20"/>
                <w:szCs w:val="20"/>
              </w:rPr>
            </w:pPr>
            <w:r>
              <w:rPr>
                <w:rFonts w:hint="eastAsia" w:ascii="宋体" w:hAnsi="宋体" w:cs="宋体"/>
                <w:color w:val="auto"/>
                <w:kern w:val="0"/>
                <w:sz w:val="20"/>
                <w:szCs w:val="20"/>
              </w:rPr>
              <w:t>A020202投影仪</w:t>
            </w:r>
          </w:p>
        </w:tc>
        <w:tc>
          <w:tcPr>
            <w:tcW w:w="1516" w:type="dxa"/>
            <w:tcBorders>
              <w:top w:val="nil"/>
              <w:left w:val="nil"/>
              <w:bottom w:val="single" w:color="000000" w:sz="8" w:space="0"/>
              <w:right w:val="single" w:color="000000" w:sz="8" w:space="0"/>
            </w:tcBorders>
            <w:vAlign w:val="center"/>
          </w:tcPr>
          <w:p w14:paraId="10DD7232">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12" w:type="dxa"/>
            <w:tcBorders>
              <w:top w:val="nil"/>
              <w:left w:val="nil"/>
              <w:bottom w:val="single" w:color="000000" w:sz="8" w:space="0"/>
              <w:right w:val="single" w:color="000000" w:sz="8" w:space="0"/>
            </w:tcBorders>
            <w:vAlign w:val="center"/>
          </w:tcPr>
          <w:p w14:paraId="0B066163">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0B07792C">
            <w:pPr>
              <w:widowControl/>
              <w:jc w:val="left"/>
              <w:rPr>
                <w:rFonts w:ascii="宋体" w:hAnsi="宋体" w:cs="宋体"/>
                <w:color w:val="auto"/>
                <w:kern w:val="0"/>
                <w:sz w:val="20"/>
                <w:szCs w:val="20"/>
              </w:rPr>
            </w:pPr>
            <w:r>
              <w:rPr>
                <w:rFonts w:hint="eastAsia" w:ascii="宋体" w:hAnsi="宋体" w:cs="宋体"/>
                <w:color w:val="auto"/>
                <w:kern w:val="0"/>
                <w:sz w:val="20"/>
                <w:szCs w:val="20"/>
              </w:rPr>
              <w:t>《投影机能效限定值及能效等级》（GB32028）</w:t>
            </w:r>
          </w:p>
        </w:tc>
      </w:tr>
      <w:tr w14:paraId="7CA9F7C4">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vAlign w:val="center"/>
          </w:tcPr>
          <w:p w14:paraId="02185F79">
            <w:pPr>
              <w:widowControl/>
              <w:jc w:val="center"/>
              <w:rPr>
                <w:rFonts w:ascii="宋体" w:hAnsi="宋体" w:cs="宋体"/>
                <w:color w:val="auto"/>
                <w:kern w:val="0"/>
                <w:sz w:val="20"/>
                <w:szCs w:val="20"/>
              </w:rPr>
            </w:pPr>
            <w:r>
              <w:rPr>
                <w:rFonts w:hint="eastAsia" w:ascii="宋体" w:hAnsi="宋体" w:cs="宋体"/>
                <w:color w:val="auto"/>
                <w:kern w:val="0"/>
                <w:sz w:val="20"/>
                <w:szCs w:val="20"/>
              </w:rPr>
              <w:t>4</w:t>
            </w:r>
          </w:p>
        </w:tc>
        <w:tc>
          <w:tcPr>
            <w:tcW w:w="1041" w:type="dxa"/>
            <w:tcBorders>
              <w:top w:val="nil"/>
              <w:left w:val="nil"/>
              <w:bottom w:val="single" w:color="000000" w:sz="8" w:space="0"/>
              <w:right w:val="single" w:color="000000" w:sz="8" w:space="0"/>
            </w:tcBorders>
            <w:vAlign w:val="center"/>
          </w:tcPr>
          <w:p w14:paraId="5CF9D20D">
            <w:pPr>
              <w:widowControl/>
              <w:jc w:val="center"/>
              <w:rPr>
                <w:rFonts w:ascii="宋体" w:hAnsi="宋体" w:cs="宋体"/>
                <w:color w:val="auto"/>
                <w:kern w:val="0"/>
                <w:sz w:val="20"/>
                <w:szCs w:val="20"/>
              </w:rPr>
            </w:pPr>
            <w:r>
              <w:rPr>
                <w:rFonts w:hint="eastAsia" w:ascii="宋体" w:hAnsi="宋体" w:cs="宋体"/>
                <w:color w:val="auto"/>
                <w:kern w:val="0"/>
                <w:sz w:val="20"/>
                <w:szCs w:val="20"/>
              </w:rPr>
              <w:t>A020204多功能一体机</w:t>
            </w:r>
          </w:p>
        </w:tc>
        <w:tc>
          <w:tcPr>
            <w:tcW w:w="1516" w:type="dxa"/>
            <w:tcBorders>
              <w:top w:val="nil"/>
              <w:left w:val="nil"/>
              <w:bottom w:val="single" w:color="000000" w:sz="8" w:space="0"/>
              <w:right w:val="single" w:color="000000" w:sz="8" w:space="0"/>
            </w:tcBorders>
            <w:vAlign w:val="center"/>
          </w:tcPr>
          <w:p w14:paraId="7455D952">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12" w:type="dxa"/>
            <w:tcBorders>
              <w:top w:val="nil"/>
              <w:left w:val="nil"/>
              <w:bottom w:val="single" w:color="000000" w:sz="8" w:space="0"/>
              <w:right w:val="single" w:color="000000" w:sz="8" w:space="0"/>
            </w:tcBorders>
            <w:vAlign w:val="center"/>
          </w:tcPr>
          <w:p w14:paraId="139E513B">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6ADF4939">
            <w:pPr>
              <w:widowControl/>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0FC233A0">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vAlign w:val="center"/>
          </w:tcPr>
          <w:p w14:paraId="59655E28">
            <w:pPr>
              <w:widowControl/>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1041" w:type="dxa"/>
            <w:tcBorders>
              <w:top w:val="nil"/>
              <w:left w:val="nil"/>
              <w:bottom w:val="single" w:color="000000" w:sz="8" w:space="0"/>
              <w:right w:val="single" w:color="000000" w:sz="8" w:space="0"/>
            </w:tcBorders>
            <w:vAlign w:val="center"/>
          </w:tcPr>
          <w:p w14:paraId="6A1B73F0">
            <w:pPr>
              <w:widowControl/>
              <w:jc w:val="center"/>
              <w:rPr>
                <w:rFonts w:ascii="宋体" w:hAnsi="宋体" w:cs="宋体"/>
                <w:color w:val="auto"/>
                <w:kern w:val="0"/>
                <w:sz w:val="20"/>
                <w:szCs w:val="20"/>
              </w:rPr>
            </w:pPr>
            <w:r>
              <w:rPr>
                <w:rFonts w:hint="eastAsia" w:ascii="宋体" w:hAnsi="宋体" w:cs="宋体"/>
                <w:color w:val="auto"/>
                <w:kern w:val="0"/>
                <w:sz w:val="20"/>
                <w:szCs w:val="20"/>
              </w:rPr>
              <w:t>A020519泵</w:t>
            </w:r>
          </w:p>
        </w:tc>
        <w:tc>
          <w:tcPr>
            <w:tcW w:w="1516" w:type="dxa"/>
            <w:tcBorders>
              <w:top w:val="nil"/>
              <w:left w:val="nil"/>
              <w:bottom w:val="single" w:color="000000" w:sz="8" w:space="0"/>
              <w:right w:val="single" w:color="000000" w:sz="8" w:space="0"/>
            </w:tcBorders>
            <w:vAlign w:val="center"/>
          </w:tcPr>
          <w:p w14:paraId="0B6DC92D">
            <w:pPr>
              <w:widowControl/>
              <w:jc w:val="center"/>
              <w:rPr>
                <w:rFonts w:ascii="宋体" w:hAnsi="宋体" w:cs="宋体"/>
                <w:color w:val="auto"/>
                <w:kern w:val="0"/>
                <w:sz w:val="20"/>
                <w:szCs w:val="20"/>
              </w:rPr>
            </w:pPr>
            <w:r>
              <w:rPr>
                <w:rFonts w:hint="eastAsia" w:ascii="宋体" w:hAnsi="宋体" w:cs="宋体"/>
                <w:color w:val="auto"/>
                <w:kern w:val="0"/>
                <w:sz w:val="20"/>
                <w:szCs w:val="20"/>
              </w:rPr>
              <w:t>A02051901离心泵</w:t>
            </w:r>
          </w:p>
        </w:tc>
        <w:tc>
          <w:tcPr>
            <w:tcW w:w="1612" w:type="dxa"/>
            <w:tcBorders>
              <w:top w:val="nil"/>
              <w:left w:val="nil"/>
              <w:bottom w:val="single" w:color="000000" w:sz="8" w:space="0"/>
              <w:right w:val="single" w:color="000000" w:sz="8" w:space="0"/>
            </w:tcBorders>
            <w:vAlign w:val="center"/>
          </w:tcPr>
          <w:p w14:paraId="77EC0EBC">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4509ADE9">
            <w:pPr>
              <w:widowControl/>
              <w:jc w:val="left"/>
              <w:rPr>
                <w:rFonts w:ascii="宋体" w:hAnsi="宋体" w:cs="宋体"/>
                <w:color w:val="auto"/>
                <w:kern w:val="0"/>
                <w:sz w:val="20"/>
                <w:szCs w:val="20"/>
              </w:rPr>
            </w:pPr>
            <w:r>
              <w:rPr>
                <w:rFonts w:hint="eastAsia" w:ascii="宋体" w:hAnsi="宋体" w:cs="宋体"/>
                <w:color w:val="auto"/>
                <w:kern w:val="0"/>
                <w:sz w:val="20"/>
                <w:szCs w:val="20"/>
              </w:rPr>
              <w:t>《清水离心泵能效限定值及节能评价值》（GB19762）</w:t>
            </w:r>
          </w:p>
        </w:tc>
      </w:tr>
      <w:tr w14:paraId="735A1FD0">
        <w:tblPrEx>
          <w:tblCellMar>
            <w:top w:w="0" w:type="dxa"/>
            <w:left w:w="108" w:type="dxa"/>
            <w:bottom w:w="0" w:type="dxa"/>
            <w:right w:w="108" w:type="dxa"/>
          </w:tblCellMar>
        </w:tblPrEx>
        <w:trPr>
          <w:trHeight w:val="735" w:hRule="atLeast"/>
        </w:trPr>
        <w:tc>
          <w:tcPr>
            <w:tcW w:w="716" w:type="dxa"/>
            <w:vMerge w:val="restart"/>
            <w:tcBorders>
              <w:top w:val="nil"/>
              <w:left w:val="single" w:color="000000" w:sz="8" w:space="0"/>
              <w:bottom w:val="single" w:color="000000" w:sz="8" w:space="0"/>
              <w:right w:val="single" w:color="000000" w:sz="8" w:space="0"/>
            </w:tcBorders>
            <w:vAlign w:val="center"/>
          </w:tcPr>
          <w:p w14:paraId="77DDA7AE">
            <w:pPr>
              <w:widowControl/>
              <w:jc w:val="center"/>
              <w:rPr>
                <w:rFonts w:ascii="宋体" w:hAnsi="宋体" w:cs="宋体"/>
                <w:color w:val="auto"/>
                <w:kern w:val="0"/>
                <w:sz w:val="20"/>
                <w:szCs w:val="20"/>
              </w:rPr>
            </w:pPr>
            <w:r>
              <w:rPr>
                <w:rFonts w:hint="eastAsia" w:ascii="宋体" w:hAnsi="宋体" w:cs="宋体"/>
                <w:color w:val="auto"/>
                <w:kern w:val="0"/>
                <w:sz w:val="20"/>
                <w:szCs w:val="20"/>
              </w:rPr>
              <w:t>6</w:t>
            </w:r>
          </w:p>
        </w:tc>
        <w:tc>
          <w:tcPr>
            <w:tcW w:w="1041" w:type="dxa"/>
            <w:vMerge w:val="restart"/>
            <w:tcBorders>
              <w:top w:val="nil"/>
              <w:left w:val="single" w:color="000000" w:sz="8" w:space="0"/>
              <w:bottom w:val="single" w:color="000000" w:sz="8" w:space="0"/>
              <w:right w:val="single" w:color="000000" w:sz="8" w:space="0"/>
            </w:tcBorders>
            <w:vAlign w:val="center"/>
          </w:tcPr>
          <w:p w14:paraId="424B3A56">
            <w:pPr>
              <w:widowControl/>
              <w:jc w:val="center"/>
              <w:rPr>
                <w:rFonts w:ascii="宋体" w:hAnsi="宋体" w:cs="宋体"/>
                <w:color w:val="auto"/>
                <w:kern w:val="0"/>
                <w:sz w:val="20"/>
                <w:szCs w:val="20"/>
              </w:rPr>
            </w:pPr>
            <w:r>
              <w:rPr>
                <w:rFonts w:hint="eastAsia" w:ascii="宋体" w:hAnsi="宋体" w:cs="宋体"/>
                <w:color w:val="auto"/>
                <w:kern w:val="0"/>
                <w:sz w:val="20"/>
                <w:szCs w:val="20"/>
              </w:rPr>
              <w:t>A020523制冷空调设备</w:t>
            </w:r>
          </w:p>
        </w:tc>
        <w:tc>
          <w:tcPr>
            <w:tcW w:w="1516" w:type="dxa"/>
            <w:vMerge w:val="restart"/>
            <w:tcBorders>
              <w:top w:val="nil"/>
              <w:left w:val="single" w:color="000000" w:sz="8" w:space="0"/>
              <w:bottom w:val="single" w:color="000000" w:sz="8" w:space="0"/>
              <w:right w:val="single" w:color="000000" w:sz="8" w:space="0"/>
            </w:tcBorders>
            <w:vAlign w:val="center"/>
          </w:tcPr>
          <w:p w14:paraId="0C7BA412">
            <w:pPr>
              <w:widowControl/>
              <w:jc w:val="center"/>
              <w:rPr>
                <w:rFonts w:ascii="宋体" w:hAnsi="宋体" w:cs="宋体"/>
                <w:color w:val="auto"/>
                <w:kern w:val="0"/>
                <w:sz w:val="20"/>
                <w:szCs w:val="20"/>
              </w:rPr>
            </w:pPr>
            <w:r>
              <w:rPr>
                <w:rFonts w:hint="eastAsia" w:ascii="宋体" w:hAnsi="宋体" w:cs="宋体"/>
                <w:color w:val="auto"/>
                <w:kern w:val="0"/>
                <w:sz w:val="20"/>
                <w:szCs w:val="20"/>
              </w:rPr>
              <w:t>★A02052301制冷压缩机</w:t>
            </w:r>
          </w:p>
        </w:tc>
        <w:tc>
          <w:tcPr>
            <w:tcW w:w="1612" w:type="dxa"/>
            <w:tcBorders>
              <w:top w:val="nil"/>
              <w:left w:val="nil"/>
              <w:bottom w:val="single" w:color="000000" w:sz="8" w:space="0"/>
              <w:right w:val="single" w:color="000000" w:sz="8" w:space="0"/>
            </w:tcBorders>
            <w:vAlign w:val="center"/>
          </w:tcPr>
          <w:p w14:paraId="46AD6D82">
            <w:pPr>
              <w:widowControl/>
              <w:jc w:val="center"/>
              <w:rPr>
                <w:rFonts w:ascii="宋体" w:hAnsi="宋体" w:cs="宋体"/>
                <w:color w:val="auto"/>
                <w:kern w:val="0"/>
                <w:sz w:val="20"/>
                <w:szCs w:val="20"/>
              </w:rPr>
            </w:pPr>
            <w:r>
              <w:rPr>
                <w:rFonts w:hint="eastAsia" w:ascii="宋体" w:hAnsi="宋体" w:cs="宋体"/>
                <w:color w:val="auto"/>
                <w:kern w:val="0"/>
                <w:sz w:val="20"/>
                <w:szCs w:val="20"/>
              </w:rPr>
              <w:t>冷水机组</w:t>
            </w:r>
          </w:p>
        </w:tc>
        <w:tc>
          <w:tcPr>
            <w:tcW w:w="4335" w:type="dxa"/>
            <w:tcBorders>
              <w:top w:val="nil"/>
              <w:left w:val="nil"/>
              <w:bottom w:val="single" w:color="000000" w:sz="8" w:space="0"/>
              <w:right w:val="single" w:color="000000" w:sz="8" w:space="0"/>
            </w:tcBorders>
            <w:vAlign w:val="center"/>
          </w:tcPr>
          <w:p w14:paraId="214F7C72">
            <w:pPr>
              <w:widowControl/>
              <w:jc w:val="left"/>
              <w:rPr>
                <w:rFonts w:ascii="宋体" w:hAnsi="宋体" w:cs="宋体"/>
                <w:color w:val="auto"/>
                <w:kern w:val="0"/>
                <w:sz w:val="20"/>
                <w:szCs w:val="20"/>
              </w:rPr>
            </w:pPr>
            <w:r>
              <w:rPr>
                <w:rFonts w:hint="eastAsia" w:ascii="宋体" w:hAnsi="宋体" w:cs="宋体"/>
                <w:color w:val="auto"/>
                <w:kern w:val="0"/>
                <w:sz w:val="20"/>
                <w:szCs w:val="20"/>
              </w:rPr>
              <w:t>《冷水机组能效限定值及能效等级》（GB19577），《低环境温度空气源热泵（冷水）机组能效限定值及能效等级》（GB37480）</w:t>
            </w:r>
          </w:p>
        </w:tc>
      </w:tr>
      <w:tr w14:paraId="0E6428A1">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vAlign w:val="center"/>
          </w:tcPr>
          <w:p w14:paraId="3F5D1E33">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2C60B3B7">
            <w:pPr>
              <w:widowControl/>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150AB23A">
            <w:pPr>
              <w:widowControl/>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vAlign w:val="center"/>
          </w:tcPr>
          <w:p w14:paraId="68279B81">
            <w:pPr>
              <w:widowControl/>
              <w:jc w:val="center"/>
              <w:rPr>
                <w:rFonts w:ascii="宋体" w:hAnsi="宋体" w:cs="宋体"/>
                <w:color w:val="auto"/>
                <w:kern w:val="0"/>
                <w:sz w:val="20"/>
                <w:szCs w:val="20"/>
              </w:rPr>
            </w:pPr>
            <w:r>
              <w:rPr>
                <w:rFonts w:hint="eastAsia" w:ascii="宋体" w:hAnsi="宋体" w:cs="宋体"/>
                <w:color w:val="auto"/>
                <w:kern w:val="0"/>
                <w:sz w:val="20"/>
                <w:szCs w:val="20"/>
              </w:rPr>
              <w:t>水源热泵机组</w:t>
            </w:r>
          </w:p>
        </w:tc>
        <w:tc>
          <w:tcPr>
            <w:tcW w:w="4335" w:type="dxa"/>
            <w:tcBorders>
              <w:top w:val="nil"/>
              <w:left w:val="nil"/>
              <w:bottom w:val="single" w:color="000000" w:sz="8" w:space="0"/>
              <w:right w:val="single" w:color="000000" w:sz="8" w:space="0"/>
            </w:tcBorders>
            <w:vAlign w:val="center"/>
          </w:tcPr>
          <w:p w14:paraId="7757D776">
            <w:pPr>
              <w:widowControl/>
              <w:jc w:val="left"/>
              <w:rPr>
                <w:rFonts w:ascii="宋体" w:hAnsi="宋体" w:cs="宋体"/>
                <w:color w:val="auto"/>
                <w:kern w:val="0"/>
                <w:sz w:val="20"/>
                <w:szCs w:val="20"/>
              </w:rPr>
            </w:pPr>
            <w:r>
              <w:rPr>
                <w:rFonts w:hint="eastAsia" w:ascii="宋体" w:hAnsi="宋体" w:cs="宋体"/>
                <w:color w:val="auto"/>
                <w:kern w:val="0"/>
                <w:sz w:val="20"/>
                <w:szCs w:val="20"/>
              </w:rPr>
              <w:t>《水（地）源热泵机组能效限定值及能效等级》（GB30721）</w:t>
            </w:r>
          </w:p>
        </w:tc>
      </w:tr>
      <w:tr w14:paraId="1E13778D">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vAlign w:val="center"/>
          </w:tcPr>
          <w:p w14:paraId="5CDE5B4E">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42DB6A90">
            <w:pPr>
              <w:widowControl/>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1D494E9D">
            <w:pPr>
              <w:widowControl/>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vAlign w:val="center"/>
          </w:tcPr>
          <w:p w14:paraId="4BA85673">
            <w:pPr>
              <w:widowControl/>
              <w:jc w:val="center"/>
              <w:rPr>
                <w:rFonts w:ascii="宋体" w:hAnsi="宋体" w:cs="宋体"/>
                <w:color w:val="auto"/>
                <w:kern w:val="0"/>
                <w:sz w:val="20"/>
                <w:szCs w:val="20"/>
              </w:rPr>
            </w:pPr>
            <w:r>
              <w:rPr>
                <w:rFonts w:hint="eastAsia" w:ascii="宋体" w:hAnsi="宋体" w:cs="宋体"/>
                <w:color w:val="auto"/>
                <w:kern w:val="0"/>
                <w:sz w:val="20"/>
                <w:szCs w:val="20"/>
              </w:rPr>
              <w:t>溴化锂吸收式冷水机组</w:t>
            </w:r>
          </w:p>
        </w:tc>
        <w:tc>
          <w:tcPr>
            <w:tcW w:w="4335" w:type="dxa"/>
            <w:tcBorders>
              <w:top w:val="nil"/>
              <w:left w:val="nil"/>
              <w:bottom w:val="single" w:color="000000" w:sz="8" w:space="0"/>
              <w:right w:val="single" w:color="000000" w:sz="8" w:space="0"/>
            </w:tcBorders>
            <w:vAlign w:val="center"/>
          </w:tcPr>
          <w:p w14:paraId="7D31C500">
            <w:pPr>
              <w:widowControl/>
              <w:jc w:val="left"/>
              <w:rPr>
                <w:rFonts w:ascii="宋体" w:hAnsi="宋体" w:cs="宋体"/>
                <w:color w:val="auto"/>
                <w:kern w:val="0"/>
                <w:sz w:val="20"/>
                <w:szCs w:val="20"/>
              </w:rPr>
            </w:pPr>
            <w:r>
              <w:rPr>
                <w:rFonts w:hint="eastAsia" w:ascii="宋体" w:hAnsi="宋体" w:cs="宋体"/>
                <w:color w:val="auto"/>
                <w:kern w:val="0"/>
                <w:sz w:val="20"/>
                <w:szCs w:val="20"/>
              </w:rPr>
              <w:t>《溴化锂吸收式冷水机组能效限定值及能效等级》（GB29540）</w:t>
            </w:r>
          </w:p>
        </w:tc>
      </w:tr>
      <w:tr w14:paraId="6B66C682">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vAlign w:val="center"/>
          </w:tcPr>
          <w:p w14:paraId="6F9A27DF">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3BDA1DBB">
            <w:pPr>
              <w:widowControl/>
              <w:jc w:val="left"/>
              <w:rPr>
                <w:rFonts w:ascii="宋体" w:hAnsi="宋体" w:cs="宋体"/>
                <w:color w:val="auto"/>
                <w:kern w:val="0"/>
                <w:sz w:val="20"/>
                <w:szCs w:val="20"/>
              </w:rPr>
            </w:pPr>
          </w:p>
        </w:tc>
        <w:tc>
          <w:tcPr>
            <w:tcW w:w="1516" w:type="dxa"/>
            <w:vMerge w:val="restart"/>
            <w:tcBorders>
              <w:top w:val="nil"/>
              <w:left w:val="single" w:color="000000" w:sz="8" w:space="0"/>
              <w:bottom w:val="single" w:color="000000" w:sz="8" w:space="0"/>
              <w:right w:val="single" w:color="000000" w:sz="8" w:space="0"/>
            </w:tcBorders>
            <w:vAlign w:val="center"/>
          </w:tcPr>
          <w:p w14:paraId="341464D0">
            <w:pPr>
              <w:widowControl/>
              <w:jc w:val="center"/>
              <w:rPr>
                <w:rFonts w:ascii="宋体" w:hAnsi="宋体" w:cs="宋体"/>
                <w:color w:val="auto"/>
                <w:kern w:val="0"/>
                <w:sz w:val="20"/>
                <w:szCs w:val="20"/>
              </w:rPr>
            </w:pPr>
            <w:r>
              <w:rPr>
                <w:rFonts w:hint="eastAsia" w:ascii="宋体" w:hAnsi="宋体" w:cs="宋体"/>
                <w:color w:val="auto"/>
                <w:kern w:val="0"/>
                <w:sz w:val="20"/>
                <w:szCs w:val="20"/>
              </w:rPr>
              <w:t>★A02052305空调机组</w:t>
            </w:r>
          </w:p>
        </w:tc>
        <w:tc>
          <w:tcPr>
            <w:tcW w:w="1612" w:type="dxa"/>
            <w:tcBorders>
              <w:top w:val="nil"/>
              <w:left w:val="nil"/>
              <w:bottom w:val="single" w:color="000000" w:sz="8" w:space="0"/>
              <w:right w:val="single" w:color="000000" w:sz="8" w:space="0"/>
            </w:tcBorders>
            <w:vAlign w:val="center"/>
          </w:tcPr>
          <w:p w14:paraId="19559276">
            <w:pPr>
              <w:widowControl/>
              <w:jc w:val="center"/>
              <w:rPr>
                <w:rFonts w:ascii="宋体" w:hAnsi="宋体" w:cs="宋体"/>
                <w:color w:val="auto"/>
                <w:kern w:val="0"/>
                <w:sz w:val="20"/>
                <w:szCs w:val="20"/>
              </w:rPr>
            </w:pPr>
            <w:r>
              <w:rPr>
                <w:rFonts w:hint="eastAsia" w:ascii="宋体" w:hAnsi="宋体" w:cs="宋体"/>
                <w:color w:val="auto"/>
                <w:kern w:val="0"/>
                <w:sz w:val="20"/>
                <w:szCs w:val="20"/>
              </w:rPr>
              <w:t>多联式空调（热泵）机组(制冷量&gt;14000W)</w:t>
            </w:r>
          </w:p>
        </w:tc>
        <w:tc>
          <w:tcPr>
            <w:tcW w:w="4335" w:type="dxa"/>
            <w:tcBorders>
              <w:top w:val="nil"/>
              <w:left w:val="nil"/>
              <w:bottom w:val="single" w:color="000000" w:sz="8" w:space="0"/>
              <w:right w:val="single" w:color="000000" w:sz="8" w:space="0"/>
            </w:tcBorders>
            <w:vAlign w:val="center"/>
          </w:tcPr>
          <w:p w14:paraId="4E1698B0">
            <w:pPr>
              <w:widowControl/>
              <w:jc w:val="left"/>
              <w:rPr>
                <w:rFonts w:ascii="宋体" w:hAnsi="宋体" w:cs="宋体"/>
                <w:color w:val="auto"/>
                <w:kern w:val="0"/>
                <w:sz w:val="20"/>
                <w:szCs w:val="20"/>
              </w:rPr>
            </w:pPr>
            <w:r>
              <w:rPr>
                <w:rFonts w:hint="eastAsia" w:ascii="宋体" w:hAnsi="宋体" w:cs="宋体"/>
                <w:color w:val="auto"/>
                <w:kern w:val="0"/>
                <w:sz w:val="20"/>
                <w:szCs w:val="20"/>
              </w:rPr>
              <w:t>《多联式空调（热泵）机组能效限定值及能源效率等级》（GB21454）</w:t>
            </w:r>
          </w:p>
        </w:tc>
      </w:tr>
      <w:tr w14:paraId="78405974">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vAlign w:val="center"/>
          </w:tcPr>
          <w:p w14:paraId="2275947A">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573D33A7">
            <w:pPr>
              <w:widowControl/>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7997A577">
            <w:pPr>
              <w:widowControl/>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vAlign w:val="center"/>
          </w:tcPr>
          <w:p w14:paraId="487FBA90">
            <w:pPr>
              <w:widowControl/>
              <w:jc w:val="center"/>
              <w:rPr>
                <w:rFonts w:ascii="宋体" w:hAnsi="宋体" w:cs="宋体"/>
                <w:color w:val="auto"/>
                <w:kern w:val="0"/>
                <w:sz w:val="20"/>
                <w:szCs w:val="20"/>
              </w:rPr>
            </w:pPr>
            <w:r>
              <w:rPr>
                <w:rFonts w:hint="eastAsia" w:ascii="宋体" w:hAnsi="宋体" w:cs="宋体"/>
                <w:color w:val="auto"/>
                <w:kern w:val="0"/>
                <w:sz w:val="20"/>
                <w:szCs w:val="20"/>
              </w:rPr>
              <w:t>单元式空气调节机(制冷量&gt;14000W</w:t>
            </w:r>
          </w:p>
        </w:tc>
        <w:tc>
          <w:tcPr>
            <w:tcW w:w="4335" w:type="dxa"/>
            <w:tcBorders>
              <w:top w:val="nil"/>
              <w:left w:val="nil"/>
              <w:bottom w:val="single" w:color="000000" w:sz="8" w:space="0"/>
              <w:right w:val="single" w:color="000000" w:sz="8" w:space="0"/>
            </w:tcBorders>
            <w:vAlign w:val="center"/>
          </w:tcPr>
          <w:p w14:paraId="17D93E53">
            <w:pPr>
              <w:widowControl/>
              <w:jc w:val="left"/>
              <w:rPr>
                <w:rFonts w:ascii="宋体" w:hAnsi="宋体" w:cs="宋体"/>
                <w:color w:val="auto"/>
                <w:kern w:val="0"/>
                <w:sz w:val="20"/>
                <w:szCs w:val="20"/>
              </w:rPr>
            </w:pPr>
            <w:r>
              <w:rPr>
                <w:rFonts w:hint="eastAsia" w:ascii="宋体" w:hAnsi="宋体" w:cs="宋体"/>
                <w:color w:val="auto"/>
                <w:kern w:val="0"/>
                <w:sz w:val="20"/>
                <w:szCs w:val="20"/>
              </w:rPr>
              <w:t>《单元式空气调节机能效限定值及能效等级》（GB19576）《风管送风式空调机组能效限定值及能效等级》（GB37479）</w:t>
            </w:r>
          </w:p>
        </w:tc>
      </w:tr>
      <w:tr w14:paraId="6E14615E">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vAlign w:val="center"/>
          </w:tcPr>
          <w:p w14:paraId="7A3AD4DB">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65595B64">
            <w:pPr>
              <w:widowControl/>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vAlign w:val="center"/>
          </w:tcPr>
          <w:p w14:paraId="38EF93BB">
            <w:pPr>
              <w:widowControl/>
              <w:jc w:val="center"/>
              <w:rPr>
                <w:rFonts w:ascii="宋体" w:hAnsi="宋体" w:cs="宋体"/>
                <w:color w:val="auto"/>
                <w:kern w:val="0"/>
                <w:sz w:val="20"/>
                <w:szCs w:val="20"/>
              </w:rPr>
            </w:pPr>
            <w:r>
              <w:rPr>
                <w:rFonts w:hint="eastAsia" w:ascii="宋体" w:hAnsi="宋体" w:cs="宋体"/>
                <w:color w:val="auto"/>
                <w:kern w:val="0"/>
                <w:sz w:val="20"/>
                <w:szCs w:val="20"/>
              </w:rPr>
              <w:t>★A02052309专用制冷、空调设备</w:t>
            </w:r>
          </w:p>
        </w:tc>
        <w:tc>
          <w:tcPr>
            <w:tcW w:w="1612" w:type="dxa"/>
            <w:tcBorders>
              <w:top w:val="nil"/>
              <w:left w:val="nil"/>
              <w:bottom w:val="single" w:color="000000" w:sz="8" w:space="0"/>
              <w:right w:val="single" w:color="000000" w:sz="8" w:space="0"/>
            </w:tcBorders>
            <w:vAlign w:val="center"/>
          </w:tcPr>
          <w:p w14:paraId="6E4D2D56">
            <w:pPr>
              <w:widowControl/>
              <w:jc w:val="center"/>
              <w:rPr>
                <w:rFonts w:ascii="宋体" w:hAnsi="宋体" w:cs="宋体"/>
                <w:color w:val="auto"/>
                <w:kern w:val="0"/>
                <w:sz w:val="20"/>
                <w:szCs w:val="20"/>
              </w:rPr>
            </w:pPr>
            <w:r>
              <w:rPr>
                <w:rFonts w:hint="eastAsia" w:ascii="宋体" w:hAnsi="宋体" w:cs="宋体"/>
                <w:color w:val="auto"/>
                <w:kern w:val="0"/>
                <w:sz w:val="20"/>
                <w:szCs w:val="20"/>
              </w:rPr>
              <w:t>机房空调</w:t>
            </w:r>
          </w:p>
        </w:tc>
        <w:tc>
          <w:tcPr>
            <w:tcW w:w="4335" w:type="dxa"/>
            <w:tcBorders>
              <w:top w:val="nil"/>
              <w:left w:val="nil"/>
              <w:bottom w:val="single" w:color="000000" w:sz="8" w:space="0"/>
              <w:right w:val="single" w:color="000000" w:sz="8" w:space="0"/>
            </w:tcBorders>
            <w:vAlign w:val="center"/>
          </w:tcPr>
          <w:p w14:paraId="1C28D5B9">
            <w:pPr>
              <w:widowControl/>
              <w:jc w:val="left"/>
              <w:rPr>
                <w:rFonts w:ascii="宋体" w:hAnsi="宋体" w:cs="宋体"/>
                <w:color w:val="auto"/>
                <w:kern w:val="0"/>
                <w:sz w:val="20"/>
                <w:szCs w:val="20"/>
              </w:rPr>
            </w:pPr>
            <w:r>
              <w:rPr>
                <w:rFonts w:hint="eastAsia" w:ascii="宋体" w:hAnsi="宋体" w:cs="宋体"/>
                <w:color w:val="auto"/>
                <w:kern w:val="0"/>
                <w:sz w:val="20"/>
                <w:szCs w:val="20"/>
              </w:rPr>
              <w:t>《单元式空气调节机能效限定值及能效等级》（GB19576）</w:t>
            </w:r>
          </w:p>
        </w:tc>
      </w:tr>
      <w:tr w14:paraId="4CDA0F38">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vAlign w:val="center"/>
          </w:tcPr>
          <w:p w14:paraId="4F331924">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36543DBC">
            <w:pPr>
              <w:widowControl/>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vAlign w:val="center"/>
          </w:tcPr>
          <w:p w14:paraId="39816CFC">
            <w:pPr>
              <w:widowControl/>
              <w:jc w:val="center"/>
              <w:rPr>
                <w:rFonts w:ascii="宋体" w:hAnsi="宋体" w:cs="宋体"/>
                <w:color w:val="auto"/>
                <w:kern w:val="0"/>
                <w:sz w:val="20"/>
                <w:szCs w:val="20"/>
              </w:rPr>
            </w:pPr>
            <w:r>
              <w:rPr>
                <w:rFonts w:hint="eastAsia" w:ascii="宋体" w:hAnsi="宋体" w:cs="宋体"/>
                <w:color w:val="auto"/>
                <w:kern w:val="0"/>
                <w:sz w:val="20"/>
                <w:szCs w:val="20"/>
              </w:rPr>
              <w:t>A02052399其他制冷空调设备</w:t>
            </w:r>
          </w:p>
        </w:tc>
        <w:tc>
          <w:tcPr>
            <w:tcW w:w="1612" w:type="dxa"/>
            <w:tcBorders>
              <w:top w:val="nil"/>
              <w:left w:val="nil"/>
              <w:bottom w:val="single" w:color="000000" w:sz="8" w:space="0"/>
              <w:right w:val="single" w:color="000000" w:sz="8" w:space="0"/>
            </w:tcBorders>
            <w:vAlign w:val="center"/>
          </w:tcPr>
          <w:p w14:paraId="7C60A24F">
            <w:pPr>
              <w:widowControl/>
              <w:jc w:val="center"/>
              <w:rPr>
                <w:rFonts w:ascii="宋体" w:hAnsi="宋体" w:cs="宋体"/>
                <w:color w:val="auto"/>
                <w:kern w:val="0"/>
                <w:sz w:val="20"/>
                <w:szCs w:val="20"/>
              </w:rPr>
            </w:pPr>
            <w:r>
              <w:rPr>
                <w:rFonts w:hint="eastAsia" w:ascii="宋体" w:hAnsi="宋体" w:cs="宋体"/>
                <w:color w:val="auto"/>
                <w:kern w:val="0"/>
                <w:sz w:val="20"/>
                <w:szCs w:val="20"/>
              </w:rPr>
              <w:t>冷却塔</w:t>
            </w:r>
          </w:p>
        </w:tc>
        <w:tc>
          <w:tcPr>
            <w:tcW w:w="4335" w:type="dxa"/>
            <w:tcBorders>
              <w:top w:val="nil"/>
              <w:left w:val="nil"/>
              <w:bottom w:val="single" w:color="000000" w:sz="8" w:space="0"/>
              <w:right w:val="single" w:color="000000" w:sz="8" w:space="0"/>
            </w:tcBorders>
            <w:vAlign w:val="center"/>
          </w:tcPr>
          <w:p w14:paraId="3C3F8EBA">
            <w:pPr>
              <w:widowControl/>
              <w:jc w:val="left"/>
              <w:rPr>
                <w:rFonts w:ascii="宋体" w:hAnsi="宋体" w:cs="宋体"/>
                <w:color w:val="auto"/>
                <w:kern w:val="0"/>
                <w:sz w:val="20"/>
                <w:szCs w:val="20"/>
              </w:rPr>
            </w:pPr>
            <w:r>
              <w:rPr>
                <w:rFonts w:hint="eastAsia" w:ascii="宋体" w:hAnsi="宋体" w:cs="宋体"/>
                <w:color w:val="auto"/>
                <w:kern w:val="0"/>
                <w:sz w:val="20"/>
                <w:szCs w:val="20"/>
              </w:rPr>
              <w:t>《机械通风冷却塔第1部分：中小型开式冷却塔》（GB/T7190.1）；《机械通风冷却塔第2部分：大型开式冷却塔》（GB/T7190.2）</w:t>
            </w:r>
          </w:p>
        </w:tc>
      </w:tr>
      <w:tr w14:paraId="06761CD6">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vAlign w:val="center"/>
          </w:tcPr>
          <w:p w14:paraId="27DBCDCC">
            <w:pPr>
              <w:widowControl/>
              <w:jc w:val="center"/>
              <w:rPr>
                <w:rFonts w:ascii="宋体" w:hAnsi="宋体" w:cs="宋体"/>
                <w:color w:val="auto"/>
                <w:kern w:val="0"/>
                <w:sz w:val="20"/>
                <w:szCs w:val="20"/>
              </w:rPr>
            </w:pPr>
            <w:r>
              <w:rPr>
                <w:rFonts w:hint="eastAsia" w:ascii="宋体" w:hAnsi="宋体" w:cs="宋体"/>
                <w:color w:val="auto"/>
                <w:kern w:val="0"/>
                <w:sz w:val="20"/>
                <w:szCs w:val="20"/>
              </w:rPr>
              <w:t>7</w:t>
            </w:r>
          </w:p>
        </w:tc>
        <w:tc>
          <w:tcPr>
            <w:tcW w:w="1041" w:type="dxa"/>
            <w:tcBorders>
              <w:top w:val="nil"/>
              <w:left w:val="nil"/>
              <w:bottom w:val="single" w:color="000000" w:sz="8" w:space="0"/>
              <w:right w:val="single" w:color="000000" w:sz="8" w:space="0"/>
            </w:tcBorders>
            <w:vAlign w:val="center"/>
          </w:tcPr>
          <w:p w14:paraId="7B75389F">
            <w:pPr>
              <w:widowControl/>
              <w:jc w:val="center"/>
              <w:rPr>
                <w:rFonts w:ascii="宋体" w:hAnsi="宋体" w:cs="宋体"/>
                <w:color w:val="auto"/>
                <w:kern w:val="0"/>
                <w:sz w:val="20"/>
                <w:szCs w:val="20"/>
              </w:rPr>
            </w:pPr>
            <w:r>
              <w:rPr>
                <w:rFonts w:hint="eastAsia" w:ascii="宋体" w:hAnsi="宋体" w:cs="宋体"/>
                <w:color w:val="auto"/>
                <w:kern w:val="0"/>
                <w:sz w:val="20"/>
                <w:szCs w:val="20"/>
              </w:rPr>
              <w:t>A020601电机</w:t>
            </w:r>
          </w:p>
        </w:tc>
        <w:tc>
          <w:tcPr>
            <w:tcW w:w="1516" w:type="dxa"/>
            <w:tcBorders>
              <w:top w:val="nil"/>
              <w:left w:val="nil"/>
              <w:bottom w:val="single" w:color="000000" w:sz="8" w:space="0"/>
              <w:right w:val="single" w:color="000000" w:sz="8" w:space="0"/>
            </w:tcBorders>
            <w:vAlign w:val="center"/>
          </w:tcPr>
          <w:p w14:paraId="3A2EFFE8">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12" w:type="dxa"/>
            <w:tcBorders>
              <w:top w:val="nil"/>
              <w:left w:val="nil"/>
              <w:bottom w:val="single" w:color="000000" w:sz="8" w:space="0"/>
              <w:right w:val="single" w:color="000000" w:sz="8" w:space="0"/>
            </w:tcBorders>
            <w:vAlign w:val="center"/>
          </w:tcPr>
          <w:p w14:paraId="3CE95EA7">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7822BEEF">
            <w:pPr>
              <w:widowControl/>
              <w:jc w:val="left"/>
              <w:rPr>
                <w:rFonts w:ascii="宋体" w:hAnsi="宋体" w:cs="宋体"/>
                <w:color w:val="auto"/>
                <w:kern w:val="0"/>
                <w:sz w:val="20"/>
                <w:szCs w:val="20"/>
              </w:rPr>
            </w:pPr>
            <w:r>
              <w:rPr>
                <w:rFonts w:hint="eastAsia" w:ascii="宋体" w:hAnsi="宋体" w:cs="宋体"/>
                <w:color w:val="auto"/>
                <w:kern w:val="0"/>
                <w:sz w:val="20"/>
                <w:szCs w:val="20"/>
              </w:rPr>
              <w:t>《中小型三相异步电动机能效限定值及能效等级》（GB18613）</w:t>
            </w:r>
          </w:p>
        </w:tc>
      </w:tr>
      <w:tr w14:paraId="3C3A17A4">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vAlign w:val="center"/>
          </w:tcPr>
          <w:p w14:paraId="7B2F0FD4">
            <w:pPr>
              <w:widowControl/>
              <w:jc w:val="center"/>
              <w:rPr>
                <w:rFonts w:ascii="宋体" w:hAnsi="宋体" w:cs="宋体"/>
                <w:color w:val="auto"/>
                <w:kern w:val="0"/>
                <w:sz w:val="20"/>
                <w:szCs w:val="20"/>
              </w:rPr>
            </w:pPr>
            <w:r>
              <w:rPr>
                <w:rFonts w:hint="eastAsia" w:ascii="宋体" w:hAnsi="宋体" w:cs="宋体"/>
                <w:color w:val="auto"/>
                <w:kern w:val="0"/>
                <w:sz w:val="20"/>
                <w:szCs w:val="20"/>
              </w:rPr>
              <w:t>8</w:t>
            </w:r>
          </w:p>
        </w:tc>
        <w:tc>
          <w:tcPr>
            <w:tcW w:w="1041" w:type="dxa"/>
            <w:tcBorders>
              <w:top w:val="nil"/>
              <w:left w:val="nil"/>
              <w:bottom w:val="single" w:color="000000" w:sz="8" w:space="0"/>
              <w:right w:val="single" w:color="000000" w:sz="8" w:space="0"/>
            </w:tcBorders>
            <w:vAlign w:val="center"/>
          </w:tcPr>
          <w:p w14:paraId="185580A1">
            <w:pPr>
              <w:widowControl/>
              <w:jc w:val="center"/>
              <w:rPr>
                <w:rFonts w:ascii="宋体" w:hAnsi="宋体" w:cs="宋体"/>
                <w:color w:val="auto"/>
                <w:kern w:val="0"/>
                <w:sz w:val="20"/>
                <w:szCs w:val="20"/>
              </w:rPr>
            </w:pPr>
            <w:r>
              <w:rPr>
                <w:rFonts w:hint="eastAsia" w:ascii="宋体" w:hAnsi="宋体" w:cs="宋体"/>
                <w:color w:val="auto"/>
                <w:kern w:val="0"/>
                <w:sz w:val="20"/>
                <w:szCs w:val="20"/>
              </w:rPr>
              <w:t>A020602变压器</w:t>
            </w:r>
          </w:p>
        </w:tc>
        <w:tc>
          <w:tcPr>
            <w:tcW w:w="1516" w:type="dxa"/>
            <w:tcBorders>
              <w:top w:val="nil"/>
              <w:left w:val="nil"/>
              <w:bottom w:val="single" w:color="000000" w:sz="8" w:space="0"/>
              <w:right w:val="single" w:color="000000" w:sz="8" w:space="0"/>
            </w:tcBorders>
            <w:vAlign w:val="center"/>
          </w:tcPr>
          <w:p w14:paraId="46A4C5D0">
            <w:pPr>
              <w:widowControl/>
              <w:jc w:val="center"/>
              <w:rPr>
                <w:rFonts w:ascii="宋体" w:hAnsi="宋体" w:cs="宋体"/>
                <w:color w:val="auto"/>
                <w:kern w:val="0"/>
                <w:sz w:val="20"/>
                <w:szCs w:val="20"/>
              </w:rPr>
            </w:pPr>
            <w:r>
              <w:rPr>
                <w:rFonts w:hint="eastAsia" w:ascii="宋体" w:hAnsi="宋体" w:cs="宋体"/>
                <w:color w:val="auto"/>
                <w:kern w:val="0"/>
                <w:sz w:val="20"/>
                <w:szCs w:val="20"/>
              </w:rPr>
              <w:t>配电变压器</w:t>
            </w:r>
          </w:p>
        </w:tc>
        <w:tc>
          <w:tcPr>
            <w:tcW w:w="1612" w:type="dxa"/>
            <w:tcBorders>
              <w:top w:val="nil"/>
              <w:left w:val="nil"/>
              <w:bottom w:val="single" w:color="000000" w:sz="8" w:space="0"/>
              <w:right w:val="single" w:color="000000" w:sz="8" w:space="0"/>
            </w:tcBorders>
            <w:vAlign w:val="center"/>
          </w:tcPr>
          <w:p w14:paraId="337CD7D7">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34A5AFCB">
            <w:pPr>
              <w:widowControl/>
              <w:jc w:val="left"/>
              <w:rPr>
                <w:rFonts w:ascii="宋体" w:hAnsi="宋体" w:cs="宋体"/>
                <w:color w:val="auto"/>
                <w:kern w:val="0"/>
                <w:sz w:val="20"/>
                <w:szCs w:val="20"/>
              </w:rPr>
            </w:pPr>
            <w:r>
              <w:rPr>
                <w:rFonts w:hint="eastAsia" w:ascii="宋体" w:hAnsi="宋体" w:cs="宋体"/>
                <w:color w:val="auto"/>
                <w:kern w:val="0"/>
                <w:sz w:val="20"/>
                <w:szCs w:val="20"/>
              </w:rPr>
              <w:t>《三相配电变压器能效限定值及能效等级》（GB20052）</w:t>
            </w:r>
          </w:p>
        </w:tc>
      </w:tr>
      <w:tr w14:paraId="2A483EEE">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vAlign w:val="center"/>
          </w:tcPr>
          <w:p w14:paraId="627A94C4">
            <w:pPr>
              <w:widowControl/>
              <w:jc w:val="center"/>
              <w:rPr>
                <w:rFonts w:ascii="宋体" w:hAnsi="宋体" w:cs="宋体"/>
                <w:color w:val="auto"/>
                <w:kern w:val="0"/>
                <w:sz w:val="20"/>
                <w:szCs w:val="20"/>
              </w:rPr>
            </w:pPr>
            <w:r>
              <w:rPr>
                <w:rFonts w:hint="eastAsia" w:ascii="宋体" w:hAnsi="宋体" w:cs="宋体"/>
                <w:color w:val="auto"/>
                <w:kern w:val="0"/>
                <w:sz w:val="20"/>
                <w:szCs w:val="20"/>
              </w:rPr>
              <w:t>9</w:t>
            </w:r>
          </w:p>
        </w:tc>
        <w:tc>
          <w:tcPr>
            <w:tcW w:w="1041" w:type="dxa"/>
            <w:tcBorders>
              <w:top w:val="nil"/>
              <w:left w:val="nil"/>
              <w:bottom w:val="single" w:color="000000" w:sz="8" w:space="0"/>
              <w:right w:val="single" w:color="000000" w:sz="8" w:space="0"/>
            </w:tcBorders>
            <w:vAlign w:val="center"/>
          </w:tcPr>
          <w:p w14:paraId="3188A993">
            <w:pPr>
              <w:widowControl/>
              <w:jc w:val="center"/>
              <w:rPr>
                <w:rFonts w:ascii="宋体" w:hAnsi="宋体" w:cs="宋体"/>
                <w:color w:val="auto"/>
                <w:kern w:val="0"/>
                <w:sz w:val="20"/>
                <w:szCs w:val="20"/>
              </w:rPr>
            </w:pPr>
            <w:r>
              <w:rPr>
                <w:rFonts w:hint="eastAsia" w:ascii="宋体" w:hAnsi="宋体" w:cs="宋体"/>
                <w:color w:val="auto"/>
                <w:kern w:val="0"/>
                <w:sz w:val="20"/>
                <w:szCs w:val="20"/>
              </w:rPr>
              <w:t>★A020609镇流器</w:t>
            </w:r>
          </w:p>
        </w:tc>
        <w:tc>
          <w:tcPr>
            <w:tcW w:w="1516" w:type="dxa"/>
            <w:tcBorders>
              <w:top w:val="nil"/>
              <w:left w:val="nil"/>
              <w:bottom w:val="single" w:color="000000" w:sz="8" w:space="0"/>
              <w:right w:val="single" w:color="000000" w:sz="8" w:space="0"/>
            </w:tcBorders>
            <w:vAlign w:val="center"/>
          </w:tcPr>
          <w:p w14:paraId="4E69A54D">
            <w:pPr>
              <w:widowControl/>
              <w:jc w:val="center"/>
              <w:rPr>
                <w:rFonts w:ascii="宋体" w:hAnsi="宋体" w:cs="宋体"/>
                <w:color w:val="auto"/>
                <w:kern w:val="0"/>
                <w:sz w:val="20"/>
                <w:szCs w:val="20"/>
              </w:rPr>
            </w:pPr>
            <w:r>
              <w:rPr>
                <w:rFonts w:hint="eastAsia" w:ascii="宋体" w:hAnsi="宋体" w:cs="宋体"/>
                <w:color w:val="auto"/>
                <w:kern w:val="0"/>
                <w:sz w:val="20"/>
                <w:szCs w:val="20"/>
              </w:rPr>
              <w:t>管型荧光灯镇流器</w:t>
            </w:r>
          </w:p>
        </w:tc>
        <w:tc>
          <w:tcPr>
            <w:tcW w:w="1612" w:type="dxa"/>
            <w:tcBorders>
              <w:top w:val="nil"/>
              <w:left w:val="nil"/>
              <w:bottom w:val="single" w:color="000000" w:sz="8" w:space="0"/>
              <w:right w:val="single" w:color="000000" w:sz="8" w:space="0"/>
            </w:tcBorders>
            <w:vAlign w:val="center"/>
          </w:tcPr>
          <w:p w14:paraId="7AEC2A50">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63BDCC5A">
            <w:pPr>
              <w:widowControl/>
              <w:jc w:val="left"/>
              <w:rPr>
                <w:rFonts w:ascii="宋体" w:hAnsi="宋体" w:cs="宋体"/>
                <w:color w:val="auto"/>
                <w:kern w:val="0"/>
                <w:sz w:val="20"/>
                <w:szCs w:val="20"/>
              </w:rPr>
            </w:pPr>
            <w:r>
              <w:rPr>
                <w:rFonts w:hint="eastAsia" w:ascii="宋体" w:hAnsi="宋体" w:cs="宋体"/>
                <w:color w:val="auto"/>
                <w:kern w:val="0"/>
                <w:sz w:val="20"/>
                <w:szCs w:val="20"/>
              </w:rPr>
              <w:t>《管形荧光灯镇流器能效限定值及能效等级》（GB17896）</w:t>
            </w:r>
          </w:p>
        </w:tc>
      </w:tr>
      <w:tr w14:paraId="1FE1CF6B">
        <w:tblPrEx>
          <w:tblCellMar>
            <w:top w:w="0" w:type="dxa"/>
            <w:left w:w="108" w:type="dxa"/>
            <w:bottom w:w="0" w:type="dxa"/>
            <w:right w:w="108" w:type="dxa"/>
          </w:tblCellMar>
        </w:tblPrEx>
        <w:trPr>
          <w:trHeight w:val="495" w:hRule="atLeast"/>
        </w:trPr>
        <w:tc>
          <w:tcPr>
            <w:tcW w:w="716" w:type="dxa"/>
            <w:vMerge w:val="restart"/>
            <w:tcBorders>
              <w:top w:val="nil"/>
              <w:left w:val="single" w:color="000000" w:sz="8" w:space="0"/>
              <w:bottom w:val="single" w:color="000000" w:sz="8" w:space="0"/>
              <w:right w:val="single" w:color="000000" w:sz="8" w:space="0"/>
            </w:tcBorders>
            <w:vAlign w:val="center"/>
          </w:tcPr>
          <w:p w14:paraId="18CD3203">
            <w:pPr>
              <w:widowControl/>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1041" w:type="dxa"/>
            <w:vMerge w:val="restart"/>
            <w:tcBorders>
              <w:top w:val="nil"/>
              <w:left w:val="single" w:color="000000" w:sz="8" w:space="0"/>
              <w:bottom w:val="single" w:color="000000" w:sz="8" w:space="0"/>
              <w:right w:val="single" w:color="000000" w:sz="8" w:space="0"/>
            </w:tcBorders>
            <w:vAlign w:val="center"/>
          </w:tcPr>
          <w:p w14:paraId="72EB3B7F">
            <w:pPr>
              <w:widowControl/>
              <w:jc w:val="center"/>
              <w:rPr>
                <w:rFonts w:ascii="宋体" w:hAnsi="宋体" w:cs="宋体"/>
                <w:color w:val="auto"/>
                <w:kern w:val="0"/>
                <w:sz w:val="20"/>
                <w:szCs w:val="20"/>
              </w:rPr>
            </w:pPr>
            <w:r>
              <w:rPr>
                <w:rFonts w:hint="eastAsia" w:ascii="宋体" w:hAnsi="宋体" w:cs="宋体"/>
                <w:color w:val="auto"/>
                <w:kern w:val="0"/>
                <w:sz w:val="20"/>
                <w:szCs w:val="20"/>
              </w:rPr>
              <w:t>A020618生活用电器</w:t>
            </w:r>
          </w:p>
        </w:tc>
        <w:tc>
          <w:tcPr>
            <w:tcW w:w="1516" w:type="dxa"/>
            <w:tcBorders>
              <w:top w:val="nil"/>
              <w:left w:val="nil"/>
              <w:bottom w:val="single" w:color="000000" w:sz="8" w:space="0"/>
              <w:right w:val="single" w:color="000000" w:sz="8" w:space="0"/>
            </w:tcBorders>
            <w:vAlign w:val="center"/>
          </w:tcPr>
          <w:p w14:paraId="0F5A8B0D">
            <w:pPr>
              <w:widowControl/>
              <w:jc w:val="center"/>
              <w:rPr>
                <w:rFonts w:ascii="宋体" w:hAnsi="宋体" w:cs="宋体"/>
                <w:color w:val="auto"/>
                <w:kern w:val="0"/>
                <w:sz w:val="20"/>
                <w:szCs w:val="20"/>
              </w:rPr>
            </w:pPr>
            <w:r>
              <w:rPr>
                <w:rFonts w:hint="eastAsia" w:ascii="宋体" w:hAnsi="宋体" w:cs="宋体"/>
                <w:color w:val="auto"/>
                <w:kern w:val="0"/>
                <w:sz w:val="20"/>
                <w:szCs w:val="20"/>
              </w:rPr>
              <w:t>A0206180101电冰箱</w:t>
            </w:r>
          </w:p>
        </w:tc>
        <w:tc>
          <w:tcPr>
            <w:tcW w:w="1612" w:type="dxa"/>
            <w:tcBorders>
              <w:top w:val="nil"/>
              <w:left w:val="nil"/>
              <w:bottom w:val="single" w:color="000000" w:sz="8" w:space="0"/>
              <w:right w:val="single" w:color="000000" w:sz="8" w:space="0"/>
            </w:tcBorders>
            <w:vAlign w:val="center"/>
          </w:tcPr>
          <w:p w14:paraId="13779399">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3BBA418B">
            <w:pPr>
              <w:widowControl/>
              <w:jc w:val="left"/>
              <w:rPr>
                <w:rFonts w:ascii="宋体" w:hAnsi="宋体" w:cs="宋体"/>
                <w:color w:val="auto"/>
                <w:kern w:val="0"/>
                <w:sz w:val="20"/>
                <w:szCs w:val="20"/>
              </w:rPr>
            </w:pPr>
            <w:r>
              <w:rPr>
                <w:rFonts w:hint="eastAsia" w:ascii="宋体" w:hAnsi="宋体" w:cs="宋体"/>
                <w:color w:val="auto"/>
                <w:kern w:val="0"/>
                <w:sz w:val="20"/>
                <w:szCs w:val="20"/>
              </w:rPr>
              <w:t>《家用电冰箱耗电量限定值及能效等级》（GB 12021.2）</w:t>
            </w:r>
          </w:p>
        </w:tc>
      </w:tr>
      <w:tr w14:paraId="26C99365">
        <w:tblPrEx>
          <w:tblCellMar>
            <w:top w:w="0" w:type="dxa"/>
            <w:left w:w="108" w:type="dxa"/>
            <w:bottom w:w="0" w:type="dxa"/>
            <w:right w:w="108" w:type="dxa"/>
          </w:tblCellMar>
        </w:tblPrEx>
        <w:trPr>
          <w:trHeight w:val="975" w:hRule="atLeast"/>
        </w:trPr>
        <w:tc>
          <w:tcPr>
            <w:tcW w:w="716" w:type="dxa"/>
            <w:vMerge w:val="continue"/>
            <w:tcBorders>
              <w:top w:val="nil"/>
              <w:left w:val="single" w:color="000000" w:sz="8" w:space="0"/>
              <w:bottom w:val="single" w:color="000000" w:sz="8" w:space="0"/>
              <w:right w:val="single" w:color="000000" w:sz="8" w:space="0"/>
            </w:tcBorders>
            <w:vAlign w:val="center"/>
          </w:tcPr>
          <w:p w14:paraId="7874C715">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60DD1468">
            <w:pPr>
              <w:widowControl/>
              <w:jc w:val="left"/>
              <w:rPr>
                <w:rFonts w:ascii="宋体" w:hAnsi="宋体" w:cs="宋体"/>
                <w:color w:val="auto"/>
                <w:kern w:val="0"/>
                <w:sz w:val="20"/>
                <w:szCs w:val="20"/>
              </w:rPr>
            </w:pPr>
          </w:p>
        </w:tc>
        <w:tc>
          <w:tcPr>
            <w:tcW w:w="1516" w:type="dxa"/>
            <w:vMerge w:val="restart"/>
            <w:tcBorders>
              <w:top w:val="nil"/>
              <w:left w:val="single" w:color="000000" w:sz="8" w:space="0"/>
              <w:bottom w:val="single" w:color="000000" w:sz="8" w:space="0"/>
              <w:right w:val="single" w:color="000000" w:sz="8" w:space="0"/>
            </w:tcBorders>
            <w:vAlign w:val="center"/>
          </w:tcPr>
          <w:p w14:paraId="41685121">
            <w:pPr>
              <w:widowControl/>
              <w:jc w:val="center"/>
              <w:rPr>
                <w:rFonts w:ascii="宋体" w:hAnsi="宋体" w:cs="宋体"/>
                <w:color w:val="auto"/>
                <w:kern w:val="0"/>
                <w:sz w:val="20"/>
                <w:szCs w:val="20"/>
              </w:rPr>
            </w:pPr>
            <w:r>
              <w:rPr>
                <w:rFonts w:hint="eastAsia" w:ascii="宋体" w:hAnsi="宋体" w:cs="宋体"/>
                <w:color w:val="auto"/>
                <w:kern w:val="0"/>
                <w:sz w:val="20"/>
                <w:szCs w:val="20"/>
              </w:rPr>
              <w:t>★A0206180203空调机</w:t>
            </w:r>
          </w:p>
        </w:tc>
        <w:tc>
          <w:tcPr>
            <w:tcW w:w="1612" w:type="dxa"/>
            <w:tcBorders>
              <w:top w:val="nil"/>
              <w:left w:val="nil"/>
              <w:bottom w:val="single" w:color="000000" w:sz="8" w:space="0"/>
              <w:right w:val="single" w:color="000000" w:sz="8" w:space="0"/>
            </w:tcBorders>
            <w:vAlign w:val="center"/>
          </w:tcPr>
          <w:p w14:paraId="2BAB77E0">
            <w:pPr>
              <w:widowControl/>
              <w:jc w:val="center"/>
              <w:rPr>
                <w:rFonts w:ascii="宋体" w:hAnsi="宋体" w:cs="宋体"/>
                <w:color w:val="auto"/>
                <w:kern w:val="0"/>
                <w:sz w:val="20"/>
                <w:szCs w:val="20"/>
              </w:rPr>
            </w:pPr>
            <w:r>
              <w:rPr>
                <w:rFonts w:hint="eastAsia" w:ascii="宋体" w:hAnsi="宋体" w:cs="宋体"/>
                <w:color w:val="auto"/>
                <w:kern w:val="0"/>
                <w:sz w:val="20"/>
                <w:szCs w:val="20"/>
              </w:rPr>
              <w:t>房间空气调节器</w:t>
            </w:r>
          </w:p>
        </w:tc>
        <w:tc>
          <w:tcPr>
            <w:tcW w:w="4335" w:type="dxa"/>
            <w:tcBorders>
              <w:top w:val="nil"/>
              <w:left w:val="nil"/>
              <w:bottom w:val="single" w:color="000000" w:sz="8" w:space="0"/>
              <w:right w:val="single" w:color="000000" w:sz="8" w:space="0"/>
            </w:tcBorders>
            <w:vAlign w:val="center"/>
          </w:tcPr>
          <w:p w14:paraId="6D538D8D">
            <w:pPr>
              <w:widowControl/>
              <w:jc w:val="left"/>
              <w:rPr>
                <w:rFonts w:ascii="宋体" w:hAnsi="宋体" w:cs="宋体"/>
                <w:color w:val="auto"/>
                <w:kern w:val="0"/>
                <w:sz w:val="20"/>
                <w:szCs w:val="20"/>
              </w:rPr>
            </w:pPr>
            <w:r>
              <w:rPr>
                <w:rFonts w:hint="eastAsia" w:ascii="宋体" w:hAnsi="宋体" w:cs="宋体"/>
                <w:color w:val="auto"/>
                <w:kern w:val="0"/>
                <w:sz w:val="20"/>
                <w:szCs w:val="20"/>
              </w:rPr>
              <w:t>《转速可控型房间空气调节器能效限定值及能效等级》（GB21455-2013），待2019年修订发布后，按《房间空气调节器能效限定值及能效等级》（GB21455-2019实施。</w:t>
            </w:r>
          </w:p>
        </w:tc>
      </w:tr>
      <w:tr w14:paraId="37DFDCA8">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vAlign w:val="center"/>
          </w:tcPr>
          <w:p w14:paraId="01C7FC0D">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234EC1A7">
            <w:pPr>
              <w:widowControl/>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17C6F01B">
            <w:pPr>
              <w:widowControl/>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vAlign w:val="center"/>
          </w:tcPr>
          <w:p w14:paraId="772797B6">
            <w:pPr>
              <w:widowControl/>
              <w:jc w:val="center"/>
              <w:rPr>
                <w:rFonts w:ascii="宋体" w:hAnsi="宋体" w:cs="宋体"/>
                <w:color w:val="auto"/>
                <w:kern w:val="0"/>
                <w:sz w:val="20"/>
                <w:szCs w:val="20"/>
              </w:rPr>
            </w:pPr>
            <w:r>
              <w:rPr>
                <w:rFonts w:hint="eastAsia" w:ascii="宋体" w:hAnsi="宋体" w:cs="宋体"/>
                <w:color w:val="auto"/>
                <w:kern w:val="0"/>
                <w:sz w:val="20"/>
                <w:szCs w:val="20"/>
              </w:rPr>
              <w:t>多联式空调（热泵）机组（制冷量≤ 14000W）</w:t>
            </w:r>
          </w:p>
        </w:tc>
        <w:tc>
          <w:tcPr>
            <w:tcW w:w="4335" w:type="dxa"/>
            <w:tcBorders>
              <w:top w:val="nil"/>
              <w:left w:val="nil"/>
              <w:bottom w:val="single" w:color="000000" w:sz="8" w:space="0"/>
              <w:right w:val="single" w:color="000000" w:sz="8" w:space="0"/>
            </w:tcBorders>
            <w:vAlign w:val="center"/>
          </w:tcPr>
          <w:p w14:paraId="246F463A">
            <w:pPr>
              <w:widowControl/>
              <w:jc w:val="left"/>
              <w:rPr>
                <w:rFonts w:ascii="宋体" w:hAnsi="宋体" w:cs="宋体"/>
                <w:color w:val="auto"/>
                <w:kern w:val="0"/>
                <w:sz w:val="20"/>
                <w:szCs w:val="20"/>
              </w:rPr>
            </w:pPr>
            <w:r>
              <w:rPr>
                <w:rFonts w:hint="eastAsia" w:ascii="宋体" w:hAnsi="宋体" w:cs="宋体"/>
                <w:color w:val="auto"/>
                <w:kern w:val="0"/>
                <w:sz w:val="20"/>
                <w:szCs w:val="20"/>
              </w:rPr>
              <w:t>《多联式空调（热泵）机组能效限定值及能源效率等级》（GB21454）</w:t>
            </w:r>
          </w:p>
        </w:tc>
      </w:tr>
      <w:tr w14:paraId="44D2A1B9">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vAlign w:val="center"/>
          </w:tcPr>
          <w:p w14:paraId="3B1DE6C9">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4DE81910">
            <w:pPr>
              <w:widowControl/>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188D1C6F">
            <w:pPr>
              <w:widowControl/>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vAlign w:val="center"/>
          </w:tcPr>
          <w:p w14:paraId="5D098923">
            <w:pPr>
              <w:widowControl/>
              <w:jc w:val="center"/>
              <w:rPr>
                <w:rFonts w:ascii="宋体" w:hAnsi="宋体" w:cs="宋体"/>
                <w:color w:val="auto"/>
                <w:kern w:val="0"/>
                <w:sz w:val="20"/>
                <w:szCs w:val="20"/>
              </w:rPr>
            </w:pPr>
            <w:r>
              <w:rPr>
                <w:rFonts w:hint="eastAsia" w:ascii="宋体" w:hAnsi="宋体" w:cs="宋体"/>
                <w:color w:val="auto"/>
                <w:kern w:val="0"/>
                <w:sz w:val="20"/>
                <w:szCs w:val="20"/>
              </w:rPr>
              <w:t>单元式空气调节机(制冷量≤14000W)</w:t>
            </w:r>
          </w:p>
        </w:tc>
        <w:tc>
          <w:tcPr>
            <w:tcW w:w="4335" w:type="dxa"/>
            <w:tcBorders>
              <w:top w:val="nil"/>
              <w:left w:val="nil"/>
              <w:bottom w:val="single" w:color="000000" w:sz="8" w:space="0"/>
              <w:right w:val="single" w:color="000000" w:sz="8" w:space="0"/>
            </w:tcBorders>
            <w:vAlign w:val="center"/>
          </w:tcPr>
          <w:p w14:paraId="30585E52">
            <w:pPr>
              <w:widowControl/>
              <w:jc w:val="left"/>
              <w:rPr>
                <w:rFonts w:ascii="宋体" w:hAnsi="宋体" w:cs="宋体"/>
                <w:color w:val="auto"/>
                <w:kern w:val="0"/>
                <w:sz w:val="20"/>
                <w:szCs w:val="20"/>
              </w:rPr>
            </w:pPr>
            <w:r>
              <w:rPr>
                <w:rFonts w:hint="eastAsia" w:ascii="宋体" w:hAnsi="宋体" w:cs="宋体"/>
                <w:color w:val="auto"/>
                <w:kern w:val="0"/>
                <w:sz w:val="20"/>
                <w:szCs w:val="20"/>
              </w:rPr>
              <w:t>《单元式空气调节机能效限定值及能源效率等级》（GB19576）《风管送风式空调机组能效限定值及能效等级》（GB37479）</w:t>
            </w:r>
          </w:p>
        </w:tc>
      </w:tr>
      <w:tr w14:paraId="35974AAA">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vAlign w:val="center"/>
          </w:tcPr>
          <w:p w14:paraId="27F1C7BB">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2D335D6D">
            <w:pPr>
              <w:widowControl/>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vAlign w:val="center"/>
          </w:tcPr>
          <w:p w14:paraId="06B4382A">
            <w:pPr>
              <w:widowControl/>
              <w:jc w:val="center"/>
              <w:rPr>
                <w:rFonts w:ascii="宋体" w:hAnsi="宋体" w:cs="宋体"/>
                <w:color w:val="auto"/>
                <w:kern w:val="0"/>
                <w:sz w:val="20"/>
                <w:szCs w:val="20"/>
              </w:rPr>
            </w:pPr>
            <w:r>
              <w:rPr>
                <w:rFonts w:hint="eastAsia" w:ascii="宋体" w:hAnsi="宋体" w:cs="宋体"/>
                <w:color w:val="auto"/>
                <w:kern w:val="0"/>
                <w:sz w:val="20"/>
                <w:szCs w:val="20"/>
              </w:rPr>
              <w:t>A0206180301洗衣机</w:t>
            </w:r>
          </w:p>
        </w:tc>
        <w:tc>
          <w:tcPr>
            <w:tcW w:w="1612" w:type="dxa"/>
            <w:tcBorders>
              <w:top w:val="nil"/>
              <w:left w:val="nil"/>
              <w:bottom w:val="single" w:color="000000" w:sz="8" w:space="0"/>
              <w:right w:val="single" w:color="000000" w:sz="8" w:space="0"/>
            </w:tcBorders>
            <w:vAlign w:val="center"/>
          </w:tcPr>
          <w:p w14:paraId="2C92081A">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2A62F6F1">
            <w:pPr>
              <w:widowControl/>
              <w:jc w:val="left"/>
              <w:rPr>
                <w:rFonts w:ascii="宋体" w:hAnsi="宋体" w:cs="宋体"/>
                <w:color w:val="auto"/>
                <w:kern w:val="0"/>
                <w:sz w:val="20"/>
                <w:szCs w:val="20"/>
              </w:rPr>
            </w:pPr>
            <w:r>
              <w:rPr>
                <w:rFonts w:hint="eastAsia" w:ascii="宋体" w:hAnsi="宋体" w:cs="宋体"/>
                <w:color w:val="auto"/>
                <w:kern w:val="0"/>
                <w:sz w:val="20"/>
                <w:szCs w:val="20"/>
              </w:rPr>
              <w:t>《电动洗衣机能效水效限定值及等级》（GB12021.4）</w:t>
            </w:r>
          </w:p>
        </w:tc>
      </w:tr>
      <w:tr w14:paraId="73427E23">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vAlign w:val="center"/>
          </w:tcPr>
          <w:p w14:paraId="2E93E9A3">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7E87E16C">
            <w:pPr>
              <w:widowControl/>
              <w:jc w:val="left"/>
              <w:rPr>
                <w:rFonts w:ascii="宋体" w:hAnsi="宋体" w:cs="宋体"/>
                <w:color w:val="auto"/>
                <w:kern w:val="0"/>
                <w:sz w:val="20"/>
                <w:szCs w:val="20"/>
              </w:rPr>
            </w:pPr>
          </w:p>
        </w:tc>
        <w:tc>
          <w:tcPr>
            <w:tcW w:w="1516" w:type="dxa"/>
            <w:vMerge w:val="restart"/>
            <w:tcBorders>
              <w:top w:val="nil"/>
              <w:left w:val="single" w:color="000000" w:sz="8" w:space="0"/>
              <w:bottom w:val="single" w:color="000000" w:sz="8" w:space="0"/>
              <w:right w:val="single" w:color="000000" w:sz="8" w:space="0"/>
            </w:tcBorders>
            <w:vAlign w:val="center"/>
          </w:tcPr>
          <w:p w14:paraId="11CCBACA">
            <w:pPr>
              <w:widowControl/>
              <w:jc w:val="center"/>
              <w:rPr>
                <w:rFonts w:ascii="宋体" w:hAnsi="宋体" w:cs="宋体"/>
                <w:color w:val="auto"/>
                <w:kern w:val="0"/>
                <w:sz w:val="20"/>
                <w:szCs w:val="20"/>
              </w:rPr>
            </w:pPr>
            <w:r>
              <w:rPr>
                <w:rFonts w:hint="eastAsia" w:ascii="宋体" w:hAnsi="宋体" w:cs="宋体"/>
                <w:color w:val="auto"/>
                <w:kern w:val="0"/>
                <w:sz w:val="20"/>
                <w:szCs w:val="20"/>
              </w:rPr>
              <w:t>A02061808热水器</w:t>
            </w:r>
          </w:p>
        </w:tc>
        <w:tc>
          <w:tcPr>
            <w:tcW w:w="1612" w:type="dxa"/>
            <w:tcBorders>
              <w:top w:val="nil"/>
              <w:left w:val="nil"/>
              <w:bottom w:val="single" w:color="000000" w:sz="8" w:space="0"/>
              <w:right w:val="single" w:color="000000" w:sz="8" w:space="0"/>
            </w:tcBorders>
            <w:vAlign w:val="center"/>
          </w:tcPr>
          <w:p w14:paraId="229EB2B5">
            <w:pPr>
              <w:widowControl/>
              <w:jc w:val="center"/>
              <w:rPr>
                <w:rFonts w:ascii="宋体" w:hAnsi="宋体" w:cs="宋体"/>
                <w:color w:val="auto"/>
                <w:kern w:val="0"/>
                <w:sz w:val="20"/>
                <w:szCs w:val="20"/>
              </w:rPr>
            </w:pPr>
            <w:r>
              <w:rPr>
                <w:rFonts w:hint="eastAsia" w:ascii="宋体" w:hAnsi="宋体" w:cs="宋体"/>
                <w:color w:val="auto"/>
                <w:kern w:val="0"/>
                <w:sz w:val="20"/>
                <w:szCs w:val="20"/>
              </w:rPr>
              <w:t>★电热水器</w:t>
            </w:r>
          </w:p>
        </w:tc>
        <w:tc>
          <w:tcPr>
            <w:tcW w:w="4335" w:type="dxa"/>
            <w:tcBorders>
              <w:top w:val="nil"/>
              <w:left w:val="nil"/>
              <w:bottom w:val="single" w:color="000000" w:sz="8" w:space="0"/>
              <w:right w:val="single" w:color="000000" w:sz="8" w:space="0"/>
            </w:tcBorders>
            <w:vAlign w:val="center"/>
          </w:tcPr>
          <w:p w14:paraId="20FA8245">
            <w:pPr>
              <w:widowControl/>
              <w:jc w:val="left"/>
              <w:rPr>
                <w:rFonts w:ascii="宋体" w:hAnsi="宋体" w:cs="宋体"/>
                <w:color w:val="auto"/>
                <w:kern w:val="0"/>
                <w:sz w:val="20"/>
                <w:szCs w:val="20"/>
              </w:rPr>
            </w:pPr>
            <w:r>
              <w:rPr>
                <w:rFonts w:hint="eastAsia" w:ascii="宋体" w:hAnsi="宋体" w:cs="宋体"/>
                <w:color w:val="auto"/>
                <w:kern w:val="0"/>
                <w:sz w:val="20"/>
                <w:szCs w:val="20"/>
              </w:rPr>
              <w:t>《储水式电热水器能效限定值及能效等级》（GB21519）</w:t>
            </w:r>
          </w:p>
        </w:tc>
      </w:tr>
      <w:tr w14:paraId="1D4D393D">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vAlign w:val="center"/>
          </w:tcPr>
          <w:p w14:paraId="4F2860FB">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0A795A8C">
            <w:pPr>
              <w:widowControl/>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2AAB8D3C">
            <w:pPr>
              <w:widowControl/>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vAlign w:val="center"/>
          </w:tcPr>
          <w:p w14:paraId="304B991C">
            <w:pPr>
              <w:widowControl/>
              <w:jc w:val="center"/>
              <w:rPr>
                <w:rFonts w:ascii="宋体" w:hAnsi="宋体" w:cs="宋体"/>
                <w:color w:val="auto"/>
                <w:kern w:val="0"/>
                <w:sz w:val="20"/>
                <w:szCs w:val="20"/>
              </w:rPr>
            </w:pPr>
            <w:r>
              <w:rPr>
                <w:rFonts w:hint="eastAsia" w:ascii="宋体" w:hAnsi="宋体" w:cs="宋体"/>
                <w:color w:val="auto"/>
                <w:kern w:val="0"/>
                <w:sz w:val="20"/>
                <w:szCs w:val="20"/>
              </w:rPr>
              <w:t>燃气热水器</w:t>
            </w:r>
          </w:p>
        </w:tc>
        <w:tc>
          <w:tcPr>
            <w:tcW w:w="4335" w:type="dxa"/>
            <w:tcBorders>
              <w:top w:val="nil"/>
              <w:left w:val="nil"/>
              <w:bottom w:val="single" w:color="000000" w:sz="8" w:space="0"/>
              <w:right w:val="single" w:color="000000" w:sz="8" w:space="0"/>
            </w:tcBorders>
            <w:vAlign w:val="center"/>
          </w:tcPr>
          <w:p w14:paraId="25755B38">
            <w:pPr>
              <w:widowControl/>
              <w:jc w:val="left"/>
              <w:rPr>
                <w:rFonts w:ascii="宋体" w:hAnsi="宋体" w:cs="宋体"/>
                <w:color w:val="auto"/>
                <w:kern w:val="0"/>
                <w:sz w:val="20"/>
                <w:szCs w:val="20"/>
              </w:rPr>
            </w:pPr>
            <w:r>
              <w:rPr>
                <w:rFonts w:hint="eastAsia" w:ascii="宋体" w:hAnsi="宋体" w:cs="宋体"/>
                <w:color w:val="auto"/>
                <w:kern w:val="0"/>
                <w:sz w:val="20"/>
                <w:szCs w:val="20"/>
              </w:rPr>
              <w:t>《家用燃气快速热水器和燃气采暖热水炉能效限定值及能效等级》（GB20665）</w:t>
            </w:r>
          </w:p>
        </w:tc>
      </w:tr>
      <w:tr w14:paraId="78414B65">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vAlign w:val="center"/>
          </w:tcPr>
          <w:p w14:paraId="69916CBA">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00946CC1">
            <w:pPr>
              <w:widowControl/>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7843DBD4">
            <w:pPr>
              <w:widowControl/>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vAlign w:val="center"/>
          </w:tcPr>
          <w:p w14:paraId="1EA707FD">
            <w:pPr>
              <w:widowControl/>
              <w:jc w:val="center"/>
              <w:rPr>
                <w:rFonts w:ascii="宋体" w:hAnsi="宋体" w:cs="宋体"/>
                <w:color w:val="auto"/>
                <w:kern w:val="0"/>
                <w:sz w:val="20"/>
                <w:szCs w:val="20"/>
              </w:rPr>
            </w:pPr>
            <w:r>
              <w:rPr>
                <w:rFonts w:hint="eastAsia" w:ascii="宋体" w:hAnsi="宋体" w:cs="宋体"/>
                <w:color w:val="auto"/>
                <w:kern w:val="0"/>
                <w:sz w:val="20"/>
                <w:szCs w:val="20"/>
              </w:rPr>
              <w:t>热泵热水器</w:t>
            </w:r>
          </w:p>
        </w:tc>
        <w:tc>
          <w:tcPr>
            <w:tcW w:w="4335" w:type="dxa"/>
            <w:tcBorders>
              <w:top w:val="nil"/>
              <w:left w:val="nil"/>
              <w:bottom w:val="single" w:color="000000" w:sz="8" w:space="0"/>
              <w:right w:val="single" w:color="000000" w:sz="8" w:space="0"/>
            </w:tcBorders>
            <w:vAlign w:val="center"/>
          </w:tcPr>
          <w:p w14:paraId="28B26114">
            <w:pPr>
              <w:widowControl/>
              <w:jc w:val="left"/>
              <w:rPr>
                <w:rFonts w:ascii="宋体" w:hAnsi="宋体" w:cs="宋体"/>
                <w:color w:val="auto"/>
                <w:kern w:val="0"/>
                <w:sz w:val="20"/>
                <w:szCs w:val="20"/>
              </w:rPr>
            </w:pPr>
            <w:r>
              <w:rPr>
                <w:rFonts w:hint="eastAsia" w:ascii="宋体" w:hAnsi="宋体" w:cs="宋体"/>
                <w:color w:val="auto"/>
                <w:kern w:val="0"/>
                <w:sz w:val="20"/>
                <w:szCs w:val="20"/>
              </w:rPr>
              <w:t>《热泵热水机（器）能效限定值及能效等级》（GB29541）</w:t>
            </w:r>
          </w:p>
        </w:tc>
      </w:tr>
      <w:tr w14:paraId="2F779E65">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vAlign w:val="center"/>
          </w:tcPr>
          <w:p w14:paraId="69B76EEF">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32E9212C">
            <w:pPr>
              <w:widowControl/>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27E7B93A">
            <w:pPr>
              <w:widowControl/>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vAlign w:val="center"/>
          </w:tcPr>
          <w:p w14:paraId="5FE501CC">
            <w:pPr>
              <w:widowControl/>
              <w:jc w:val="center"/>
              <w:rPr>
                <w:rFonts w:ascii="宋体" w:hAnsi="宋体" w:cs="宋体"/>
                <w:color w:val="auto"/>
                <w:kern w:val="0"/>
                <w:sz w:val="20"/>
                <w:szCs w:val="20"/>
              </w:rPr>
            </w:pPr>
            <w:r>
              <w:rPr>
                <w:rFonts w:hint="eastAsia" w:ascii="宋体" w:hAnsi="宋体" w:cs="宋体"/>
                <w:color w:val="auto"/>
                <w:kern w:val="0"/>
                <w:sz w:val="20"/>
                <w:szCs w:val="20"/>
              </w:rPr>
              <w:t>太阳能热水系统</w:t>
            </w:r>
          </w:p>
        </w:tc>
        <w:tc>
          <w:tcPr>
            <w:tcW w:w="4335" w:type="dxa"/>
            <w:tcBorders>
              <w:top w:val="nil"/>
              <w:left w:val="nil"/>
              <w:bottom w:val="single" w:color="000000" w:sz="8" w:space="0"/>
              <w:right w:val="single" w:color="000000" w:sz="8" w:space="0"/>
            </w:tcBorders>
            <w:vAlign w:val="center"/>
          </w:tcPr>
          <w:p w14:paraId="10031B3E">
            <w:pPr>
              <w:widowControl/>
              <w:jc w:val="left"/>
              <w:rPr>
                <w:rFonts w:ascii="宋体" w:hAnsi="宋体" w:cs="宋体"/>
                <w:color w:val="auto"/>
                <w:kern w:val="0"/>
                <w:sz w:val="20"/>
                <w:szCs w:val="20"/>
              </w:rPr>
            </w:pPr>
            <w:r>
              <w:rPr>
                <w:rFonts w:hint="eastAsia" w:ascii="宋体" w:hAnsi="宋体" w:cs="宋体"/>
                <w:color w:val="auto"/>
                <w:kern w:val="0"/>
                <w:sz w:val="20"/>
                <w:szCs w:val="20"/>
              </w:rPr>
              <w:t>《家用太阳能热水系统能效限定值及能效等级》（GB26969）</w:t>
            </w:r>
          </w:p>
        </w:tc>
      </w:tr>
      <w:tr w14:paraId="57348769">
        <w:tblPrEx>
          <w:tblCellMar>
            <w:top w:w="0" w:type="dxa"/>
            <w:left w:w="108" w:type="dxa"/>
            <w:bottom w:w="0" w:type="dxa"/>
            <w:right w:w="108" w:type="dxa"/>
          </w:tblCellMar>
        </w:tblPrEx>
        <w:trPr>
          <w:trHeight w:val="495" w:hRule="atLeast"/>
        </w:trPr>
        <w:tc>
          <w:tcPr>
            <w:tcW w:w="716" w:type="dxa"/>
            <w:vMerge w:val="restart"/>
            <w:tcBorders>
              <w:top w:val="nil"/>
              <w:left w:val="single" w:color="000000" w:sz="8" w:space="0"/>
              <w:bottom w:val="single" w:color="000000" w:sz="8" w:space="0"/>
              <w:right w:val="single" w:color="000000" w:sz="8" w:space="0"/>
            </w:tcBorders>
            <w:vAlign w:val="center"/>
          </w:tcPr>
          <w:p w14:paraId="5C59B9D9">
            <w:pPr>
              <w:widowControl/>
              <w:jc w:val="center"/>
              <w:rPr>
                <w:rFonts w:ascii="宋体" w:hAnsi="宋体" w:cs="宋体"/>
                <w:color w:val="auto"/>
                <w:kern w:val="0"/>
                <w:sz w:val="20"/>
                <w:szCs w:val="20"/>
              </w:rPr>
            </w:pPr>
            <w:r>
              <w:rPr>
                <w:rFonts w:hint="eastAsia" w:ascii="宋体" w:hAnsi="宋体" w:cs="宋体"/>
                <w:color w:val="auto"/>
                <w:kern w:val="0"/>
                <w:sz w:val="20"/>
                <w:szCs w:val="20"/>
              </w:rPr>
              <w:t>11</w:t>
            </w:r>
          </w:p>
        </w:tc>
        <w:tc>
          <w:tcPr>
            <w:tcW w:w="1041" w:type="dxa"/>
            <w:vMerge w:val="restart"/>
            <w:tcBorders>
              <w:top w:val="nil"/>
              <w:left w:val="single" w:color="000000" w:sz="8" w:space="0"/>
              <w:bottom w:val="single" w:color="000000" w:sz="8" w:space="0"/>
              <w:right w:val="single" w:color="000000" w:sz="8" w:space="0"/>
            </w:tcBorders>
            <w:vAlign w:val="center"/>
          </w:tcPr>
          <w:p w14:paraId="3A105589">
            <w:pPr>
              <w:widowControl/>
              <w:jc w:val="center"/>
              <w:rPr>
                <w:rFonts w:ascii="宋体" w:hAnsi="宋体" w:cs="宋体"/>
                <w:color w:val="auto"/>
                <w:kern w:val="0"/>
                <w:sz w:val="20"/>
                <w:szCs w:val="20"/>
              </w:rPr>
            </w:pPr>
            <w:r>
              <w:rPr>
                <w:rFonts w:hint="eastAsia" w:ascii="宋体" w:hAnsi="宋体" w:cs="宋体"/>
                <w:color w:val="auto"/>
                <w:kern w:val="0"/>
                <w:sz w:val="20"/>
                <w:szCs w:val="20"/>
              </w:rPr>
              <w:t>A020619照明设备</w:t>
            </w:r>
          </w:p>
        </w:tc>
        <w:tc>
          <w:tcPr>
            <w:tcW w:w="1516" w:type="dxa"/>
            <w:tcBorders>
              <w:top w:val="nil"/>
              <w:left w:val="nil"/>
              <w:bottom w:val="single" w:color="000000" w:sz="8" w:space="0"/>
              <w:right w:val="single" w:color="000000" w:sz="8" w:space="0"/>
            </w:tcBorders>
            <w:vAlign w:val="center"/>
          </w:tcPr>
          <w:p w14:paraId="2F4EF821">
            <w:pPr>
              <w:widowControl/>
              <w:jc w:val="center"/>
              <w:rPr>
                <w:rFonts w:ascii="宋体" w:hAnsi="宋体" w:cs="宋体"/>
                <w:color w:val="auto"/>
                <w:kern w:val="0"/>
                <w:sz w:val="20"/>
                <w:szCs w:val="20"/>
              </w:rPr>
            </w:pPr>
            <w:r>
              <w:rPr>
                <w:rFonts w:hint="eastAsia" w:ascii="宋体" w:hAnsi="宋体" w:cs="宋体"/>
                <w:color w:val="auto"/>
                <w:kern w:val="0"/>
                <w:sz w:val="20"/>
                <w:szCs w:val="20"/>
              </w:rPr>
              <w:t>★普通照明用双端荧光灯</w:t>
            </w:r>
          </w:p>
        </w:tc>
        <w:tc>
          <w:tcPr>
            <w:tcW w:w="1612" w:type="dxa"/>
            <w:tcBorders>
              <w:top w:val="nil"/>
              <w:left w:val="nil"/>
              <w:bottom w:val="single" w:color="000000" w:sz="8" w:space="0"/>
              <w:right w:val="single" w:color="000000" w:sz="8" w:space="0"/>
            </w:tcBorders>
            <w:vAlign w:val="center"/>
          </w:tcPr>
          <w:p w14:paraId="7AA26A6B">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6CA145F6">
            <w:pPr>
              <w:widowControl/>
              <w:jc w:val="left"/>
              <w:rPr>
                <w:rFonts w:ascii="宋体" w:hAnsi="宋体" w:cs="宋体"/>
                <w:color w:val="auto"/>
                <w:kern w:val="0"/>
                <w:sz w:val="20"/>
                <w:szCs w:val="20"/>
              </w:rPr>
            </w:pPr>
            <w:r>
              <w:rPr>
                <w:rFonts w:hint="eastAsia" w:ascii="宋体" w:hAnsi="宋体" w:cs="宋体"/>
                <w:color w:val="auto"/>
                <w:kern w:val="0"/>
                <w:sz w:val="20"/>
                <w:szCs w:val="20"/>
              </w:rPr>
              <w:t>《普通照明用双端荧光灯能效限定值及能效等级》（GB19043）</w:t>
            </w:r>
          </w:p>
        </w:tc>
      </w:tr>
      <w:tr w14:paraId="567E6BD8">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vAlign w:val="center"/>
          </w:tcPr>
          <w:p w14:paraId="70CA87E5">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4C43B3BE">
            <w:pPr>
              <w:widowControl/>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vAlign w:val="center"/>
          </w:tcPr>
          <w:p w14:paraId="1F3CA368">
            <w:pPr>
              <w:widowControl/>
              <w:jc w:val="center"/>
              <w:rPr>
                <w:rFonts w:ascii="宋体" w:hAnsi="宋体" w:cs="宋体"/>
                <w:color w:val="auto"/>
                <w:kern w:val="0"/>
                <w:sz w:val="20"/>
                <w:szCs w:val="20"/>
              </w:rPr>
            </w:pPr>
            <w:r>
              <w:rPr>
                <w:rFonts w:hint="eastAsia" w:ascii="宋体" w:hAnsi="宋体" w:cs="宋体"/>
                <w:color w:val="auto"/>
                <w:kern w:val="0"/>
                <w:sz w:val="20"/>
                <w:szCs w:val="20"/>
              </w:rPr>
              <w:t>LED道路/隧道照明产品</w:t>
            </w:r>
          </w:p>
        </w:tc>
        <w:tc>
          <w:tcPr>
            <w:tcW w:w="1612" w:type="dxa"/>
            <w:tcBorders>
              <w:top w:val="nil"/>
              <w:left w:val="nil"/>
              <w:bottom w:val="single" w:color="000000" w:sz="8" w:space="0"/>
              <w:right w:val="single" w:color="000000" w:sz="8" w:space="0"/>
            </w:tcBorders>
            <w:vAlign w:val="center"/>
          </w:tcPr>
          <w:p w14:paraId="7C6FBA3B">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60B65B76">
            <w:pPr>
              <w:widowControl/>
              <w:jc w:val="left"/>
              <w:rPr>
                <w:rFonts w:ascii="宋体" w:hAnsi="宋体" w:cs="宋体"/>
                <w:color w:val="auto"/>
                <w:kern w:val="0"/>
                <w:sz w:val="20"/>
                <w:szCs w:val="20"/>
              </w:rPr>
            </w:pPr>
            <w:r>
              <w:rPr>
                <w:rFonts w:hint="eastAsia" w:ascii="宋体" w:hAnsi="宋体" w:cs="宋体"/>
                <w:color w:val="auto"/>
                <w:kern w:val="0"/>
                <w:sz w:val="20"/>
                <w:szCs w:val="20"/>
              </w:rPr>
              <w:t>《道路和隧道照明用LED灯具能效限定值及能效等级》（GB37478）</w:t>
            </w:r>
          </w:p>
        </w:tc>
      </w:tr>
      <w:tr w14:paraId="5B3EEDBC">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vAlign w:val="center"/>
          </w:tcPr>
          <w:p w14:paraId="1659E47C">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6C86C296">
            <w:pPr>
              <w:widowControl/>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vAlign w:val="center"/>
          </w:tcPr>
          <w:p w14:paraId="59F6F629">
            <w:pPr>
              <w:widowControl/>
              <w:jc w:val="center"/>
              <w:rPr>
                <w:rFonts w:ascii="宋体" w:hAnsi="宋体" w:cs="宋体"/>
                <w:color w:val="auto"/>
                <w:kern w:val="0"/>
                <w:sz w:val="20"/>
                <w:szCs w:val="20"/>
              </w:rPr>
            </w:pPr>
            <w:r>
              <w:rPr>
                <w:rFonts w:hint="eastAsia" w:ascii="宋体" w:hAnsi="宋体" w:cs="宋体"/>
                <w:color w:val="auto"/>
                <w:kern w:val="0"/>
                <w:sz w:val="20"/>
                <w:szCs w:val="20"/>
              </w:rPr>
              <w:t>LED筒灯</w:t>
            </w:r>
          </w:p>
        </w:tc>
        <w:tc>
          <w:tcPr>
            <w:tcW w:w="1612" w:type="dxa"/>
            <w:tcBorders>
              <w:top w:val="nil"/>
              <w:left w:val="nil"/>
              <w:bottom w:val="single" w:color="000000" w:sz="8" w:space="0"/>
              <w:right w:val="single" w:color="000000" w:sz="8" w:space="0"/>
            </w:tcBorders>
            <w:vAlign w:val="center"/>
          </w:tcPr>
          <w:p w14:paraId="049C3031">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6EADE3E7">
            <w:pPr>
              <w:widowControl/>
              <w:jc w:val="left"/>
              <w:rPr>
                <w:rFonts w:ascii="宋体" w:hAnsi="宋体" w:cs="宋体"/>
                <w:color w:val="auto"/>
                <w:kern w:val="0"/>
                <w:sz w:val="20"/>
                <w:szCs w:val="20"/>
              </w:rPr>
            </w:pPr>
            <w:r>
              <w:rPr>
                <w:rFonts w:hint="eastAsia" w:ascii="宋体" w:hAnsi="宋体" w:cs="宋体"/>
                <w:color w:val="auto"/>
                <w:kern w:val="0"/>
                <w:sz w:val="20"/>
                <w:szCs w:val="20"/>
              </w:rPr>
              <w:t>《室内照明用LED产品能效限定值及能效等级》（GB30255）</w:t>
            </w:r>
          </w:p>
        </w:tc>
      </w:tr>
      <w:tr w14:paraId="4118F69C">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vAlign w:val="center"/>
          </w:tcPr>
          <w:p w14:paraId="34175A02">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53859689">
            <w:pPr>
              <w:widowControl/>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vAlign w:val="center"/>
          </w:tcPr>
          <w:p w14:paraId="68EBCE6C">
            <w:pPr>
              <w:widowControl/>
              <w:jc w:val="center"/>
              <w:rPr>
                <w:rFonts w:ascii="宋体" w:hAnsi="宋体" w:cs="宋体"/>
                <w:color w:val="auto"/>
                <w:kern w:val="0"/>
                <w:sz w:val="20"/>
                <w:szCs w:val="20"/>
              </w:rPr>
            </w:pPr>
            <w:r>
              <w:rPr>
                <w:rFonts w:hint="eastAsia" w:ascii="宋体" w:hAnsi="宋体" w:cs="宋体"/>
                <w:color w:val="auto"/>
                <w:kern w:val="0"/>
                <w:sz w:val="20"/>
                <w:szCs w:val="20"/>
              </w:rPr>
              <w:t>普通照明用非定向自镇流LED灯</w:t>
            </w:r>
          </w:p>
        </w:tc>
        <w:tc>
          <w:tcPr>
            <w:tcW w:w="1612" w:type="dxa"/>
            <w:tcBorders>
              <w:top w:val="nil"/>
              <w:left w:val="nil"/>
              <w:bottom w:val="single" w:color="000000" w:sz="8" w:space="0"/>
              <w:right w:val="single" w:color="000000" w:sz="8" w:space="0"/>
            </w:tcBorders>
            <w:vAlign w:val="center"/>
          </w:tcPr>
          <w:p w14:paraId="21704F96">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2D0C5318">
            <w:pPr>
              <w:widowControl/>
              <w:jc w:val="left"/>
              <w:rPr>
                <w:rFonts w:ascii="宋体" w:hAnsi="宋体" w:cs="宋体"/>
                <w:color w:val="auto"/>
                <w:kern w:val="0"/>
                <w:sz w:val="20"/>
                <w:szCs w:val="20"/>
              </w:rPr>
            </w:pPr>
            <w:r>
              <w:rPr>
                <w:rFonts w:hint="eastAsia" w:ascii="宋体" w:hAnsi="宋体" w:cs="宋体"/>
                <w:color w:val="auto"/>
                <w:kern w:val="0"/>
                <w:sz w:val="20"/>
                <w:szCs w:val="20"/>
              </w:rPr>
              <w:t>《室内照明用LED产品能效限定值及能效等级》（GB30255）</w:t>
            </w:r>
          </w:p>
        </w:tc>
      </w:tr>
      <w:tr w14:paraId="635407A3">
        <w:tblPrEx>
          <w:tblCellMar>
            <w:top w:w="0" w:type="dxa"/>
            <w:left w:w="108" w:type="dxa"/>
            <w:bottom w:w="0" w:type="dxa"/>
            <w:right w:w="108" w:type="dxa"/>
          </w:tblCellMar>
        </w:tblPrEx>
        <w:trPr>
          <w:trHeight w:val="735" w:hRule="atLeast"/>
        </w:trPr>
        <w:tc>
          <w:tcPr>
            <w:tcW w:w="716" w:type="dxa"/>
            <w:tcBorders>
              <w:top w:val="nil"/>
              <w:left w:val="single" w:color="000000" w:sz="8" w:space="0"/>
              <w:bottom w:val="single" w:color="000000" w:sz="8" w:space="0"/>
              <w:right w:val="single" w:color="000000" w:sz="8" w:space="0"/>
            </w:tcBorders>
            <w:vAlign w:val="center"/>
          </w:tcPr>
          <w:p w14:paraId="1ABFCF58">
            <w:pPr>
              <w:widowControl/>
              <w:jc w:val="center"/>
              <w:rPr>
                <w:rFonts w:ascii="宋体" w:hAnsi="宋体" w:cs="宋体"/>
                <w:color w:val="auto"/>
                <w:kern w:val="0"/>
                <w:sz w:val="20"/>
                <w:szCs w:val="20"/>
              </w:rPr>
            </w:pPr>
            <w:r>
              <w:rPr>
                <w:rFonts w:hint="eastAsia" w:ascii="宋体" w:hAnsi="宋体" w:cs="宋体"/>
                <w:color w:val="auto"/>
                <w:kern w:val="0"/>
                <w:sz w:val="20"/>
                <w:szCs w:val="20"/>
              </w:rPr>
              <w:t>12</w:t>
            </w:r>
          </w:p>
        </w:tc>
        <w:tc>
          <w:tcPr>
            <w:tcW w:w="1041" w:type="dxa"/>
            <w:tcBorders>
              <w:top w:val="nil"/>
              <w:left w:val="nil"/>
              <w:bottom w:val="single" w:color="000000" w:sz="8" w:space="0"/>
              <w:right w:val="single" w:color="000000" w:sz="8" w:space="0"/>
            </w:tcBorders>
            <w:vAlign w:val="center"/>
          </w:tcPr>
          <w:p w14:paraId="6B15B8A9">
            <w:pPr>
              <w:widowControl/>
              <w:jc w:val="center"/>
              <w:rPr>
                <w:rFonts w:ascii="宋体" w:hAnsi="宋体" w:cs="宋体"/>
                <w:color w:val="auto"/>
                <w:kern w:val="0"/>
                <w:sz w:val="20"/>
                <w:szCs w:val="20"/>
              </w:rPr>
            </w:pPr>
            <w:r>
              <w:rPr>
                <w:rFonts w:hint="eastAsia" w:ascii="宋体" w:hAnsi="宋体" w:cs="宋体"/>
                <w:color w:val="auto"/>
                <w:kern w:val="0"/>
                <w:sz w:val="20"/>
                <w:szCs w:val="20"/>
              </w:rPr>
              <w:t>★A020910电视设备</w:t>
            </w:r>
          </w:p>
        </w:tc>
        <w:tc>
          <w:tcPr>
            <w:tcW w:w="1516" w:type="dxa"/>
            <w:tcBorders>
              <w:top w:val="nil"/>
              <w:left w:val="nil"/>
              <w:bottom w:val="single" w:color="000000" w:sz="8" w:space="0"/>
              <w:right w:val="single" w:color="000000" w:sz="8" w:space="0"/>
            </w:tcBorders>
            <w:vAlign w:val="center"/>
          </w:tcPr>
          <w:p w14:paraId="0EF89E56">
            <w:pPr>
              <w:widowControl/>
              <w:jc w:val="center"/>
              <w:rPr>
                <w:rFonts w:ascii="宋体" w:hAnsi="宋体" w:cs="宋体"/>
                <w:color w:val="auto"/>
                <w:kern w:val="0"/>
                <w:sz w:val="20"/>
                <w:szCs w:val="20"/>
              </w:rPr>
            </w:pPr>
            <w:r>
              <w:rPr>
                <w:rFonts w:hint="eastAsia" w:ascii="宋体" w:hAnsi="宋体" w:cs="宋体"/>
                <w:color w:val="auto"/>
                <w:kern w:val="0"/>
                <w:sz w:val="20"/>
                <w:szCs w:val="20"/>
              </w:rPr>
              <w:t>A02091001普通电视设备（电视机）</w:t>
            </w:r>
          </w:p>
        </w:tc>
        <w:tc>
          <w:tcPr>
            <w:tcW w:w="1612" w:type="dxa"/>
            <w:tcBorders>
              <w:top w:val="nil"/>
              <w:left w:val="nil"/>
              <w:bottom w:val="single" w:color="000000" w:sz="8" w:space="0"/>
              <w:right w:val="single" w:color="000000" w:sz="8" w:space="0"/>
            </w:tcBorders>
            <w:vAlign w:val="center"/>
          </w:tcPr>
          <w:p w14:paraId="1A1FFC0E">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018112EE">
            <w:pPr>
              <w:widowControl/>
              <w:jc w:val="left"/>
              <w:rPr>
                <w:rFonts w:ascii="宋体" w:hAnsi="宋体" w:cs="宋体"/>
                <w:color w:val="auto"/>
                <w:kern w:val="0"/>
                <w:sz w:val="20"/>
                <w:szCs w:val="20"/>
              </w:rPr>
            </w:pPr>
            <w:r>
              <w:rPr>
                <w:rFonts w:hint="eastAsia" w:ascii="宋体" w:hAnsi="宋体" w:cs="宋体"/>
                <w:color w:val="auto"/>
                <w:kern w:val="0"/>
                <w:sz w:val="20"/>
                <w:szCs w:val="20"/>
              </w:rPr>
              <w:t>《平板电视能效限定值及能效等级》（GB24850）</w:t>
            </w:r>
          </w:p>
        </w:tc>
      </w:tr>
      <w:tr w14:paraId="3CAEDAC8">
        <w:tblPrEx>
          <w:tblCellMar>
            <w:top w:w="0" w:type="dxa"/>
            <w:left w:w="108" w:type="dxa"/>
            <w:bottom w:w="0" w:type="dxa"/>
            <w:right w:w="108" w:type="dxa"/>
          </w:tblCellMar>
        </w:tblPrEx>
        <w:trPr>
          <w:trHeight w:val="975" w:hRule="atLeast"/>
        </w:trPr>
        <w:tc>
          <w:tcPr>
            <w:tcW w:w="716" w:type="dxa"/>
            <w:tcBorders>
              <w:top w:val="nil"/>
              <w:left w:val="single" w:color="000000" w:sz="8" w:space="0"/>
              <w:bottom w:val="single" w:color="000000" w:sz="8" w:space="0"/>
              <w:right w:val="single" w:color="000000" w:sz="8" w:space="0"/>
            </w:tcBorders>
            <w:vAlign w:val="center"/>
          </w:tcPr>
          <w:p w14:paraId="044FCD1C">
            <w:pPr>
              <w:widowControl/>
              <w:jc w:val="center"/>
              <w:rPr>
                <w:rFonts w:ascii="宋体" w:hAnsi="宋体" w:cs="宋体"/>
                <w:color w:val="auto"/>
                <w:kern w:val="0"/>
                <w:sz w:val="20"/>
                <w:szCs w:val="20"/>
              </w:rPr>
            </w:pPr>
            <w:r>
              <w:rPr>
                <w:rFonts w:hint="eastAsia" w:ascii="宋体" w:hAnsi="宋体" w:cs="宋体"/>
                <w:color w:val="auto"/>
                <w:kern w:val="0"/>
                <w:sz w:val="20"/>
                <w:szCs w:val="20"/>
              </w:rPr>
              <w:t>13</w:t>
            </w:r>
          </w:p>
        </w:tc>
        <w:tc>
          <w:tcPr>
            <w:tcW w:w="1041" w:type="dxa"/>
            <w:tcBorders>
              <w:top w:val="nil"/>
              <w:left w:val="nil"/>
              <w:bottom w:val="single" w:color="000000" w:sz="8" w:space="0"/>
              <w:right w:val="single" w:color="000000" w:sz="8" w:space="0"/>
            </w:tcBorders>
            <w:vAlign w:val="center"/>
          </w:tcPr>
          <w:p w14:paraId="2BD8C6EB">
            <w:pPr>
              <w:widowControl/>
              <w:jc w:val="center"/>
              <w:rPr>
                <w:rFonts w:ascii="宋体" w:hAnsi="宋体" w:cs="宋体"/>
                <w:color w:val="auto"/>
                <w:kern w:val="0"/>
                <w:sz w:val="20"/>
                <w:szCs w:val="20"/>
              </w:rPr>
            </w:pPr>
            <w:r>
              <w:rPr>
                <w:rFonts w:hint="eastAsia" w:ascii="宋体" w:hAnsi="宋体" w:cs="宋体"/>
                <w:color w:val="auto"/>
                <w:kern w:val="0"/>
                <w:sz w:val="20"/>
                <w:szCs w:val="20"/>
              </w:rPr>
              <w:t>★A020911视频设备</w:t>
            </w:r>
          </w:p>
        </w:tc>
        <w:tc>
          <w:tcPr>
            <w:tcW w:w="1516" w:type="dxa"/>
            <w:tcBorders>
              <w:top w:val="nil"/>
              <w:left w:val="nil"/>
              <w:bottom w:val="single" w:color="000000" w:sz="8" w:space="0"/>
              <w:right w:val="single" w:color="000000" w:sz="8" w:space="0"/>
            </w:tcBorders>
            <w:vAlign w:val="center"/>
          </w:tcPr>
          <w:p w14:paraId="2A419F05">
            <w:pPr>
              <w:widowControl/>
              <w:jc w:val="center"/>
              <w:rPr>
                <w:rFonts w:ascii="宋体" w:hAnsi="宋体" w:cs="宋体"/>
                <w:color w:val="auto"/>
                <w:kern w:val="0"/>
                <w:sz w:val="20"/>
                <w:szCs w:val="20"/>
              </w:rPr>
            </w:pPr>
            <w:r>
              <w:rPr>
                <w:rFonts w:hint="eastAsia" w:ascii="宋体" w:hAnsi="宋体" w:cs="宋体"/>
                <w:color w:val="auto"/>
                <w:kern w:val="0"/>
                <w:sz w:val="20"/>
                <w:szCs w:val="20"/>
              </w:rPr>
              <w:t>A02091107视频监控设备</w:t>
            </w:r>
          </w:p>
        </w:tc>
        <w:tc>
          <w:tcPr>
            <w:tcW w:w="1612" w:type="dxa"/>
            <w:tcBorders>
              <w:top w:val="nil"/>
              <w:left w:val="nil"/>
              <w:bottom w:val="single" w:color="000000" w:sz="8" w:space="0"/>
              <w:right w:val="single" w:color="000000" w:sz="8" w:space="0"/>
            </w:tcBorders>
            <w:vAlign w:val="center"/>
          </w:tcPr>
          <w:p w14:paraId="321274BD">
            <w:pPr>
              <w:widowControl/>
              <w:jc w:val="center"/>
              <w:rPr>
                <w:rFonts w:ascii="宋体" w:hAnsi="宋体" w:cs="宋体"/>
                <w:color w:val="auto"/>
                <w:kern w:val="0"/>
                <w:sz w:val="20"/>
                <w:szCs w:val="20"/>
              </w:rPr>
            </w:pPr>
            <w:r>
              <w:rPr>
                <w:rFonts w:hint="eastAsia" w:ascii="宋体" w:hAnsi="宋体" w:cs="宋体"/>
                <w:color w:val="auto"/>
                <w:kern w:val="0"/>
                <w:sz w:val="20"/>
                <w:szCs w:val="20"/>
              </w:rPr>
              <w:t>监视器</w:t>
            </w:r>
          </w:p>
        </w:tc>
        <w:tc>
          <w:tcPr>
            <w:tcW w:w="4335" w:type="dxa"/>
            <w:tcBorders>
              <w:top w:val="nil"/>
              <w:left w:val="nil"/>
              <w:bottom w:val="single" w:color="000000" w:sz="8" w:space="0"/>
              <w:right w:val="single" w:color="000000" w:sz="8" w:space="0"/>
            </w:tcBorders>
            <w:vAlign w:val="center"/>
          </w:tcPr>
          <w:p w14:paraId="3C4142B8">
            <w:pPr>
              <w:widowControl/>
              <w:jc w:val="left"/>
              <w:rPr>
                <w:rFonts w:ascii="宋体" w:hAnsi="宋体" w:cs="宋体"/>
                <w:color w:val="auto"/>
                <w:kern w:val="0"/>
                <w:sz w:val="20"/>
                <w:szCs w:val="20"/>
              </w:rPr>
            </w:pPr>
            <w:r>
              <w:rPr>
                <w:rFonts w:hint="eastAsia" w:ascii="宋体" w:hAnsi="宋体" w:cs="宋体"/>
                <w:color w:val="auto"/>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21309C4A">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vAlign w:val="center"/>
          </w:tcPr>
          <w:p w14:paraId="17D37EEB">
            <w:pPr>
              <w:widowControl/>
              <w:jc w:val="center"/>
              <w:rPr>
                <w:rFonts w:ascii="宋体" w:hAnsi="宋体" w:cs="宋体"/>
                <w:color w:val="auto"/>
                <w:kern w:val="0"/>
                <w:sz w:val="20"/>
                <w:szCs w:val="20"/>
              </w:rPr>
            </w:pPr>
            <w:r>
              <w:rPr>
                <w:rFonts w:hint="eastAsia" w:ascii="宋体" w:hAnsi="宋体" w:cs="宋体"/>
                <w:color w:val="auto"/>
                <w:kern w:val="0"/>
                <w:sz w:val="20"/>
                <w:szCs w:val="20"/>
              </w:rPr>
              <w:t>14</w:t>
            </w:r>
          </w:p>
        </w:tc>
        <w:tc>
          <w:tcPr>
            <w:tcW w:w="1041" w:type="dxa"/>
            <w:tcBorders>
              <w:top w:val="nil"/>
              <w:left w:val="nil"/>
              <w:bottom w:val="single" w:color="000000" w:sz="8" w:space="0"/>
              <w:right w:val="single" w:color="000000" w:sz="8" w:space="0"/>
            </w:tcBorders>
            <w:vAlign w:val="center"/>
          </w:tcPr>
          <w:p w14:paraId="335F2979">
            <w:pPr>
              <w:widowControl/>
              <w:jc w:val="center"/>
              <w:rPr>
                <w:rFonts w:ascii="宋体" w:hAnsi="宋体" w:cs="宋体"/>
                <w:color w:val="auto"/>
                <w:kern w:val="0"/>
                <w:sz w:val="20"/>
                <w:szCs w:val="20"/>
              </w:rPr>
            </w:pPr>
            <w:r>
              <w:rPr>
                <w:rFonts w:hint="eastAsia" w:ascii="宋体" w:hAnsi="宋体" w:cs="宋体"/>
                <w:color w:val="auto"/>
                <w:kern w:val="0"/>
                <w:sz w:val="20"/>
                <w:szCs w:val="20"/>
              </w:rPr>
              <w:t>A031210饮食炊事机械</w:t>
            </w:r>
          </w:p>
        </w:tc>
        <w:tc>
          <w:tcPr>
            <w:tcW w:w="1516" w:type="dxa"/>
            <w:tcBorders>
              <w:top w:val="nil"/>
              <w:left w:val="nil"/>
              <w:bottom w:val="single" w:color="000000" w:sz="8" w:space="0"/>
              <w:right w:val="single" w:color="000000" w:sz="8" w:space="0"/>
            </w:tcBorders>
            <w:vAlign w:val="center"/>
          </w:tcPr>
          <w:p w14:paraId="0E4CC77C">
            <w:pPr>
              <w:widowControl/>
              <w:jc w:val="center"/>
              <w:rPr>
                <w:rFonts w:ascii="宋体" w:hAnsi="宋体" w:cs="宋体"/>
                <w:color w:val="auto"/>
                <w:kern w:val="0"/>
                <w:sz w:val="20"/>
                <w:szCs w:val="20"/>
              </w:rPr>
            </w:pPr>
            <w:r>
              <w:rPr>
                <w:rFonts w:hint="eastAsia" w:ascii="宋体" w:hAnsi="宋体" w:cs="宋体"/>
                <w:color w:val="auto"/>
                <w:kern w:val="0"/>
                <w:sz w:val="20"/>
                <w:szCs w:val="20"/>
              </w:rPr>
              <w:t>商用燃气灶具</w:t>
            </w:r>
          </w:p>
        </w:tc>
        <w:tc>
          <w:tcPr>
            <w:tcW w:w="1612" w:type="dxa"/>
            <w:tcBorders>
              <w:top w:val="nil"/>
              <w:left w:val="nil"/>
              <w:bottom w:val="single" w:color="000000" w:sz="8" w:space="0"/>
              <w:right w:val="single" w:color="000000" w:sz="8" w:space="0"/>
            </w:tcBorders>
            <w:vAlign w:val="center"/>
          </w:tcPr>
          <w:p w14:paraId="71C7DBB2">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52329EB7">
            <w:pPr>
              <w:widowControl/>
              <w:jc w:val="left"/>
              <w:rPr>
                <w:rFonts w:ascii="宋体" w:hAnsi="宋体" w:cs="宋体"/>
                <w:color w:val="auto"/>
                <w:kern w:val="0"/>
                <w:sz w:val="20"/>
                <w:szCs w:val="20"/>
              </w:rPr>
            </w:pPr>
            <w:r>
              <w:rPr>
                <w:rFonts w:hint="eastAsia" w:ascii="宋体" w:hAnsi="宋体" w:cs="宋体"/>
                <w:color w:val="auto"/>
                <w:kern w:val="0"/>
                <w:sz w:val="20"/>
                <w:szCs w:val="20"/>
              </w:rPr>
              <w:t>《商用燃气灶具能效限定值及能效等级》（GB30531）</w:t>
            </w:r>
          </w:p>
        </w:tc>
      </w:tr>
      <w:tr w14:paraId="1220AA39">
        <w:tblPrEx>
          <w:tblCellMar>
            <w:top w:w="0" w:type="dxa"/>
            <w:left w:w="108" w:type="dxa"/>
            <w:bottom w:w="0" w:type="dxa"/>
            <w:right w:w="108" w:type="dxa"/>
          </w:tblCellMar>
        </w:tblPrEx>
        <w:trPr>
          <w:trHeight w:val="285" w:hRule="atLeast"/>
        </w:trPr>
        <w:tc>
          <w:tcPr>
            <w:tcW w:w="716" w:type="dxa"/>
            <w:vMerge w:val="restart"/>
            <w:tcBorders>
              <w:top w:val="nil"/>
              <w:left w:val="single" w:color="000000" w:sz="8" w:space="0"/>
              <w:bottom w:val="single" w:color="000000" w:sz="8" w:space="0"/>
              <w:right w:val="single" w:color="000000" w:sz="8" w:space="0"/>
            </w:tcBorders>
            <w:vAlign w:val="center"/>
          </w:tcPr>
          <w:p w14:paraId="7107669D">
            <w:pPr>
              <w:widowControl/>
              <w:jc w:val="center"/>
              <w:rPr>
                <w:rFonts w:ascii="宋体" w:hAnsi="宋体" w:cs="宋体"/>
                <w:color w:val="auto"/>
                <w:kern w:val="0"/>
                <w:sz w:val="20"/>
                <w:szCs w:val="20"/>
              </w:rPr>
            </w:pPr>
            <w:r>
              <w:rPr>
                <w:rFonts w:hint="eastAsia" w:ascii="宋体" w:hAnsi="宋体" w:cs="宋体"/>
                <w:color w:val="auto"/>
                <w:kern w:val="0"/>
                <w:sz w:val="20"/>
                <w:szCs w:val="20"/>
              </w:rPr>
              <w:t>15</w:t>
            </w:r>
          </w:p>
        </w:tc>
        <w:tc>
          <w:tcPr>
            <w:tcW w:w="1041" w:type="dxa"/>
            <w:vMerge w:val="restart"/>
            <w:tcBorders>
              <w:top w:val="nil"/>
              <w:left w:val="single" w:color="000000" w:sz="8" w:space="0"/>
              <w:bottom w:val="single" w:color="000000" w:sz="8" w:space="0"/>
              <w:right w:val="single" w:color="000000" w:sz="8" w:space="0"/>
            </w:tcBorders>
            <w:vAlign w:val="center"/>
          </w:tcPr>
          <w:p w14:paraId="7FAC600A">
            <w:pPr>
              <w:widowControl/>
              <w:jc w:val="center"/>
              <w:rPr>
                <w:rFonts w:ascii="宋体" w:hAnsi="宋体" w:cs="宋体"/>
                <w:color w:val="auto"/>
                <w:kern w:val="0"/>
                <w:sz w:val="20"/>
                <w:szCs w:val="20"/>
              </w:rPr>
            </w:pPr>
            <w:r>
              <w:rPr>
                <w:rFonts w:hint="eastAsia" w:ascii="宋体" w:hAnsi="宋体" w:cs="宋体"/>
                <w:color w:val="auto"/>
                <w:kern w:val="0"/>
                <w:sz w:val="20"/>
                <w:szCs w:val="20"/>
              </w:rPr>
              <w:t>★A060805便器</w:t>
            </w:r>
          </w:p>
        </w:tc>
        <w:tc>
          <w:tcPr>
            <w:tcW w:w="1516" w:type="dxa"/>
            <w:tcBorders>
              <w:top w:val="nil"/>
              <w:left w:val="nil"/>
              <w:bottom w:val="single" w:color="000000" w:sz="8" w:space="0"/>
              <w:right w:val="single" w:color="000000" w:sz="8" w:space="0"/>
            </w:tcBorders>
            <w:vAlign w:val="center"/>
          </w:tcPr>
          <w:p w14:paraId="1555396C">
            <w:pPr>
              <w:widowControl/>
              <w:jc w:val="center"/>
              <w:rPr>
                <w:rFonts w:ascii="宋体" w:hAnsi="宋体" w:cs="宋体"/>
                <w:color w:val="auto"/>
                <w:kern w:val="0"/>
                <w:sz w:val="20"/>
                <w:szCs w:val="20"/>
              </w:rPr>
            </w:pPr>
            <w:r>
              <w:rPr>
                <w:rFonts w:hint="eastAsia" w:ascii="宋体" w:hAnsi="宋体" w:cs="宋体"/>
                <w:color w:val="auto"/>
                <w:kern w:val="0"/>
                <w:sz w:val="20"/>
                <w:szCs w:val="20"/>
              </w:rPr>
              <w:t>坐便器</w:t>
            </w:r>
          </w:p>
        </w:tc>
        <w:tc>
          <w:tcPr>
            <w:tcW w:w="1612" w:type="dxa"/>
            <w:tcBorders>
              <w:top w:val="nil"/>
              <w:left w:val="nil"/>
              <w:bottom w:val="single" w:color="000000" w:sz="8" w:space="0"/>
              <w:right w:val="single" w:color="000000" w:sz="8" w:space="0"/>
            </w:tcBorders>
            <w:vAlign w:val="center"/>
          </w:tcPr>
          <w:p w14:paraId="7A4D7FC4">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280EB194">
            <w:pPr>
              <w:widowControl/>
              <w:jc w:val="left"/>
              <w:rPr>
                <w:rFonts w:ascii="宋体" w:hAnsi="宋体" w:cs="宋体"/>
                <w:color w:val="auto"/>
                <w:kern w:val="0"/>
                <w:sz w:val="20"/>
                <w:szCs w:val="20"/>
              </w:rPr>
            </w:pPr>
            <w:r>
              <w:rPr>
                <w:rFonts w:hint="eastAsia" w:ascii="宋体" w:hAnsi="宋体" w:cs="宋体"/>
                <w:color w:val="auto"/>
                <w:kern w:val="0"/>
                <w:sz w:val="20"/>
                <w:szCs w:val="20"/>
              </w:rPr>
              <w:t>《坐便器水效限定值及水效等级》（GB25502）</w:t>
            </w:r>
          </w:p>
        </w:tc>
      </w:tr>
      <w:tr w14:paraId="432EC3D0">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vAlign w:val="center"/>
          </w:tcPr>
          <w:p w14:paraId="53C3C70B">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4CA04B3E">
            <w:pPr>
              <w:widowControl/>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vAlign w:val="center"/>
          </w:tcPr>
          <w:p w14:paraId="2D2302C5">
            <w:pPr>
              <w:widowControl/>
              <w:jc w:val="center"/>
              <w:rPr>
                <w:rFonts w:ascii="宋体" w:hAnsi="宋体" w:cs="宋体"/>
                <w:color w:val="auto"/>
                <w:kern w:val="0"/>
                <w:sz w:val="20"/>
                <w:szCs w:val="20"/>
              </w:rPr>
            </w:pPr>
            <w:r>
              <w:rPr>
                <w:rFonts w:hint="eastAsia" w:ascii="宋体" w:hAnsi="宋体" w:cs="宋体"/>
                <w:color w:val="auto"/>
                <w:kern w:val="0"/>
                <w:sz w:val="20"/>
                <w:szCs w:val="20"/>
              </w:rPr>
              <w:t>蹲便器</w:t>
            </w:r>
          </w:p>
        </w:tc>
        <w:tc>
          <w:tcPr>
            <w:tcW w:w="1612" w:type="dxa"/>
            <w:tcBorders>
              <w:top w:val="nil"/>
              <w:left w:val="nil"/>
              <w:bottom w:val="single" w:color="000000" w:sz="8" w:space="0"/>
              <w:right w:val="single" w:color="000000" w:sz="8" w:space="0"/>
            </w:tcBorders>
            <w:vAlign w:val="center"/>
          </w:tcPr>
          <w:p w14:paraId="1A7CD521">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6ADEEC26">
            <w:pPr>
              <w:widowControl/>
              <w:jc w:val="left"/>
              <w:rPr>
                <w:rFonts w:ascii="宋体" w:hAnsi="宋体" w:cs="宋体"/>
                <w:color w:val="auto"/>
                <w:kern w:val="0"/>
                <w:sz w:val="20"/>
                <w:szCs w:val="20"/>
              </w:rPr>
            </w:pPr>
            <w:r>
              <w:rPr>
                <w:rFonts w:hint="eastAsia" w:ascii="宋体" w:hAnsi="宋体" w:cs="宋体"/>
                <w:color w:val="auto"/>
                <w:kern w:val="0"/>
                <w:sz w:val="20"/>
                <w:szCs w:val="20"/>
              </w:rPr>
              <w:t>《蹲便器用水效率限定值及用水效率等级》（GB30717）</w:t>
            </w:r>
          </w:p>
        </w:tc>
      </w:tr>
      <w:tr w14:paraId="1DB26F1F">
        <w:tblPrEx>
          <w:tblCellMar>
            <w:top w:w="0" w:type="dxa"/>
            <w:left w:w="108" w:type="dxa"/>
            <w:bottom w:w="0" w:type="dxa"/>
            <w:right w:w="108" w:type="dxa"/>
          </w:tblCellMar>
        </w:tblPrEx>
        <w:trPr>
          <w:trHeight w:val="468" w:hRule="atLeast"/>
        </w:trPr>
        <w:tc>
          <w:tcPr>
            <w:tcW w:w="716" w:type="dxa"/>
            <w:vMerge w:val="continue"/>
            <w:tcBorders>
              <w:top w:val="nil"/>
              <w:left w:val="single" w:color="000000" w:sz="8" w:space="0"/>
              <w:bottom w:val="single" w:color="000000" w:sz="8" w:space="0"/>
              <w:right w:val="single" w:color="000000" w:sz="8" w:space="0"/>
            </w:tcBorders>
            <w:vAlign w:val="center"/>
          </w:tcPr>
          <w:p w14:paraId="004F22E6">
            <w:pPr>
              <w:widowControl/>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22DF2D4D">
            <w:pPr>
              <w:widowControl/>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vAlign w:val="center"/>
          </w:tcPr>
          <w:p w14:paraId="057F636B">
            <w:pPr>
              <w:widowControl/>
              <w:jc w:val="center"/>
              <w:rPr>
                <w:rFonts w:ascii="宋体" w:hAnsi="宋体" w:cs="宋体"/>
                <w:color w:val="auto"/>
                <w:kern w:val="0"/>
                <w:sz w:val="20"/>
                <w:szCs w:val="20"/>
              </w:rPr>
            </w:pPr>
            <w:r>
              <w:rPr>
                <w:rFonts w:hint="eastAsia" w:ascii="宋体" w:hAnsi="宋体" w:cs="宋体"/>
                <w:color w:val="auto"/>
                <w:kern w:val="0"/>
                <w:sz w:val="20"/>
                <w:szCs w:val="20"/>
              </w:rPr>
              <w:t>小便器</w:t>
            </w:r>
          </w:p>
        </w:tc>
        <w:tc>
          <w:tcPr>
            <w:tcW w:w="1612" w:type="dxa"/>
            <w:tcBorders>
              <w:top w:val="nil"/>
              <w:left w:val="nil"/>
              <w:bottom w:val="single" w:color="000000" w:sz="8" w:space="0"/>
              <w:right w:val="single" w:color="000000" w:sz="8" w:space="0"/>
            </w:tcBorders>
            <w:vAlign w:val="center"/>
          </w:tcPr>
          <w:p w14:paraId="63CEECA5">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006078A4">
            <w:pPr>
              <w:widowControl/>
              <w:jc w:val="left"/>
              <w:rPr>
                <w:rFonts w:ascii="宋体" w:hAnsi="宋体" w:cs="宋体"/>
                <w:color w:val="auto"/>
                <w:kern w:val="0"/>
                <w:sz w:val="20"/>
                <w:szCs w:val="20"/>
              </w:rPr>
            </w:pPr>
            <w:r>
              <w:rPr>
                <w:rFonts w:hint="eastAsia" w:ascii="宋体" w:hAnsi="宋体" w:cs="宋体"/>
                <w:color w:val="auto"/>
                <w:kern w:val="0"/>
                <w:sz w:val="20"/>
                <w:szCs w:val="20"/>
              </w:rPr>
              <w:t>《小便器用水效率限定值及用水效率等级》（GB28377）</w:t>
            </w:r>
          </w:p>
        </w:tc>
      </w:tr>
      <w:tr w14:paraId="62901779">
        <w:tblPrEx>
          <w:tblCellMar>
            <w:top w:w="0" w:type="dxa"/>
            <w:left w:w="108" w:type="dxa"/>
            <w:bottom w:w="0" w:type="dxa"/>
            <w:right w:w="108" w:type="dxa"/>
          </w:tblCellMar>
        </w:tblPrEx>
        <w:trPr>
          <w:trHeight w:val="708" w:hRule="atLeast"/>
        </w:trPr>
        <w:tc>
          <w:tcPr>
            <w:tcW w:w="716" w:type="dxa"/>
            <w:tcBorders>
              <w:top w:val="nil"/>
              <w:left w:val="single" w:color="000000" w:sz="8" w:space="0"/>
              <w:bottom w:val="single" w:color="000000" w:sz="8" w:space="0"/>
              <w:right w:val="single" w:color="000000" w:sz="8" w:space="0"/>
            </w:tcBorders>
            <w:vAlign w:val="center"/>
          </w:tcPr>
          <w:p w14:paraId="791A75F3">
            <w:pPr>
              <w:widowControl/>
              <w:jc w:val="center"/>
              <w:rPr>
                <w:rFonts w:ascii="宋体" w:hAnsi="宋体" w:cs="宋体"/>
                <w:color w:val="auto"/>
                <w:kern w:val="0"/>
                <w:sz w:val="20"/>
                <w:szCs w:val="20"/>
              </w:rPr>
            </w:pPr>
            <w:r>
              <w:rPr>
                <w:rFonts w:hint="eastAsia" w:ascii="宋体" w:hAnsi="宋体" w:cs="宋体"/>
                <w:color w:val="auto"/>
                <w:kern w:val="0"/>
                <w:sz w:val="20"/>
                <w:szCs w:val="20"/>
              </w:rPr>
              <w:t>16</w:t>
            </w:r>
          </w:p>
        </w:tc>
        <w:tc>
          <w:tcPr>
            <w:tcW w:w="1041" w:type="dxa"/>
            <w:tcBorders>
              <w:top w:val="nil"/>
              <w:left w:val="nil"/>
              <w:bottom w:val="single" w:color="000000" w:sz="8" w:space="0"/>
              <w:right w:val="single" w:color="000000" w:sz="8" w:space="0"/>
            </w:tcBorders>
            <w:vAlign w:val="center"/>
          </w:tcPr>
          <w:p w14:paraId="5CEE0F22">
            <w:pPr>
              <w:widowControl/>
              <w:jc w:val="center"/>
              <w:rPr>
                <w:rFonts w:ascii="宋体" w:hAnsi="宋体" w:cs="宋体"/>
                <w:color w:val="auto"/>
                <w:kern w:val="0"/>
                <w:sz w:val="20"/>
                <w:szCs w:val="20"/>
              </w:rPr>
            </w:pPr>
            <w:r>
              <w:rPr>
                <w:rFonts w:hint="eastAsia" w:ascii="宋体" w:hAnsi="宋体" w:cs="宋体"/>
                <w:color w:val="auto"/>
                <w:kern w:val="0"/>
                <w:sz w:val="20"/>
                <w:szCs w:val="20"/>
              </w:rPr>
              <w:t>★A060806水嘴</w:t>
            </w:r>
          </w:p>
        </w:tc>
        <w:tc>
          <w:tcPr>
            <w:tcW w:w="1516" w:type="dxa"/>
            <w:tcBorders>
              <w:top w:val="nil"/>
              <w:left w:val="nil"/>
              <w:bottom w:val="single" w:color="000000" w:sz="8" w:space="0"/>
              <w:right w:val="single" w:color="000000" w:sz="8" w:space="0"/>
            </w:tcBorders>
            <w:vAlign w:val="center"/>
          </w:tcPr>
          <w:p w14:paraId="244B6EC2">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12" w:type="dxa"/>
            <w:tcBorders>
              <w:top w:val="nil"/>
              <w:left w:val="nil"/>
              <w:bottom w:val="single" w:color="000000" w:sz="8" w:space="0"/>
              <w:right w:val="single" w:color="000000" w:sz="8" w:space="0"/>
            </w:tcBorders>
            <w:vAlign w:val="center"/>
          </w:tcPr>
          <w:p w14:paraId="415C7DD9">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7D850B64">
            <w:pPr>
              <w:widowControl/>
              <w:jc w:val="left"/>
              <w:rPr>
                <w:rFonts w:ascii="宋体" w:hAnsi="宋体" w:cs="宋体"/>
                <w:color w:val="auto"/>
                <w:kern w:val="0"/>
                <w:sz w:val="20"/>
                <w:szCs w:val="20"/>
              </w:rPr>
            </w:pPr>
            <w:r>
              <w:rPr>
                <w:rFonts w:hint="eastAsia" w:ascii="宋体" w:hAnsi="宋体" w:cs="宋体"/>
                <w:color w:val="auto"/>
                <w:kern w:val="0"/>
                <w:sz w:val="20"/>
                <w:szCs w:val="20"/>
              </w:rPr>
              <w:t>《水嘴用水效率限定值及用水效率等级》（GB 25501）</w:t>
            </w:r>
          </w:p>
        </w:tc>
      </w:tr>
      <w:tr w14:paraId="527CF681">
        <w:tblPrEx>
          <w:tblCellMar>
            <w:top w:w="0" w:type="dxa"/>
            <w:left w:w="108" w:type="dxa"/>
            <w:bottom w:w="0" w:type="dxa"/>
            <w:right w:w="108" w:type="dxa"/>
          </w:tblCellMar>
        </w:tblPrEx>
        <w:trPr>
          <w:trHeight w:val="578" w:hRule="atLeast"/>
        </w:trPr>
        <w:tc>
          <w:tcPr>
            <w:tcW w:w="716" w:type="dxa"/>
            <w:tcBorders>
              <w:top w:val="nil"/>
              <w:left w:val="single" w:color="000000" w:sz="8" w:space="0"/>
              <w:bottom w:val="single" w:color="000000" w:sz="8" w:space="0"/>
              <w:right w:val="single" w:color="000000" w:sz="8" w:space="0"/>
            </w:tcBorders>
            <w:vAlign w:val="center"/>
          </w:tcPr>
          <w:p w14:paraId="18A0EE39">
            <w:pPr>
              <w:widowControl/>
              <w:jc w:val="center"/>
              <w:rPr>
                <w:rFonts w:ascii="宋体" w:hAnsi="宋体" w:cs="宋体"/>
                <w:color w:val="auto"/>
                <w:kern w:val="0"/>
                <w:sz w:val="20"/>
                <w:szCs w:val="20"/>
              </w:rPr>
            </w:pPr>
            <w:r>
              <w:rPr>
                <w:rFonts w:hint="eastAsia" w:ascii="宋体" w:hAnsi="宋体" w:cs="宋体"/>
                <w:color w:val="auto"/>
                <w:kern w:val="0"/>
                <w:sz w:val="20"/>
                <w:szCs w:val="20"/>
              </w:rPr>
              <w:t>17</w:t>
            </w:r>
          </w:p>
        </w:tc>
        <w:tc>
          <w:tcPr>
            <w:tcW w:w="1041" w:type="dxa"/>
            <w:tcBorders>
              <w:top w:val="nil"/>
              <w:left w:val="nil"/>
              <w:bottom w:val="single" w:color="000000" w:sz="8" w:space="0"/>
              <w:right w:val="single" w:color="000000" w:sz="8" w:space="0"/>
            </w:tcBorders>
            <w:vAlign w:val="center"/>
          </w:tcPr>
          <w:p w14:paraId="175C93A4">
            <w:pPr>
              <w:widowControl/>
              <w:jc w:val="center"/>
              <w:rPr>
                <w:rFonts w:ascii="宋体" w:hAnsi="宋体" w:cs="宋体"/>
                <w:color w:val="auto"/>
                <w:kern w:val="0"/>
                <w:sz w:val="20"/>
                <w:szCs w:val="20"/>
              </w:rPr>
            </w:pPr>
            <w:r>
              <w:rPr>
                <w:rFonts w:hint="eastAsia" w:ascii="宋体" w:hAnsi="宋体" w:cs="宋体"/>
                <w:color w:val="auto"/>
                <w:kern w:val="0"/>
                <w:sz w:val="20"/>
                <w:szCs w:val="20"/>
              </w:rPr>
              <w:t>A060807便器冲洗阀</w:t>
            </w:r>
          </w:p>
        </w:tc>
        <w:tc>
          <w:tcPr>
            <w:tcW w:w="1516" w:type="dxa"/>
            <w:tcBorders>
              <w:top w:val="nil"/>
              <w:left w:val="nil"/>
              <w:bottom w:val="single" w:color="000000" w:sz="8" w:space="0"/>
              <w:right w:val="single" w:color="000000" w:sz="8" w:space="0"/>
            </w:tcBorders>
            <w:vAlign w:val="center"/>
          </w:tcPr>
          <w:p w14:paraId="3B998691">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12" w:type="dxa"/>
            <w:tcBorders>
              <w:top w:val="nil"/>
              <w:left w:val="nil"/>
              <w:bottom w:val="single" w:color="000000" w:sz="8" w:space="0"/>
              <w:right w:val="single" w:color="000000" w:sz="8" w:space="0"/>
            </w:tcBorders>
            <w:vAlign w:val="center"/>
          </w:tcPr>
          <w:p w14:paraId="4A9634A0">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3B76975A">
            <w:pPr>
              <w:widowControl/>
              <w:jc w:val="left"/>
              <w:rPr>
                <w:rFonts w:ascii="宋体" w:hAnsi="宋体" w:cs="宋体"/>
                <w:color w:val="auto"/>
                <w:kern w:val="0"/>
                <w:sz w:val="20"/>
                <w:szCs w:val="20"/>
              </w:rPr>
            </w:pPr>
            <w:r>
              <w:rPr>
                <w:rFonts w:hint="eastAsia" w:ascii="宋体" w:hAnsi="宋体" w:cs="宋体"/>
                <w:color w:val="auto"/>
                <w:kern w:val="0"/>
                <w:sz w:val="20"/>
                <w:szCs w:val="20"/>
              </w:rPr>
              <w:t>《便器冲洗阀用水效率限定值及用水效率等级》（GB28379）</w:t>
            </w:r>
          </w:p>
        </w:tc>
      </w:tr>
      <w:tr w14:paraId="42263024">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vAlign w:val="center"/>
          </w:tcPr>
          <w:p w14:paraId="3E79B84F">
            <w:pPr>
              <w:widowControl/>
              <w:jc w:val="center"/>
              <w:rPr>
                <w:rFonts w:ascii="宋体" w:hAnsi="宋体" w:cs="宋体"/>
                <w:color w:val="auto"/>
                <w:kern w:val="0"/>
                <w:sz w:val="20"/>
                <w:szCs w:val="20"/>
              </w:rPr>
            </w:pPr>
            <w:r>
              <w:rPr>
                <w:rFonts w:hint="eastAsia" w:ascii="宋体" w:hAnsi="宋体" w:cs="宋体"/>
                <w:color w:val="auto"/>
                <w:kern w:val="0"/>
                <w:sz w:val="20"/>
                <w:szCs w:val="20"/>
              </w:rPr>
              <w:t>18</w:t>
            </w:r>
          </w:p>
        </w:tc>
        <w:tc>
          <w:tcPr>
            <w:tcW w:w="1041" w:type="dxa"/>
            <w:tcBorders>
              <w:top w:val="nil"/>
              <w:left w:val="nil"/>
              <w:bottom w:val="single" w:color="000000" w:sz="8" w:space="0"/>
              <w:right w:val="single" w:color="000000" w:sz="8" w:space="0"/>
            </w:tcBorders>
            <w:vAlign w:val="center"/>
          </w:tcPr>
          <w:p w14:paraId="6CDB3778">
            <w:pPr>
              <w:widowControl/>
              <w:jc w:val="center"/>
              <w:rPr>
                <w:rFonts w:ascii="宋体" w:hAnsi="宋体" w:cs="宋体"/>
                <w:color w:val="auto"/>
                <w:kern w:val="0"/>
                <w:sz w:val="20"/>
                <w:szCs w:val="20"/>
              </w:rPr>
            </w:pPr>
            <w:r>
              <w:rPr>
                <w:rFonts w:hint="eastAsia" w:ascii="宋体" w:hAnsi="宋体" w:cs="宋体"/>
                <w:color w:val="auto"/>
                <w:kern w:val="0"/>
                <w:sz w:val="20"/>
                <w:szCs w:val="20"/>
              </w:rPr>
              <w:t>A060810淋浴器</w:t>
            </w:r>
          </w:p>
        </w:tc>
        <w:tc>
          <w:tcPr>
            <w:tcW w:w="1516" w:type="dxa"/>
            <w:tcBorders>
              <w:top w:val="nil"/>
              <w:left w:val="nil"/>
              <w:bottom w:val="single" w:color="000000" w:sz="8" w:space="0"/>
              <w:right w:val="single" w:color="000000" w:sz="8" w:space="0"/>
            </w:tcBorders>
            <w:vAlign w:val="center"/>
          </w:tcPr>
          <w:p w14:paraId="4DF8BDC3">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12" w:type="dxa"/>
            <w:tcBorders>
              <w:top w:val="nil"/>
              <w:left w:val="nil"/>
              <w:bottom w:val="single" w:color="000000" w:sz="8" w:space="0"/>
              <w:right w:val="single" w:color="000000" w:sz="8" w:space="0"/>
            </w:tcBorders>
            <w:vAlign w:val="center"/>
          </w:tcPr>
          <w:p w14:paraId="5A916B23">
            <w:pPr>
              <w:widowControl/>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23B63CBD">
            <w:pPr>
              <w:widowControl/>
              <w:jc w:val="left"/>
              <w:rPr>
                <w:rFonts w:ascii="宋体" w:hAnsi="宋体" w:cs="宋体"/>
                <w:color w:val="auto"/>
                <w:kern w:val="0"/>
                <w:sz w:val="20"/>
                <w:szCs w:val="20"/>
              </w:rPr>
            </w:pPr>
            <w:r>
              <w:rPr>
                <w:rFonts w:hint="eastAsia" w:ascii="宋体" w:hAnsi="宋体" w:cs="宋体"/>
                <w:color w:val="auto"/>
                <w:kern w:val="0"/>
                <w:sz w:val="20"/>
                <w:szCs w:val="20"/>
              </w:rPr>
              <w:t>《淋浴器用水效率限定值及用水效率等级》（GB28378）</w:t>
            </w:r>
          </w:p>
        </w:tc>
      </w:tr>
    </w:tbl>
    <w:p w14:paraId="5312B8C7">
      <w:pPr>
        <w:pStyle w:val="2"/>
        <w:spacing w:line="300" w:lineRule="atLeast"/>
        <w:rPr>
          <w:color w:val="auto"/>
          <w:sz w:val="21"/>
          <w:szCs w:val="21"/>
        </w:rPr>
      </w:pPr>
      <w:r>
        <w:rPr>
          <w:rFonts w:hint="eastAsia"/>
          <w:color w:val="auto"/>
          <w:sz w:val="21"/>
          <w:szCs w:val="21"/>
        </w:rPr>
        <w:t>注：1.节能产品认证应依据相关国家标准的最新版本，依据国家标准中二级能效（水效）指标。</w:t>
      </w:r>
    </w:p>
    <w:p w14:paraId="23AC7E04">
      <w:pPr>
        <w:pStyle w:val="2"/>
        <w:numPr>
          <w:ilvl w:val="0"/>
          <w:numId w:val="3"/>
        </w:numPr>
        <w:spacing w:line="300" w:lineRule="atLeast"/>
        <w:rPr>
          <w:color w:val="auto"/>
          <w:sz w:val="21"/>
          <w:szCs w:val="21"/>
        </w:rPr>
      </w:pPr>
      <w:r>
        <w:rPr>
          <w:rFonts w:hint="eastAsia"/>
          <w:color w:val="auto"/>
          <w:sz w:val="21"/>
          <w:szCs w:val="21"/>
        </w:rPr>
        <w:t>以“★”标注的为政府强制采购产品。</w:t>
      </w:r>
    </w:p>
    <w:p w14:paraId="15125E5F">
      <w:pPr>
        <w:rPr>
          <w:color w:val="auto"/>
        </w:rPr>
      </w:pPr>
    </w:p>
    <w:p w14:paraId="2A734C6E">
      <w:pPr>
        <w:pStyle w:val="18"/>
        <w:rPr>
          <w:color w:val="auto"/>
        </w:rPr>
      </w:pPr>
    </w:p>
    <w:p w14:paraId="35B704DA">
      <w:pPr>
        <w:pStyle w:val="18"/>
        <w:rPr>
          <w:color w:val="auto"/>
        </w:rPr>
      </w:pPr>
    </w:p>
    <w:p w14:paraId="4D0CB026">
      <w:pPr>
        <w:pStyle w:val="18"/>
        <w:rPr>
          <w:color w:val="auto"/>
        </w:rPr>
      </w:pPr>
    </w:p>
    <w:p w14:paraId="55258C36">
      <w:pPr>
        <w:pStyle w:val="18"/>
        <w:rPr>
          <w:color w:val="auto"/>
        </w:rPr>
      </w:pPr>
    </w:p>
    <w:p w14:paraId="58A0E1A8">
      <w:pPr>
        <w:pStyle w:val="18"/>
        <w:rPr>
          <w:color w:val="auto"/>
        </w:rPr>
      </w:pPr>
    </w:p>
    <w:p w14:paraId="20EEE595">
      <w:pPr>
        <w:pStyle w:val="18"/>
        <w:rPr>
          <w:color w:val="auto"/>
        </w:rPr>
      </w:pPr>
    </w:p>
    <w:p w14:paraId="6E09387D">
      <w:pPr>
        <w:pStyle w:val="18"/>
        <w:rPr>
          <w:color w:val="auto"/>
        </w:rPr>
      </w:pPr>
    </w:p>
    <w:p w14:paraId="1D3780FB">
      <w:pPr>
        <w:pStyle w:val="18"/>
        <w:rPr>
          <w:color w:val="auto"/>
        </w:rPr>
      </w:pPr>
    </w:p>
    <w:p w14:paraId="57671611">
      <w:pPr>
        <w:pStyle w:val="18"/>
        <w:rPr>
          <w:color w:val="auto"/>
        </w:rPr>
      </w:pPr>
    </w:p>
    <w:p w14:paraId="1452DEC9">
      <w:pPr>
        <w:pStyle w:val="18"/>
        <w:rPr>
          <w:color w:val="auto"/>
        </w:rPr>
      </w:pPr>
    </w:p>
    <w:p w14:paraId="52335138">
      <w:pPr>
        <w:pStyle w:val="18"/>
        <w:rPr>
          <w:color w:val="auto"/>
        </w:rPr>
      </w:pPr>
    </w:p>
    <w:p w14:paraId="3EE41DF3">
      <w:pPr>
        <w:pStyle w:val="18"/>
        <w:rPr>
          <w:color w:val="auto"/>
        </w:rPr>
      </w:pPr>
    </w:p>
    <w:p w14:paraId="15867959">
      <w:pPr>
        <w:pStyle w:val="18"/>
        <w:rPr>
          <w:color w:val="auto"/>
        </w:rPr>
      </w:pPr>
    </w:p>
    <w:p w14:paraId="27D5CF8A">
      <w:pPr>
        <w:pStyle w:val="18"/>
        <w:rPr>
          <w:color w:val="auto"/>
        </w:rPr>
      </w:pPr>
    </w:p>
    <w:p w14:paraId="5BA1E1F8">
      <w:pPr>
        <w:pStyle w:val="18"/>
        <w:rPr>
          <w:color w:val="auto"/>
        </w:rPr>
      </w:pPr>
    </w:p>
    <w:p w14:paraId="6B3BF3A0">
      <w:pPr>
        <w:pStyle w:val="18"/>
        <w:rPr>
          <w:color w:val="auto"/>
        </w:rPr>
      </w:pPr>
    </w:p>
    <w:p w14:paraId="3571690C">
      <w:pPr>
        <w:pStyle w:val="18"/>
        <w:rPr>
          <w:color w:val="auto"/>
        </w:rPr>
      </w:pPr>
    </w:p>
    <w:p w14:paraId="42E2E0BF">
      <w:pPr>
        <w:pStyle w:val="18"/>
        <w:rPr>
          <w:color w:val="auto"/>
        </w:rPr>
      </w:pPr>
    </w:p>
    <w:p w14:paraId="2DF9E174">
      <w:pPr>
        <w:pStyle w:val="18"/>
        <w:rPr>
          <w:color w:val="auto"/>
        </w:rPr>
      </w:pPr>
    </w:p>
    <w:p w14:paraId="02D6F22D">
      <w:pPr>
        <w:pStyle w:val="18"/>
        <w:rPr>
          <w:color w:val="auto"/>
        </w:rPr>
      </w:pPr>
    </w:p>
    <w:p w14:paraId="6AF63B28">
      <w:pPr>
        <w:pStyle w:val="18"/>
        <w:rPr>
          <w:color w:val="auto"/>
        </w:rPr>
      </w:pPr>
    </w:p>
    <w:p w14:paraId="28C74F2D">
      <w:pPr>
        <w:pStyle w:val="18"/>
        <w:rPr>
          <w:color w:val="auto"/>
        </w:rPr>
      </w:pPr>
    </w:p>
    <w:p w14:paraId="0B27FB15">
      <w:pPr>
        <w:pStyle w:val="18"/>
        <w:rPr>
          <w:color w:val="auto"/>
        </w:rPr>
      </w:pPr>
    </w:p>
    <w:p w14:paraId="0BE12EA9">
      <w:pPr>
        <w:pStyle w:val="2"/>
        <w:spacing w:line="300" w:lineRule="atLeast"/>
        <w:jc w:val="center"/>
        <w:rPr>
          <w:color w:val="auto"/>
        </w:rPr>
      </w:pPr>
    </w:p>
    <w:p w14:paraId="71D3F5CE">
      <w:pPr>
        <w:pStyle w:val="2"/>
        <w:spacing w:line="300" w:lineRule="atLeast"/>
        <w:jc w:val="center"/>
        <w:rPr>
          <w:color w:val="auto"/>
        </w:rPr>
      </w:pPr>
    </w:p>
    <w:p w14:paraId="18B2BAB5">
      <w:pPr>
        <w:pStyle w:val="2"/>
        <w:spacing w:line="300" w:lineRule="atLeast"/>
        <w:rPr>
          <w:color w:val="auto"/>
        </w:rPr>
      </w:pPr>
    </w:p>
    <w:p w14:paraId="5A742867">
      <w:pPr>
        <w:pStyle w:val="2"/>
        <w:spacing w:line="300" w:lineRule="atLeast"/>
        <w:rPr>
          <w:color w:val="auto"/>
        </w:rPr>
      </w:pPr>
    </w:p>
    <w:p w14:paraId="24F663A6">
      <w:pPr>
        <w:rPr>
          <w:color w:val="auto"/>
        </w:rPr>
      </w:pPr>
    </w:p>
    <w:p w14:paraId="3205968A">
      <w:pPr>
        <w:rPr>
          <w:color w:val="auto"/>
        </w:rPr>
      </w:pPr>
    </w:p>
    <w:p w14:paraId="2D0FACE9">
      <w:pPr>
        <w:rPr>
          <w:color w:val="auto"/>
        </w:rPr>
      </w:pPr>
    </w:p>
    <w:p w14:paraId="7B92AA55">
      <w:pPr>
        <w:rPr>
          <w:color w:val="auto"/>
        </w:rPr>
      </w:pPr>
    </w:p>
    <w:p w14:paraId="0E75DBBE">
      <w:pPr>
        <w:rPr>
          <w:color w:val="auto"/>
        </w:rPr>
      </w:pPr>
    </w:p>
    <w:p w14:paraId="19377D5F">
      <w:pPr>
        <w:rPr>
          <w:color w:val="auto"/>
        </w:rPr>
      </w:pPr>
    </w:p>
    <w:p w14:paraId="0457CA1D">
      <w:pPr>
        <w:rPr>
          <w:color w:val="auto"/>
        </w:rPr>
      </w:pPr>
    </w:p>
    <w:p w14:paraId="0E3E641C">
      <w:pPr>
        <w:rPr>
          <w:color w:val="auto"/>
        </w:rPr>
      </w:pPr>
    </w:p>
    <w:p w14:paraId="65B26500">
      <w:pPr>
        <w:pStyle w:val="2"/>
        <w:spacing w:line="300" w:lineRule="atLeast"/>
        <w:jc w:val="center"/>
        <w:rPr>
          <w:color w:val="auto"/>
        </w:rPr>
      </w:pPr>
      <w:r>
        <w:rPr>
          <w:rFonts w:hint="eastAsia"/>
          <w:color w:val="auto"/>
        </w:rPr>
        <w:t xml:space="preserve">第四章  </w:t>
      </w:r>
      <w:bookmarkStart w:id="29" w:name="_Hlk68601507"/>
      <w:r>
        <w:rPr>
          <w:rFonts w:hint="eastAsia"/>
          <w:color w:val="auto"/>
        </w:rPr>
        <w:t>评审程序和评定成交的标准</w:t>
      </w:r>
      <w:bookmarkEnd w:id="27"/>
      <w:bookmarkEnd w:id="29"/>
    </w:p>
    <w:p w14:paraId="5BACB78D">
      <w:pPr>
        <w:spacing w:line="300" w:lineRule="atLeast"/>
        <w:jc w:val="center"/>
        <w:rPr>
          <w:rFonts w:ascii="宋体" w:hAnsi="宋体"/>
          <w:b/>
          <w:color w:val="auto"/>
          <w:sz w:val="32"/>
          <w:szCs w:val="32"/>
        </w:rPr>
      </w:pPr>
      <w:r>
        <w:rPr>
          <w:rFonts w:hint="eastAsia" w:ascii="宋体" w:hAnsi="宋体"/>
          <w:b/>
          <w:color w:val="auto"/>
          <w:sz w:val="32"/>
          <w:szCs w:val="32"/>
        </w:rPr>
        <w:t>一、评审程序</w:t>
      </w:r>
    </w:p>
    <w:p w14:paraId="707595F1">
      <w:pPr>
        <w:pStyle w:val="18"/>
        <w:rPr>
          <w:color w:val="auto"/>
        </w:rPr>
      </w:pPr>
    </w:p>
    <w:p w14:paraId="5C641EE6">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.确认谈判文件</w:t>
      </w:r>
    </w:p>
    <w:p w14:paraId="24ED08F7">
      <w:pPr>
        <w:spacing w:line="360" w:lineRule="auto"/>
        <w:ind w:firstLine="420" w:firstLineChars="200"/>
        <w:rPr>
          <w:rFonts w:ascii="宋体" w:hAnsi="宋体" w:cs="宋体"/>
          <w:color w:val="auto"/>
          <w:szCs w:val="21"/>
        </w:rPr>
      </w:pPr>
      <w:r>
        <w:rPr>
          <w:rFonts w:hint="eastAsia" w:ascii="宋体" w:hAnsi="宋体" w:cs="宋体"/>
          <w:color w:val="auto"/>
          <w:szCs w:val="21"/>
        </w:rPr>
        <w:t>由谈判小组确认谈判文件。</w:t>
      </w:r>
    </w:p>
    <w:p w14:paraId="3D9FDE16">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w:t>
      </w:r>
      <w:r>
        <w:rPr>
          <w:rFonts w:hint="eastAsia" w:ascii="黑体" w:hAnsi="黑体" w:eastAsia="黑体" w:cs="宋体"/>
          <w:b/>
          <w:bCs/>
          <w:color w:val="auto"/>
          <w:sz w:val="24"/>
        </w:rPr>
        <w:t>.资格审查</w:t>
      </w:r>
    </w:p>
    <w:p w14:paraId="5ADEB762">
      <w:pPr>
        <w:snapToGrid w:val="0"/>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.1响应文件开启后，谈判小组依法对供应商的资格证明文件进行审查。</w:t>
      </w:r>
    </w:p>
    <w:p w14:paraId="0DB305BA">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（1）查询渠道：</w:t>
      </w:r>
      <w:r>
        <w:rPr>
          <w:rFonts w:hint="eastAsia" w:ascii="宋体" w:hAnsi="宋体" w:cs="宋体"/>
          <w:color w:val="auto"/>
          <w:szCs w:val="21"/>
        </w:rPr>
        <w:fldChar w:fldCharType="begin"/>
      </w:r>
      <w:r>
        <w:rPr>
          <w:rFonts w:hint="eastAsia" w:ascii="宋体" w:hAnsi="宋体" w:cs="宋体"/>
          <w:color w:val="auto"/>
          <w:szCs w:val="21"/>
        </w:rPr>
        <w:instrText xml:space="preserve"> HYPERLINK "" </w:instrText>
      </w:r>
      <w:r>
        <w:rPr>
          <w:rFonts w:hint="eastAsia" w:ascii="宋体" w:hAnsi="宋体" w:cs="宋体"/>
          <w:color w:val="auto"/>
          <w:szCs w:val="21"/>
        </w:rPr>
        <w:fldChar w:fldCharType="separate"/>
      </w:r>
      <w:r>
        <w:rPr>
          <w:rFonts w:hint="eastAsia" w:ascii="宋体" w:hAnsi="宋体" w:cs="宋体"/>
          <w:color w:val="auto"/>
          <w:szCs w:val="21"/>
        </w:rPr>
        <w:fldChar w:fldCharType="end"/>
      </w:r>
      <w:r>
        <w:rPr>
          <w:rFonts w:hint="eastAsia" w:ascii="宋体" w:hAnsi="宋体" w:cs="宋体"/>
          <w:color w:val="auto"/>
          <w:szCs w:val="21"/>
          <w:lang w:eastAsia="zh-CN"/>
        </w:rPr>
        <w:t>广西政府采购云平台</w:t>
      </w:r>
      <w:r>
        <w:rPr>
          <w:rFonts w:ascii="宋体" w:hAnsi="宋体" w:cs="宋体"/>
          <w:color w:val="auto"/>
          <w:szCs w:val="21"/>
        </w:rPr>
        <w:t>“信用中国”网站（www.creditchina.gov.cn）、中国政府采购网（</w:t>
      </w:r>
      <w:r>
        <w:rPr>
          <w:color w:val="auto"/>
        </w:rPr>
        <w:fldChar w:fldCharType="begin"/>
      </w:r>
      <w:r>
        <w:rPr>
          <w:color w:val="auto"/>
        </w:rPr>
        <w:instrText xml:space="preserve"> HYPERLINK "http://www.ccgp.gov.cn" </w:instrText>
      </w:r>
      <w:r>
        <w:rPr>
          <w:color w:val="auto"/>
        </w:rPr>
        <w:fldChar w:fldCharType="separate"/>
      </w:r>
      <w:r>
        <w:rPr>
          <w:rFonts w:cs="宋体"/>
          <w:color w:val="auto"/>
        </w:rPr>
        <w:t>www.ccgp.gov.cn</w:t>
      </w:r>
      <w:r>
        <w:rPr>
          <w:rFonts w:cs="宋体"/>
          <w:color w:val="auto"/>
        </w:rPr>
        <w:fldChar w:fldCharType="end"/>
      </w:r>
      <w:r>
        <w:rPr>
          <w:rFonts w:ascii="宋体" w:hAnsi="宋体" w:cs="宋体"/>
          <w:color w:val="auto"/>
          <w:szCs w:val="21"/>
        </w:rPr>
        <w:t>）</w:t>
      </w:r>
      <w:r>
        <w:rPr>
          <w:rFonts w:hint="eastAsia" w:ascii="宋体" w:hAnsi="宋体" w:cs="宋体"/>
          <w:color w:val="auto"/>
          <w:szCs w:val="21"/>
        </w:rPr>
        <w:t xml:space="preserve">。 </w:t>
      </w:r>
    </w:p>
    <w:p w14:paraId="0A37D2F9">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（2）信用查询截止时点：</w:t>
      </w:r>
      <w:r>
        <w:rPr>
          <w:rFonts w:ascii="宋体" w:hAnsi="宋体" w:cs="宋体"/>
          <w:color w:val="auto"/>
          <w:szCs w:val="21"/>
        </w:rPr>
        <w:t>资格审查结束前</w:t>
      </w:r>
      <w:r>
        <w:rPr>
          <w:rFonts w:hint="eastAsia" w:ascii="宋体" w:hAnsi="宋体" w:cs="宋体"/>
          <w:color w:val="auto"/>
          <w:szCs w:val="21"/>
        </w:rPr>
        <w:t>。</w:t>
      </w:r>
    </w:p>
    <w:p w14:paraId="25ABE746">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（3）查询记录和证据留存方式：将查询网站中的查询记录截图并作为评审资料保存。</w:t>
      </w:r>
    </w:p>
    <w:p w14:paraId="6B0F6F02">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（4）信用信息使用规则：信用信息使用规则：根据财政部《关于在政府采购活动中查询及使用信用记录有关问题的通知》（财库〔2016〕125号）的规定，对在“信用中国”网站(www.creditchina.gov.cn)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F933FE3">
      <w:pPr>
        <w:snapToGrid w:val="0"/>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.2资格审查标准为本谈判文件中载明对供应商资格要求的条件。本项目资格审查采用合格制，凡符合谈判文件规定的供应商资格要求的供应商均通过资格审查。</w:t>
      </w:r>
    </w:p>
    <w:p w14:paraId="11181E04">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.3 供应商有下列情形之一的，资格审查不通过，其响应文件按无效响应处理：</w:t>
      </w:r>
    </w:p>
    <w:p w14:paraId="5E17EAA0">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）不具备谈判文件中规定的资格要求的；</w:t>
      </w:r>
    </w:p>
    <w:p w14:paraId="2377F26E">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（2）响应文件中的资格证明文件缺少任一项“供应商须知前附表”资格证明文件规定的“必须提供”的文件资料的；</w:t>
      </w:r>
    </w:p>
    <w:p w14:paraId="089073CE">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（3）响应文件中的资格证明文件出现任一项不符合“供应商须知前附表”资格证明文件规定的“必须提供”的文件资料要求或者无效的；</w:t>
      </w:r>
    </w:p>
    <w:p w14:paraId="02D005ED">
      <w:pPr>
        <w:spacing w:line="360" w:lineRule="auto"/>
        <w:ind w:firstLine="420" w:firstLineChars="200"/>
        <w:rPr>
          <w:rFonts w:ascii="宋体" w:hAnsi="宋体" w:cs="宋体"/>
          <w:color w:val="auto"/>
          <w:szCs w:val="21"/>
        </w:rPr>
      </w:pPr>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（4）同一合同项下的不同供应商，单位负责人为同一人或者存在直接控股、管理关系的；为本项目提供过整体设计、规范编制或者项目管理、监理、检测等服务的供应商，再参加该采购项目的其他采购活动的。</w:t>
      </w:r>
    </w:p>
    <w:p w14:paraId="2134DD62">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.4通过资格审查的合格供应商不足3家（本章</w:t>
      </w:r>
      <w:r>
        <w:rPr>
          <w:rFonts w:ascii="宋体" w:hAnsi="宋体" w:cs="宋体"/>
          <w:color w:val="auto"/>
          <w:szCs w:val="21"/>
        </w:rPr>
        <w:t>3</w:t>
      </w:r>
      <w:r>
        <w:rPr>
          <w:rFonts w:hint="eastAsia" w:ascii="宋体" w:hAnsi="宋体" w:cs="宋体"/>
          <w:color w:val="auto"/>
          <w:szCs w:val="21"/>
        </w:rPr>
        <w:t>.7条规定除外）的，不得进入符合性审查环节，应当重新开展采购活动。</w:t>
      </w:r>
    </w:p>
    <w:p w14:paraId="7940FD68">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.符合性审查</w:t>
      </w:r>
    </w:p>
    <w:p w14:paraId="391EA00A">
      <w:pPr>
        <w:spacing w:line="360" w:lineRule="auto"/>
        <w:ind w:firstLine="420" w:firstLineChars="200"/>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w:t>
      </w:r>
      <w:r>
        <w:rPr>
          <w:rFonts w:hint="eastAsia" w:ascii="宋体" w:hAnsi="宋体" w:cs="宋体"/>
          <w:color w:val="auto"/>
          <w:szCs w:val="21"/>
        </w:rPr>
        <w:t>由谈判小组对</w:t>
      </w:r>
      <w:r>
        <w:rPr>
          <w:rFonts w:hint="eastAsia" w:ascii="宋体" w:hAnsi="宋体"/>
          <w:color w:val="auto"/>
          <w:szCs w:val="21"/>
        </w:rPr>
        <w:t>资格审查的合格</w:t>
      </w:r>
      <w:r>
        <w:rPr>
          <w:rFonts w:hint="eastAsia" w:ascii="宋体" w:hAnsi="宋体" w:cs="宋体"/>
          <w:color w:val="auto"/>
          <w:szCs w:val="21"/>
        </w:rPr>
        <w:t>的供应商的响应文件进行竞标报价、商务、技术等实质性要求符合性审查，以确定其是否满足谈判文件的实质性要求。</w:t>
      </w:r>
    </w:p>
    <w:p w14:paraId="12E30090">
      <w:pPr>
        <w:spacing w:line="360" w:lineRule="auto"/>
        <w:ind w:firstLine="420" w:firstLineChars="200"/>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.2</w:t>
      </w:r>
      <w:r>
        <w:rPr>
          <w:rFonts w:hint="eastAsia" w:ascii="宋体" w:hAnsi="宋体" w:cs="宋体"/>
          <w:color w:val="auto"/>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F842E22">
      <w:pPr>
        <w:spacing w:line="360" w:lineRule="auto"/>
        <w:ind w:firstLine="420" w:firstLineChars="200"/>
        <w:rPr>
          <w:rFonts w:ascii="宋体" w:hAnsi="宋体" w:cs="宋体"/>
          <w:color w:val="auto"/>
          <w:spacing w:val="-6"/>
          <w:szCs w:val="21"/>
        </w:rPr>
      </w:pPr>
      <w:r>
        <w:rPr>
          <w:rFonts w:ascii="宋体" w:hAnsi="宋体" w:cs="宋体"/>
          <w:color w:val="auto"/>
          <w:szCs w:val="21"/>
        </w:rPr>
        <w:t>3</w:t>
      </w:r>
      <w:r>
        <w:rPr>
          <w:rFonts w:hint="eastAsia" w:ascii="宋体" w:hAnsi="宋体" w:cs="宋体"/>
          <w:color w:val="auto"/>
          <w:szCs w:val="21"/>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w:t>
      </w:r>
      <w:r>
        <w:rPr>
          <w:rFonts w:hint="eastAsia" w:ascii="宋体" w:hAnsi="宋体" w:cs="宋体"/>
          <w:color w:val="auto"/>
        </w:rPr>
        <w:t>有利于采购人</w:t>
      </w:r>
      <w:r>
        <w:rPr>
          <w:rFonts w:hint="eastAsia" w:ascii="宋体" w:hAnsi="宋体" w:cs="宋体"/>
          <w:color w:val="auto"/>
          <w:szCs w:val="21"/>
        </w:rPr>
        <w:t>的原则由谈判小组进行判定。供应商的澄清、说明或者更正必须由法定代表人或者其委托代理人签字或者加盖供应商公章。</w:t>
      </w:r>
    </w:p>
    <w:p w14:paraId="457E2619">
      <w:pPr>
        <w:spacing w:line="360" w:lineRule="auto"/>
        <w:ind w:firstLine="396" w:firstLineChars="200"/>
        <w:rPr>
          <w:rFonts w:ascii="宋体" w:hAnsi="宋体" w:cs="宋体"/>
          <w:color w:val="auto"/>
          <w:szCs w:val="21"/>
        </w:rPr>
      </w:pPr>
      <w:r>
        <w:rPr>
          <w:rFonts w:ascii="宋体" w:hAnsi="宋体" w:cs="宋体"/>
          <w:color w:val="auto"/>
          <w:spacing w:val="-6"/>
          <w:szCs w:val="21"/>
        </w:rPr>
        <w:t>3.4</w:t>
      </w:r>
      <w:r>
        <w:rPr>
          <w:rFonts w:hint="eastAsia" w:ascii="宋体" w:hAnsi="宋体" w:cs="宋体"/>
          <w:color w:val="auto"/>
          <w:szCs w:val="21"/>
        </w:rPr>
        <w:t xml:space="preserve">首次响应文件报价出现前后不一致的，按照下列规定修正： </w:t>
      </w:r>
    </w:p>
    <w:p w14:paraId="6CAA08AF">
      <w:pPr>
        <w:spacing w:line="360" w:lineRule="auto"/>
        <w:ind w:firstLine="420" w:firstLineChars="200"/>
        <w:rPr>
          <w:rFonts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178D1D8C">
      <w:pPr>
        <w:spacing w:line="360" w:lineRule="auto"/>
        <w:ind w:firstLine="420" w:firstLineChars="200"/>
        <w:rPr>
          <w:rFonts w:ascii="宋体" w:hAnsi="宋体" w:cs="宋体"/>
          <w:color w:val="auto"/>
          <w:szCs w:val="21"/>
        </w:rPr>
      </w:pPr>
      <w:r>
        <w:rPr>
          <w:rFonts w:hint="eastAsia" w:ascii="宋体" w:hAnsi="宋体" w:cs="宋体"/>
          <w:color w:val="auto"/>
          <w:szCs w:val="21"/>
        </w:rPr>
        <w:t>（2）大写金额和小写金额不一致的，以大写金额为准；</w:t>
      </w:r>
    </w:p>
    <w:p w14:paraId="7934492E">
      <w:pPr>
        <w:spacing w:line="360" w:lineRule="auto"/>
        <w:ind w:firstLine="420" w:firstLineChars="200"/>
        <w:rPr>
          <w:rFonts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15E63846">
      <w:pPr>
        <w:spacing w:line="360" w:lineRule="auto"/>
        <w:ind w:firstLine="420" w:firstLineChars="20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6E8D320D">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同时出现两种以上不一致的，按照以上（1）-（4）规定的顺序逐条进行修正。修正后的报价经供应商确认后产生约束力，供应商不确认的，其响应文件按无效响应处理。</w:t>
      </w:r>
    </w:p>
    <w:p w14:paraId="4B921961">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14:paraId="06E21CAA">
      <w:pPr>
        <w:spacing w:line="360" w:lineRule="auto"/>
        <w:ind w:firstLine="420" w:firstLineChars="200"/>
        <w:rPr>
          <w:rFonts w:ascii="宋体" w:hAnsi="宋体" w:cs="宋体"/>
          <w:color w:val="auto"/>
          <w:szCs w:val="21"/>
        </w:rPr>
      </w:pPr>
      <w:r>
        <w:rPr>
          <w:rFonts w:hint="eastAsia" w:ascii="宋体" w:hAnsi="宋体" w:cs="宋体"/>
          <w:color w:val="auto"/>
          <w:szCs w:val="21"/>
        </w:rPr>
        <w:t>在评审时，如发现下列情形之一的，将被视为响应文件无效响应处理：</w:t>
      </w:r>
    </w:p>
    <w:p w14:paraId="2A412AA4">
      <w:pPr>
        <w:spacing w:line="360" w:lineRule="auto"/>
        <w:ind w:firstLine="420" w:firstLineChars="200"/>
        <w:rPr>
          <w:rFonts w:ascii="宋体" w:hAnsi="宋体" w:cs="宋体"/>
          <w:color w:val="auto"/>
          <w:szCs w:val="21"/>
        </w:rPr>
      </w:pPr>
      <w:r>
        <w:rPr>
          <w:rFonts w:hint="eastAsia" w:ascii="宋体" w:hAnsi="宋体" w:cs="宋体"/>
          <w:color w:val="auto"/>
          <w:szCs w:val="21"/>
        </w:rPr>
        <w:t>（1）商务技术评审</w:t>
      </w:r>
    </w:p>
    <w:p w14:paraId="37C7578E">
      <w:pPr>
        <w:spacing w:line="360" w:lineRule="auto"/>
        <w:ind w:firstLine="420" w:firstLineChars="200"/>
        <w:rPr>
          <w:rFonts w:ascii="宋体" w:hAnsi="宋体" w:cs="宋体"/>
          <w:color w:val="auto"/>
          <w:szCs w:val="21"/>
        </w:rPr>
      </w:pPr>
      <w:r>
        <w:rPr>
          <w:rFonts w:hint="eastAsia" w:ascii="宋体" w:hAnsi="宋体" w:cs="宋体"/>
          <w:color w:val="auto"/>
          <w:szCs w:val="21"/>
        </w:rPr>
        <w:t>1）响应文件未按谈判文件要求签署、盖章的；</w:t>
      </w:r>
    </w:p>
    <w:p w14:paraId="2E356401">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2）委托代理人未能出具有效身份证或者出具的身份证与授权委托书中的信息不符的； </w:t>
      </w:r>
    </w:p>
    <w:p w14:paraId="07A5E6B5">
      <w:pPr>
        <w:spacing w:line="360" w:lineRule="auto"/>
        <w:ind w:firstLine="420" w:firstLineChars="200"/>
        <w:rPr>
          <w:rFonts w:ascii="宋体" w:hAnsi="宋体" w:cs="宋体"/>
          <w:color w:val="auto"/>
          <w:szCs w:val="21"/>
        </w:rPr>
      </w:pPr>
      <w:r>
        <w:rPr>
          <w:rFonts w:hint="eastAsia" w:ascii="宋体" w:hAnsi="宋体" w:cs="宋体"/>
          <w:color w:val="auto"/>
          <w:szCs w:val="21"/>
        </w:rPr>
        <w:t>3）提交的竞标保证金无效的或者未按照谈判文件的规定提交竞标保证金；</w:t>
      </w:r>
    </w:p>
    <w:p w14:paraId="4D950C88">
      <w:pPr>
        <w:spacing w:line="360" w:lineRule="auto"/>
        <w:ind w:firstLine="420" w:firstLineChars="200"/>
        <w:rPr>
          <w:rFonts w:ascii="宋体" w:hAnsi="宋体" w:cs="宋体"/>
          <w:color w:val="auto"/>
          <w:szCs w:val="21"/>
        </w:rPr>
      </w:pPr>
      <w:r>
        <w:rPr>
          <w:rFonts w:hint="eastAsia" w:ascii="宋体" w:hAnsi="宋体" w:cs="宋体"/>
          <w:color w:val="auto"/>
          <w:szCs w:val="21"/>
        </w:rPr>
        <w:t>4）响应文件中的报价商务技术文件出现任一项不符合“供应商须知前附表”中“必须提供”或者“委托时必须提供”文件资料要求的规定或者提供的报价商务技术文件无效。</w:t>
      </w:r>
    </w:p>
    <w:p w14:paraId="630ECFF7">
      <w:pPr>
        <w:spacing w:line="360" w:lineRule="auto"/>
        <w:ind w:firstLine="420" w:firstLineChars="200"/>
        <w:rPr>
          <w:rFonts w:ascii="宋体" w:hAnsi="宋体" w:cs="宋体"/>
          <w:color w:val="auto"/>
          <w:szCs w:val="21"/>
        </w:rPr>
      </w:pPr>
      <w:r>
        <w:rPr>
          <w:rFonts w:hint="eastAsia" w:ascii="宋体" w:hAnsi="宋体" w:cs="宋体"/>
          <w:color w:val="auto"/>
          <w:szCs w:val="21"/>
        </w:rPr>
        <w:t>5）商务条款成交“▲”的条款发生负偏离或者允许负偏离的条款数超过“供应商须知前附表”规定项数的；</w:t>
      </w:r>
    </w:p>
    <w:p w14:paraId="397AE0F5">
      <w:pPr>
        <w:spacing w:line="360" w:lineRule="auto"/>
        <w:ind w:firstLine="420" w:firstLineChars="200"/>
        <w:rPr>
          <w:rFonts w:ascii="宋体" w:hAnsi="宋体" w:cs="宋体"/>
          <w:color w:val="auto"/>
          <w:szCs w:val="21"/>
        </w:rPr>
      </w:pPr>
      <w:r>
        <w:rPr>
          <w:rFonts w:hint="eastAsia" w:ascii="宋体" w:hAnsi="宋体" w:cs="宋体"/>
          <w:color w:val="auto"/>
          <w:szCs w:val="21"/>
        </w:rPr>
        <w:t>6）未对竞标有效期作出响应或者响应文件承诺的竞标有效期不满足谈判文件要求；</w:t>
      </w:r>
    </w:p>
    <w:p w14:paraId="0FF1331D">
      <w:pPr>
        <w:spacing w:line="360" w:lineRule="auto"/>
        <w:ind w:firstLine="420" w:firstLineChars="200"/>
        <w:rPr>
          <w:rFonts w:ascii="宋体" w:hAnsi="宋体" w:cs="宋体"/>
          <w:color w:val="auto"/>
          <w:szCs w:val="21"/>
        </w:rPr>
      </w:pPr>
      <w:r>
        <w:rPr>
          <w:rFonts w:hint="eastAsia" w:ascii="宋体" w:hAnsi="宋体" w:cs="宋体"/>
          <w:color w:val="auto"/>
          <w:szCs w:val="21"/>
        </w:rPr>
        <w:t>7）响应文件的实质性内容未使用中文表述、使用计量单位不符合谈判文件要求的；</w:t>
      </w:r>
    </w:p>
    <w:p w14:paraId="66413BF7">
      <w:pPr>
        <w:spacing w:line="360" w:lineRule="auto"/>
        <w:ind w:firstLine="420" w:firstLineChars="200"/>
        <w:rPr>
          <w:rFonts w:ascii="宋体" w:hAnsi="宋体" w:cs="宋体"/>
          <w:color w:val="auto"/>
          <w:szCs w:val="21"/>
        </w:rPr>
      </w:pPr>
      <w:r>
        <w:rPr>
          <w:rFonts w:hint="eastAsia" w:ascii="宋体" w:hAnsi="宋体" w:cs="宋体"/>
          <w:color w:val="auto"/>
          <w:szCs w:val="21"/>
        </w:rPr>
        <w:t>8）响应文件中的文件资料因填写不齐全或者内容虚假或者出现其他情形而导致被谈判小组认定无效的；</w:t>
      </w:r>
    </w:p>
    <w:p w14:paraId="52C526FA">
      <w:pPr>
        <w:spacing w:line="360" w:lineRule="auto"/>
        <w:ind w:firstLine="420" w:firstLineChars="200"/>
        <w:rPr>
          <w:rFonts w:ascii="宋体" w:hAnsi="宋体" w:cs="宋体"/>
          <w:color w:val="auto"/>
          <w:szCs w:val="21"/>
        </w:rPr>
      </w:pPr>
      <w:r>
        <w:rPr>
          <w:rFonts w:hint="eastAsia" w:ascii="宋体" w:hAnsi="宋体" w:cs="宋体"/>
          <w:color w:val="auto"/>
          <w:szCs w:val="21"/>
        </w:rPr>
        <w:t>9）响应文件含有采购人不能接受的附加条件的；</w:t>
      </w:r>
    </w:p>
    <w:p w14:paraId="2CFF8841">
      <w:pPr>
        <w:spacing w:line="360" w:lineRule="auto"/>
        <w:ind w:firstLine="420" w:firstLineChars="200"/>
        <w:rPr>
          <w:rFonts w:ascii="宋体" w:hAnsi="宋体" w:cs="宋体"/>
          <w:color w:val="auto"/>
          <w:szCs w:val="21"/>
        </w:rPr>
      </w:pPr>
      <w:r>
        <w:rPr>
          <w:rFonts w:hint="eastAsia" w:ascii="宋体" w:hAnsi="宋体" w:cs="宋体"/>
          <w:color w:val="auto"/>
          <w:szCs w:val="21"/>
        </w:rPr>
        <w:t>10）属于“供应商须知正文”第7.</w:t>
      </w:r>
      <w:r>
        <w:rPr>
          <w:rFonts w:ascii="宋体" w:hAnsi="宋体" w:cs="宋体"/>
          <w:color w:val="auto"/>
          <w:szCs w:val="21"/>
        </w:rPr>
        <w:t>5</w:t>
      </w:r>
      <w:r>
        <w:rPr>
          <w:rFonts w:hint="eastAsia" w:ascii="宋体" w:hAnsi="宋体" w:cs="宋体"/>
          <w:color w:val="auto"/>
          <w:szCs w:val="21"/>
        </w:rPr>
        <w:t>条的情形的；</w:t>
      </w:r>
    </w:p>
    <w:p w14:paraId="0ABB3D17">
      <w:pPr>
        <w:spacing w:line="360" w:lineRule="auto"/>
        <w:ind w:firstLine="420" w:firstLineChars="200"/>
        <w:rPr>
          <w:rFonts w:ascii="宋体" w:hAnsi="宋体" w:cs="宋体"/>
          <w:color w:val="auto"/>
          <w:szCs w:val="21"/>
        </w:rPr>
      </w:pPr>
      <w:r>
        <w:rPr>
          <w:rFonts w:hint="eastAsia" w:ascii="宋体" w:hAnsi="宋体" w:cs="宋体"/>
          <w:color w:val="auto"/>
          <w:szCs w:val="21"/>
        </w:rPr>
        <w:t>11）技术要求成交“▲”的条款发生负偏离或允许负偏离的条款数超过“供应商须知前附表”规定项数的；</w:t>
      </w:r>
    </w:p>
    <w:p w14:paraId="16584933">
      <w:pPr>
        <w:spacing w:line="360" w:lineRule="auto"/>
        <w:ind w:firstLine="420" w:firstLineChars="200"/>
        <w:rPr>
          <w:rFonts w:ascii="宋体" w:hAnsi="宋体" w:cs="宋体"/>
          <w:color w:val="auto"/>
          <w:szCs w:val="21"/>
        </w:rPr>
      </w:pPr>
      <w:r>
        <w:rPr>
          <w:rFonts w:hint="eastAsia" w:ascii="宋体" w:hAnsi="宋体" w:cs="宋体"/>
          <w:color w:val="auto"/>
          <w:szCs w:val="21"/>
        </w:rPr>
        <w:t>12）虚假竞标，或者出现其他情形而导致被谈判小组认定无效的；</w:t>
      </w:r>
    </w:p>
    <w:p w14:paraId="4E1E1E62">
      <w:pPr>
        <w:spacing w:line="360" w:lineRule="auto"/>
        <w:ind w:firstLine="420" w:firstLineChars="200"/>
        <w:rPr>
          <w:rFonts w:ascii="宋体" w:hAnsi="宋体" w:cs="宋体"/>
          <w:color w:val="auto"/>
          <w:szCs w:val="21"/>
        </w:rPr>
      </w:pPr>
      <w:r>
        <w:rPr>
          <w:rFonts w:hint="eastAsia" w:ascii="宋体" w:hAnsi="宋体" w:cs="宋体"/>
          <w:color w:val="auto"/>
          <w:szCs w:val="21"/>
        </w:rPr>
        <w:t>13）</w:t>
      </w:r>
      <w:bookmarkStart w:id="30" w:name="_Hlk71704147"/>
      <w:r>
        <w:rPr>
          <w:rFonts w:hint="eastAsia" w:ascii="宋体" w:hAnsi="宋体" w:cs="宋体"/>
          <w:color w:val="auto"/>
          <w:szCs w:val="21"/>
        </w:rPr>
        <w:t>谈判文件未载明允许提供备选（替代）竞标方案或明确不允许提供备选（替代）竞标方案时，供应商提供了备选（替代）竞标方案的；</w:t>
      </w:r>
      <w:bookmarkEnd w:id="30"/>
    </w:p>
    <w:p w14:paraId="5D4F6088">
      <w:pPr>
        <w:spacing w:line="360" w:lineRule="auto"/>
        <w:ind w:firstLine="420" w:firstLineChars="200"/>
        <w:rPr>
          <w:rFonts w:ascii="宋体" w:hAnsi="宋体" w:cs="宋体"/>
          <w:color w:val="auto"/>
          <w:szCs w:val="21"/>
        </w:rPr>
      </w:pPr>
      <w:r>
        <w:rPr>
          <w:rFonts w:hint="eastAsia" w:ascii="宋体" w:hAnsi="宋体" w:cs="宋体"/>
          <w:color w:val="auto"/>
          <w:szCs w:val="21"/>
        </w:rPr>
        <w:t>14）响应文件标注的项目名称或者项目编号与谈判文件标注的项目名称或者项目编号不一致的；</w:t>
      </w:r>
    </w:p>
    <w:p w14:paraId="6CFC0E2A">
      <w:pPr>
        <w:spacing w:line="360" w:lineRule="auto"/>
        <w:ind w:firstLine="420" w:firstLineChars="200"/>
        <w:rPr>
          <w:rFonts w:ascii="宋体" w:hAnsi="宋体" w:cs="宋体"/>
          <w:color w:val="auto"/>
          <w:szCs w:val="21"/>
        </w:rPr>
      </w:pPr>
      <w:r>
        <w:rPr>
          <w:rFonts w:hint="eastAsia" w:ascii="宋体" w:hAnsi="宋体" w:cs="宋体"/>
          <w:color w:val="auto"/>
          <w:szCs w:val="21"/>
        </w:rPr>
        <w:t>15）</w:t>
      </w:r>
      <w:r>
        <w:rPr>
          <w:rFonts w:hint="eastAsia" w:ascii="宋体" w:hAnsi="宋体"/>
          <w:b/>
          <w:color w:val="auto"/>
          <w:szCs w:val="21"/>
        </w:rPr>
        <w:t>谈判文件明确不允许分包，响应文件拟分包的；</w:t>
      </w:r>
    </w:p>
    <w:p w14:paraId="4C1F0D95">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6）未响应谈判文件实质性要求；</w:t>
      </w:r>
    </w:p>
    <w:p w14:paraId="2B218D74">
      <w:pPr>
        <w:spacing w:line="360" w:lineRule="auto"/>
        <w:ind w:firstLine="420" w:firstLineChars="200"/>
        <w:rPr>
          <w:rFonts w:ascii="宋体" w:hAnsi="宋体" w:cs="宋体"/>
          <w:color w:val="auto"/>
          <w:szCs w:val="21"/>
        </w:rPr>
      </w:pPr>
      <w:r>
        <w:rPr>
          <w:rFonts w:hint="eastAsia" w:ascii="宋体" w:hAnsi="宋体" w:cs="宋体"/>
          <w:color w:val="auto"/>
          <w:szCs w:val="21"/>
        </w:rPr>
        <w:t>17）法律、法规和谈判文件规定的其他无效情形。</w:t>
      </w:r>
    </w:p>
    <w:p w14:paraId="38C4BCB1">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2）报</w:t>
      </w:r>
      <w:r>
        <w:rPr>
          <w:rFonts w:hint="eastAsia" w:ascii="宋体" w:hAnsi="宋体" w:cs="宋体"/>
          <w:color w:val="auto"/>
          <w:szCs w:val="21"/>
        </w:rPr>
        <w:t>价评审</w:t>
      </w:r>
    </w:p>
    <w:p w14:paraId="2D7395CD">
      <w:pPr>
        <w:spacing w:line="360" w:lineRule="auto"/>
        <w:ind w:firstLine="420" w:firstLineChars="200"/>
        <w:rPr>
          <w:rFonts w:ascii="宋体" w:hAnsi="宋体" w:cs="宋体"/>
          <w:color w:val="auto"/>
          <w:szCs w:val="21"/>
        </w:rPr>
      </w:pPr>
      <w:r>
        <w:rPr>
          <w:rFonts w:hint="eastAsia" w:ascii="宋体" w:hAnsi="宋体" w:cs="宋体"/>
          <w:color w:val="auto"/>
          <w:szCs w:val="21"/>
        </w:rPr>
        <w:t>1）响应文件未提供“供应商须知前附表” 报价商务技术文件中规定的“竞标报价表”的；</w:t>
      </w:r>
    </w:p>
    <w:p w14:paraId="58C16369">
      <w:pPr>
        <w:spacing w:line="360" w:lineRule="auto"/>
        <w:ind w:firstLine="420" w:firstLineChars="200"/>
        <w:rPr>
          <w:rFonts w:ascii="宋体" w:hAnsi="宋体" w:cs="宋体"/>
          <w:color w:val="auto"/>
          <w:szCs w:val="21"/>
        </w:rPr>
      </w:pPr>
      <w:r>
        <w:rPr>
          <w:rFonts w:hint="eastAsia" w:ascii="宋体" w:hAnsi="宋体" w:cs="宋体"/>
          <w:color w:val="auto"/>
          <w:szCs w:val="21"/>
        </w:rPr>
        <w:t>2）未采用人民币报价或者未按照谈判文件标明的币种报价的；</w:t>
      </w:r>
    </w:p>
    <w:p w14:paraId="29399DF6">
      <w:pPr>
        <w:spacing w:line="360" w:lineRule="auto"/>
        <w:ind w:firstLine="420" w:firstLineChars="200"/>
        <w:rPr>
          <w:rFonts w:ascii="宋体" w:hAnsi="宋体" w:cs="宋体"/>
          <w:color w:val="auto"/>
          <w:szCs w:val="21"/>
        </w:rPr>
      </w:pPr>
      <w:r>
        <w:rPr>
          <w:rFonts w:hint="eastAsia" w:ascii="宋体" w:hAnsi="宋体" w:cs="宋体"/>
          <w:color w:val="auto"/>
          <w:szCs w:val="21"/>
        </w:rPr>
        <w:t>3）供应商未就所竞标分标进行报价或者存在漏项报价的；供应商未就所竞标分标的单项内容作唯一报价的；供应商未就所竞标分标的全部内容作完整唯一总价报价的；供应商响应文件中存在有选择、有条件报价的（谈判文件允许有备选方案或者其他约定的除外）；</w:t>
      </w:r>
    </w:p>
    <w:p w14:paraId="6ABDF608">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4）最后报价超过所竞标分标规定的采购预算金额或者最高限价的（如本项目公布了最高限价）； </w:t>
      </w:r>
    </w:p>
    <w:p w14:paraId="7E7CDF1D">
      <w:pPr>
        <w:spacing w:line="360" w:lineRule="auto"/>
        <w:ind w:firstLine="420" w:firstLineChars="200"/>
        <w:rPr>
          <w:rFonts w:ascii="宋体" w:hAnsi="宋体" w:cs="宋体"/>
          <w:color w:val="auto"/>
          <w:szCs w:val="21"/>
        </w:rPr>
      </w:pPr>
      <w:r>
        <w:rPr>
          <w:rFonts w:hint="eastAsia" w:ascii="宋体" w:hAnsi="宋体" w:cs="宋体"/>
          <w:color w:val="auto"/>
          <w:szCs w:val="21"/>
        </w:rPr>
        <w:t>5）修正后的报价，供应商不确认的；或者经供应商确认修正后的最后报价超过所竞标分标规定的采购预算金额或者最高限价（如本项目公布了最高限价）；</w:t>
      </w:r>
    </w:p>
    <w:p w14:paraId="0C1F65A3">
      <w:pPr>
        <w:spacing w:line="360" w:lineRule="auto"/>
        <w:ind w:firstLine="420" w:firstLineChars="200"/>
        <w:rPr>
          <w:rFonts w:ascii="宋体" w:hAnsi="宋体" w:cs="宋体"/>
          <w:color w:val="auto"/>
          <w:szCs w:val="21"/>
        </w:rPr>
      </w:pPr>
      <w:r>
        <w:rPr>
          <w:rFonts w:hint="eastAsia" w:ascii="宋体" w:hAnsi="宋体" w:cs="宋体"/>
          <w:color w:val="auto"/>
          <w:szCs w:val="21"/>
        </w:rPr>
        <w:t>6）</w:t>
      </w:r>
      <w:r>
        <w:rPr>
          <w:rFonts w:hint="eastAsia" w:ascii="宋体" w:hAnsi="宋体"/>
          <w:color w:val="auto"/>
          <w:szCs w:val="21"/>
        </w:rPr>
        <w:t>响应文件响应的标的数量及单位与竞争性谈判采购文件要求实质性不一致的。</w:t>
      </w:r>
    </w:p>
    <w:p w14:paraId="3624B5EA">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6谈判小组对响应文件进行评审，未实质性响应谈判文件的响应文件按无效响应处理。谈判小组应当将资格和符合性不通过的情况告知有关供应商。谈判小组从符合谈判文件规定的相应资格条件的供应商名单中确定不少于3家的供应商参加谈判。</w:t>
      </w:r>
    </w:p>
    <w:p w14:paraId="0F23C972">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.7公开招标的货物、服务采购项目，招标过程中提交</w:t>
      </w:r>
      <w:r>
        <w:rPr>
          <w:rFonts w:hint="eastAsia" w:ascii="宋体" w:hAnsi="宋体" w:cs="宋体"/>
          <w:color w:val="auto"/>
          <w:szCs w:val="21"/>
          <w:lang w:eastAsia="zh-CN"/>
        </w:rPr>
        <w:t>响应文件</w:t>
      </w:r>
      <w:r>
        <w:rPr>
          <w:rFonts w:hint="eastAsia" w:ascii="宋体" w:hAnsi="宋体" w:cs="宋体"/>
          <w:color w:val="auto"/>
          <w:szCs w:val="21"/>
        </w:rPr>
        <w:t>或者经评审实质性响应</w:t>
      </w:r>
      <w:r>
        <w:rPr>
          <w:rFonts w:hint="eastAsia" w:ascii="宋体" w:hAnsi="宋体" w:cs="宋体"/>
          <w:color w:val="auto"/>
          <w:szCs w:val="21"/>
          <w:lang w:eastAsia="zh-CN"/>
        </w:rPr>
        <w:t>采购文件</w:t>
      </w:r>
      <w:r>
        <w:rPr>
          <w:rFonts w:hint="eastAsia" w:ascii="宋体" w:hAnsi="宋体" w:cs="宋体"/>
          <w:color w:val="auto"/>
          <w:szCs w:val="21"/>
        </w:rPr>
        <w:t>要求的供应商只有两家时，采购人、采购代理机构按照《政府采购非招标采购方式管理办法》（财政部74号令）第四条经本级财政部门批准后可以与该两家供应商进行竞争性谈判采购。</w:t>
      </w:r>
    </w:p>
    <w:p w14:paraId="3EA48121">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.8通过符合性审查的合格供应商不足3家的，不得进入谈判环节，应当重新开展采购活动。</w:t>
      </w:r>
    </w:p>
    <w:p w14:paraId="49E07E7F">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4</w:t>
      </w:r>
      <w:r>
        <w:rPr>
          <w:rFonts w:ascii="黑体" w:hAnsi="黑体" w:eastAsia="黑体" w:cs="宋体"/>
          <w:b/>
          <w:bCs/>
          <w:color w:val="auto"/>
          <w:sz w:val="24"/>
        </w:rPr>
        <w:t>.</w:t>
      </w:r>
      <w:r>
        <w:rPr>
          <w:rFonts w:hint="eastAsia" w:ascii="黑体" w:hAnsi="黑体" w:eastAsia="黑体" w:cs="宋体"/>
          <w:b/>
          <w:bCs/>
          <w:color w:val="auto"/>
          <w:sz w:val="24"/>
        </w:rPr>
        <w:t>谈判程序</w:t>
      </w:r>
    </w:p>
    <w:p w14:paraId="3EEF4BB0">
      <w:pPr>
        <w:spacing w:line="360" w:lineRule="auto"/>
        <w:ind w:firstLine="420" w:firstLineChars="200"/>
        <w:rPr>
          <w:rFonts w:ascii="宋体" w:hAnsi="宋体" w:cs="宋体"/>
          <w:color w:val="auto"/>
          <w:szCs w:val="21"/>
        </w:rPr>
      </w:pPr>
      <w:r>
        <w:rPr>
          <w:rFonts w:hint="eastAsia" w:ascii="宋体" w:hAnsi="宋体" w:cs="宋体"/>
          <w:color w:val="auto"/>
          <w:kern w:val="0"/>
          <w:szCs w:val="21"/>
        </w:rPr>
        <w:t>4</w:t>
      </w:r>
      <w:r>
        <w:rPr>
          <w:rFonts w:ascii="宋体" w:hAnsi="宋体" w:cs="宋体"/>
          <w:color w:val="auto"/>
          <w:kern w:val="0"/>
          <w:szCs w:val="21"/>
        </w:rPr>
        <w:t>.1</w:t>
      </w:r>
      <w:r>
        <w:rPr>
          <w:rFonts w:hint="eastAsia" w:ascii="宋体" w:hAnsi="宋体" w:cs="宋体"/>
          <w:color w:val="auto"/>
          <w:kern w:val="0"/>
          <w:szCs w:val="21"/>
        </w:rPr>
        <w:t>谈判小组按照“供应商须知前附表”第2</w:t>
      </w:r>
      <w:r>
        <w:rPr>
          <w:rFonts w:ascii="宋体" w:hAnsi="宋体" w:cs="宋体"/>
          <w:color w:val="auto"/>
          <w:kern w:val="0"/>
          <w:szCs w:val="21"/>
        </w:rPr>
        <w:t>6</w:t>
      </w:r>
      <w:r>
        <w:rPr>
          <w:rFonts w:hint="eastAsia" w:ascii="宋体" w:hAnsi="宋体" w:cs="宋体"/>
          <w:color w:val="auto"/>
          <w:kern w:val="0"/>
          <w:szCs w:val="21"/>
        </w:rPr>
        <w:t>条确定的</w:t>
      </w:r>
      <w:r>
        <w:rPr>
          <w:rFonts w:hint="eastAsia" w:ascii="宋体" w:hAnsi="宋体" w:cs="宋体"/>
          <w:color w:val="auto"/>
          <w:szCs w:val="21"/>
        </w:rPr>
        <w:t>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0C872EF4">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5C5A8253">
      <w:pPr>
        <w:spacing w:line="360" w:lineRule="auto"/>
        <w:ind w:firstLine="420" w:firstLineChars="200"/>
        <w:rPr>
          <w:rFonts w:ascii="宋体" w:hAnsi="宋体" w:cs="宋体"/>
          <w:color w:val="auto"/>
          <w:szCs w:val="21"/>
        </w:rPr>
      </w:pPr>
      <w:r>
        <w:rPr>
          <w:rFonts w:ascii="宋体" w:hAnsi="宋体" w:cs="宋体"/>
          <w:color w:val="auto"/>
          <w:szCs w:val="21"/>
        </w:rPr>
        <w:t>4.3</w:t>
      </w:r>
      <w:r>
        <w:rPr>
          <w:rFonts w:hint="eastAsia" w:ascii="宋体" w:hAnsi="宋体" w:cs="宋体"/>
          <w:color w:val="auto"/>
          <w:szCs w:val="21"/>
        </w:rPr>
        <w:t>对谈判文件作出的实质性变动是谈判文件的有效组成部分，谈判小组应当及时以电子谈判记录形式同时通知所有参加谈判的供应商。</w:t>
      </w:r>
    </w:p>
    <w:p w14:paraId="33E876F0">
      <w:pPr>
        <w:spacing w:line="360" w:lineRule="auto"/>
        <w:ind w:firstLine="420" w:firstLineChars="200"/>
        <w:rPr>
          <w:rFonts w:ascii="宋体" w:hAnsi="宋体" w:cs="宋体"/>
          <w:color w:val="auto"/>
          <w:szCs w:val="21"/>
        </w:rPr>
      </w:pPr>
      <w:r>
        <w:rPr>
          <w:rFonts w:ascii="宋体" w:hAnsi="宋体" w:cs="宋体"/>
          <w:color w:val="auto"/>
          <w:szCs w:val="21"/>
        </w:rPr>
        <w:t>4.4</w:t>
      </w:r>
      <w:r>
        <w:rPr>
          <w:rFonts w:hint="eastAsia" w:ascii="宋体" w:hAnsi="宋体" w:cs="宋体"/>
          <w:color w:val="auto"/>
          <w:szCs w:val="21"/>
        </w:rPr>
        <w:t>供应商必须按照谈判文件的变动情况和谈判小组的要求以电子回函的形式重新提交响应文件，并由其法定代表人或者委托代理人签字或者加盖供应商公章。由委托代理人签字的，</w:t>
      </w:r>
      <w:r>
        <w:rPr>
          <w:rFonts w:hint="eastAsia" w:ascii="宋体" w:hAnsi="宋体" w:cs="宋体"/>
          <w:bCs/>
          <w:color w:val="auto"/>
          <w:szCs w:val="21"/>
        </w:rPr>
        <w:t>若委托代理人不是响应文件中授权的委托代理人时，必须同时出示有效的授权委托书原件</w:t>
      </w:r>
      <w:r>
        <w:rPr>
          <w:rFonts w:hint="eastAsia" w:ascii="宋体" w:hAnsi="宋体" w:cs="宋体"/>
          <w:color w:val="auto"/>
          <w:szCs w:val="21"/>
        </w:rPr>
        <w:t>。供应商为自然人的，必须由本人签字并附身份证明。参加谈判的供应商未在规定时间内以电子回函的形式重新提交响应文件的，视同退出谈判，其响应文件按无效响应处理。</w:t>
      </w:r>
    </w:p>
    <w:p w14:paraId="74F954B4">
      <w:pPr>
        <w:spacing w:line="360" w:lineRule="auto"/>
        <w:ind w:firstLine="420" w:firstLineChars="200"/>
        <w:rPr>
          <w:rFonts w:ascii="宋体" w:hAnsi="宋体" w:cs="宋体"/>
          <w:color w:val="auto"/>
          <w:szCs w:val="21"/>
        </w:rPr>
      </w:pPr>
      <w:r>
        <w:rPr>
          <w:rFonts w:ascii="宋体" w:hAnsi="宋体" w:cs="宋体"/>
          <w:color w:val="auto"/>
          <w:szCs w:val="21"/>
        </w:rPr>
        <w:t>4.5</w:t>
      </w:r>
      <w:r>
        <w:rPr>
          <w:rFonts w:hint="eastAsia" w:ascii="宋体" w:hAnsi="宋体" w:cs="宋体"/>
          <w:color w:val="auto"/>
          <w:szCs w:val="21"/>
        </w:rPr>
        <w:t>谈判中，谈判的任何一方不得透露与谈判有关的其他供应商的技术资料、价格和其他信息。</w:t>
      </w:r>
    </w:p>
    <w:p w14:paraId="1EEABABA">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6</w:t>
      </w:r>
      <w:r>
        <w:rPr>
          <w:rFonts w:hint="eastAsia" w:ascii="宋体" w:hAnsi="宋体"/>
          <w:color w:val="auto"/>
          <w:szCs w:val="21"/>
        </w:rPr>
        <w:t>对谈判过程提交的响应文件进行有效性、完整性和响应程度审查，通过审查的合格供应商不足3家的，采购人或者采购代理机构应当重新开展采购活动。</w:t>
      </w:r>
    </w:p>
    <w:p w14:paraId="08471BAB">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w:t>
      </w:r>
      <w:r>
        <w:rPr>
          <w:rFonts w:ascii="黑体" w:hAnsi="黑体" w:eastAsia="黑体" w:cs="宋体"/>
          <w:b/>
          <w:bCs/>
          <w:color w:val="auto"/>
          <w:sz w:val="24"/>
        </w:rPr>
        <w:t>.</w:t>
      </w:r>
      <w:r>
        <w:rPr>
          <w:rFonts w:hint="eastAsia" w:ascii="黑体" w:hAnsi="黑体" w:eastAsia="黑体" w:cs="宋体"/>
          <w:b/>
          <w:bCs/>
          <w:color w:val="auto"/>
          <w:sz w:val="24"/>
        </w:rPr>
        <w:t xml:space="preserve"> 最后报价</w:t>
      </w:r>
    </w:p>
    <w:p w14:paraId="5BA542E6">
      <w:pPr>
        <w:spacing w:line="360" w:lineRule="auto"/>
        <w:ind w:firstLine="420" w:firstLineChars="200"/>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.1</w:t>
      </w:r>
      <w:r>
        <w:rPr>
          <w:rFonts w:hint="eastAsia" w:ascii="宋体" w:hAnsi="宋体" w:cs="宋体"/>
          <w:color w:val="auto"/>
          <w:szCs w:val="21"/>
        </w:rPr>
        <w:t>谈判文件能够详细列明采购标的的技术、服务要求的，谈判结束后，谈判小组应当要求所有继续参加谈判的供应商在规定时间内以电子文件形式提交最后报价，提交最后报价的供应商不得少于3家，除本章第3.7条外，否则必须重新采购。</w:t>
      </w:r>
    </w:p>
    <w:p w14:paraId="17FD4B4C">
      <w:pPr>
        <w:spacing w:line="360" w:lineRule="auto"/>
        <w:ind w:firstLine="420" w:firstLineChars="200"/>
        <w:rPr>
          <w:rFonts w:ascii="宋体" w:hAnsi="宋体" w:cs="宋体"/>
          <w:color w:val="auto"/>
          <w:szCs w:val="21"/>
        </w:rPr>
      </w:pPr>
      <w:r>
        <w:rPr>
          <w:rFonts w:ascii="宋体" w:hAnsi="宋体" w:cs="宋体"/>
          <w:color w:val="auto"/>
          <w:szCs w:val="21"/>
        </w:rPr>
        <w:t>5</w:t>
      </w: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以电子文件形式提交最后报价。</w:t>
      </w:r>
    </w:p>
    <w:p w14:paraId="652C537B">
      <w:pPr>
        <w:spacing w:line="360" w:lineRule="auto"/>
        <w:ind w:firstLine="420" w:firstLineChars="200"/>
        <w:rPr>
          <w:rFonts w:ascii="宋体" w:hAnsi="宋体" w:cs="宋体"/>
          <w:color w:val="auto"/>
          <w:szCs w:val="21"/>
        </w:rPr>
      </w:pPr>
      <w:r>
        <w:rPr>
          <w:rFonts w:ascii="宋体" w:hAnsi="宋体" w:cs="宋体"/>
          <w:color w:val="auto"/>
          <w:szCs w:val="21"/>
        </w:rPr>
        <w:t>5.3</w:t>
      </w:r>
      <w:r>
        <w:rPr>
          <w:rFonts w:hint="eastAsia" w:ascii="宋体" w:hAnsi="宋体" w:cs="宋体"/>
          <w:color w:val="auto"/>
          <w:szCs w:val="21"/>
        </w:rPr>
        <w:t>最后报价是供应商响应文件的有效组成部分。</w:t>
      </w:r>
    </w:p>
    <w:p w14:paraId="72AF6F4C">
      <w:pPr>
        <w:spacing w:line="360" w:lineRule="auto"/>
        <w:ind w:firstLine="420" w:firstLineChars="200"/>
        <w:rPr>
          <w:rFonts w:ascii="宋体" w:hAnsi="宋体" w:cs="宋体"/>
          <w:color w:val="auto"/>
          <w:szCs w:val="21"/>
        </w:rPr>
      </w:pPr>
      <w:r>
        <w:rPr>
          <w:rFonts w:ascii="宋体" w:hAnsi="宋体" w:cs="宋体"/>
          <w:color w:val="auto"/>
          <w:szCs w:val="21"/>
        </w:rPr>
        <w:t>5.4</w:t>
      </w:r>
      <w:r>
        <w:rPr>
          <w:rFonts w:hint="eastAsia" w:ascii="宋体" w:hAnsi="宋体" w:cs="宋体"/>
          <w:color w:val="auto"/>
          <w:szCs w:val="21"/>
        </w:rPr>
        <w:t>已经提交响应文件的供应商，在提交最后报价之前，可以根据谈判情况退出谈判。采购人、采购代理机构将退还退出谈判的供应商的保证金。</w:t>
      </w:r>
    </w:p>
    <w:p w14:paraId="70916F5C">
      <w:pPr>
        <w:spacing w:line="360" w:lineRule="auto"/>
        <w:ind w:firstLine="420" w:firstLineChars="200"/>
        <w:rPr>
          <w:rFonts w:ascii="宋体" w:hAnsi="宋体" w:cs="宋体"/>
          <w:color w:val="auto"/>
          <w:szCs w:val="21"/>
        </w:rPr>
      </w:pPr>
      <w:r>
        <w:rPr>
          <w:rFonts w:ascii="宋体" w:hAnsi="宋体" w:cs="宋体"/>
          <w:color w:val="auto"/>
          <w:szCs w:val="21"/>
        </w:rPr>
        <w:t>5.5</w:t>
      </w:r>
      <w:r>
        <w:rPr>
          <w:rFonts w:hint="eastAsia" w:ascii="宋体" w:hAnsi="宋体" w:cs="宋体"/>
          <w:color w:val="auto"/>
          <w:szCs w:val="21"/>
        </w:rPr>
        <w:t>供应商未在规定时间内提交最后报价的，视为退出谈判，其响应文件按无效响应处理。</w:t>
      </w:r>
    </w:p>
    <w:p w14:paraId="1BE69382">
      <w:pPr>
        <w:spacing w:line="360" w:lineRule="auto"/>
        <w:ind w:firstLine="420" w:firstLineChars="200"/>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.6</w:t>
      </w:r>
      <w:r>
        <w:rPr>
          <w:rFonts w:hint="eastAsia" w:ascii="宋体" w:hAnsi="宋体" w:cs="宋体"/>
          <w:color w:val="auto"/>
          <w:szCs w:val="21"/>
        </w:rPr>
        <w:t>谈判小组收齐某一分标最后报价后或达到规定时间后统一开启，谈判小组对最后报价进行有效性、完整性和响应程度的审查。</w:t>
      </w:r>
    </w:p>
    <w:p w14:paraId="69EFF657">
      <w:pPr>
        <w:spacing w:line="360" w:lineRule="auto"/>
        <w:ind w:firstLine="420" w:firstLineChars="200"/>
        <w:rPr>
          <w:rFonts w:ascii="宋体" w:hAnsi="宋体" w:cs="宋体"/>
          <w:color w:val="auto"/>
          <w:szCs w:val="21"/>
        </w:rPr>
      </w:pPr>
      <w:r>
        <w:rPr>
          <w:rFonts w:ascii="宋体" w:hAnsi="宋体" w:cs="宋体"/>
          <w:color w:val="auto"/>
          <w:szCs w:val="21"/>
        </w:rPr>
        <w:t>5.7</w:t>
      </w:r>
      <w:r>
        <w:rPr>
          <w:rFonts w:hint="eastAsia" w:ascii="宋体" w:hAnsi="宋体" w:cs="宋体"/>
          <w:color w:val="auto"/>
          <w:szCs w:val="21"/>
        </w:rPr>
        <w:t>响应文件首次及最后报价出现前后不一致的，按照本章第</w:t>
      </w:r>
      <w:r>
        <w:rPr>
          <w:rFonts w:ascii="宋体" w:hAnsi="宋体" w:cs="宋体"/>
          <w:color w:val="auto"/>
          <w:szCs w:val="21"/>
        </w:rPr>
        <w:t>3.4</w:t>
      </w:r>
      <w:r>
        <w:rPr>
          <w:rFonts w:hint="eastAsia" w:ascii="宋体" w:hAnsi="宋体" w:cs="宋体"/>
          <w:color w:val="auto"/>
          <w:szCs w:val="21"/>
        </w:rPr>
        <w:t xml:space="preserve">条的规定修正。 </w:t>
      </w:r>
    </w:p>
    <w:p w14:paraId="741C3008">
      <w:pPr>
        <w:spacing w:line="360" w:lineRule="auto"/>
        <w:ind w:firstLine="420" w:firstLineChars="200"/>
        <w:rPr>
          <w:rFonts w:ascii="宋体" w:hAnsi="宋体" w:cs="宋体"/>
          <w:color w:val="auto"/>
          <w:szCs w:val="21"/>
        </w:rPr>
      </w:pPr>
      <w:r>
        <w:rPr>
          <w:rFonts w:ascii="宋体" w:hAnsi="宋体" w:cs="宋体"/>
          <w:color w:val="auto"/>
          <w:szCs w:val="21"/>
        </w:rPr>
        <w:t>5.8</w:t>
      </w:r>
      <w:r>
        <w:rPr>
          <w:rFonts w:hint="eastAsia" w:ascii="宋体" w:hAnsi="宋体" w:cs="宋体"/>
          <w:color w:val="auto"/>
          <w:szCs w:val="21"/>
        </w:rPr>
        <w:t>经供应商确认修正后的最后报价作为评审及签订合同的依据。</w:t>
      </w:r>
    </w:p>
    <w:p w14:paraId="0F314179">
      <w:pPr>
        <w:spacing w:line="360" w:lineRule="auto"/>
        <w:ind w:firstLine="420" w:firstLineChars="200"/>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9</w:t>
      </w:r>
      <w:r>
        <w:rPr>
          <w:rFonts w:hint="eastAsia" w:ascii="宋体" w:hAnsi="宋体" w:cs="宋体"/>
          <w:color w:val="auto"/>
          <w:szCs w:val="21"/>
        </w:rPr>
        <w:t>供应商出现最后报价按无效响应处理或者响应文件按无效响应处理时</w:t>
      </w:r>
      <w:r>
        <w:rPr>
          <w:rFonts w:hint="eastAsia" w:ascii="宋体" w:hAnsi="宋体"/>
          <w:color w:val="auto"/>
          <w:sz w:val="22"/>
          <w:szCs w:val="22"/>
        </w:rPr>
        <w:t>，谈判小组应当告知有关供应商</w:t>
      </w:r>
      <w:r>
        <w:rPr>
          <w:rFonts w:hint="eastAsia" w:ascii="宋体" w:hAnsi="宋体" w:cs="宋体"/>
          <w:color w:val="auto"/>
          <w:szCs w:val="21"/>
        </w:rPr>
        <w:t>。</w:t>
      </w:r>
    </w:p>
    <w:p w14:paraId="3988ED10">
      <w:pPr>
        <w:spacing w:line="360" w:lineRule="auto"/>
        <w:ind w:firstLine="420" w:firstLineChars="200"/>
        <w:rPr>
          <w:rFonts w:ascii="宋体" w:hAnsi="宋体" w:cs="宋体"/>
          <w:color w:val="auto"/>
          <w:szCs w:val="21"/>
        </w:rPr>
      </w:pPr>
      <w:r>
        <w:rPr>
          <w:rFonts w:ascii="宋体" w:hAnsi="宋体" w:cs="宋体"/>
          <w:color w:val="auto"/>
          <w:szCs w:val="21"/>
        </w:rPr>
        <w:t>5.10</w:t>
      </w:r>
      <w:r>
        <w:rPr>
          <w:rFonts w:hint="eastAsia" w:ascii="宋体" w:hAnsi="宋体" w:cs="宋体"/>
          <w:color w:val="auto"/>
          <w:szCs w:val="21"/>
        </w:rPr>
        <w:t>最后报价结束后，谈判小组不得再与供应商进行任何形式的商谈。</w:t>
      </w:r>
    </w:p>
    <w:p w14:paraId="478D2A77">
      <w:pPr>
        <w:spacing w:line="360" w:lineRule="auto"/>
        <w:ind w:firstLine="472" w:firstLineChars="196"/>
        <w:rPr>
          <w:rFonts w:ascii="黑体" w:hAnsi="黑体" w:eastAsia="黑体" w:cs="宋体"/>
          <w:b/>
          <w:bCs/>
          <w:color w:val="auto"/>
          <w:sz w:val="24"/>
        </w:rPr>
      </w:pPr>
      <w:r>
        <w:rPr>
          <w:rFonts w:ascii="黑体" w:hAnsi="黑体" w:eastAsia="黑体" w:cs="宋体"/>
          <w:b/>
          <w:bCs/>
          <w:color w:val="auto"/>
          <w:sz w:val="24"/>
        </w:rPr>
        <w:t>6.</w:t>
      </w:r>
      <w:r>
        <w:rPr>
          <w:rFonts w:hint="eastAsia" w:ascii="黑体" w:hAnsi="黑体" w:eastAsia="黑体" w:cs="宋体"/>
          <w:b/>
          <w:bCs/>
          <w:color w:val="auto"/>
          <w:sz w:val="24"/>
        </w:rPr>
        <w:t xml:space="preserve"> 最后报价政府采购政策性扣除</w:t>
      </w:r>
    </w:p>
    <w:p w14:paraId="25BD8948">
      <w:pPr>
        <w:spacing w:line="360" w:lineRule="auto"/>
        <w:ind w:firstLine="420" w:firstLineChars="200"/>
        <w:rPr>
          <w:rFonts w:hint="default" w:ascii="宋体" w:hAnsi="宋体" w:eastAsia="宋体" w:cs="宋体"/>
          <w:color w:val="auto"/>
          <w:lang w:val="en-US" w:eastAsia="zh-CN"/>
        </w:rPr>
      </w:pPr>
      <w:r>
        <w:rPr>
          <w:rFonts w:hint="eastAsia" w:ascii="宋体" w:hAnsi="宋体" w:cs="宋体"/>
          <w:color w:val="auto"/>
        </w:rPr>
        <w:t>本项目为专门面向小微企业采购的项目（供应商应为中小微企业、监狱企业、残疾人福利单位），因此不享受政府采购政策扣除。</w:t>
      </w:r>
      <w:r>
        <w:rPr>
          <w:rFonts w:hint="eastAsia" w:ascii="宋体" w:hAnsi="宋体" w:cs="宋体"/>
          <w:color w:val="auto"/>
          <w:lang w:eastAsia="zh-CN"/>
        </w:rPr>
        <w:t>评标价</w:t>
      </w:r>
      <w:r>
        <w:rPr>
          <w:rFonts w:hint="eastAsia" w:ascii="宋体" w:hAnsi="宋体" w:cs="宋体"/>
          <w:color w:val="auto"/>
          <w:lang w:val="en-US" w:eastAsia="zh-CN"/>
        </w:rPr>
        <w:t>=最终报价。</w:t>
      </w:r>
    </w:p>
    <w:p w14:paraId="4274F0E3">
      <w:pPr>
        <w:pStyle w:val="18"/>
        <w:rPr>
          <w:rFonts w:ascii="宋体" w:hAnsi="宋体" w:cs="宋体"/>
          <w:color w:val="auto"/>
        </w:rPr>
      </w:pPr>
    </w:p>
    <w:p w14:paraId="19B24629">
      <w:pPr>
        <w:spacing w:line="360" w:lineRule="auto"/>
        <w:jc w:val="center"/>
        <w:rPr>
          <w:rFonts w:ascii="宋体" w:hAnsi="宋体"/>
          <w:b/>
          <w:color w:val="auto"/>
          <w:sz w:val="32"/>
          <w:szCs w:val="32"/>
        </w:rPr>
      </w:pPr>
      <w:r>
        <w:rPr>
          <w:rFonts w:hint="eastAsia" w:ascii="宋体" w:hAnsi="宋体"/>
          <w:b/>
          <w:color w:val="auto"/>
          <w:sz w:val="32"/>
          <w:szCs w:val="32"/>
        </w:rPr>
        <w:t>二、评定成交的标准</w:t>
      </w:r>
    </w:p>
    <w:p w14:paraId="650EEDBE">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7.</w:t>
      </w:r>
      <w:r>
        <w:rPr>
          <w:rFonts w:hint="eastAsia" w:ascii="黑体" w:hAnsi="黑体" w:eastAsia="黑体" w:cs="宋体"/>
          <w:b/>
          <w:bCs/>
          <w:color w:val="auto"/>
          <w:sz w:val="24"/>
        </w:rPr>
        <w:t xml:space="preserve"> 成交候选人推荐原则</w:t>
      </w:r>
    </w:p>
    <w:p w14:paraId="28BEB744">
      <w:pPr>
        <w:spacing w:line="360" w:lineRule="auto"/>
        <w:ind w:firstLine="420" w:firstLineChars="200"/>
        <w:jc w:val="center"/>
        <w:rPr>
          <w:rFonts w:ascii="宋体" w:hAnsi="宋体" w:cs="宋体"/>
          <w:color w:val="auto"/>
        </w:rPr>
      </w:pPr>
      <w:r>
        <w:rPr>
          <w:rFonts w:hint="eastAsia" w:ascii="宋体" w:hAnsi="宋体" w:cs="宋体"/>
          <w:color w:val="auto"/>
        </w:rPr>
        <w:t>谈判小组应当从质量和服务均能满足谈判文件实质性响应要求的供应商中，按照评标价由低到高的顺序提出3名以上成交候选人（评标价相同时，按照最后报价由低到高顺序依次推荐；最后报价相同时，由谈判小组按“供应商须知前附表”第26条规定的顺序推荐）,并编写评审报告。在符合采购需求、质量和</w:t>
      </w:r>
    </w:p>
    <w:p w14:paraId="04298579">
      <w:pPr>
        <w:spacing w:line="360" w:lineRule="auto"/>
        <w:rPr>
          <w:rFonts w:ascii="宋体" w:hAnsi="宋体" w:cs="宋体"/>
          <w:color w:val="auto"/>
        </w:rPr>
      </w:pPr>
      <w:r>
        <w:rPr>
          <w:rFonts w:hint="eastAsia" w:ascii="宋体" w:hAnsi="宋体" w:cs="宋体"/>
          <w:color w:val="auto"/>
        </w:rPr>
        <w:t>服务相等的前提下，以提出最低评标报价的竞标人作为成交候选供应商。</w:t>
      </w:r>
      <w:r>
        <w:rPr>
          <w:rFonts w:hint="eastAsia" w:ascii="宋体" w:hAnsi="宋体" w:cs="宋体"/>
          <w:color w:val="auto"/>
        </w:rPr>
        <w:br w:type="page"/>
      </w:r>
      <w:bookmarkStart w:id="31" w:name="_Toc74322012"/>
      <w:r>
        <w:rPr>
          <w:rFonts w:hint="eastAsia" w:ascii="宋体" w:hAnsi="宋体" w:cs="宋体"/>
          <w:color w:val="auto"/>
        </w:rPr>
        <w:t xml:space="preserve">                    </w:t>
      </w:r>
    </w:p>
    <w:p w14:paraId="2A21ED33">
      <w:pPr>
        <w:spacing w:line="360" w:lineRule="auto"/>
        <w:rPr>
          <w:rFonts w:ascii="宋体" w:hAnsi="宋体" w:cs="宋体"/>
          <w:color w:val="auto"/>
        </w:rPr>
      </w:pPr>
    </w:p>
    <w:p w14:paraId="224CACDB">
      <w:pPr>
        <w:spacing w:line="360" w:lineRule="auto"/>
        <w:rPr>
          <w:rFonts w:ascii="宋体" w:hAnsi="宋体" w:cs="宋体"/>
          <w:color w:val="auto"/>
        </w:rPr>
      </w:pPr>
    </w:p>
    <w:p w14:paraId="56BA0AA0">
      <w:pPr>
        <w:spacing w:line="360" w:lineRule="auto"/>
        <w:rPr>
          <w:rFonts w:ascii="宋体" w:hAnsi="宋体" w:cs="宋体"/>
          <w:color w:val="auto"/>
        </w:rPr>
      </w:pPr>
    </w:p>
    <w:p w14:paraId="294BE42C">
      <w:pPr>
        <w:spacing w:line="360" w:lineRule="auto"/>
        <w:rPr>
          <w:rFonts w:ascii="宋体" w:hAnsi="宋体" w:cs="宋体"/>
          <w:color w:val="auto"/>
        </w:rPr>
      </w:pPr>
    </w:p>
    <w:p w14:paraId="4DAEFDDC">
      <w:pPr>
        <w:spacing w:line="360" w:lineRule="auto"/>
        <w:rPr>
          <w:rFonts w:ascii="宋体" w:hAnsi="宋体" w:cs="宋体"/>
          <w:color w:val="auto"/>
        </w:rPr>
      </w:pPr>
    </w:p>
    <w:p w14:paraId="65096508">
      <w:pPr>
        <w:spacing w:line="360" w:lineRule="auto"/>
        <w:rPr>
          <w:rFonts w:ascii="宋体" w:hAnsi="宋体" w:cs="宋体"/>
          <w:color w:val="auto"/>
        </w:rPr>
      </w:pPr>
    </w:p>
    <w:p w14:paraId="774F5C21">
      <w:pPr>
        <w:spacing w:line="360" w:lineRule="auto"/>
        <w:rPr>
          <w:rFonts w:ascii="宋体" w:hAnsi="宋体" w:cs="宋体"/>
          <w:color w:val="auto"/>
        </w:rPr>
      </w:pPr>
    </w:p>
    <w:p w14:paraId="19E1AA64">
      <w:pPr>
        <w:spacing w:line="360" w:lineRule="auto"/>
        <w:rPr>
          <w:rFonts w:ascii="宋体" w:hAnsi="宋体" w:cs="宋体"/>
          <w:color w:val="auto"/>
        </w:rPr>
      </w:pPr>
    </w:p>
    <w:p w14:paraId="4F1DA900">
      <w:pPr>
        <w:spacing w:line="360" w:lineRule="auto"/>
        <w:rPr>
          <w:rFonts w:ascii="宋体" w:hAnsi="宋体" w:cs="宋体"/>
          <w:color w:val="auto"/>
        </w:rPr>
      </w:pPr>
    </w:p>
    <w:p w14:paraId="770D62CF">
      <w:pPr>
        <w:spacing w:line="360" w:lineRule="auto"/>
        <w:rPr>
          <w:rFonts w:ascii="宋体" w:hAnsi="宋体" w:cs="宋体"/>
          <w:color w:val="auto"/>
        </w:rPr>
      </w:pPr>
    </w:p>
    <w:p w14:paraId="02E4CD50">
      <w:pPr>
        <w:spacing w:line="360" w:lineRule="auto"/>
        <w:rPr>
          <w:rFonts w:ascii="宋体" w:hAnsi="宋体" w:cs="宋体"/>
          <w:color w:val="auto"/>
        </w:rPr>
      </w:pPr>
    </w:p>
    <w:p w14:paraId="2922C078">
      <w:pPr>
        <w:spacing w:line="360" w:lineRule="auto"/>
        <w:rPr>
          <w:rFonts w:ascii="宋体" w:hAnsi="宋体" w:cs="宋体"/>
          <w:color w:val="auto"/>
        </w:rPr>
      </w:pPr>
    </w:p>
    <w:p w14:paraId="12DCBD93">
      <w:pPr>
        <w:spacing w:line="360" w:lineRule="auto"/>
        <w:rPr>
          <w:rFonts w:ascii="宋体" w:hAnsi="宋体" w:cs="宋体"/>
          <w:color w:val="auto"/>
        </w:rPr>
      </w:pPr>
    </w:p>
    <w:p w14:paraId="2DA58940">
      <w:pPr>
        <w:spacing w:line="360" w:lineRule="auto"/>
        <w:jc w:val="center"/>
        <w:rPr>
          <w:color w:val="auto"/>
        </w:rPr>
      </w:pPr>
      <w:r>
        <w:rPr>
          <w:rFonts w:hint="eastAsia"/>
          <w:b/>
          <w:bCs/>
          <w:color w:val="auto"/>
          <w:sz w:val="44"/>
          <w:szCs w:val="44"/>
        </w:rPr>
        <w:t>第五章 响应文件格式</w:t>
      </w:r>
      <w:bookmarkEnd w:id="31"/>
    </w:p>
    <w:p w14:paraId="483B4A12">
      <w:pPr>
        <w:spacing w:line="240" w:lineRule="atLeast"/>
        <w:rPr>
          <w:rFonts w:ascii="宋体" w:hAnsi="宋体"/>
          <w:b/>
          <w:color w:val="auto"/>
          <w:sz w:val="32"/>
          <w:szCs w:val="32"/>
        </w:rPr>
      </w:pPr>
    </w:p>
    <w:p w14:paraId="5FA3EE34">
      <w:pPr>
        <w:spacing w:line="240" w:lineRule="atLeast"/>
        <w:rPr>
          <w:rFonts w:ascii="宋体" w:hAnsi="宋体"/>
          <w:b/>
          <w:color w:val="auto"/>
          <w:sz w:val="32"/>
          <w:szCs w:val="32"/>
        </w:rPr>
      </w:pPr>
    </w:p>
    <w:p w14:paraId="62DA6731">
      <w:pPr>
        <w:spacing w:line="240" w:lineRule="atLeast"/>
        <w:rPr>
          <w:rFonts w:ascii="宋体" w:hAnsi="宋体"/>
          <w:b/>
          <w:color w:val="auto"/>
          <w:sz w:val="32"/>
          <w:szCs w:val="32"/>
        </w:rPr>
      </w:pPr>
    </w:p>
    <w:p w14:paraId="1C29DAC9">
      <w:pPr>
        <w:spacing w:line="240" w:lineRule="atLeast"/>
        <w:rPr>
          <w:rFonts w:ascii="宋体" w:hAnsi="宋体"/>
          <w:b/>
          <w:color w:val="auto"/>
          <w:sz w:val="32"/>
          <w:szCs w:val="32"/>
        </w:rPr>
      </w:pPr>
    </w:p>
    <w:p w14:paraId="5A855313">
      <w:pPr>
        <w:spacing w:line="240" w:lineRule="atLeast"/>
        <w:rPr>
          <w:rFonts w:ascii="宋体" w:hAnsi="宋体"/>
          <w:b/>
          <w:color w:val="auto"/>
          <w:sz w:val="32"/>
          <w:szCs w:val="32"/>
        </w:rPr>
      </w:pPr>
    </w:p>
    <w:p w14:paraId="52916D89">
      <w:pPr>
        <w:spacing w:line="240" w:lineRule="atLeast"/>
        <w:rPr>
          <w:rFonts w:ascii="宋体" w:hAnsi="宋体"/>
          <w:b/>
          <w:color w:val="auto"/>
          <w:sz w:val="32"/>
          <w:szCs w:val="32"/>
        </w:rPr>
      </w:pPr>
    </w:p>
    <w:p w14:paraId="64C24BF7">
      <w:pPr>
        <w:spacing w:line="240" w:lineRule="atLeast"/>
        <w:rPr>
          <w:rFonts w:ascii="宋体" w:hAnsi="宋体"/>
          <w:b/>
          <w:color w:val="auto"/>
          <w:sz w:val="32"/>
          <w:szCs w:val="32"/>
        </w:rPr>
      </w:pPr>
    </w:p>
    <w:p w14:paraId="186E40BF">
      <w:pPr>
        <w:spacing w:line="240" w:lineRule="atLeast"/>
        <w:rPr>
          <w:rFonts w:ascii="宋体" w:hAnsi="宋体"/>
          <w:b/>
          <w:color w:val="auto"/>
          <w:sz w:val="32"/>
          <w:szCs w:val="32"/>
        </w:rPr>
      </w:pPr>
    </w:p>
    <w:p w14:paraId="1604D2CB">
      <w:pPr>
        <w:spacing w:line="240" w:lineRule="atLeast"/>
        <w:rPr>
          <w:rFonts w:ascii="宋体" w:hAnsi="宋体"/>
          <w:b/>
          <w:color w:val="auto"/>
          <w:sz w:val="32"/>
          <w:szCs w:val="32"/>
        </w:rPr>
      </w:pPr>
    </w:p>
    <w:p w14:paraId="18C0522D">
      <w:pPr>
        <w:spacing w:line="240" w:lineRule="atLeast"/>
        <w:rPr>
          <w:rFonts w:ascii="宋体" w:hAnsi="宋体"/>
          <w:b/>
          <w:color w:val="auto"/>
          <w:sz w:val="32"/>
          <w:szCs w:val="32"/>
        </w:rPr>
      </w:pPr>
    </w:p>
    <w:p w14:paraId="5D3A1E05">
      <w:pPr>
        <w:spacing w:line="240" w:lineRule="atLeast"/>
        <w:rPr>
          <w:rFonts w:ascii="宋体" w:hAnsi="宋体"/>
          <w:b/>
          <w:color w:val="auto"/>
          <w:sz w:val="32"/>
          <w:szCs w:val="32"/>
        </w:rPr>
      </w:pPr>
    </w:p>
    <w:p w14:paraId="083A6683">
      <w:pPr>
        <w:spacing w:line="240" w:lineRule="atLeast"/>
        <w:rPr>
          <w:rFonts w:ascii="宋体" w:hAnsi="宋体"/>
          <w:b/>
          <w:color w:val="auto"/>
          <w:sz w:val="32"/>
          <w:szCs w:val="32"/>
        </w:rPr>
      </w:pPr>
    </w:p>
    <w:p w14:paraId="3701D0FF">
      <w:pPr>
        <w:spacing w:line="240" w:lineRule="atLeast"/>
        <w:rPr>
          <w:rFonts w:ascii="宋体" w:hAnsi="宋体"/>
          <w:b/>
          <w:color w:val="auto"/>
          <w:sz w:val="32"/>
          <w:szCs w:val="32"/>
        </w:rPr>
      </w:pPr>
    </w:p>
    <w:p w14:paraId="7DA0622E">
      <w:pPr>
        <w:spacing w:line="240" w:lineRule="atLeast"/>
        <w:rPr>
          <w:rFonts w:ascii="宋体" w:hAnsi="宋体"/>
          <w:b/>
          <w:color w:val="auto"/>
          <w:sz w:val="32"/>
          <w:szCs w:val="32"/>
        </w:rPr>
      </w:pPr>
    </w:p>
    <w:p w14:paraId="0CF3180B">
      <w:pPr>
        <w:snapToGrid w:val="0"/>
        <w:spacing w:before="50" w:after="50"/>
        <w:outlineLvl w:val="1"/>
        <w:rPr>
          <w:rFonts w:ascii="宋体" w:hAnsi="宋体"/>
          <w:b/>
          <w:bCs/>
          <w:color w:val="auto"/>
          <w:sz w:val="24"/>
        </w:rPr>
      </w:pPr>
    </w:p>
    <w:p w14:paraId="6796AA42">
      <w:pPr>
        <w:snapToGrid w:val="0"/>
        <w:spacing w:before="50" w:after="50"/>
        <w:outlineLvl w:val="1"/>
        <w:rPr>
          <w:rFonts w:ascii="宋体" w:hAnsi="宋体"/>
          <w:b/>
          <w:bCs/>
          <w:color w:val="auto"/>
          <w:sz w:val="24"/>
        </w:rPr>
      </w:pPr>
    </w:p>
    <w:p w14:paraId="0BF0CF1D">
      <w:pPr>
        <w:spacing w:line="240" w:lineRule="atLeast"/>
        <w:rPr>
          <w:rFonts w:ascii="宋体" w:hAnsi="宋体"/>
          <w:b/>
          <w:bCs/>
          <w:color w:val="auto"/>
          <w:sz w:val="32"/>
          <w:szCs w:val="32"/>
        </w:rPr>
      </w:pPr>
    </w:p>
    <w:p w14:paraId="77F887EF">
      <w:pPr>
        <w:spacing w:line="240" w:lineRule="atLeast"/>
        <w:rPr>
          <w:b/>
          <w:color w:val="auto"/>
          <w:sz w:val="32"/>
          <w:szCs w:val="32"/>
        </w:rPr>
      </w:pPr>
      <w:bookmarkStart w:id="32" w:name="_Toc71365382"/>
      <w:bookmarkStart w:id="33" w:name="_Toc71366060"/>
      <w:r>
        <w:rPr>
          <w:b/>
          <w:color w:val="auto"/>
          <w:sz w:val="32"/>
          <w:szCs w:val="32"/>
        </w:rPr>
        <w:br w:type="page"/>
      </w:r>
      <w:r>
        <w:rPr>
          <w:rFonts w:hint="eastAsia"/>
          <w:b/>
          <w:color w:val="auto"/>
          <w:sz w:val="32"/>
          <w:szCs w:val="32"/>
        </w:rPr>
        <w:t>一、资格证明文件格式</w:t>
      </w:r>
      <w:bookmarkEnd w:id="32"/>
      <w:bookmarkEnd w:id="33"/>
    </w:p>
    <w:p w14:paraId="589FE21E">
      <w:pPr>
        <w:snapToGrid w:val="0"/>
        <w:spacing w:before="120" w:beforeLines="50" w:after="50" w:line="360" w:lineRule="auto"/>
        <w:jc w:val="left"/>
        <w:rPr>
          <w:rFonts w:ascii="宋体" w:hAnsi="宋体"/>
          <w:b/>
          <w:color w:val="auto"/>
          <w:sz w:val="24"/>
        </w:rPr>
      </w:pPr>
      <w:r>
        <w:rPr>
          <w:rFonts w:hint="eastAsia" w:ascii="宋体" w:hAnsi="宋体"/>
          <w:b/>
          <w:color w:val="auto"/>
          <w:sz w:val="32"/>
          <w:szCs w:val="32"/>
        </w:rPr>
        <w:t>1.资格证明文件封面格式：</w:t>
      </w:r>
      <w:r>
        <w:rPr>
          <w:rFonts w:hint="eastAsia" w:ascii="宋体" w:hAnsi="宋体"/>
          <w:b/>
          <w:color w:val="auto"/>
          <w:sz w:val="24"/>
        </w:rPr>
        <w:t xml:space="preserve"> </w:t>
      </w:r>
    </w:p>
    <w:p w14:paraId="04AACBAD">
      <w:pPr>
        <w:snapToGrid w:val="0"/>
        <w:spacing w:before="120" w:beforeLines="50" w:after="50"/>
        <w:rPr>
          <w:rFonts w:ascii="宋体" w:hAnsi="宋体"/>
          <w:bCs/>
          <w:color w:val="auto"/>
          <w:sz w:val="32"/>
          <w:szCs w:val="20"/>
        </w:rPr>
      </w:pPr>
      <w:r>
        <w:rPr>
          <w:rFonts w:hint="eastAsia" w:ascii="宋体" w:hAnsi="宋体"/>
          <w:color w:val="auto"/>
          <w:sz w:val="24"/>
        </w:rPr>
        <w:t xml:space="preserve">                                                  </w:t>
      </w:r>
    </w:p>
    <w:p w14:paraId="1CC4E99F">
      <w:pPr>
        <w:snapToGrid w:val="0"/>
        <w:spacing w:before="120" w:beforeLines="50" w:after="50"/>
        <w:jc w:val="center"/>
        <w:rPr>
          <w:rFonts w:ascii="方正小标宋简体" w:hAnsi="方正小标宋简体" w:eastAsia="方正小标宋简体" w:cs="方正小标宋简体"/>
          <w:bCs/>
          <w:color w:val="auto"/>
          <w:sz w:val="44"/>
          <w:szCs w:val="44"/>
        </w:rPr>
      </w:pPr>
    </w:p>
    <w:p w14:paraId="253231CD">
      <w:pPr>
        <w:snapToGrid w:val="0"/>
        <w:spacing w:before="120" w:beforeLines="50" w:after="50"/>
        <w:jc w:val="center"/>
        <w:rPr>
          <w:rFonts w:ascii="方正小标宋简体" w:hAnsi="方正小标宋简体" w:eastAsia="方正小标宋简体" w:cs="方正小标宋简体"/>
          <w:bCs/>
          <w:color w:val="auto"/>
          <w:sz w:val="84"/>
          <w:szCs w:val="84"/>
        </w:rPr>
      </w:pPr>
      <w:r>
        <w:rPr>
          <w:rFonts w:hint="eastAsia" w:ascii="方正小标宋简体" w:hAnsi="方正小标宋简体" w:eastAsia="方正小标宋简体" w:cs="方正小标宋简体"/>
          <w:bCs/>
          <w:color w:val="auto"/>
          <w:sz w:val="84"/>
          <w:szCs w:val="84"/>
        </w:rPr>
        <w:t>响  应  文  件</w:t>
      </w:r>
    </w:p>
    <w:p w14:paraId="541328BA">
      <w:pPr>
        <w:snapToGrid w:val="0"/>
        <w:spacing w:before="120" w:beforeLines="50" w:after="50"/>
        <w:rPr>
          <w:rFonts w:ascii="宋体" w:hAnsi="宋体"/>
          <w:color w:val="auto"/>
          <w:sz w:val="24"/>
          <w:szCs w:val="20"/>
        </w:rPr>
      </w:pPr>
    </w:p>
    <w:p w14:paraId="5E356007">
      <w:pPr>
        <w:snapToGrid w:val="0"/>
        <w:spacing w:before="120" w:beforeLines="50" w:after="50"/>
        <w:jc w:val="center"/>
        <w:rPr>
          <w:rFonts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资  格  证  明  文  件</w:t>
      </w:r>
    </w:p>
    <w:p w14:paraId="31B23E36">
      <w:pPr>
        <w:snapToGrid w:val="0"/>
        <w:spacing w:before="120" w:beforeLines="50" w:after="50"/>
        <w:rPr>
          <w:rFonts w:ascii="宋体" w:hAnsi="宋体"/>
          <w:bCs/>
          <w:color w:val="auto"/>
          <w:sz w:val="24"/>
          <w:szCs w:val="20"/>
        </w:rPr>
      </w:pPr>
    </w:p>
    <w:p w14:paraId="25A1D68D">
      <w:pPr>
        <w:snapToGrid w:val="0"/>
        <w:spacing w:before="120" w:beforeLines="50" w:after="50"/>
        <w:rPr>
          <w:rFonts w:ascii="宋体" w:hAnsi="宋体"/>
          <w:bCs/>
          <w:color w:val="auto"/>
          <w:sz w:val="24"/>
          <w:szCs w:val="20"/>
        </w:rPr>
      </w:pPr>
    </w:p>
    <w:p w14:paraId="396FCBE2">
      <w:pPr>
        <w:snapToGrid w:val="0"/>
        <w:spacing w:before="120" w:beforeLines="50" w:after="50"/>
        <w:rPr>
          <w:rFonts w:ascii="宋体" w:hAnsi="宋体"/>
          <w:bCs/>
          <w:color w:val="auto"/>
          <w:sz w:val="24"/>
          <w:szCs w:val="20"/>
        </w:rPr>
      </w:pPr>
    </w:p>
    <w:p w14:paraId="0E847F66">
      <w:pPr>
        <w:snapToGrid w:val="0"/>
        <w:spacing w:before="120" w:beforeLines="50" w:after="50"/>
        <w:rPr>
          <w:rFonts w:ascii="宋体" w:hAnsi="宋体"/>
          <w:bCs/>
          <w:color w:val="auto"/>
          <w:sz w:val="24"/>
          <w:szCs w:val="20"/>
        </w:rPr>
      </w:pPr>
    </w:p>
    <w:p w14:paraId="204DD708">
      <w:pPr>
        <w:snapToGrid w:val="0"/>
        <w:spacing w:before="120" w:beforeLines="50" w:after="50"/>
        <w:rPr>
          <w:rFonts w:ascii="宋体" w:hAnsi="宋体"/>
          <w:bCs/>
          <w:color w:val="auto"/>
          <w:sz w:val="24"/>
          <w:szCs w:val="20"/>
        </w:rPr>
      </w:pPr>
    </w:p>
    <w:p w14:paraId="431A2256">
      <w:pPr>
        <w:snapToGrid w:val="0"/>
        <w:spacing w:before="120" w:beforeLines="50" w:after="50"/>
        <w:ind w:firstLine="960" w:firstLineChars="300"/>
        <w:rPr>
          <w:rFonts w:ascii="宋体" w:hAnsi="宋体" w:cs="仿宋_GB2312"/>
          <w:bCs/>
          <w:color w:val="auto"/>
          <w:sz w:val="32"/>
          <w:szCs w:val="32"/>
        </w:rPr>
      </w:pPr>
      <w:r>
        <w:rPr>
          <w:rFonts w:hint="eastAsia" w:ascii="宋体" w:hAnsi="宋体" w:cs="仿宋_GB2312"/>
          <w:bCs/>
          <w:color w:val="auto"/>
          <w:sz w:val="32"/>
          <w:szCs w:val="32"/>
        </w:rPr>
        <w:t>项目名称：</w:t>
      </w:r>
    </w:p>
    <w:p w14:paraId="6DC3AD02">
      <w:pPr>
        <w:snapToGrid w:val="0"/>
        <w:spacing w:before="120" w:beforeLines="50" w:after="50"/>
        <w:ind w:firstLine="720" w:firstLineChars="225"/>
        <w:rPr>
          <w:rFonts w:ascii="宋体" w:hAnsi="宋体" w:cs="仿宋_GB2312"/>
          <w:bCs/>
          <w:color w:val="auto"/>
          <w:sz w:val="32"/>
          <w:szCs w:val="32"/>
        </w:rPr>
      </w:pPr>
    </w:p>
    <w:p w14:paraId="3051F5A2">
      <w:pPr>
        <w:snapToGrid w:val="0"/>
        <w:spacing w:before="120" w:beforeLines="50" w:after="50"/>
        <w:ind w:firstLine="1040" w:firstLineChars="325"/>
        <w:rPr>
          <w:rFonts w:ascii="宋体" w:hAnsi="宋体" w:cs="仿宋_GB2312"/>
          <w:bCs/>
          <w:color w:val="auto"/>
          <w:sz w:val="32"/>
          <w:szCs w:val="32"/>
        </w:rPr>
      </w:pPr>
      <w:r>
        <w:rPr>
          <w:rFonts w:hint="eastAsia" w:ascii="宋体" w:hAnsi="宋体" w:cs="仿宋_GB2312"/>
          <w:bCs/>
          <w:color w:val="auto"/>
          <w:sz w:val="32"/>
          <w:szCs w:val="32"/>
        </w:rPr>
        <w:t>项目编号：</w:t>
      </w:r>
    </w:p>
    <w:p w14:paraId="25E6C735">
      <w:pPr>
        <w:snapToGrid w:val="0"/>
        <w:spacing w:before="120" w:beforeLines="50" w:after="50"/>
        <w:ind w:firstLine="720" w:firstLineChars="225"/>
        <w:rPr>
          <w:rFonts w:ascii="宋体" w:hAnsi="宋体" w:cs="仿宋_GB2312"/>
          <w:bCs/>
          <w:color w:val="auto"/>
          <w:sz w:val="32"/>
          <w:szCs w:val="32"/>
        </w:rPr>
      </w:pPr>
    </w:p>
    <w:p w14:paraId="0EA6B0F1">
      <w:pPr>
        <w:snapToGrid w:val="0"/>
        <w:spacing w:before="120" w:beforeLines="50" w:after="50"/>
        <w:ind w:firstLine="1040" w:firstLineChars="325"/>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488B4243">
      <w:pPr>
        <w:snapToGrid w:val="0"/>
        <w:spacing w:before="120" w:beforeLines="50" w:after="50"/>
        <w:ind w:firstLine="720" w:firstLineChars="225"/>
        <w:rPr>
          <w:rFonts w:ascii="宋体" w:hAnsi="宋体" w:cs="仿宋_GB2312"/>
          <w:bCs/>
          <w:color w:val="auto"/>
          <w:sz w:val="32"/>
          <w:szCs w:val="32"/>
        </w:rPr>
      </w:pPr>
    </w:p>
    <w:p w14:paraId="1488C3D1">
      <w:pPr>
        <w:pStyle w:val="6"/>
        <w:snapToGrid w:val="0"/>
        <w:spacing w:before="50" w:after="50"/>
        <w:ind w:firstLine="1040" w:firstLineChars="325"/>
        <w:rPr>
          <w:rFonts w:ascii="宋体" w:hAnsi="宋体" w:cs="仿宋_GB2312"/>
          <w:bCs/>
          <w:color w:val="auto"/>
          <w:sz w:val="32"/>
          <w:szCs w:val="32"/>
        </w:rPr>
      </w:pPr>
      <w:r>
        <w:rPr>
          <w:rFonts w:hint="eastAsia" w:ascii="宋体" w:hAnsi="宋体" w:cs="仿宋_GB2312"/>
          <w:bCs/>
          <w:color w:val="auto"/>
          <w:sz w:val="32"/>
          <w:szCs w:val="32"/>
        </w:rPr>
        <w:t>供应商名称：</w:t>
      </w:r>
    </w:p>
    <w:p w14:paraId="254F10B8">
      <w:pPr>
        <w:snapToGrid w:val="0"/>
        <w:spacing w:before="120" w:beforeLines="50" w:after="50"/>
        <w:ind w:firstLine="640" w:firstLineChars="200"/>
        <w:rPr>
          <w:rFonts w:ascii="宋体" w:hAnsi="宋体" w:cs="仿宋_GB2312"/>
          <w:bCs/>
          <w:color w:val="auto"/>
          <w:sz w:val="32"/>
          <w:szCs w:val="32"/>
        </w:rPr>
      </w:pPr>
    </w:p>
    <w:p w14:paraId="01FDE7F7">
      <w:pPr>
        <w:pStyle w:val="6"/>
        <w:snapToGrid w:val="0"/>
        <w:spacing w:before="50" w:after="50"/>
        <w:ind w:firstLine="720" w:firstLineChars="225"/>
        <w:rPr>
          <w:rFonts w:ascii="宋体" w:hAnsi="宋体" w:cs="仿宋_GB2312"/>
          <w:bCs/>
          <w:color w:val="auto"/>
          <w:sz w:val="32"/>
          <w:szCs w:val="32"/>
        </w:rPr>
      </w:pPr>
    </w:p>
    <w:p w14:paraId="2F79A71C">
      <w:pPr>
        <w:pStyle w:val="6"/>
        <w:snapToGrid w:val="0"/>
        <w:spacing w:before="50" w:after="50"/>
        <w:ind w:firstLine="1280" w:firstLineChars="400"/>
        <w:rPr>
          <w:rFonts w:ascii="宋体" w:hAnsi="宋体" w:cs="仿宋_GB2312"/>
          <w:bCs/>
          <w:color w:val="auto"/>
          <w:sz w:val="32"/>
          <w:szCs w:val="32"/>
        </w:rPr>
      </w:pPr>
    </w:p>
    <w:p w14:paraId="1B0853E8">
      <w:pPr>
        <w:snapToGrid w:val="0"/>
        <w:spacing w:before="120" w:beforeLines="50" w:after="50"/>
        <w:jc w:val="center"/>
        <w:rPr>
          <w:rFonts w:ascii="宋体" w:hAnsi="宋体" w:cs="仿宋_GB2312"/>
          <w:color w:val="auto"/>
          <w:sz w:val="32"/>
          <w:szCs w:val="32"/>
        </w:rPr>
      </w:pPr>
      <w:r>
        <w:rPr>
          <w:rFonts w:hint="eastAsia" w:ascii="宋体" w:hAnsi="宋体" w:cs="仿宋_GB2312"/>
          <w:color w:val="auto"/>
          <w:sz w:val="32"/>
          <w:szCs w:val="32"/>
        </w:rPr>
        <w:t>年    月    日</w:t>
      </w:r>
    </w:p>
    <w:p w14:paraId="40AA2F46">
      <w:pPr>
        <w:snapToGrid w:val="0"/>
        <w:spacing w:before="120" w:beforeLines="50" w:after="50" w:line="360" w:lineRule="auto"/>
        <w:ind w:left="142"/>
        <w:jc w:val="left"/>
        <w:rPr>
          <w:rFonts w:ascii="宋体" w:hAnsi="宋体"/>
          <w:b/>
          <w:bCs/>
          <w:color w:val="auto"/>
          <w:sz w:val="32"/>
          <w:szCs w:val="32"/>
        </w:rPr>
      </w:pPr>
      <w:r>
        <w:rPr>
          <w:rFonts w:ascii="宋体" w:hAnsi="宋体"/>
          <w:color w:val="auto"/>
          <w:sz w:val="24"/>
        </w:rPr>
        <w:br w:type="page"/>
      </w:r>
      <w:r>
        <w:rPr>
          <w:rFonts w:hint="eastAsia" w:ascii="宋体" w:hAnsi="宋体"/>
          <w:b/>
          <w:bCs/>
          <w:color w:val="auto"/>
          <w:sz w:val="32"/>
          <w:szCs w:val="32"/>
        </w:rPr>
        <w:t>2.资格证明文件目录</w:t>
      </w:r>
    </w:p>
    <w:p w14:paraId="043366D7">
      <w:pPr>
        <w:snapToGrid w:val="0"/>
        <w:spacing w:before="120" w:beforeLines="50" w:after="50" w:line="360" w:lineRule="auto"/>
        <w:ind w:firstLine="645"/>
        <w:rPr>
          <w:rFonts w:ascii="宋体" w:hAnsi="宋体"/>
          <w:color w:val="auto"/>
          <w:sz w:val="32"/>
          <w:szCs w:val="32"/>
        </w:rPr>
      </w:pPr>
      <w:r>
        <w:rPr>
          <w:rFonts w:hint="eastAsia" w:ascii="宋体" w:hAnsi="宋体"/>
          <w:color w:val="auto"/>
          <w:sz w:val="32"/>
          <w:szCs w:val="32"/>
        </w:rPr>
        <w:t>根据谈判文件规定及供应商提供的材料自行编写目录（部分格式后附）。</w:t>
      </w:r>
    </w:p>
    <w:p w14:paraId="4E37FFD3">
      <w:pPr>
        <w:snapToGrid w:val="0"/>
        <w:spacing w:before="120" w:beforeLines="50" w:after="50" w:line="360" w:lineRule="auto"/>
        <w:rPr>
          <w:rFonts w:ascii="宋体" w:hAnsi="宋体"/>
          <w:color w:val="auto"/>
          <w:sz w:val="24"/>
          <w:szCs w:val="20"/>
        </w:rPr>
      </w:pPr>
      <w:r>
        <w:rPr>
          <w:rFonts w:ascii="宋体" w:hAnsi="宋体"/>
          <w:color w:val="auto"/>
          <w:sz w:val="24"/>
          <w:szCs w:val="20"/>
        </w:rPr>
        <w:t xml:space="preserve"> </w:t>
      </w:r>
    </w:p>
    <w:p w14:paraId="4C672765">
      <w:pPr>
        <w:spacing w:line="360" w:lineRule="auto"/>
        <w:rPr>
          <w:rFonts w:ascii="宋体" w:hAnsi="宋体"/>
          <w:color w:val="auto"/>
          <w:szCs w:val="21"/>
        </w:rPr>
      </w:pPr>
    </w:p>
    <w:p w14:paraId="63843217">
      <w:pPr>
        <w:spacing w:line="360" w:lineRule="auto"/>
        <w:rPr>
          <w:rFonts w:ascii="宋体" w:hAnsi="宋体"/>
          <w:color w:val="auto"/>
          <w:szCs w:val="21"/>
        </w:rPr>
      </w:pPr>
    </w:p>
    <w:p w14:paraId="34B07BB3">
      <w:pPr>
        <w:spacing w:line="360" w:lineRule="auto"/>
        <w:rPr>
          <w:rFonts w:ascii="宋体" w:hAnsi="宋体"/>
          <w:color w:val="auto"/>
          <w:szCs w:val="21"/>
        </w:rPr>
      </w:pPr>
    </w:p>
    <w:p w14:paraId="50DC686C">
      <w:pPr>
        <w:spacing w:line="360" w:lineRule="auto"/>
        <w:rPr>
          <w:rFonts w:ascii="宋体" w:hAnsi="宋体"/>
          <w:color w:val="auto"/>
          <w:szCs w:val="21"/>
        </w:rPr>
      </w:pPr>
    </w:p>
    <w:p w14:paraId="3CFC39B1">
      <w:pPr>
        <w:spacing w:line="300" w:lineRule="auto"/>
        <w:rPr>
          <w:rFonts w:ascii="宋体" w:hAnsi="宋体"/>
          <w:color w:val="auto"/>
          <w:szCs w:val="21"/>
        </w:rPr>
      </w:pPr>
    </w:p>
    <w:p w14:paraId="58000BDA">
      <w:pPr>
        <w:spacing w:line="300" w:lineRule="auto"/>
        <w:rPr>
          <w:rFonts w:ascii="宋体" w:hAnsi="宋体"/>
          <w:color w:val="auto"/>
          <w:szCs w:val="21"/>
        </w:rPr>
      </w:pPr>
    </w:p>
    <w:p w14:paraId="68E7E093">
      <w:pPr>
        <w:spacing w:line="300" w:lineRule="auto"/>
        <w:rPr>
          <w:rFonts w:ascii="宋体" w:hAnsi="宋体"/>
          <w:color w:val="auto"/>
          <w:szCs w:val="21"/>
        </w:rPr>
      </w:pPr>
    </w:p>
    <w:p w14:paraId="18DFD7E0">
      <w:pPr>
        <w:spacing w:line="300" w:lineRule="auto"/>
        <w:rPr>
          <w:rFonts w:ascii="宋体" w:hAnsi="宋体"/>
          <w:color w:val="auto"/>
          <w:szCs w:val="21"/>
        </w:rPr>
      </w:pPr>
    </w:p>
    <w:p w14:paraId="5C61FFBE">
      <w:pPr>
        <w:spacing w:line="300" w:lineRule="auto"/>
        <w:rPr>
          <w:rFonts w:ascii="宋体" w:hAnsi="宋体"/>
          <w:color w:val="auto"/>
          <w:szCs w:val="21"/>
        </w:rPr>
      </w:pPr>
    </w:p>
    <w:p w14:paraId="276D5B9B">
      <w:pPr>
        <w:spacing w:line="300" w:lineRule="auto"/>
        <w:rPr>
          <w:rFonts w:ascii="宋体" w:hAnsi="宋体"/>
          <w:color w:val="auto"/>
          <w:szCs w:val="21"/>
        </w:rPr>
      </w:pPr>
    </w:p>
    <w:p w14:paraId="1A907641">
      <w:pPr>
        <w:spacing w:line="300" w:lineRule="auto"/>
        <w:rPr>
          <w:rFonts w:ascii="宋体" w:hAnsi="宋体"/>
          <w:color w:val="auto"/>
          <w:szCs w:val="21"/>
        </w:rPr>
      </w:pPr>
    </w:p>
    <w:p w14:paraId="3AD9B0AA">
      <w:pPr>
        <w:spacing w:line="300" w:lineRule="auto"/>
        <w:rPr>
          <w:rFonts w:ascii="宋体" w:hAnsi="宋体"/>
          <w:color w:val="auto"/>
          <w:szCs w:val="21"/>
        </w:rPr>
      </w:pPr>
    </w:p>
    <w:p w14:paraId="391CEBB8">
      <w:pPr>
        <w:spacing w:line="300" w:lineRule="auto"/>
        <w:rPr>
          <w:rFonts w:ascii="宋体" w:hAnsi="宋体"/>
          <w:color w:val="auto"/>
          <w:szCs w:val="21"/>
        </w:rPr>
      </w:pPr>
    </w:p>
    <w:p w14:paraId="63A07E60">
      <w:pPr>
        <w:spacing w:line="300" w:lineRule="auto"/>
        <w:rPr>
          <w:rFonts w:ascii="宋体" w:hAnsi="宋体"/>
          <w:color w:val="auto"/>
          <w:szCs w:val="21"/>
        </w:rPr>
      </w:pPr>
    </w:p>
    <w:p w14:paraId="59302757">
      <w:pPr>
        <w:spacing w:line="300" w:lineRule="auto"/>
        <w:rPr>
          <w:rFonts w:ascii="宋体" w:hAnsi="宋体"/>
          <w:color w:val="auto"/>
          <w:szCs w:val="21"/>
        </w:rPr>
      </w:pPr>
    </w:p>
    <w:p w14:paraId="075967FE">
      <w:pPr>
        <w:spacing w:line="320" w:lineRule="exact"/>
        <w:jc w:val="left"/>
        <w:rPr>
          <w:rFonts w:ascii="宋体" w:hAnsi="宋体"/>
          <w:color w:val="auto"/>
          <w:szCs w:val="21"/>
        </w:rPr>
      </w:pPr>
    </w:p>
    <w:p w14:paraId="117697E9">
      <w:pPr>
        <w:snapToGrid w:val="0"/>
        <w:spacing w:before="120" w:beforeLines="50" w:after="50"/>
        <w:jc w:val="center"/>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供应商直接控股、管理关系信息表</w:t>
      </w:r>
    </w:p>
    <w:p w14:paraId="34074E71">
      <w:pPr>
        <w:snapToGrid w:val="0"/>
        <w:spacing w:before="120" w:beforeLines="50" w:after="50"/>
        <w:jc w:val="center"/>
        <w:rPr>
          <w:rFonts w:ascii="宋体" w:hAnsi="宋体"/>
          <w:b/>
          <w:color w:val="auto"/>
          <w:sz w:val="32"/>
          <w:szCs w:val="32"/>
        </w:rPr>
      </w:pPr>
    </w:p>
    <w:p w14:paraId="4278505C">
      <w:pPr>
        <w:snapToGrid w:val="0"/>
        <w:spacing w:before="120" w:beforeLines="50" w:after="50"/>
        <w:jc w:val="center"/>
        <w:rPr>
          <w:rFonts w:ascii="宋体" w:hAnsi="宋体"/>
          <w:b/>
          <w:color w:val="auto"/>
          <w:sz w:val="32"/>
          <w:szCs w:val="32"/>
        </w:rPr>
      </w:pPr>
      <w:r>
        <w:rPr>
          <w:rFonts w:hint="eastAsia" w:ascii="宋体" w:hAnsi="宋体"/>
          <w:b/>
          <w:color w:val="auto"/>
          <w:sz w:val="32"/>
          <w:szCs w:val="32"/>
        </w:rPr>
        <w:t>供应商直接控股股东信息表</w:t>
      </w:r>
    </w:p>
    <w:p w14:paraId="03D1E576">
      <w:pPr>
        <w:snapToGrid w:val="0"/>
        <w:spacing w:before="50" w:after="120" w:afterLines="50"/>
        <w:jc w:val="center"/>
        <w:rPr>
          <w:rFonts w:ascii="宋体" w:hAnsi="宋体"/>
          <w:b/>
          <w:color w:val="auto"/>
          <w:sz w:val="32"/>
          <w:szCs w:val="32"/>
        </w:rPr>
      </w:pPr>
    </w:p>
    <w:tbl>
      <w:tblPr>
        <w:tblStyle w:val="27"/>
        <w:tblW w:w="9698" w:type="dxa"/>
        <w:jc w:val="center"/>
        <w:shd w:val="clear" w:color="auto" w:fill="FBFBFB"/>
        <w:tblLayout w:type="fixed"/>
        <w:tblCellMar>
          <w:top w:w="0" w:type="dxa"/>
          <w:left w:w="0" w:type="dxa"/>
          <w:bottom w:w="0" w:type="dxa"/>
          <w:right w:w="0" w:type="dxa"/>
        </w:tblCellMar>
      </w:tblPr>
      <w:tblGrid>
        <w:gridCol w:w="841"/>
        <w:gridCol w:w="2538"/>
        <w:gridCol w:w="1390"/>
        <w:gridCol w:w="4098"/>
        <w:gridCol w:w="831"/>
      </w:tblGrid>
      <w:tr w14:paraId="25ADB5BE">
        <w:tblPrEx>
          <w:shd w:val="clear" w:color="auto" w:fill="FBFBFB"/>
          <w:tblCellMar>
            <w:top w:w="0" w:type="dxa"/>
            <w:left w:w="0" w:type="dxa"/>
            <w:bottom w:w="0" w:type="dxa"/>
            <w:right w:w="0" w:type="dxa"/>
          </w:tblCellMar>
        </w:tblPrEx>
        <w:trPr>
          <w:trHeight w:val="1035" w:hRule="atLeast"/>
          <w:tblHeader/>
          <w:jc w:val="center"/>
        </w:trPr>
        <w:tc>
          <w:tcPr>
            <w:tcW w:w="84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259D132">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253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2306697">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39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61DCBD3">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出资比例</w:t>
            </w:r>
          </w:p>
        </w:tc>
        <w:tc>
          <w:tcPr>
            <w:tcW w:w="409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DFF418D">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身份证号码或者统一社会信用代码</w:t>
            </w:r>
          </w:p>
        </w:tc>
        <w:tc>
          <w:tcPr>
            <w:tcW w:w="83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2DD18FF">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14:paraId="17262BFF">
        <w:tblPrEx>
          <w:tblCellMar>
            <w:top w:w="0" w:type="dxa"/>
            <w:left w:w="0" w:type="dxa"/>
            <w:bottom w:w="0" w:type="dxa"/>
            <w:right w:w="0" w:type="dxa"/>
          </w:tblCellMar>
        </w:tblPrEx>
        <w:trPr>
          <w:trHeight w:val="525" w:hRule="atLeast"/>
          <w:jc w:val="center"/>
        </w:trPr>
        <w:tc>
          <w:tcPr>
            <w:tcW w:w="84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DE9F32">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253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4B19F2">
            <w:pPr>
              <w:widowControl/>
              <w:spacing w:line="360" w:lineRule="auto"/>
              <w:jc w:val="center"/>
              <w:rPr>
                <w:rFonts w:ascii="宋体" w:hAnsi="宋体" w:cs="宋体"/>
                <w:color w:val="auto"/>
                <w:kern w:val="0"/>
                <w:sz w:val="28"/>
                <w:szCs w:val="28"/>
              </w:rPr>
            </w:pPr>
          </w:p>
        </w:tc>
        <w:tc>
          <w:tcPr>
            <w:tcW w:w="1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E54C2E">
            <w:pPr>
              <w:widowControl/>
              <w:spacing w:line="360" w:lineRule="auto"/>
              <w:jc w:val="center"/>
              <w:rPr>
                <w:rFonts w:ascii="宋体" w:hAnsi="宋体" w:cs="宋体"/>
                <w:color w:val="auto"/>
                <w:kern w:val="0"/>
                <w:sz w:val="28"/>
                <w:szCs w:val="28"/>
              </w:rPr>
            </w:pPr>
          </w:p>
        </w:tc>
        <w:tc>
          <w:tcPr>
            <w:tcW w:w="409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4DE700">
            <w:pPr>
              <w:widowControl/>
              <w:spacing w:line="360" w:lineRule="auto"/>
              <w:jc w:val="center"/>
              <w:rPr>
                <w:rFonts w:ascii="宋体" w:hAnsi="宋体" w:cs="宋体"/>
                <w:color w:val="auto"/>
                <w:kern w:val="0"/>
                <w:sz w:val="28"/>
                <w:szCs w:val="28"/>
              </w:rPr>
            </w:pPr>
          </w:p>
        </w:tc>
        <w:tc>
          <w:tcPr>
            <w:tcW w:w="83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B60376">
            <w:pPr>
              <w:widowControl/>
              <w:spacing w:line="360" w:lineRule="auto"/>
              <w:jc w:val="center"/>
              <w:rPr>
                <w:rFonts w:ascii="宋体" w:hAnsi="宋体" w:cs="宋体"/>
                <w:color w:val="auto"/>
                <w:kern w:val="0"/>
                <w:sz w:val="28"/>
                <w:szCs w:val="28"/>
              </w:rPr>
            </w:pPr>
          </w:p>
        </w:tc>
      </w:tr>
      <w:tr w14:paraId="0822379D">
        <w:tblPrEx>
          <w:tblCellMar>
            <w:top w:w="0" w:type="dxa"/>
            <w:left w:w="0" w:type="dxa"/>
            <w:bottom w:w="0" w:type="dxa"/>
            <w:right w:w="0" w:type="dxa"/>
          </w:tblCellMar>
        </w:tblPrEx>
        <w:trPr>
          <w:trHeight w:val="495" w:hRule="atLeast"/>
          <w:jc w:val="center"/>
        </w:trPr>
        <w:tc>
          <w:tcPr>
            <w:tcW w:w="84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BBB96C">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253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A51AF7">
            <w:pPr>
              <w:widowControl/>
              <w:spacing w:line="360" w:lineRule="auto"/>
              <w:jc w:val="center"/>
              <w:rPr>
                <w:rFonts w:ascii="宋体" w:hAnsi="宋体" w:cs="宋体"/>
                <w:color w:val="auto"/>
                <w:kern w:val="0"/>
                <w:sz w:val="28"/>
                <w:szCs w:val="28"/>
              </w:rPr>
            </w:pPr>
          </w:p>
        </w:tc>
        <w:tc>
          <w:tcPr>
            <w:tcW w:w="1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2E0A7A">
            <w:pPr>
              <w:widowControl/>
              <w:spacing w:line="360" w:lineRule="auto"/>
              <w:jc w:val="center"/>
              <w:rPr>
                <w:rFonts w:ascii="宋体" w:hAnsi="宋体" w:cs="宋体"/>
                <w:color w:val="auto"/>
                <w:kern w:val="0"/>
                <w:sz w:val="28"/>
                <w:szCs w:val="28"/>
              </w:rPr>
            </w:pPr>
          </w:p>
        </w:tc>
        <w:tc>
          <w:tcPr>
            <w:tcW w:w="409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519D38">
            <w:pPr>
              <w:widowControl/>
              <w:spacing w:line="360" w:lineRule="auto"/>
              <w:jc w:val="center"/>
              <w:rPr>
                <w:rFonts w:ascii="宋体" w:hAnsi="宋体" w:cs="宋体"/>
                <w:color w:val="auto"/>
                <w:kern w:val="0"/>
                <w:sz w:val="28"/>
                <w:szCs w:val="28"/>
              </w:rPr>
            </w:pPr>
          </w:p>
        </w:tc>
        <w:tc>
          <w:tcPr>
            <w:tcW w:w="83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278BA1">
            <w:pPr>
              <w:widowControl/>
              <w:spacing w:line="360" w:lineRule="auto"/>
              <w:jc w:val="center"/>
              <w:rPr>
                <w:rFonts w:ascii="宋体" w:hAnsi="宋体" w:cs="宋体"/>
                <w:color w:val="auto"/>
                <w:kern w:val="0"/>
                <w:sz w:val="28"/>
                <w:szCs w:val="28"/>
              </w:rPr>
            </w:pPr>
          </w:p>
        </w:tc>
      </w:tr>
      <w:tr w14:paraId="5E2A6746">
        <w:tblPrEx>
          <w:tblCellMar>
            <w:top w:w="0" w:type="dxa"/>
            <w:left w:w="0" w:type="dxa"/>
            <w:bottom w:w="0" w:type="dxa"/>
            <w:right w:w="0" w:type="dxa"/>
          </w:tblCellMar>
        </w:tblPrEx>
        <w:trPr>
          <w:trHeight w:val="564" w:hRule="atLeast"/>
          <w:jc w:val="center"/>
        </w:trPr>
        <w:tc>
          <w:tcPr>
            <w:tcW w:w="84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2E5BED">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253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681219">
            <w:pPr>
              <w:widowControl/>
              <w:spacing w:line="360" w:lineRule="auto"/>
              <w:jc w:val="center"/>
              <w:rPr>
                <w:rFonts w:ascii="宋体" w:hAnsi="宋体" w:cs="宋体"/>
                <w:color w:val="auto"/>
                <w:kern w:val="0"/>
                <w:sz w:val="28"/>
                <w:szCs w:val="28"/>
              </w:rPr>
            </w:pPr>
          </w:p>
        </w:tc>
        <w:tc>
          <w:tcPr>
            <w:tcW w:w="1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AF4F22">
            <w:pPr>
              <w:widowControl/>
              <w:spacing w:line="360" w:lineRule="auto"/>
              <w:jc w:val="center"/>
              <w:rPr>
                <w:rFonts w:ascii="宋体" w:hAnsi="宋体" w:cs="宋体"/>
                <w:color w:val="auto"/>
                <w:kern w:val="0"/>
                <w:sz w:val="28"/>
                <w:szCs w:val="28"/>
              </w:rPr>
            </w:pPr>
          </w:p>
        </w:tc>
        <w:tc>
          <w:tcPr>
            <w:tcW w:w="409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99823F">
            <w:pPr>
              <w:widowControl/>
              <w:spacing w:line="360" w:lineRule="auto"/>
              <w:jc w:val="center"/>
              <w:rPr>
                <w:rFonts w:ascii="宋体" w:hAnsi="宋体" w:cs="宋体"/>
                <w:color w:val="auto"/>
                <w:kern w:val="0"/>
                <w:sz w:val="28"/>
                <w:szCs w:val="28"/>
              </w:rPr>
            </w:pPr>
          </w:p>
        </w:tc>
        <w:tc>
          <w:tcPr>
            <w:tcW w:w="83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C33D9E">
            <w:pPr>
              <w:widowControl/>
              <w:spacing w:line="360" w:lineRule="auto"/>
              <w:jc w:val="center"/>
              <w:rPr>
                <w:rFonts w:ascii="宋体" w:hAnsi="宋体" w:cs="宋体"/>
                <w:color w:val="auto"/>
                <w:kern w:val="0"/>
                <w:sz w:val="28"/>
                <w:szCs w:val="28"/>
              </w:rPr>
            </w:pPr>
          </w:p>
        </w:tc>
      </w:tr>
      <w:tr w14:paraId="07486708">
        <w:tblPrEx>
          <w:tblCellMar>
            <w:top w:w="0" w:type="dxa"/>
            <w:left w:w="0" w:type="dxa"/>
            <w:bottom w:w="0" w:type="dxa"/>
            <w:right w:w="0" w:type="dxa"/>
          </w:tblCellMar>
        </w:tblPrEx>
        <w:trPr>
          <w:trHeight w:val="680" w:hRule="atLeast"/>
          <w:jc w:val="center"/>
        </w:trPr>
        <w:tc>
          <w:tcPr>
            <w:tcW w:w="84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C45C89">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253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7FAD0E">
            <w:pPr>
              <w:widowControl/>
              <w:spacing w:line="360" w:lineRule="auto"/>
              <w:jc w:val="center"/>
              <w:rPr>
                <w:rFonts w:ascii="宋体" w:hAnsi="宋体" w:cs="宋体"/>
                <w:color w:val="auto"/>
                <w:kern w:val="0"/>
                <w:sz w:val="28"/>
                <w:szCs w:val="28"/>
              </w:rPr>
            </w:pPr>
          </w:p>
        </w:tc>
        <w:tc>
          <w:tcPr>
            <w:tcW w:w="1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81F071">
            <w:pPr>
              <w:widowControl/>
              <w:spacing w:line="360" w:lineRule="auto"/>
              <w:jc w:val="center"/>
              <w:rPr>
                <w:rFonts w:ascii="宋体" w:hAnsi="宋体" w:cs="宋体"/>
                <w:color w:val="auto"/>
                <w:kern w:val="0"/>
                <w:sz w:val="28"/>
                <w:szCs w:val="28"/>
              </w:rPr>
            </w:pPr>
          </w:p>
        </w:tc>
        <w:tc>
          <w:tcPr>
            <w:tcW w:w="409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1AB720">
            <w:pPr>
              <w:widowControl/>
              <w:spacing w:line="360" w:lineRule="auto"/>
              <w:jc w:val="center"/>
              <w:rPr>
                <w:rFonts w:ascii="宋体" w:hAnsi="宋体" w:cs="宋体"/>
                <w:color w:val="auto"/>
                <w:kern w:val="0"/>
                <w:sz w:val="28"/>
                <w:szCs w:val="28"/>
              </w:rPr>
            </w:pPr>
          </w:p>
        </w:tc>
        <w:tc>
          <w:tcPr>
            <w:tcW w:w="83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3EE276">
            <w:pPr>
              <w:widowControl/>
              <w:spacing w:line="360" w:lineRule="auto"/>
              <w:jc w:val="center"/>
              <w:rPr>
                <w:rFonts w:ascii="宋体" w:hAnsi="宋体" w:cs="宋体"/>
                <w:color w:val="auto"/>
                <w:kern w:val="0"/>
                <w:sz w:val="28"/>
                <w:szCs w:val="28"/>
              </w:rPr>
            </w:pPr>
          </w:p>
        </w:tc>
      </w:tr>
    </w:tbl>
    <w:p w14:paraId="442B3752">
      <w:pPr>
        <w:spacing w:line="360" w:lineRule="auto"/>
        <w:contextualSpacing/>
        <w:jc w:val="left"/>
        <w:rPr>
          <w:rFonts w:ascii="宋体" w:hAnsi="宋体" w:cs="宋体"/>
          <w:color w:val="auto"/>
          <w:sz w:val="24"/>
        </w:rPr>
      </w:pPr>
      <w:r>
        <w:rPr>
          <w:rFonts w:hint="eastAsia" w:ascii="宋体" w:hAnsi="宋体" w:cs="宋体"/>
          <w:color w:val="auto"/>
          <w:sz w:val="24"/>
        </w:rPr>
        <w:t>注：</w:t>
      </w:r>
    </w:p>
    <w:p w14:paraId="70A988C8">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237E2BA">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14:paraId="59ECB134">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3.供应商不存在直接控股股东的，则填“无”。</w:t>
      </w:r>
    </w:p>
    <w:p w14:paraId="61A27CE6">
      <w:pPr>
        <w:spacing w:line="360" w:lineRule="auto"/>
        <w:ind w:firstLine="420" w:firstLineChars="200"/>
        <w:contextualSpacing/>
        <w:jc w:val="left"/>
        <w:rPr>
          <w:rFonts w:ascii="宋体" w:hAnsi="宋体" w:cs="宋体"/>
          <w:color w:val="auto"/>
          <w:szCs w:val="21"/>
        </w:rPr>
      </w:pPr>
    </w:p>
    <w:p w14:paraId="147E17D8">
      <w:pPr>
        <w:spacing w:line="360" w:lineRule="auto"/>
        <w:ind w:firstLine="560" w:firstLineChars="200"/>
        <w:contextualSpacing/>
        <w:jc w:val="left"/>
        <w:rPr>
          <w:rFonts w:ascii="宋体" w:hAnsi="宋体" w:cs="宋体"/>
          <w:color w:val="auto"/>
          <w:sz w:val="28"/>
          <w:szCs w:val="28"/>
        </w:rPr>
      </w:pPr>
    </w:p>
    <w:p w14:paraId="25BA7ABA">
      <w:pPr>
        <w:spacing w:line="360" w:lineRule="auto"/>
        <w:ind w:right="480"/>
        <w:contextualSpacing/>
        <w:jc w:val="center"/>
        <w:rPr>
          <w:rFonts w:ascii="宋体" w:hAnsi="宋体" w:cs="宋体"/>
          <w:color w:val="auto"/>
          <w:sz w:val="24"/>
          <w:u w:val="single"/>
        </w:rPr>
      </w:pP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法定代表人或者委托代理人签字：</w:t>
      </w:r>
      <w:r>
        <w:rPr>
          <w:rFonts w:hint="eastAsia" w:ascii="宋体" w:hAnsi="宋体" w:cs="宋体"/>
          <w:color w:val="auto"/>
          <w:sz w:val="24"/>
          <w:u w:val="single"/>
        </w:rPr>
        <w:t xml:space="preserve"> </w:t>
      </w:r>
      <w:r>
        <w:rPr>
          <w:rFonts w:ascii="宋体" w:hAnsi="宋体" w:cs="宋体"/>
          <w:color w:val="auto"/>
          <w:sz w:val="24"/>
          <w:u w:val="single"/>
        </w:rPr>
        <w:t xml:space="preserve">                   </w:t>
      </w:r>
    </w:p>
    <w:p w14:paraId="3FC31ECF">
      <w:pPr>
        <w:spacing w:line="360" w:lineRule="auto"/>
        <w:ind w:right="480" w:firstLine="3360" w:firstLineChars="1400"/>
        <w:contextualSpacing/>
        <w:rPr>
          <w:rFonts w:ascii="宋体" w:hAnsi="宋体" w:cs="宋体"/>
          <w:color w:val="auto"/>
          <w:sz w:val="24"/>
          <w:u w:val="single"/>
        </w:rPr>
      </w:pPr>
      <w:r>
        <w:rPr>
          <w:rFonts w:hint="eastAsia" w:ascii="宋体" w:hAnsi="宋体" w:cs="宋体"/>
          <w:color w:val="auto"/>
          <w:sz w:val="24"/>
        </w:rPr>
        <w:t xml:space="preserve">供应商（盖公章 ）： </w:t>
      </w:r>
      <w:r>
        <w:rPr>
          <w:rFonts w:hint="eastAsia" w:ascii="宋体" w:hAnsi="宋体" w:cs="宋体"/>
          <w:color w:val="auto"/>
          <w:sz w:val="24"/>
          <w:u w:val="single"/>
        </w:rPr>
        <w:t xml:space="preserve">                              </w:t>
      </w:r>
    </w:p>
    <w:p w14:paraId="3A9005A9">
      <w:pPr>
        <w:spacing w:line="360" w:lineRule="auto"/>
        <w:ind w:right="480" w:firstLine="5280" w:firstLineChars="2200"/>
        <w:contextualSpacing/>
        <w:rPr>
          <w:rFonts w:ascii="宋体" w:hAnsi="宋体" w:cs="宋体"/>
          <w:color w:val="auto"/>
          <w:sz w:val="28"/>
          <w:szCs w:val="28"/>
        </w:rPr>
      </w:pPr>
      <w:r>
        <w:rPr>
          <w:rFonts w:hint="eastAsia" w:ascii="宋体" w:hAnsi="宋体" w:cs="宋体"/>
          <w:color w:val="auto"/>
          <w:sz w:val="24"/>
        </w:rPr>
        <w:t>年    月    日</w:t>
      </w:r>
    </w:p>
    <w:p w14:paraId="5BD66AC0">
      <w:pPr>
        <w:snapToGrid w:val="0"/>
        <w:jc w:val="center"/>
        <w:rPr>
          <w:rFonts w:ascii="宋体" w:hAnsi="宋体"/>
          <w:b/>
          <w:color w:val="auto"/>
          <w:sz w:val="28"/>
          <w:szCs w:val="28"/>
        </w:rPr>
      </w:pPr>
      <w:r>
        <w:rPr>
          <w:rFonts w:ascii="宋体" w:hAnsi="宋体"/>
          <w:b/>
          <w:color w:val="auto"/>
          <w:sz w:val="28"/>
          <w:szCs w:val="28"/>
        </w:rPr>
        <w:br w:type="page"/>
      </w:r>
    </w:p>
    <w:p w14:paraId="78527B25">
      <w:pPr>
        <w:snapToGrid w:val="0"/>
        <w:jc w:val="center"/>
        <w:rPr>
          <w:rFonts w:ascii="宋体" w:hAnsi="宋体"/>
          <w:b/>
          <w:color w:val="auto"/>
          <w:sz w:val="32"/>
          <w:szCs w:val="32"/>
        </w:rPr>
      </w:pPr>
      <w:r>
        <w:rPr>
          <w:rFonts w:hint="eastAsia" w:ascii="宋体" w:hAnsi="宋体"/>
          <w:b/>
          <w:color w:val="auto"/>
          <w:sz w:val="32"/>
          <w:szCs w:val="32"/>
        </w:rPr>
        <w:t>供应商直接管理关系信息表</w:t>
      </w:r>
    </w:p>
    <w:p w14:paraId="0F7A49B2">
      <w:pPr>
        <w:snapToGrid w:val="0"/>
        <w:jc w:val="center"/>
        <w:rPr>
          <w:rFonts w:ascii="宋体" w:hAnsi="宋体"/>
          <w:b/>
          <w:color w:val="auto"/>
          <w:sz w:val="32"/>
          <w:szCs w:val="32"/>
        </w:rPr>
      </w:pPr>
    </w:p>
    <w:tbl>
      <w:tblPr>
        <w:tblStyle w:val="27"/>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2B63AC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AC63F90">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585B12C">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C2AA819">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424510C">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14:paraId="2F719AB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32656A">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1C4352">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F435C2">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830874">
            <w:pPr>
              <w:widowControl/>
              <w:wordWrap w:val="0"/>
              <w:spacing w:line="200" w:lineRule="atLeast"/>
              <w:jc w:val="center"/>
              <w:rPr>
                <w:rFonts w:ascii="宋体" w:hAnsi="宋体" w:cs="宋体"/>
                <w:color w:val="auto"/>
                <w:kern w:val="0"/>
                <w:sz w:val="28"/>
                <w:szCs w:val="28"/>
              </w:rPr>
            </w:pPr>
          </w:p>
        </w:tc>
      </w:tr>
      <w:tr w14:paraId="4C9C90A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15D499">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0CE888">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9BE5CB">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D4A426">
            <w:pPr>
              <w:widowControl/>
              <w:wordWrap w:val="0"/>
              <w:spacing w:line="200" w:lineRule="atLeast"/>
              <w:jc w:val="center"/>
              <w:rPr>
                <w:rFonts w:ascii="宋体" w:hAnsi="宋体" w:cs="宋体"/>
                <w:color w:val="auto"/>
                <w:kern w:val="0"/>
                <w:sz w:val="28"/>
                <w:szCs w:val="28"/>
              </w:rPr>
            </w:pPr>
          </w:p>
        </w:tc>
      </w:tr>
      <w:tr w14:paraId="0500B04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5CA4A5">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3145FA">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18C8B3">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47F9DE">
            <w:pPr>
              <w:widowControl/>
              <w:wordWrap w:val="0"/>
              <w:spacing w:line="200" w:lineRule="atLeast"/>
              <w:jc w:val="center"/>
              <w:rPr>
                <w:rFonts w:ascii="宋体" w:hAnsi="宋体" w:cs="宋体"/>
                <w:color w:val="auto"/>
                <w:kern w:val="0"/>
                <w:sz w:val="28"/>
                <w:szCs w:val="28"/>
              </w:rPr>
            </w:pPr>
          </w:p>
        </w:tc>
      </w:tr>
      <w:tr w14:paraId="4B20CF3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D691F7">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2C807B">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289C26">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99F147">
            <w:pPr>
              <w:widowControl/>
              <w:wordWrap w:val="0"/>
              <w:spacing w:line="200" w:lineRule="atLeast"/>
              <w:jc w:val="center"/>
              <w:rPr>
                <w:rFonts w:ascii="宋体" w:hAnsi="宋体" w:cs="宋体"/>
                <w:color w:val="auto"/>
                <w:kern w:val="0"/>
                <w:sz w:val="28"/>
                <w:szCs w:val="28"/>
              </w:rPr>
            </w:pPr>
          </w:p>
        </w:tc>
      </w:tr>
    </w:tbl>
    <w:p w14:paraId="0630C405">
      <w:pPr>
        <w:spacing w:line="360" w:lineRule="auto"/>
        <w:contextualSpacing/>
        <w:jc w:val="left"/>
        <w:rPr>
          <w:rFonts w:ascii="宋体" w:hAnsi="宋体"/>
          <w:color w:val="auto"/>
          <w:sz w:val="24"/>
        </w:rPr>
      </w:pPr>
      <w:r>
        <w:rPr>
          <w:rFonts w:hint="eastAsia" w:ascii="宋体" w:hAnsi="宋体"/>
          <w:color w:val="auto"/>
          <w:sz w:val="24"/>
        </w:rPr>
        <w:t>注：</w:t>
      </w:r>
    </w:p>
    <w:p w14:paraId="157C3738">
      <w:pPr>
        <w:spacing w:line="360" w:lineRule="auto"/>
        <w:ind w:firstLine="480" w:firstLineChars="200"/>
        <w:contextualSpacing/>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51F05931">
      <w:pPr>
        <w:spacing w:line="360" w:lineRule="auto"/>
        <w:ind w:firstLine="480" w:firstLineChars="200"/>
        <w:contextualSpacing/>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2071BD17">
      <w:pPr>
        <w:spacing w:line="360" w:lineRule="auto"/>
        <w:ind w:firstLine="480" w:firstLineChars="200"/>
        <w:contextualSpacing/>
        <w:jc w:val="left"/>
        <w:rPr>
          <w:rFonts w:ascii="宋体" w:hAnsi="宋体"/>
          <w:color w:val="auto"/>
          <w:sz w:val="24"/>
        </w:rPr>
      </w:pPr>
      <w:r>
        <w:rPr>
          <w:rFonts w:hint="eastAsia" w:ascii="宋体" w:hAnsi="宋体"/>
          <w:color w:val="auto"/>
          <w:sz w:val="24"/>
        </w:rPr>
        <w:t>3.供应商不存在直接管理关系的，则填“无”。</w:t>
      </w:r>
    </w:p>
    <w:p w14:paraId="261ACB74">
      <w:pPr>
        <w:spacing w:line="360" w:lineRule="auto"/>
        <w:contextualSpacing/>
        <w:jc w:val="left"/>
        <w:rPr>
          <w:rFonts w:ascii="宋体" w:hAnsi="宋体"/>
          <w:color w:val="auto"/>
          <w:sz w:val="28"/>
          <w:szCs w:val="28"/>
        </w:rPr>
      </w:pPr>
    </w:p>
    <w:p w14:paraId="05F42378">
      <w:pPr>
        <w:spacing w:line="360" w:lineRule="auto"/>
        <w:contextualSpacing/>
        <w:jc w:val="left"/>
        <w:rPr>
          <w:rFonts w:ascii="宋体" w:hAnsi="宋体"/>
          <w:color w:val="auto"/>
          <w:sz w:val="28"/>
          <w:szCs w:val="28"/>
        </w:rPr>
      </w:pPr>
    </w:p>
    <w:p w14:paraId="454CF069">
      <w:pPr>
        <w:spacing w:line="360" w:lineRule="auto"/>
        <w:contextualSpacing/>
        <w:jc w:val="left"/>
        <w:rPr>
          <w:color w:val="auto"/>
          <w:sz w:val="28"/>
          <w:szCs w:val="28"/>
        </w:rPr>
      </w:pPr>
    </w:p>
    <w:p w14:paraId="31B3F623">
      <w:pPr>
        <w:spacing w:line="360" w:lineRule="auto"/>
        <w:contextualSpacing/>
        <w:jc w:val="left"/>
        <w:rPr>
          <w:color w:val="auto"/>
          <w:sz w:val="28"/>
          <w:szCs w:val="28"/>
        </w:rPr>
      </w:pPr>
    </w:p>
    <w:p w14:paraId="1F0CA07A">
      <w:pPr>
        <w:spacing w:line="360" w:lineRule="auto"/>
        <w:contextualSpacing/>
        <w:jc w:val="left"/>
        <w:rPr>
          <w:color w:val="auto"/>
          <w:sz w:val="28"/>
          <w:szCs w:val="28"/>
        </w:rPr>
      </w:pPr>
    </w:p>
    <w:p w14:paraId="3F892E0A">
      <w:pPr>
        <w:spacing w:line="360" w:lineRule="auto"/>
        <w:contextualSpacing/>
        <w:jc w:val="left"/>
        <w:rPr>
          <w:rFonts w:ascii="宋体" w:hAnsi="宋体"/>
          <w:color w:val="auto"/>
          <w:sz w:val="28"/>
          <w:szCs w:val="28"/>
        </w:rPr>
      </w:pPr>
    </w:p>
    <w:p w14:paraId="13DDED94">
      <w:pPr>
        <w:spacing w:line="360" w:lineRule="auto"/>
        <w:ind w:right="480"/>
        <w:contextualSpacing/>
        <w:jc w:val="center"/>
        <w:rPr>
          <w:rFonts w:ascii="宋体" w:hAnsi="宋体"/>
          <w:color w:val="auto"/>
          <w:sz w:val="24"/>
          <w:u w:val="single"/>
        </w:rPr>
      </w:pP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法定代表人或者委托代理人签字：</w:t>
      </w:r>
      <w:r>
        <w:rPr>
          <w:rFonts w:hint="eastAsia" w:ascii="宋体" w:hAnsi="宋体"/>
          <w:color w:val="auto"/>
          <w:sz w:val="24"/>
          <w:u w:val="single"/>
        </w:rPr>
        <w:t xml:space="preserve"> </w:t>
      </w:r>
      <w:r>
        <w:rPr>
          <w:rFonts w:ascii="宋体" w:hAnsi="宋体"/>
          <w:color w:val="auto"/>
          <w:sz w:val="24"/>
          <w:u w:val="single"/>
        </w:rPr>
        <w:t xml:space="preserve">                  </w:t>
      </w:r>
    </w:p>
    <w:p w14:paraId="221997D5">
      <w:pPr>
        <w:spacing w:line="360" w:lineRule="auto"/>
        <w:ind w:right="480" w:firstLine="3720" w:firstLineChars="1550"/>
        <w:contextualSpacing/>
        <w:rPr>
          <w:rFonts w:ascii="宋体" w:hAnsi="宋体"/>
          <w:color w:val="auto"/>
          <w:sz w:val="24"/>
        </w:rPr>
      </w:pPr>
      <w:r>
        <w:rPr>
          <w:rFonts w:hint="eastAsia" w:ascii="宋体" w:hAnsi="宋体"/>
          <w:color w:val="auto"/>
          <w:sz w:val="24"/>
        </w:rPr>
        <w:t>供应商（盖公章）：</w:t>
      </w:r>
      <w:r>
        <w:rPr>
          <w:rFonts w:hint="eastAsia" w:ascii="宋体" w:hAnsi="宋体"/>
          <w:color w:val="auto"/>
          <w:sz w:val="24"/>
          <w:u w:val="single"/>
        </w:rPr>
        <w:t xml:space="preserve">                </w:t>
      </w:r>
    </w:p>
    <w:p w14:paraId="0F82413E">
      <w:pPr>
        <w:spacing w:line="360" w:lineRule="auto"/>
        <w:ind w:right="480" w:firstLine="240" w:firstLineChars="100"/>
        <w:contextualSpacing/>
        <w:jc w:val="center"/>
        <w:rPr>
          <w:rFonts w:ascii="宋体" w:hAnsi="宋体"/>
          <w:color w:val="auto"/>
          <w:sz w:val="28"/>
          <w:szCs w:val="28"/>
        </w:rPr>
      </w:pPr>
      <w:r>
        <w:rPr>
          <w:rFonts w:hint="eastAsia" w:ascii="宋体" w:hAnsi="宋体"/>
          <w:color w:val="auto"/>
          <w:sz w:val="24"/>
        </w:rPr>
        <w:t xml:space="preserve">                                        年    月    日</w:t>
      </w:r>
    </w:p>
    <w:p w14:paraId="64DA063A">
      <w:pPr>
        <w:spacing w:line="320" w:lineRule="exact"/>
        <w:jc w:val="center"/>
        <w:rPr>
          <w:rFonts w:ascii="方正小标宋简体" w:hAnsi="宋体" w:eastAsia="方正小标宋简体"/>
          <w:b/>
          <w:color w:val="auto"/>
          <w:sz w:val="32"/>
          <w:szCs w:val="32"/>
        </w:rPr>
      </w:pPr>
      <w:r>
        <w:rPr>
          <w:rFonts w:ascii="宋体" w:hAnsi="宋体"/>
          <w:b/>
          <w:color w:val="auto"/>
          <w:sz w:val="32"/>
          <w:szCs w:val="32"/>
        </w:rPr>
        <w:br w:type="page"/>
      </w:r>
      <w:r>
        <w:rPr>
          <w:rFonts w:hint="eastAsia" w:ascii="方正小标宋简体" w:hAnsi="宋体" w:eastAsia="方正小标宋简体"/>
          <w:b/>
          <w:color w:val="auto"/>
          <w:sz w:val="32"/>
          <w:szCs w:val="32"/>
        </w:rPr>
        <w:t>竞标声明</w:t>
      </w:r>
    </w:p>
    <w:p w14:paraId="535CA8CA">
      <w:pPr>
        <w:spacing w:line="320" w:lineRule="exact"/>
        <w:jc w:val="center"/>
        <w:rPr>
          <w:rFonts w:ascii="宋体" w:hAnsi="宋体"/>
          <w:color w:val="auto"/>
          <w:sz w:val="24"/>
          <w:szCs w:val="20"/>
        </w:rPr>
      </w:pPr>
    </w:p>
    <w:p w14:paraId="1574CB9E">
      <w:pPr>
        <w:spacing w:line="360" w:lineRule="auto"/>
        <w:contextualSpacing/>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p>
    <w:p w14:paraId="2B7326D2">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供应商名称</w:t>
      </w:r>
      <w:r>
        <w:rPr>
          <w:rFonts w:hint="eastAsia" w:ascii="宋体" w:hAnsi="宋体" w:cs="宋体"/>
          <w:color w:val="auto"/>
          <w:sz w:val="24"/>
          <w:u w:val="single"/>
          <w:lang w:val="en-US" w:eastAsia="zh-CN"/>
        </w:rPr>
        <w:t xml:space="preserve"> </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14:paraId="7D7E936D">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rPr>
        <w:t>项目的竞标，为便于贵方公正、择优地确定成交供应商及其竞标产品和服务，我方就本次竞标有关事项郑重声明如下：</w:t>
      </w:r>
    </w:p>
    <w:p w14:paraId="388C28F2">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1.我方向贵方提交的所有响应文件、资料都是准确的和真实的。</w:t>
      </w:r>
    </w:p>
    <w:p w14:paraId="64ED4AF4">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14:paraId="132A4C39">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3.在此，我方宣布同意如下：</w:t>
      </w:r>
    </w:p>
    <w:p w14:paraId="3C73AF38">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（1）将按谈判文件的约定履行合同责任和义务；</w:t>
      </w:r>
    </w:p>
    <w:p w14:paraId="6776F607">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（2）已详细审查全部谈判文件，包括补遗文件（如有）；</w:t>
      </w:r>
    </w:p>
    <w:p w14:paraId="76D6F80A">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（3）同意提供按照贵方可能要求的与谈判有关的一切数据或者资料；</w:t>
      </w:r>
    </w:p>
    <w:p w14:paraId="2F44E029">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（4）响应谈判文件规定的竞标有效期。</w:t>
      </w:r>
    </w:p>
    <w:p w14:paraId="5C819E42">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4.我方承诺符合《中华人民共和国政府采购法》第二十二条规定：</w:t>
      </w:r>
    </w:p>
    <w:p w14:paraId="34CB0A3F">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（1）具有独立承担民事责任的能力；</w:t>
      </w:r>
    </w:p>
    <w:p w14:paraId="4786A315">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（2）具有良好的商业信誉和健全的财务会计制度；</w:t>
      </w:r>
    </w:p>
    <w:p w14:paraId="49AD15F3">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（3）具有履行合同所必需的设备和专业技术能力；</w:t>
      </w:r>
    </w:p>
    <w:p w14:paraId="75F1C756">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（4）有依法缴纳税收和社会保障资金的良好记录；</w:t>
      </w:r>
    </w:p>
    <w:p w14:paraId="4DDDD338">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67B1003E">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（6）法律、行政法规规定的其他条件。</w:t>
      </w:r>
    </w:p>
    <w:p w14:paraId="44A5C18F">
      <w:pPr>
        <w:spacing w:line="360" w:lineRule="auto"/>
        <w:ind w:firstLine="480" w:firstLineChars="200"/>
        <w:contextualSpacing/>
        <w:rPr>
          <w:rFonts w:hint="eastAsia" w:ascii="宋体" w:hAnsi="宋体" w:eastAsia="宋体" w:cs="宋体"/>
          <w:color w:val="auto"/>
          <w:sz w:val="24"/>
          <w:lang w:eastAsia="zh-CN"/>
        </w:rPr>
      </w:pPr>
      <w:r>
        <w:rPr>
          <w:rFonts w:hint="eastAsia" w:ascii="宋体" w:hAnsi="宋体" w:cs="宋体"/>
          <w:color w:val="auto"/>
          <w:sz w:val="24"/>
        </w:rPr>
        <w:t>5.</w:t>
      </w:r>
      <w:r>
        <w:rPr>
          <w:rFonts w:hint="eastAsia" w:ascii="宋体" w:hAnsi="宋体" w:cs="宋体"/>
          <w:color w:val="auto"/>
          <w:sz w:val="24"/>
          <w:lang w:eastAsia="zh-CN"/>
        </w:rPr>
        <w:t>我方承诺近两年内参加本采购单位的采购项目中标（成交）后未有拒签订采购合同的行为，</w:t>
      </w:r>
      <w:r>
        <w:rPr>
          <w:rFonts w:hint="eastAsia" w:ascii="宋体" w:hAnsi="宋体"/>
          <w:color w:val="auto"/>
          <w:sz w:val="24"/>
          <w:highlight w:val="none"/>
        </w:rPr>
        <w:t>如有虚假或者隐瞒，我方愿意承担一切后果</w:t>
      </w:r>
      <w:r>
        <w:rPr>
          <w:rFonts w:hint="eastAsia" w:ascii="宋体" w:hAnsi="宋体"/>
          <w:color w:val="auto"/>
          <w:sz w:val="24"/>
          <w:highlight w:val="none"/>
          <w:lang w:eastAsia="zh-CN"/>
        </w:rPr>
        <w:t>。</w:t>
      </w:r>
    </w:p>
    <w:p w14:paraId="744ACB18">
      <w:pPr>
        <w:spacing w:line="360" w:lineRule="auto"/>
        <w:ind w:firstLine="480" w:firstLineChars="200"/>
        <w:contextualSpacing/>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6EA32C1">
      <w:pPr>
        <w:spacing w:line="360" w:lineRule="auto"/>
        <w:ind w:firstLine="480" w:firstLineChars="200"/>
        <w:contextualSpacing/>
        <w:rPr>
          <w:rFonts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151DC7D4">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5659606A">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218B61DF">
      <w:pPr>
        <w:pStyle w:val="15"/>
        <w:spacing w:line="360" w:lineRule="auto"/>
        <w:ind w:firstLine="480" w:firstLineChars="200"/>
        <w:contextualSpacing/>
        <w:rPr>
          <w:rFonts w:hAnsi="宋体" w:cs="宋体"/>
          <w:color w:val="auto"/>
          <w:sz w:val="24"/>
          <w:szCs w:val="24"/>
          <w:u w:val="single"/>
        </w:rPr>
      </w:pPr>
      <w:r>
        <w:rPr>
          <w:rFonts w:hint="eastAsia" w:hAnsi="宋体" w:cs="宋体"/>
          <w:color w:val="auto"/>
          <w:sz w:val="24"/>
          <w:szCs w:val="24"/>
          <w:lang w:val="en-US" w:eastAsia="zh-CN"/>
        </w:rPr>
        <w:t>8</w:t>
      </w:r>
      <w:r>
        <w:rPr>
          <w:rFonts w:hint="eastAsia" w:hAnsi="宋体" w:cs="宋体"/>
          <w:color w:val="auto"/>
          <w:sz w:val="24"/>
          <w:szCs w:val="24"/>
        </w:rPr>
        <w:t>.与本谈判有关的一切正式往来信函请寄：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邮政编号：</w:t>
      </w:r>
      <w:r>
        <w:rPr>
          <w:rFonts w:hint="eastAsia" w:hAnsi="宋体" w:cs="宋体"/>
          <w:color w:val="auto"/>
          <w:sz w:val="24"/>
          <w:szCs w:val="24"/>
          <w:u w:val="single"/>
        </w:rPr>
        <w:t xml:space="preserve">    </w:t>
      </w:r>
    </w:p>
    <w:p w14:paraId="70AEA2C3">
      <w:pPr>
        <w:pStyle w:val="15"/>
        <w:spacing w:line="360" w:lineRule="auto"/>
        <w:ind w:firstLine="480" w:firstLineChars="200"/>
        <w:contextualSpacing/>
        <w:rPr>
          <w:rFonts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电子函件：</w:t>
      </w:r>
      <w:r>
        <w:rPr>
          <w:rFonts w:hint="eastAsia" w:hAnsi="宋体" w:cs="宋体"/>
          <w:color w:val="auto"/>
          <w:sz w:val="24"/>
          <w:szCs w:val="24"/>
          <w:u w:val="single"/>
        </w:rPr>
        <w:t xml:space="preserve">             </w:t>
      </w:r>
      <w:r>
        <w:rPr>
          <w:rFonts w:hint="eastAsia" w:hAnsi="宋体" w:cs="宋体"/>
          <w:color w:val="auto"/>
          <w:sz w:val="24"/>
          <w:szCs w:val="24"/>
        </w:rPr>
        <w:t xml:space="preserve">    </w:t>
      </w:r>
    </w:p>
    <w:p w14:paraId="12C53382">
      <w:pPr>
        <w:pStyle w:val="14"/>
        <w:tabs>
          <w:tab w:val="left" w:pos="939"/>
        </w:tabs>
        <w:spacing w:line="360" w:lineRule="auto"/>
        <w:ind w:left="141" w:leftChars="67" w:firstLine="360" w:firstLineChars="150"/>
        <w:rPr>
          <w:rFonts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帐号/行号：</w:t>
      </w:r>
      <w:r>
        <w:rPr>
          <w:rFonts w:hint="eastAsia" w:ascii="宋体" w:hAnsi="宋体" w:cs="宋体"/>
          <w:color w:val="auto"/>
          <w:sz w:val="24"/>
          <w:u w:val="single"/>
        </w:rPr>
        <w:t xml:space="preserve">           </w:t>
      </w:r>
    </w:p>
    <w:p w14:paraId="566595CE">
      <w:pPr>
        <w:pStyle w:val="14"/>
        <w:tabs>
          <w:tab w:val="left" w:pos="939"/>
        </w:tabs>
        <w:spacing w:line="360" w:lineRule="auto"/>
        <w:ind w:left="141" w:leftChars="67" w:firstLine="360" w:firstLineChars="150"/>
        <w:rPr>
          <w:rFonts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.以上事项如有虚假或者隐瞒，我方愿意承担一切后果，并不再寻求任何旨在减轻或者免除法律责任的辩解。</w:t>
      </w:r>
    </w:p>
    <w:p w14:paraId="6B98232B">
      <w:pPr>
        <w:pStyle w:val="14"/>
        <w:tabs>
          <w:tab w:val="left" w:pos="939"/>
        </w:tabs>
        <w:spacing w:line="360" w:lineRule="auto"/>
        <w:ind w:left="141" w:leftChars="67" w:firstLine="360" w:firstLineChars="150"/>
        <w:rPr>
          <w:rFonts w:ascii="宋体" w:hAnsi="宋体" w:cs="宋体"/>
          <w:color w:val="auto"/>
          <w:szCs w:val="21"/>
        </w:rPr>
      </w:pPr>
      <w:r>
        <w:rPr>
          <w:rFonts w:hint="eastAsia" w:ascii="宋体" w:hAnsi="宋体" w:cs="宋体"/>
          <w:color w:val="auto"/>
          <w:sz w:val="24"/>
        </w:rPr>
        <w:t>特此承诺。</w:t>
      </w:r>
    </w:p>
    <w:p w14:paraId="5CABF3D0">
      <w:pPr>
        <w:spacing w:line="360" w:lineRule="auto"/>
        <w:contextualSpacing/>
        <w:jc w:val="left"/>
        <w:rPr>
          <w:rFonts w:ascii="宋体" w:hAnsi="宋体"/>
          <w:b/>
          <w:color w:val="auto"/>
          <w:sz w:val="24"/>
        </w:rPr>
      </w:pPr>
      <w:r>
        <w:rPr>
          <w:rFonts w:hint="eastAsia" w:ascii="宋体" w:hAnsi="宋体"/>
          <w:b/>
          <w:color w:val="auto"/>
          <w:sz w:val="24"/>
        </w:rPr>
        <w:t xml:space="preserve">    注：如为联合体竞标，盖章处须加盖联合体各方公章并由联合体各方法定代表人分别签署，否则响应文件按无效响应处理。</w:t>
      </w:r>
    </w:p>
    <w:p w14:paraId="36E2C680">
      <w:pPr>
        <w:spacing w:line="360" w:lineRule="auto"/>
        <w:contextualSpacing/>
        <w:jc w:val="left"/>
        <w:rPr>
          <w:rFonts w:ascii="宋体" w:hAnsi="宋体" w:cs="宋体"/>
          <w:color w:val="auto"/>
          <w:szCs w:val="21"/>
        </w:rPr>
      </w:pPr>
    </w:p>
    <w:p w14:paraId="25836CC4">
      <w:pPr>
        <w:spacing w:line="360" w:lineRule="auto"/>
        <w:ind w:firstLine="4320" w:firstLineChars="1800"/>
        <w:contextualSpacing/>
        <w:rPr>
          <w:color w:val="auto"/>
          <w:sz w:val="24"/>
          <w:szCs w:val="24"/>
        </w:rPr>
      </w:pPr>
      <w:r>
        <w:rPr>
          <w:rFonts w:hint="eastAsia"/>
          <w:color w:val="auto"/>
          <w:sz w:val="24"/>
          <w:szCs w:val="24"/>
        </w:rPr>
        <w:t>法定代表人（签字或者盖章）：</w:t>
      </w:r>
      <w:r>
        <w:rPr>
          <w:rFonts w:hint="eastAsia"/>
          <w:color w:val="auto"/>
          <w:sz w:val="24"/>
          <w:szCs w:val="24"/>
          <w:u w:val="single"/>
        </w:rPr>
        <w:t xml:space="preserve">           </w:t>
      </w:r>
      <w:r>
        <w:rPr>
          <w:rFonts w:hint="eastAsia"/>
          <w:color w:val="auto"/>
          <w:sz w:val="24"/>
          <w:szCs w:val="24"/>
        </w:rPr>
        <w:t xml:space="preserve">                                     </w:t>
      </w:r>
    </w:p>
    <w:p w14:paraId="3969B94F">
      <w:pPr>
        <w:spacing w:line="360" w:lineRule="auto"/>
        <w:ind w:firstLine="4320" w:firstLineChars="1800"/>
        <w:contextualSpacing/>
        <w:rPr>
          <w:rFonts w:ascii="宋体" w:hAnsi="宋体" w:cs="宋体"/>
          <w:color w:val="auto"/>
          <w:sz w:val="24"/>
          <w:szCs w:val="24"/>
          <w:u w:val="single"/>
        </w:rPr>
      </w:pPr>
      <w:r>
        <w:rPr>
          <w:rFonts w:hint="eastAsia"/>
          <w:color w:val="auto"/>
          <w:sz w:val="24"/>
          <w:szCs w:val="24"/>
        </w:rPr>
        <w:t>供应商（盖公章）：</w:t>
      </w:r>
      <w:r>
        <w:rPr>
          <w:rFonts w:hint="eastAsia"/>
          <w:color w:val="auto"/>
          <w:sz w:val="24"/>
          <w:szCs w:val="24"/>
          <w:u w:val="single"/>
        </w:rPr>
        <w:t xml:space="preserve">                               </w:t>
      </w:r>
      <w:r>
        <w:rPr>
          <w:rFonts w:hint="eastAsia"/>
          <w:color w:val="auto"/>
          <w:sz w:val="24"/>
          <w:szCs w:val="24"/>
        </w:rPr>
        <w:t xml:space="preserve">       </w:t>
      </w:r>
      <w:r>
        <w:rPr>
          <w:rFonts w:hint="eastAsia" w:ascii="宋体" w:hAnsi="宋体" w:cs="宋体"/>
          <w:color w:val="auto"/>
          <w:sz w:val="24"/>
          <w:szCs w:val="24"/>
        </w:rPr>
        <w:t xml:space="preserve">    </w:t>
      </w:r>
    </w:p>
    <w:p w14:paraId="4BB44DB7">
      <w:pPr>
        <w:spacing w:line="360" w:lineRule="auto"/>
        <w:ind w:right="482" w:firstLine="240" w:firstLineChars="100"/>
        <w:contextualSpacing/>
        <w:jc w:val="center"/>
        <w:rPr>
          <w:rFonts w:ascii="宋体" w:hAnsi="宋体"/>
          <w:color w:val="auto"/>
          <w:sz w:val="24"/>
          <w:szCs w:val="24"/>
        </w:rPr>
      </w:pPr>
      <w:r>
        <w:rPr>
          <w:rFonts w:hint="eastAsia" w:ascii="宋体" w:hAnsi="宋体" w:cs="宋体"/>
          <w:color w:val="auto"/>
          <w:sz w:val="24"/>
          <w:szCs w:val="24"/>
        </w:rPr>
        <w:t xml:space="preserve">                                                        </w:t>
      </w:r>
      <w:r>
        <w:rPr>
          <w:rFonts w:hint="eastAsia"/>
          <w:color w:val="auto"/>
          <w:sz w:val="24"/>
          <w:szCs w:val="24"/>
        </w:rPr>
        <w:t xml:space="preserve"> 年    月    日 </w:t>
      </w:r>
    </w:p>
    <w:p w14:paraId="067A226F">
      <w:pPr>
        <w:spacing w:line="360" w:lineRule="auto"/>
        <w:ind w:right="420"/>
        <w:contextualSpacing/>
        <w:jc w:val="left"/>
        <w:rPr>
          <w:rFonts w:ascii="宋体" w:hAnsi="宋体"/>
          <w:b/>
          <w:color w:val="auto"/>
          <w:sz w:val="32"/>
          <w:szCs w:val="32"/>
        </w:rPr>
      </w:pPr>
      <w:r>
        <w:rPr>
          <w:rFonts w:hint="eastAsia" w:ascii="方正小标宋简体" w:hAnsi="方正小标宋简体" w:eastAsia="方正小标宋简体" w:cs="方正小标宋简体"/>
          <w:color w:val="auto"/>
          <w:sz w:val="32"/>
          <w:szCs w:val="32"/>
        </w:rPr>
        <w:br w:type="page"/>
      </w:r>
      <w:r>
        <w:rPr>
          <w:rFonts w:hint="eastAsia" w:ascii="宋体" w:hAnsi="宋体"/>
          <w:b/>
          <w:bCs/>
          <w:color w:val="auto"/>
          <w:sz w:val="32"/>
          <w:szCs w:val="32"/>
        </w:rPr>
        <w:t>二、</w:t>
      </w:r>
      <w:r>
        <w:rPr>
          <w:rFonts w:hint="eastAsia" w:ascii="宋体" w:hAnsi="宋体"/>
          <w:b/>
          <w:color w:val="auto"/>
          <w:sz w:val="32"/>
          <w:szCs w:val="32"/>
        </w:rPr>
        <w:t xml:space="preserve">报价商务技术文件格式 </w:t>
      </w:r>
    </w:p>
    <w:p w14:paraId="5BB116D0">
      <w:pPr>
        <w:snapToGrid w:val="0"/>
        <w:spacing w:before="120" w:beforeLines="50" w:after="50" w:line="360" w:lineRule="auto"/>
        <w:jc w:val="left"/>
        <w:rPr>
          <w:rFonts w:ascii="宋体" w:hAnsi="宋体"/>
          <w:b/>
          <w:color w:val="auto"/>
          <w:sz w:val="32"/>
          <w:szCs w:val="32"/>
        </w:rPr>
      </w:pPr>
      <w:r>
        <w:rPr>
          <w:rFonts w:hint="eastAsia" w:ascii="宋体" w:hAnsi="宋体"/>
          <w:b/>
          <w:color w:val="auto"/>
          <w:sz w:val="32"/>
          <w:szCs w:val="32"/>
        </w:rPr>
        <w:t>1.报价商务技术文件封面格式</w:t>
      </w:r>
    </w:p>
    <w:p w14:paraId="56C7ED78">
      <w:pPr>
        <w:snapToGrid w:val="0"/>
        <w:spacing w:before="120" w:beforeLines="50" w:after="50"/>
        <w:rPr>
          <w:rFonts w:ascii="宋体" w:hAnsi="宋体"/>
          <w:color w:val="auto"/>
          <w:sz w:val="24"/>
        </w:rPr>
      </w:pPr>
      <w:r>
        <w:rPr>
          <w:rFonts w:hint="eastAsia" w:ascii="宋体" w:hAnsi="宋体"/>
          <w:color w:val="auto"/>
          <w:sz w:val="24"/>
        </w:rPr>
        <w:t xml:space="preserve">                                                   </w:t>
      </w:r>
    </w:p>
    <w:p w14:paraId="0B36A037">
      <w:pPr>
        <w:snapToGrid w:val="0"/>
        <w:spacing w:before="120" w:beforeLines="50" w:after="50"/>
        <w:rPr>
          <w:rFonts w:ascii="宋体" w:hAnsi="宋体"/>
          <w:color w:val="auto"/>
          <w:sz w:val="24"/>
        </w:rPr>
      </w:pPr>
    </w:p>
    <w:p w14:paraId="69D82F61">
      <w:pPr>
        <w:snapToGrid w:val="0"/>
        <w:spacing w:before="120" w:beforeLines="50" w:after="50"/>
        <w:rPr>
          <w:rFonts w:ascii="宋体" w:hAnsi="宋体"/>
          <w:color w:val="auto"/>
          <w:sz w:val="24"/>
          <w:szCs w:val="20"/>
        </w:rPr>
      </w:pPr>
    </w:p>
    <w:p w14:paraId="629A027D">
      <w:pPr>
        <w:snapToGrid w:val="0"/>
        <w:spacing w:before="120" w:beforeLines="50" w:after="50"/>
        <w:jc w:val="center"/>
        <w:rPr>
          <w:rFonts w:ascii="方正小标宋简体" w:hAnsi="方正小标宋简体" w:eastAsia="方正小标宋简体" w:cs="方正小标宋简体"/>
          <w:bCs/>
          <w:color w:val="auto"/>
          <w:sz w:val="84"/>
          <w:szCs w:val="84"/>
        </w:rPr>
      </w:pPr>
      <w:r>
        <w:rPr>
          <w:rFonts w:hint="eastAsia" w:ascii="方正小标宋简体" w:hAnsi="方正小标宋简体" w:eastAsia="方正小标宋简体" w:cs="方正小标宋简体"/>
          <w:bCs/>
          <w:color w:val="auto"/>
          <w:sz w:val="84"/>
          <w:szCs w:val="84"/>
        </w:rPr>
        <w:t>响  应  文  件</w:t>
      </w:r>
    </w:p>
    <w:p w14:paraId="39529D5F">
      <w:pPr>
        <w:snapToGrid w:val="0"/>
        <w:spacing w:before="120" w:beforeLines="50" w:after="50"/>
        <w:rPr>
          <w:rFonts w:ascii="宋体" w:hAnsi="宋体"/>
          <w:color w:val="auto"/>
          <w:sz w:val="24"/>
          <w:szCs w:val="20"/>
        </w:rPr>
      </w:pPr>
    </w:p>
    <w:p w14:paraId="7728C2D0">
      <w:pPr>
        <w:snapToGrid w:val="0"/>
        <w:spacing w:before="120" w:beforeLines="50" w:after="50"/>
        <w:jc w:val="center"/>
        <w:rPr>
          <w:rFonts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报  价  商  务  技  术  文  件</w:t>
      </w:r>
    </w:p>
    <w:p w14:paraId="65F953D5">
      <w:pPr>
        <w:snapToGrid w:val="0"/>
        <w:spacing w:before="120" w:beforeLines="50" w:after="50"/>
        <w:rPr>
          <w:rFonts w:ascii="宋体" w:hAnsi="宋体"/>
          <w:bCs/>
          <w:color w:val="auto"/>
          <w:sz w:val="24"/>
          <w:szCs w:val="20"/>
        </w:rPr>
      </w:pPr>
    </w:p>
    <w:p w14:paraId="1A56C67F">
      <w:pPr>
        <w:snapToGrid w:val="0"/>
        <w:spacing w:before="120" w:beforeLines="50" w:after="50"/>
        <w:rPr>
          <w:rFonts w:ascii="宋体" w:hAnsi="宋体"/>
          <w:bCs/>
          <w:color w:val="auto"/>
          <w:sz w:val="24"/>
          <w:szCs w:val="20"/>
        </w:rPr>
      </w:pPr>
    </w:p>
    <w:p w14:paraId="384CC087">
      <w:pPr>
        <w:snapToGrid w:val="0"/>
        <w:spacing w:before="120" w:beforeLines="50" w:after="50"/>
        <w:rPr>
          <w:rFonts w:ascii="宋体" w:hAnsi="宋体"/>
          <w:bCs/>
          <w:color w:val="auto"/>
          <w:sz w:val="24"/>
          <w:szCs w:val="20"/>
        </w:rPr>
      </w:pPr>
    </w:p>
    <w:p w14:paraId="2705EEE9">
      <w:pPr>
        <w:snapToGrid w:val="0"/>
        <w:spacing w:before="120" w:beforeLines="50" w:after="50"/>
        <w:rPr>
          <w:rFonts w:ascii="宋体" w:hAnsi="宋体"/>
          <w:bCs/>
          <w:color w:val="auto"/>
          <w:sz w:val="24"/>
          <w:szCs w:val="20"/>
        </w:rPr>
      </w:pPr>
    </w:p>
    <w:p w14:paraId="449DBA60">
      <w:pPr>
        <w:snapToGrid w:val="0"/>
        <w:spacing w:before="120" w:beforeLines="50" w:after="50"/>
        <w:rPr>
          <w:rFonts w:ascii="宋体" w:hAnsi="宋体"/>
          <w:bCs/>
          <w:color w:val="auto"/>
          <w:sz w:val="24"/>
          <w:szCs w:val="20"/>
        </w:rPr>
      </w:pPr>
    </w:p>
    <w:p w14:paraId="7C930486">
      <w:pPr>
        <w:snapToGrid w:val="0"/>
        <w:spacing w:before="120"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项目名称：</w:t>
      </w:r>
    </w:p>
    <w:p w14:paraId="1B492D55">
      <w:pPr>
        <w:snapToGrid w:val="0"/>
        <w:spacing w:before="120" w:beforeLines="50" w:after="50"/>
        <w:ind w:firstLine="720" w:firstLineChars="225"/>
        <w:rPr>
          <w:rFonts w:ascii="宋体" w:hAnsi="宋体" w:cs="仿宋_GB2312"/>
          <w:bCs/>
          <w:color w:val="auto"/>
          <w:sz w:val="32"/>
          <w:szCs w:val="32"/>
        </w:rPr>
      </w:pPr>
    </w:p>
    <w:p w14:paraId="35DFAAED">
      <w:pPr>
        <w:snapToGrid w:val="0"/>
        <w:spacing w:before="120" w:beforeLines="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项目编号：</w:t>
      </w:r>
    </w:p>
    <w:p w14:paraId="009CDF1A">
      <w:pPr>
        <w:snapToGrid w:val="0"/>
        <w:spacing w:before="120" w:beforeLines="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 xml:space="preserve"> </w:t>
      </w:r>
    </w:p>
    <w:p w14:paraId="11B11B31">
      <w:pPr>
        <w:snapToGrid w:val="0"/>
        <w:spacing w:before="120"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2D211193">
      <w:pPr>
        <w:snapToGrid w:val="0"/>
        <w:spacing w:before="120" w:beforeLines="50" w:after="50"/>
        <w:ind w:firstLine="720" w:firstLineChars="225"/>
        <w:rPr>
          <w:rFonts w:ascii="宋体" w:hAnsi="宋体" w:cs="仿宋_GB2312"/>
          <w:bCs/>
          <w:color w:val="auto"/>
          <w:sz w:val="32"/>
          <w:szCs w:val="32"/>
        </w:rPr>
      </w:pPr>
    </w:p>
    <w:p w14:paraId="3C4CFA74">
      <w:pPr>
        <w:pStyle w:val="6"/>
        <w:snapToGrid w:val="0"/>
        <w:spacing w:before="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供应商名称：</w:t>
      </w:r>
    </w:p>
    <w:p w14:paraId="03693263">
      <w:pPr>
        <w:pStyle w:val="6"/>
        <w:snapToGrid w:val="0"/>
        <w:spacing w:before="50" w:after="50"/>
        <w:ind w:firstLine="640" w:firstLineChars="200"/>
        <w:rPr>
          <w:rFonts w:ascii="宋体" w:hAnsi="宋体" w:cs="仿宋_GB2312"/>
          <w:bCs/>
          <w:color w:val="auto"/>
          <w:sz w:val="32"/>
          <w:szCs w:val="32"/>
        </w:rPr>
      </w:pPr>
    </w:p>
    <w:p w14:paraId="4879297B">
      <w:pPr>
        <w:pStyle w:val="6"/>
        <w:snapToGrid w:val="0"/>
        <w:spacing w:before="50" w:after="50"/>
        <w:ind w:firstLine="0"/>
        <w:rPr>
          <w:rFonts w:ascii="宋体" w:hAnsi="宋体" w:cs="仿宋_GB2312"/>
          <w:bCs/>
          <w:color w:val="auto"/>
          <w:sz w:val="32"/>
          <w:szCs w:val="32"/>
        </w:rPr>
      </w:pPr>
    </w:p>
    <w:p w14:paraId="4B8EDE96">
      <w:pPr>
        <w:pStyle w:val="6"/>
        <w:snapToGrid w:val="0"/>
        <w:spacing w:before="50" w:after="50"/>
        <w:ind w:firstLine="1280" w:firstLineChars="400"/>
        <w:rPr>
          <w:rFonts w:ascii="宋体" w:hAnsi="宋体" w:cs="仿宋_GB2312"/>
          <w:bCs/>
          <w:color w:val="auto"/>
          <w:sz w:val="32"/>
          <w:szCs w:val="32"/>
        </w:rPr>
      </w:pPr>
    </w:p>
    <w:p w14:paraId="027EE930">
      <w:pPr>
        <w:snapToGrid w:val="0"/>
        <w:spacing w:before="120" w:beforeLines="50" w:after="50"/>
        <w:jc w:val="center"/>
        <w:rPr>
          <w:rFonts w:ascii="宋体" w:hAnsi="宋体" w:cs="仿宋_GB2312"/>
          <w:color w:val="auto"/>
          <w:sz w:val="32"/>
          <w:szCs w:val="32"/>
        </w:rPr>
      </w:pPr>
      <w:r>
        <w:rPr>
          <w:rFonts w:hint="eastAsia" w:ascii="宋体" w:hAnsi="宋体" w:cs="仿宋_GB2312"/>
          <w:color w:val="auto"/>
          <w:sz w:val="32"/>
          <w:szCs w:val="32"/>
        </w:rPr>
        <w:t>年    月    日</w:t>
      </w:r>
    </w:p>
    <w:p w14:paraId="14D2F3EE">
      <w:pPr>
        <w:snapToGrid w:val="0"/>
        <w:spacing w:before="120" w:beforeLines="50" w:after="50" w:line="360" w:lineRule="auto"/>
        <w:ind w:left="142"/>
        <w:jc w:val="left"/>
        <w:rPr>
          <w:rFonts w:ascii="宋体" w:hAnsi="宋体"/>
          <w:b/>
          <w:bCs/>
          <w:color w:val="auto"/>
          <w:sz w:val="24"/>
        </w:rPr>
      </w:pPr>
      <w:r>
        <w:rPr>
          <w:rFonts w:ascii="宋体" w:hAnsi="宋体"/>
          <w:color w:val="auto"/>
          <w:sz w:val="24"/>
        </w:rPr>
        <w:br w:type="page"/>
      </w:r>
      <w:r>
        <w:rPr>
          <w:rFonts w:hint="eastAsia" w:ascii="宋体" w:hAnsi="宋体"/>
          <w:b/>
          <w:bCs/>
          <w:color w:val="auto"/>
          <w:sz w:val="32"/>
          <w:szCs w:val="32"/>
        </w:rPr>
        <w:t>2.报价商务技术文件目录</w:t>
      </w:r>
    </w:p>
    <w:p w14:paraId="1D0E5A6C">
      <w:pPr>
        <w:snapToGrid w:val="0"/>
        <w:spacing w:before="120" w:beforeLines="50" w:after="50" w:line="360" w:lineRule="auto"/>
        <w:ind w:firstLine="640" w:firstLineChars="200"/>
        <w:rPr>
          <w:rFonts w:ascii="宋体" w:hAnsi="宋体"/>
          <w:color w:val="auto"/>
          <w:sz w:val="32"/>
          <w:szCs w:val="32"/>
        </w:rPr>
      </w:pPr>
      <w:r>
        <w:rPr>
          <w:rFonts w:hint="eastAsia" w:ascii="宋体" w:hAnsi="宋体"/>
          <w:color w:val="auto"/>
          <w:sz w:val="32"/>
          <w:szCs w:val="32"/>
        </w:rPr>
        <w:t>根据谈判文件规定及供应商提供的材料自行编写目录（部分格式后附）。</w:t>
      </w:r>
    </w:p>
    <w:p w14:paraId="57E56E44">
      <w:pPr>
        <w:spacing w:line="400" w:lineRule="exact"/>
        <w:rPr>
          <w:rFonts w:ascii="仿宋_GB2312" w:hAnsi="仿宋_GB2312" w:eastAsia="仿宋_GB2312" w:cs="仿宋_GB2312"/>
          <w:color w:val="auto"/>
          <w:sz w:val="32"/>
          <w:szCs w:val="32"/>
        </w:rPr>
      </w:pPr>
    </w:p>
    <w:p w14:paraId="45A9DF8F">
      <w:pPr>
        <w:tabs>
          <w:tab w:val="left" w:pos="3479"/>
        </w:tabs>
        <w:spacing w:line="520" w:lineRule="exact"/>
        <w:jc w:val="center"/>
        <w:rPr>
          <w:rFonts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color w:val="auto"/>
          <w:sz w:val="44"/>
          <w:szCs w:val="44"/>
        </w:rPr>
        <w:br w:type="page"/>
      </w:r>
      <w:r>
        <w:rPr>
          <w:rFonts w:hint="eastAsia" w:ascii="方正小标宋简体" w:hAnsi="方正小标宋简体" w:eastAsia="方正小标宋简体" w:cs="方正小标宋简体"/>
          <w:bCs/>
          <w:color w:val="auto"/>
          <w:sz w:val="44"/>
          <w:szCs w:val="44"/>
        </w:rPr>
        <w:t>竞标报价表</w:t>
      </w:r>
    </w:p>
    <w:p w14:paraId="1AE46760">
      <w:pPr>
        <w:spacing w:line="520" w:lineRule="exact"/>
        <w:jc w:val="center"/>
        <w:rPr>
          <w:rFonts w:ascii="方正小标宋简体" w:hAnsi="方正小标宋简体" w:eastAsia="方正小标宋简体" w:cs="方正小标宋简体"/>
          <w:bCs/>
          <w:color w:val="auto"/>
          <w:sz w:val="32"/>
          <w:szCs w:val="32"/>
        </w:rPr>
      </w:pPr>
    </w:p>
    <w:p w14:paraId="1665FD4C">
      <w:pPr>
        <w:snapToGrid w:val="0"/>
        <w:spacing w:before="50" w:after="50" w:line="360" w:lineRule="auto"/>
        <w:rPr>
          <w:rFonts w:ascii="宋体" w:hAnsi="宋体" w:cs="仿宋_GB2312"/>
          <w:color w:val="auto"/>
          <w:sz w:val="24"/>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分标（如有）：</w:t>
      </w:r>
      <w:r>
        <w:rPr>
          <w:rFonts w:hint="eastAsia" w:ascii="宋体" w:hAnsi="宋体" w:cs="仿宋_GB2312"/>
          <w:color w:val="auto"/>
          <w:sz w:val="24"/>
          <w:u w:val="single"/>
        </w:rPr>
        <w:t xml:space="preserve">            </w:t>
      </w:r>
    </w:p>
    <w:p w14:paraId="09708C1A">
      <w:pPr>
        <w:snapToGrid w:val="0"/>
        <w:spacing w:before="50" w:after="50" w:line="360" w:lineRule="auto"/>
        <w:rPr>
          <w:rFonts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14:paraId="3A245160">
      <w:pPr>
        <w:snapToGrid w:val="0"/>
        <w:spacing w:before="50" w:after="50" w:line="360" w:lineRule="auto"/>
        <w:ind w:firstLine="5520" w:firstLineChars="2300"/>
        <w:rPr>
          <w:rFonts w:ascii="宋体" w:hAnsi="宋体" w:cs="仿宋_GB2312"/>
          <w:color w:val="auto"/>
          <w:sz w:val="24"/>
        </w:rPr>
      </w:pPr>
      <w:r>
        <w:rPr>
          <w:rFonts w:hint="eastAsia" w:ascii="宋体" w:hAnsi="宋体" w:cs="仿宋_GB2312"/>
          <w:color w:val="auto"/>
          <w:sz w:val="24"/>
        </w:rPr>
        <w:t>单位：元</w:t>
      </w:r>
    </w:p>
    <w:tbl>
      <w:tblPr>
        <w:tblStyle w:val="27"/>
        <w:tblW w:w="498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8"/>
        <w:gridCol w:w="2355"/>
        <w:gridCol w:w="821"/>
        <w:gridCol w:w="960"/>
        <w:gridCol w:w="1033"/>
        <w:gridCol w:w="920"/>
        <w:gridCol w:w="3047"/>
      </w:tblGrid>
      <w:tr w14:paraId="4795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14:paraId="4E2CF7A0">
            <w:pPr>
              <w:snapToGrid w:val="0"/>
              <w:spacing w:before="50" w:after="50" w:line="360" w:lineRule="auto"/>
              <w:jc w:val="center"/>
              <w:rPr>
                <w:rFonts w:ascii="宋体" w:hAnsi="宋体"/>
                <w:b/>
                <w:color w:val="auto"/>
                <w:sz w:val="24"/>
              </w:rPr>
            </w:pPr>
            <w:r>
              <w:rPr>
                <w:rFonts w:hint="eastAsia" w:ascii="宋体" w:hAnsi="宋体"/>
                <w:b/>
                <w:color w:val="auto"/>
                <w:sz w:val="24"/>
              </w:rPr>
              <w:t>序号</w:t>
            </w:r>
          </w:p>
        </w:tc>
        <w:tc>
          <w:tcPr>
            <w:tcW w:w="1198" w:type="pct"/>
            <w:tcBorders>
              <w:top w:val="single" w:color="auto" w:sz="4" w:space="0"/>
              <w:left w:val="single" w:color="auto" w:sz="4" w:space="0"/>
              <w:bottom w:val="single" w:color="auto" w:sz="4" w:space="0"/>
              <w:right w:val="single" w:color="auto" w:sz="4" w:space="0"/>
            </w:tcBorders>
            <w:vAlign w:val="center"/>
          </w:tcPr>
          <w:p w14:paraId="27B16E37">
            <w:pPr>
              <w:snapToGrid w:val="0"/>
              <w:spacing w:before="50" w:after="50" w:line="360" w:lineRule="auto"/>
              <w:jc w:val="center"/>
              <w:rPr>
                <w:rFonts w:ascii="宋体" w:hAnsi="宋体"/>
                <w:b/>
                <w:color w:val="auto"/>
                <w:sz w:val="24"/>
              </w:rPr>
            </w:pPr>
            <w:r>
              <w:rPr>
                <w:rFonts w:hint="eastAsia" w:ascii="宋体" w:hAnsi="宋体"/>
                <w:b/>
                <w:color w:val="auto"/>
                <w:sz w:val="24"/>
                <w:lang w:eastAsia="zh-CN"/>
              </w:rPr>
              <w:t>标的的</w:t>
            </w:r>
            <w:r>
              <w:rPr>
                <w:rFonts w:hint="eastAsia" w:ascii="宋体" w:hAnsi="宋体"/>
                <w:b/>
                <w:color w:val="auto"/>
                <w:sz w:val="24"/>
              </w:rPr>
              <w:t>名称</w:t>
            </w:r>
          </w:p>
        </w:tc>
        <w:tc>
          <w:tcPr>
            <w:tcW w:w="418" w:type="pct"/>
            <w:tcBorders>
              <w:top w:val="single" w:color="auto" w:sz="4" w:space="0"/>
              <w:left w:val="single" w:color="auto" w:sz="4" w:space="0"/>
              <w:bottom w:val="single" w:color="auto" w:sz="4" w:space="0"/>
              <w:right w:val="single" w:color="auto" w:sz="4" w:space="0"/>
            </w:tcBorders>
            <w:vAlign w:val="center"/>
          </w:tcPr>
          <w:p w14:paraId="22B1586C">
            <w:pPr>
              <w:snapToGrid w:val="0"/>
              <w:spacing w:before="50" w:after="50" w:line="360" w:lineRule="auto"/>
              <w:jc w:val="center"/>
              <w:rPr>
                <w:rFonts w:ascii="宋体" w:hAnsi="宋体"/>
                <w:b/>
                <w:color w:val="auto"/>
                <w:sz w:val="24"/>
              </w:rPr>
            </w:pPr>
            <w:r>
              <w:rPr>
                <w:rFonts w:hint="eastAsia" w:ascii="宋体" w:hAnsi="宋体"/>
                <w:b/>
                <w:color w:val="auto"/>
                <w:sz w:val="24"/>
              </w:rPr>
              <w:t>产地</w:t>
            </w:r>
          </w:p>
        </w:tc>
        <w:tc>
          <w:tcPr>
            <w:tcW w:w="488" w:type="pct"/>
            <w:tcBorders>
              <w:top w:val="single" w:color="auto" w:sz="4" w:space="0"/>
              <w:left w:val="single" w:color="auto" w:sz="4" w:space="0"/>
              <w:bottom w:val="single" w:color="auto" w:sz="4" w:space="0"/>
              <w:right w:val="single" w:color="auto" w:sz="4" w:space="0"/>
            </w:tcBorders>
            <w:vAlign w:val="center"/>
          </w:tcPr>
          <w:p w14:paraId="54CD9D66">
            <w:pPr>
              <w:snapToGrid w:val="0"/>
              <w:spacing w:before="50" w:after="50" w:line="360" w:lineRule="auto"/>
              <w:jc w:val="center"/>
              <w:rPr>
                <w:rFonts w:ascii="宋体" w:hAnsi="宋体"/>
                <w:b/>
                <w:color w:val="auto"/>
                <w:sz w:val="24"/>
              </w:rPr>
            </w:pPr>
            <w:r>
              <w:rPr>
                <w:rFonts w:hint="eastAsia" w:ascii="宋体" w:hAnsi="宋体"/>
                <w:b/>
                <w:color w:val="auto"/>
                <w:sz w:val="24"/>
              </w:rPr>
              <w:t>品牌及型号</w:t>
            </w:r>
          </w:p>
        </w:tc>
        <w:tc>
          <w:tcPr>
            <w:tcW w:w="525" w:type="pct"/>
            <w:tcBorders>
              <w:top w:val="single" w:color="auto" w:sz="4" w:space="0"/>
              <w:left w:val="single" w:color="auto" w:sz="4" w:space="0"/>
              <w:bottom w:val="single" w:color="auto" w:sz="4" w:space="0"/>
              <w:right w:val="single" w:color="auto" w:sz="4" w:space="0"/>
            </w:tcBorders>
            <w:vAlign w:val="center"/>
          </w:tcPr>
          <w:p w14:paraId="2C86F9A6">
            <w:pPr>
              <w:snapToGrid w:val="0"/>
              <w:spacing w:before="50" w:after="50" w:line="360" w:lineRule="auto"/>
              <w:jc w:val="center"/>
              <w:rPr>
                <w:rFonts w:ascii="宋体" w:hAnsi="宋体"/>
                <w:b/>
                <w:color w:val="auto"/>
                <w:sz w:val="24"/>
              </w:rPr>
            </w:pPr>
            <w:r>
              <w:rPr>
                <w:rFonts w:hint="eastAsia" w:ascii="宋体" w:hAnsi="宋体"/>
                <w:b/>
                <w:color w:val="auto"/>
                <w:sz w:val="24"/>
              </w:rPr>
              <w:t>数量及单位①</w:t>
            </w:r>
          </w:p>
        </w:tc>
        <w:tc>
          <w:tcPr>
            <w:tcW w:w="468" w:type="pct"/>
            <w:tcBorders>
              <w:top w:val="single" w:color="auto" w:sz="4" w:space="0"/>
              <w:left w:val="single" w:color="auto" w:sz="4" w:space="0"/>
              <w:bottom w:val="single" w:color="auto" w:sz="4" w:space="0"/>
              <w:right w:val="single" w:color="auto" w:sz="4" w:space="0"/>
            </w:tcBorders>
            <w:vAlign w:val="center"/>
          </w:tcPr>
          <w:p w14:paraId="3346139A">
            <w:pPr>
              <w:snapToGrid w:val="0"/>
              <w:spacing w:before="50" w:after="50" w:line="360" w:lineRule="auto"/>
              <w:jc w:val="center"/>
              <w:rPr>
                <w:rFonts w:ascii="宋体" w:hAnsi="宋体"/>
                <w:b/>
                <w:color w:val="auto"/>
                <w:sz w:val="24"/>
              </w:rPr>
            </w:pPr>
            <w:r>
              <w:rPr>
                <w:rFonts w:hint="eastAsia" w:ascii="宋体" w:hAnsi="宋体"/>
                <w:b/>
                <w:color w:val="auto"/>
                <w:sz w:val="24"/>
              </w:rPr>
              <w:t>单价</w:t>
            </w:r>
          </w:p>
          <w:p w14:paraId="4ADEE426">
            <w:pPr>
              <w:snapToGrid w:val="0"/>
              <w:spacing w:before="50" w:after="50" w:line="360" w:lineRule="auto"/>
              <w:jc w:val="center"/>
              <w:rPr>
                <w:rFonts w:ascii="宋体" w:hAnsi="宋体"/>
                <w:b/>
                <w:color w:val="auto"/>
                <w:sz w:val="24"/>
              </w:rPr>
            </w:pPr>
            <w:r>
              <w:rPr>
                <w:rFonts w:hint="eastAsia" w:ascii="宋体" w:hAnsi="宋体"/>
                <w:b/>
                <w:color w:val="auto"/>
                <w:sz w:val="24"/>
              </w:rPr>
              <w:t>②</w:t>
            </w:r>
          </w:p>
        </w:tc>
        <w:tc>
          <w:tcPr>
            <w:tcW w:w="1547" w:type="pct"/>
            <w:tcBorders>
              <w:top w:val="single" w:color="auto" w:sz="4" w:space="0"/>
              <w:left w:val="single" w:color="auto" w:sz="4" w:space="0"/>
              <w:bottom w:val="single" w:color="auto" w:sz="4" w:space="0"/>
              <w:right w:val="single" w:color="auto" w:sz="4" w:space="0"/>
            </w:tcBorders>
            <w:vAlign w:val="center"/>
          </w:tcPr>
          <w:p w14:paraId="189EEB2E">
            <w:pPr>
              <w:snapToGrid w:val="0"/>
              <w:spacing w:before="50" w:after="50" w:line="360" w:lineRule="auto"/>
              <w:jc w:val="center"/>
              <w:rPr>
                <w:rFonts w:ascii="宋体" w:hAnsi="宋体"/>
                <w:b/>
                <w:color w:val="auto"/>
                <w:sz w:val="24"/>
              </w:rPr>
            </w:pPr>
            <w:r>
              <w:rPr>
                <w:rFonts w:hint="eastAsia" w:ascii="宋体" w:hAnsi="宋体"/>
                <w:b/>
                <w:color w:val="auto"/>
                <w:sz w:val="24"/>
                <w:lang w:eastAsia="zh-CN"/>
              </w:rPr>
              <w:t>竞标</w:t>
            </w:r>
            <w:r>
              <w:rPr>
                <w:rFonts w:hint="eastAsia" w:ascii="宋体" w:hAnsi="宋体"/>
                <w:b/>
                <w:color w:val="auto"/>
                <w:sz w:val="24"/>
              </w:rPr>
              <w:t>报价</w:t>
            </w:r>
          </w:p>
          <w:p w14:paraId="232DAD8C">
            <w:pPr>
              <w:snapToGrid w:val="0"/>
              <w:spacing w:before="50" w:after="50" w:line="360" w:lineRule="auto"/>
              <w:jc w:val="center"/>
              <w:rPr>
                <w:rFonts w:ascii="宋体" w:hAnsi="宋体"/>
                <w:b/>
                <w:color w:val="auto"/>
                <w:sz w:val="24"/>
              </w:rPr>
            </w:pPr>
            <w:r>
              <w:rPr>
                <w:rFonts w:ascii="宋体" w:hAnsi="宋体"/>
                <w:b/>
                <w:color w:val="auto"/>
                <w:sz w:val="24"/>
              </w:rPr>
              <w:t>③</w:t>
            </w:r>
            <w:r>
              <w:rPr>
                <w:rFonts w:hint="eastAsia" w:ascii="宋体" w:hAnsi="宋体"/>
                <w:b/>
                <w:color w:val="auto"/>
                <w:sz w:val="24"/>
              </w:rPr>
              <w:t>=①×②</w:t>
            </w:r>
          </w:p>
        </w:tc>
      </w:tr>
      <w:tr w14:paraId="5491C7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9"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14:paraId="3A0C4C07">
            <w:pPr>
              <w:snapToGrid w:val="0"/>
              <w:spacing w:before="50" w:after="50" w:line="360" w:lineRule="auto"/>
              <w:jc w:val="center"/>
              <w:rPr>
                <w:rFonts w:ascii="宋体" w:hAnsi="宋体"/>
                <w:b/>
                <w:color w:val="auto"/>
                <w:sz w:val="24"/>
              </w:rPr>
            </w:pPr>
            <w:r>
              <w:rPr>
                <w:rFonts w:hint="eastAsia" w:ascii="宋体" w:hAnsi="宋体"/>
                <w:b/>
                <w:color w:val="auto"/>
                <w:sz w:val="24"/>
              </w:rPr>
              <w:t>1</w:t>
            </w:r>
          </w:p>
        </w:tc>
        <w:tc>
          <w:tcPr>
            <w:tcW w:w="1198" w:type="pct"/>
            <w:tcBorders>
              <w:top w:val="single" w:color="auto" w:sz="4" w:space="0"/>
              <w:left w:val="single" w:color="auto" w:sz="4" w:space="0"/>
              <w:bottom w:val="single" w:color="auto" w:sz="4" w:space="0"/>
              <w:right w:val="single" w:color="auto" w:sz="4" w:space="0"/>
            </w:tcBorders>
            <w:vAlign w:val="center"/>
          </w:tcPr>
          <w:p w14:paraId="306BD5CD">
            <w:pPr>
              <w:snapToGrid w:val="0"/>
              <w:spacing w:before="50" w:after="50" w:line="360" w:lineRule="auto"/>
              <w:jc w:val="center"/>
              <w:rPr>
                <w:rFonts w:ascii="宋体" w:hAnsi="宋体"/>
                <w:b/>
                <w:color w:val="auto"/>
                <w:sz w:val="24"/>
              </w:rPr>
            </w:pPr>
          </w:p>
        </w:tc>
        <w:tc>
          <w:tcPr>
            <w:tcW w:w="418" w:type="pct"/>
            <w:tcBorders>
              <w:top w:val="single" w:color="auto" w:sz="4" w:space="0"/>
              <w:left w:val="single" w:color="auto" w:sz="4" w:space="0"/>
              <w:bottom w:val="single" w:color="auto" w:sz="4" w:space="0"/>
              <w:right w:val="single" w:color="auto" w:sz="4" w:space="0"/>
            </w:tcBorders>
            <w:vAlign w:val="center"/>
          </w:tcPr>
          <w:p w14:paraId="56E7AB6A">
            <w:pPr>
              <w:snapToGrid w:val="0"/>
              <w:spacing w:before="50" w:after="50" w:line="360" w:lineRule="auto"/>
              <w:rPr>
                <w:rFonts w:ascii="宋体" w:hAnsi="宋体"/>
                <w:color w:val="auto"/>
                <w:sz w:val="24"/>
              </w:rPr>
            </w:pPr>
          </w:p>
        </w:tc>
        <w:tc>
          <w:tcPr>
            <w:tcW w:w="488" w:type="pct"/>
            <w:tcBorders>
              <w:top w:val="single" w:color="auto" w:sz="4" w:space="0"/>
              <w:left w:val="single" w:color="auto" w:sz="4" w:space="0"/>
              <w:bottom w:val="single" w:color="auto" w:sz="4" w:space="0"/>
              <w:right w:val="single" w:color="auto" w:sz="4" w:space="0"/>
            </w:tcBorders>
            <w:vAlign w:val="center"/>
          </w:tcPr>
          <w:p w14:paraId="1AEA5145">
            <w:pPr>
              <w:snapToGrid w:val="0"/>
              <w:spacing w:before="50" w:after="50" w:line="360" w:lineRule="auto"/>
              <w:rPr>
                <w:rFonts w:ascii="宋体" w:hAnsi="宋体"/>
                <w:color w:val="auto"/>
                <w:sz w:val="24"/>
              </w:rPr>
            </w:pPr>
          </w:p>
        </w:tc>
        <w:tc>
          <w:tcPr>
            <w:tcW w:w="525" w:type="pct"/>
            <w:tcBorders>
              <w:top w:val="single" w:color="auto" w:sz="4" w:space="0"/>
              <w:left w:val="single" w:color="auto" w:sz="4" w:space="0"/>
              <w:bottom w:val="single" w:color="auto" w:sz="4" w:space="0"/>
              <w:right w:val="single" w:color="auto" w:sz="4" w:space="0"/>
            </w:tcBorders>
            <w:vAlign w:val="center"/>
          </w:tcPr>
          <w:p w14:paraId="357EECA9">
            <w:pPr>
              <w:snapToGrid w:val="0"/>
              <w:spacing w:before="50" w:after="50" w:line="360" w:lineRule="auto"/>
              <w:rPr>
                <w:rFonts w:ascii="宋体" w:hAnsi="宋体"/>
                <w:color w:val="auto"/>
                <w:sz w:val="24"/>
              </w:rPr>
            </w:pPr>
          </w:p>
        </w:tc>
        <w:tc>
          <w:tcPr>
            <w:tcW w:w="468" w:type="pct"/>
            <w:tcBorders>
              <w:top w:val="single" w:color="auto" w:sz="4" w:space="0"/>
              <w:left w:val="single" w:color="auto" w:sz="4" w:space="0"/>
              <w:bottom w:val="single" w:color="auto" w:sz="4" w:space="0"/>
              <w:right w:val="single" w:color="auto" w:sz="4" w:space="0"/>
            </w:tcBorders>
            <w:vAlign w:val="center"/>
          </w:tcPr>
          <w:p w14:paraId="6A93E648">
            <w:pPr>
              <w:snapToGrid w:val="0"/>
              <w:spacing w:before="50" w:after="50" w:line="360" w:lineRule="auto"/>
              <w:rPr>
                <w:rFonts w:ascii="宋体" w:hAnsi="宋体"/>
                <w:color w:val="auto"/>
                <w:sz w:val="24"/>
              </w:rPr>
            </w:pPr>
          </w:p>
        </w:tc>
        <w:tc>
          <w:tcPr>
            <w:tcW w:w="1547" w:type="pct"/>
            <w:tcBorders>
              <w:top w:val="single" w:color="auto" w:sz="4" w:space="0"/>
              <w:left w:val="single" w:color="auto" w:sz="4" w:space="0"/>
              <w:bottom w:val="single" w:color="auto" w:sz="4" w:space="0"/>
              <w:right w:val="single" w:color="auto" w:sz="4" w:space="0"/>
            </w:tcBorders>
            <w:vAlign w:val="center"/>
          </w:tcPr>
          <w:p w14:paraId="47EEA1C3">
            <w:pPr>
              <w:snapToGrid w:val="0"/>
              <w:spacing w:before="50" w:after="50" w:line="360" w:lineRule="auto"/>
              <w:rPr>
                <w:rFonts w:ascii="宋体" w:hAnsi="宋体"/>
                <w:color w:val="auto"/>
                <w:sz w:val="24"/>
              </w:rPr>
            </w:pPr>
          </w:p>
        </w:tc>
      </w:tr>
      <w:tr w14:paraId="6E9E01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9"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14:paraId="353EE461">
            <w:pPr>
              <w:snapToGrid w:val="0"/>
              <w:spacing w:before="50" w:after="50" w:line="360" w:lineRule="auto"/>
              <w:jc w:val="center"/>
              <w:rPr>
                <w:rFonts w:ascii="宋体" w:hAnsi="宋体"/>
                <w:b/>
                <w:color w:val="auto"/>
                <w:sz w:val="24"/>
              </w:rPr>
            </w:pPr>
            <w:r>
              <w:rPr>
                <w:rFonts w:hint="eastAsia" w:ascii="宋体" w:hAnsi="宋体"/>
                <w:b/>
                <w:color w:val="auto"/>
                <w:sz w:val="24"/>
              </w:rPr>
              <w:t>2</w:t>
            </w:r>
          </w:p>
        </w:tc>
        <w:tc>
          <w:tcPr>
            <w:tcW w:w="1198" w:type="pct"/>
            <w:tcBorders>
              <w:top w:val="single" w:color="auto" w:sz="4" w:space="0"/>
              <w:left w:val="single" w:color="auto" w:sz="4" w:space="0"/>
              <w:bottom w:val="single" w:color="auto" w:sz="4" w:space="0"/>
              <w:right w:val="single" w:color="auto" w:sz="4" w:space="0"/>
            </w:tcBorders>
            <w:vAlign w:val="center"/>
          </w:tcPr>
          <w:p w14:paraId="5879C88E">
            <w:pPr>
              <w:snapToGrid w:val="0"/>
              <w:spacing w:before="50" w:after="50" w:line="360" w:lineRule="auto"/>
              <w:jc w:val="center"/>
              <w:rPr>
                <w:rFonts w:ascii="宋体" w:hAnsi="宋体"/>
                <w:b/>
                <w:color w:val="auto"/>
                <w:sz w:val="24"/>
              </w:rPr>
            </w:pPr>
          </w:p>
        </w:tc>
        <w:tc>
          <w:tcPr>
            <w:tcW w:w="418" w:type="pct"/>
            <w:tcBorders>
              <w:top w:val="single" w:color="auto" w:sz="4" w:space="0"/>
              <w:left w:val="single" w:color="auto" w:sz="4" w:space="0"/>
              <w:bottom w:val="single" w:color="auto" w:sz="4" w:space="0"/>
              <w:right w:val="single" w:color="auto" w:sz="4" w:space="0"/>
            </w:tcBorders>
            <w:vAlign w:val="center"/>
          </w:tcPr>
          <w:p w14:paraId="0ED5BE9D">
            <w:pPr>
              <w:snapToGrid w:val="0"/>
              <w:spacing w:before="50" w:after="50" w:line="360" w:lineRule="auto"/>
              <w:rPr>
                <w:rFonts w:ascii="宋体" w:hAnsi="宋体"/>
                <w:color w:val="auto"/>
                <w:sz w:val="24"/>
              </w:rPr>
            </w:pPr>
          </w:p>
        </w:tc>
        <w:tc>
          <w:tcPr>
            <w:tcW w:w="488" w:type="pct"/>
            <w:tcBorders>
              <w:top w:val="single" w:color="auto" w:sz="4" w:space="0"/>
              <w:left w:val="single" w:color="auto" w:sz="4" w:space="0"/>
              <w:bottom w:val="single" w:color="auto" w:sz="4" w:space="0"/>
              <w:right w:val="single" w:color="auto" w:sz="4" w:space="0"/>
            </w:tcBorders>
            <w:vAlign w:val="center"/>
          </w:tcPr>
          <w:p w14:paraId="1E4520D1">
            <w:pPr>
              <w:snapToGrid w:val="0"/>
              <w:spacing w:before="50" w:after="50" w:line="360" w:lineRule="auto"/>
              <w:rPr>
                <w:rFonts w:ascii="宋体" w:hAnsi="宋体"/>
                <w:color w:val="auto"/>
                <w:sz w:val="24"/>
              </w:rPr>
            </w:pPr>
          </w:p>
        </w:tc>
        <w:tc>
          <w:tcPr>
            <w:tcW w:w="525" w:type="pct"/>
            <w:tcBorders>
              <w:top w:val="single" w:color="auto" w:sz="4" w:space="0"/>
              <w:left w:val="single" w:color="auto" w:sz="4" w:space="0"/>
              <w:bottom w:val="single" w:color="auto" w:sz="4" w:space="0"/>
              <w:right w:val="single" w:color="auto" w:sz="4" w:space="0"/>
            </w:tcBorders>
            <w:vAlign w:val="center"/>
          </w:tcPr>
          <w:p w14:paraId="0C5E445D">
            <w:pPr>
              <w:snapToGrid w:val="0"/>
              <w:spacing w:before="50" w:after="50" w:line="360" w:lineRule="auto"/>
              <w:rPr>
                <w:rFonts w:ascii="宋体" w:hAnsi="宋体"/>
                <w:color w:val="auto"/>
                <w:sz w:val="24"/>
              </w:rPr>
            </w:pPr>
          </w:p>
        </w:tc>
        <w:tc>
          <w:tcPr>
            <w:tcW w:w="468" w:type="pct"/>
            <w:tcBorders>
              <w:top w:val="single" w:color="auto" w:sz="4" w:space="0"/>
              <w:left w:val="single" w:color="auto" w:sz="4" w:space="0"/>
              <w:bottom w:val="single" w:color="auto" w:sz="4" w:space="0"/>
              <w:right w:val="single" w:color="auto" w:sz="4" w:space="0"/>
            </w:tcBorders>
            <w:vAlign w:val="center"/>
          </w:tcPr>
          <w:p w14:paraId="2E50C936">
            <w:pPr>
              <w:snapToGrid w:val="0"/>
              <w:spacing w:before="50" w:after="50" w:line="360" w:lineRule="auto"/>
              <w:rPr>
                <w:rFonts w:ascii="宋体" w:hAnsi="宋体"/>
                <w:color w:val="auto"/>
                <w:sz w:val="24"/>
              </w:rPr>
            </w:pPr>
          </w:p>
        </w:tc>
        <w:tc>
          <w:tcPr>
            <w:tcW w:w="1547" w:type="pct"/>
            <w:tcBorders>
              <w:top w:val="single" w:color="auto" w:sz="4" w:space="0"/>
              <w:left w:val="single" w:color="auto" w:sz="4" w:space="0"/>
              <w:bottom w:val="single" w:color="auto" w:sz="4" w:space="0"/>
              <w:right w:val="single" w:color="auto" w:sz="4" w:space="0"/>
            </w:tcBorders>
            <w:vAlign w:val="center"/>
          </w:tcPr>
          <w:p w14:paraId="0B3893AC">
            <w:pPr>
              <w:snapToGrid w:val="0"/>
              <w:spacing w:before="50" w:after="50" w:line="360" w:lineRule="auto"/>
              <w:rPr>
                <w:rFonts w:ascii="宋体" w:hAnsi="宋体"/>
                <w:color w:val="auto"/>
                <w:sz w:val="24"/>
              </w:rPr>
            </w:pPr>
          </w:p>
        </w:tc>
      </w:tr>
      <w:tr w14:paraId="354DC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9"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14:paraId="08AAA31A">
            <w:pPr>
              <w:snapToGrid w:val="0"/>
              <w:spacing w:before="50" w:after="50" w:line="360" w:lineRule="auto"/>
              <w:jc w:val="center"/>
              <w:rPr>
                <w:rFonts w:ascii="宋体" w:hAnsi="宋体"/>
                <w:b/>
                <w:color w:val="auto"/>
                <w:sz w:val="24"/>
              </w:rPr>
            </w:pPr>
            <w:r>
              <w:rPr>
                <w:rFonts w:hint="eastAsia" w:ascii="宋体" w:hAnsi="宋体"/>
                <w:b/>
                <w:color w:val="auto"/>
                <w:sz w:val="24"/>
              </w:rPr>
              <w:t>……</w:t>
            </w:r>
          </w:p>
        </w:tc>
        <w:tc>
          <w:tcPr>
            <w:tcW w:w="1198" w:type="pct"/>
            <w:tcBorders>
              <w:top w:val="single" w:color="auto" w:sz="4" w:space="0"/>
              <w:left w:val="single" w:color="auto" w:sz="4" w:space="0"/>
              <w:bottom w:val="single" w:color="auto" w:sz="4" w:space="0"/>
              <w:right w:val="single" w:color="auto" w:sz="4" w:space="0"/>
            </w:tcBorders>
            <w:vAlign w:val="center"/>
          </w:tcPr>
          <w:p w14:paraId="4225C0DD">
            <w:pPr>
              <w:snapToGrid w:val="0"/>
              <w:spacing w:before="50" w:after="50" w:line="360" w:lineRule="auto"/>
              <w:jc w:val="center"/>
              <w:rPr>
                <w:rFonts w:ascii="宋体" w:hAnsi="宋体"/>
                <w:b/>
                <w:color w:val="auto"/>
                <w:sz w:val="24"/>
              </w:rPr>
            </w:pPr>
            <w:r>
              <w:rPr>
                <w:rFonts w:hint="eastAsia" w:ascii="宋体" w:hAnsi="宋体"/>
                <w:b/>
                <w:color w:val="auto"/>
                <w:sz w:val="24"/>
              </w:rPr>
              <w:t>……</w:t>
            </w:r>
          </w:p>
        </w:tc>
        <w:tc>
          <w:tcPr>
            <w:tcW w:w="418" w:type="pct"/>
            <w:tcBorders>
              <w:top w:val="single" w:color="auto" w:sz="4" w:space="0"/>
              <w:left w:val="single" w:color="auto" w:sz="4" w:space="0"/>
              <w:bottom w:val="single" w:color="auto" w:sz="4" w:space="0"/>
              <w:right w:val="single" w:color="auto" w:sz="4" w:space="0"/>
            </w:tcBorders>
            <w:vAlign w:val="center"/>
          </w:tcPr>
          <w:p w14:paraId="5C4DEF3F">
            <w:pPr>
              <w:snapToGrid w:val="0"/>
              <w:spacing w:before="50" w:after="50" w:line="360" w:lineRule="auto"/>
              <w:rPr>
                <w:rFonts w:ascii="宋体" w:hAnsi="宋体"/>
                <w:color w:val="auto"/>
                <w:sz w:val="24"/>
              </w:rPr>
            </w:pPr>
          </w:p>
        </w:tc>
        <w:tc>
          <w:tcPr>
            <w:tcW w:w="488" w:type="pct"/>
            <w:tcBorders>
              <w:top w:val="single" w:color="auto" w:sz="4" w:space="0"/>
              <w:left w:val="single" w:color="auto" w:sz="4" w:space="0"/>
              <w:bottom w:val="single" w:color="auto" w:sz="4" w:space="0"/>
              <w:right w:val="single" w:color="auto" w:sz="4" w:space="0"/>
            </w:tcBorders>
            <w:vAlign w:val="center"/>
          </w:tcPr>
          <w:p w14:paraId="09DD4F58">
            <w:pPr>
              <w:snapToGrid w:val="0"/>
              <w:spacing w:before="50" w:after="50" w:line="360" w:lineRule="auto"/>
              <w:rPr>
                <w:rFonts w:ascii="宋体" w:hAnsi="宋体"/>
                <w:color w:val="auto"/>
                <w:sz w:val="24"/>
              </w:rPr>
            </w:pPr>
          </w:p>
        </w:tc>
        <w:tc>
          <w:tcPr>
            <w:tcW w:w="525" w:type="pct"/>
            <w:tcBorders>
              <w:top w:val="single" w:color="auto" w:sz="4" w:space="0"/>
              <w:left w:val="single" w:color="auto" w:sz="4" w:space="0"/>
              <w:bottom w:val="single" w:color="auto" w:sz="4" w:space="0"/>
              <w:right w:val="single" w:color="auto" w:sz="4" w:space="0"/>
            </w:tcBorders>
            <w:vAlign w:val="center"/>
          </w:tcPr>
          <w:p w14:paraId="3C4E4F41">
            <w:pPr>
              <w:snapToGrid w:val="0"/>
              <w:spacing w:before="50" w:after="50" w:line="360" w:lineRule="auto"/>
              <w:rPr>
                <w:rFonts w:ascii="宋体" w:hAnsi="宋体"/>
                <w:color w:val="auto"/>
                <w:sz w:val="24"/>
              </w:rPr>
            </w:pPr>
          </w:p>
        </w:tc>
        <w:tc>
          <w:tcPr>
            <w:tcW w:w="468" w:type="pct"/>
            <w:tcBorders>
              <w:top w:val="single" w:color="auto" w:sz="4" w:space="0"/>
              <w:left w:val="single" w:color="auto" w:sz="4" w:space="0"/>
              <w:bottom w:val="single" w:color="auto" w:sz="4" w:space="0"/>
              <w:right w:val="single" w:color="auto" w:sz="4" w:space="0"/>
            </w:tcBorders>
            <w:vAlign w:val="center"/>
          </w:tcPr>
          <w:p w14:paraId="14C620E4">
            <w:pPr>
              <w:snapToGrid w:val="0"/>
              <w:spacing w:before="50" w:after="50" w:line="360" w:lineRule="auto"/>
              <w:rPr>
                <w:rFonts w:ascii="宋体" w:hAnsi="宋体"/>
                <w:color w:val="auto"/>
                <w:sz w:val="24"/>
              </w:rPr>
            </w:pPr>
          </w:p>
        </w:tc>
        <w:tc>
          <w:tcPr>
            <w:tcW w:w="1547" w:type="pct"/>
            <w:tcBorders>
              <w:top w:val="single" w:color="auto" w:sz="4" w:space="0"/>
              <w:left w:val="single" w:color="auto" w:sz="4" w:space="0"/>
              <w:bottom w:val="single" w:color="auto" w:sz="4" w:space="0"/>
              <w:right w:val="single" w:color="auto" w:sz="4" w:space="0"/>
            </w:tcBorders>
            <w:vAlign w:val="center"/>
          </w:tcPr>
          <w:p w14:paraId="5A0B95E4">
            <w:pPr>
              <w:snapToGrid w:val="0"/>
              <w:spacing w:before="50" w:after="50" w:line="360" w:lineRule="auto"/>
              <w:rPr>
                <w:rFonts w:ascii="宋体" w:hAnsi="宋体"/>
                <w:color w:val="auto"/>
                <w:sz w:val="24"/>
              </w:rPr>
            </w:pPr>
          </w:p>
        </w:tc>
      </w:tr>
      <w:tr w14:paraId="0BC7C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75"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5BE12008">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合计金额大写：人民币</w:t>
            </w:r>
            <w:r>
              <w:rPr>
                <w:rFonts w:hint="eastAsia" w:ascii="宋体" w:hAnsi="宋体" w:cs="仿宋_GB2312"/>
                <w:color w:val="auto"/>
                <w:sz w:val="24"/>
                <w:u w:val="single"/>
              </w:rPr>
              <w:t xml:space="preserve">           </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rPr>
              <w:t>）</w:t>
            </w:r>
          </w:p>
          <w:p w14:paraId="18277EE7">
            <w:pPr>
              <w:numPr>
                <w:ilvl w:val="0"/>
                <w:numId w:val="0"/>
              </w:numPr>
              <w:snapToGrid w:val="0"/>
              <w:spacing w:before="50" w:after="50" w:line="360" w:lineRule="auto"/>
              <w:ind w:leftChars="0"/>
              <w:rPr>
                <w:rFonts w:hint="eastAsia" w:ascii="宋体" w:hAnsi="宋体" w:cs="仿宋_GB2312"/>
                <w:color w:val="auto"/>
                <w:sz w:val="24"/>
              </w:rPr>
            </w:pPr>
            <w:r>
              <w:rPr>
                <w:rFonts w:hint="eastAsia" w:ascii="宋体" w:hAnsi="宋体" w:cs="仿宋_GB2312"/>
                <w:color w:val="auto"/>
                <w:sz w:val="24"/>
                <w:u w:val="none"/>
                <w:lang w:val="en-US" w:eastAsia="zh-CN"/>
              </w:rPr>
              <w:t>竞标</w:t>
            </w:r>
            <w:r>
              <w:rPr>
                <w:rFonts w:hint="eastAsia" w:ascii="宋体" w:hAnsi="宋体" w:cs="仿宋_GB2312"/>
                <w:color w:val="auto"/>
                <w:sz w:val="24"/>
                <w:u w:val="none"/>
              </w:rPr>
              <w:t>货物中，属于优先采购节能产品总值为</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none"/>
              </w:rPr>
              <w:t>（具体明细详见附表，附表格式自拟），占本</w:t>
            </w:r>
            <w:r>
              <w:rPr>
                <w:rFonts w:hint="eastAsia" w:ascii="宋体" w:hAnsi="宋体" w:cs="仿宋_GB2312"/>
                <w:color w:val="auto"/>
                <w:sz w:val="24"/>
                <w:u w:val="none"/>
                <w:lang w:eastAsia="zh-CN"/>
              </w:rPr>
              <w:t>竞标</w:t>
            </w:r>
            <w:r>
              <w:rPr>
                <w:rFonts w:hint="eastAsia" w:ascii="宋体" w:hAnsi="宋体" w:cs="仿宋_GB2312"/>
                <w:color w:val="auto"/>
                <w:sz w:val="24"/>
                <w:u w:val="none"/>
              </w:rPr>
              <w:t>报价的比例为</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u w:val="none"/>
              </w:rPr>
              <w:t>属于优先采购环境标志产品总值为</w:t>
            </w:r>
            <w:r>
              <w:rPr>
                <w:rFonts w:hint="eastAsia" w:ascii="宋体" w:hAnsi="宋体" w:cs="仿宋_GB2312"/>
                <w:color w:val="auto"/>
                <w:sz w:val="24"/>
                <w:u w:val="single"/>
              </w:rPr>
              <w:t xml:space="preserve">¥ </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w:t>
            </w:r>
            <w:r>
              <w:rPr>
                <w:rFonts w:hint="eastAsia" w:ascii="宋体" w:hAnsi="宋体" w:cs="仿宋_GB2312"/>
                <w:color w:val="auto"/>
                <w:sz w:val="24"/>
                <w:u w:val="none"/>
              </w:rPr>
              <w:t>具体明细详见附表，附表格式自拟），占本</w:t>
            </w:r>
            <w:r>
              <w:rPr>
                <w:rFonts w:hint="eastAsia" w:ascii="宋体" w:hAnsi="宋体" w:cs="仿宋_GB2312"/>
                <w:color w:val="auto"/>
                <w:sz w:val="24"/>
                <w:u w:val="none"/>
                <w:lang w:eastAsia="zh-CN"/>
              </w:rPr>
              <w:t>竞标</w:t>
            </w:r>
            <w:r>
              <w:rPr>
                <w:rFonts w:hint="eastAsia" w:ascii="宋体" w:hAnsi="宋体" w:cs="仿宋_GB2312"/>
                <w:color w:val="auto"/>
                <w:sz w:val="24"/>
                <w:u w:val="none"/>
              </w:rPr>
              <w:t>报价的比例为</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u w:val="single"/>
              </w:rPr>
              <w:t xml:space="preserve"> %</w:t>
            </w:r>
            <w:r>
              <w:rPr>
                <w:rFonts w:hint="eastAsia" w:ascii="宋体" w:hAnsi="宋体" w:cs="仿宋_GB2312"/>
                <w:color w:val="auto"/>
                <w:sz w:val="24"/>
                <w:u w:val="none"/>
              </w:rPr>
              <w:t>。</w:t>
            </w:r>
          </w:p>
        </w:tc>
      </w:tr>
    </w:tbl>
    <w:p w14:paraId="073D1915">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14:paraId="728FC44C">
      <w:pPr>
        <w:keepNext w:val="0"/>
        <w:keepLines w:val="0"/>
        <w:pageBreakBefore w:val="0"/>
        <w:widowControl w:val="0"/>
        <w:kinsoku/>
        <w:wordWrap/>
        <w:overflowPunct/>
        <w:topLinePunct w:val="0"/>
        <w:autoSpaceDE/>
        <w:autoSpaceDN/>
        <w:bidi w:val="0"/>
        <w:adjustRightInd/>
        <w:snapToGrid/>
        <w:spacing w:line="360" w:lineRule="exact"/>
        <w:ind w:firstLine="480" w:firstLineChars="200"/>
        <w:contextualSpacing/>
        <w:jc w:val="left"/>
        <w:textAlignment w:val="auto"/>
        <w:rPr>
          <w:rFonts w:ascii="宋体" w:hAnsi="宋体" w:cs="仿宋_GB2312"/>
          <w:color w:val="auto"/>
          <w:sz w:val="24"/>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以上竞标报价表中“货物名称、</w:t>
      </w:r>
      <w:r>
        <w:rPr>
          <w:rFonts w:hint="eastAsia" w:ascii="宋体" w:hAnsi="宋体"/>
          <w:color w:val="auto"/>
          <w:sz w:val="24"/>
          <w:lang w:eastAsia="zh-CN"/>
        </w:rPr>
        <w:t>产地、</w:t>
      </w:r>
      <w:r>
        <w:rPr>
          <w:rFonts w:hint="eastAsia" w:ascii="宋体" w:hAnsi="宋体"/>
          <w:color w:val="auto"/>
          <w:sz w:val="24"/>
        </w:rPr>
        <w:t>品牌</w:t>
      </w:r>
      <w:r>
        <w:rPr>
          <w:rFonts w:hint="eastAsia" w:ascii="宋体" w:hAnsi="宋体"/>
          <w:color w:val="auto"/>
          <w:sz w:val="24"/>
          <w:lang w:eastAsia="zh-CN"/>
        </w:rPr>
        <w:t>及</w:t>
      </w:r>
      <w:r>
        <w:rPr>
          <w:rFonts w:hint="eastAsia" w:ascii="宋体" w:hAnsi="宋体"/>
          <w:color w:val="auto"/>
          <w:sz w:val="24"/>
        </w:rPr>
        <w:t>型号、数量及单位、”必须如实填写完整，品牌、规格型号没有则填无，填写有缺漏</w:t>
      </w:r>
      <w:r>
        <w:rPr>
          <w:rFonts w:hint="eastAsia" w:ascii="宋体" w:hAnsi="宋体"/>
          <w:bCs/>
          <w:color w:val="auto"/>
          <w:sz w:val="24"/>
        </w:rPr>
        <w:t>的，</w:t>
      </w:r>
      <w:r>
        <w:rPr>
          <w:rFonts w:hint="eastAsia" w:ascii="宋体" w:hAnsi="宋体" w:cs="仿宋_GB2312"/>
          <w:b/>
          <w:color w:val="auto"/>
          <w:sz w:val="24"/>
        </w:rPr>
        <w:t>其响应文件按无效响应处理</w:t>
      </w:r>
      <w:r>
        <w:rPr>
          <w:rFonts w:hint="eastAsia" w:ascii="宋体" w:hAnsi="宋体"/>
          <w:b/>
          <w:color w:val="auto"/>
          <w:sz w:val="24"/>
        </w:rPr>
        <w:t>。</w:t>
      </w:r>
    </w:p>
    <w:p w14:paraId="45B353D5">
      <w:pPr>
        <w:keepNext w:val="0"/>
        <w:keepLines w:val="0"/>
        <w:pageBreakBefore w:val="0"/>
        <w:widowControl w:val="0"/>
        <w:kinsoku/>
        <w:wordWrap/>
        <w:overflowPunct/>
        <w:topLinePunct w:val="0"/>
        <w:autoSpaceDE/>
        <w:autoSpaceDN/>
        <w:bidi w:val="0"/>
        <w:adjustRightInd/>
        <w:snapToGrid/>
        <w:spacing w:line="360" w:lineRule="exact"/>
        <w:ind w:firstLine="480" w:firstLineChars="200"/>
        <w:contextualSpacing/>
        <w:jc w:val="left"/>
        <w:textAlignment w:val="auto"/>
        <w:rPr>
          <w:rFonts w:ascii="宋体" w:hAnsi="宋体" w:cs="仿宋_GB2312"/>
          <w:color w:val="auto"/>
          <w:sz w:val="24"/>
        </w:rPr>
      </w:pPr>
      <w:r>
        <w:rPr>
          <w:rFonts w:ascii="宋体" w:hAnsi="宋体" w:cs="仿宋_GB2312"/>
          <w:color w:val="auto"/>
          <w:sz w:val="24"/>
        </w:rPr>
        <w:t>2</w:t>
      </w:r>
      <w:r>
        <w:rPr>
          <w:rFonts w:hint="eastAsia" w:ascii="宋体" w:hAnsi="宋体" w:cs="仿宋_GB2312"/>
          <w:color w:val="auto"/>
          <w:sz w:val="24"/>
        </w:rPr>
        <w:t>.供应商的报价表必须加盖供应商公章并由法定代表人或者委托代理人签字，</w:t>
      </w:r>
      <w:r>
        <w:rPr>
          <w:rFonts w:hint="eastAsia" w:ascii="宋体" w:hAnsi="宋体" w:cs="仿宋_GB2312"/>
          <w:b/>
          <w:color w:val="auto"/>
          <w:sz w:val="24"/>
        </w:rPr>
        <w:t>否则其响应文件按无效响应处理</w:t>
      </w:r>
      <w:r>
        <w:rPr>
          <w:rFonts w:hint="eastAsia" w:ascii="宋体" w:hAnsi="宋体" w:cs="仿宋_GB2312"/>
          <w:color w:val="auto"/>
          <w:sz w:val="24"/>
        </w:rPr>
        <w:t>。</w:t>
      </w:r>
    </w:p>
    <w:p w14:paraId="6E2F8DCB">
      <w:pPr>
        <w:keepNext w:val="0"/>
        <w:keepLines w:val="0"/>
        <w:pageBreakBefore w:val="0"/>
        <w:widowControl w:val="0"/>
        <w:kinsoku/>
        <w:wordWrap/>
        <w:overflowPunct/>
        <w:topLinePunct w:val="0"/>
        <w:autoSpaceDE/>
        <w:autoSpaceDN/>
        <w:bidi w:val="0"/>
        <w:adjustRightInd/>
        <w:snapToGrid/>
        <w:spacing w:line="360" w:lineRule="exact"/>
        <w:ind w:firstLine="480" w:firstLineChars="200"/>
        <w:contextualSpacing/>
        <w:jc w:val="left"/>
        <w:textAlignment w:val="auto"/>
        <w:rPr>
          <w:rFonts w:ascii="宋体" w:hAnsi="宋体" w:cs="仿宋_GB2312"/>
          <w:b/>
          <w:color w:val="auto"/>
          <w:sz w:val="24"/>
        </w:rPr>
      </w:pPr>
      <w:r>
        <w:rPr>
          <w:rFonts w:ascii="宋体" w:hAnsi="宋体" w:cs="仿宋_GB2312"/>
          <w:bCs/>
          <w:color w:val="auto"/>
          <w:sz w:val="24"/>
        </w:rPr>
        <w:t>3</w:t>
      </w:r>
      <w:r>
        <w:rPr>
          <w:rFonts w:hint="eastAsia" w:ascii="宋体" w:hAnsi="宋体" w:cs="仿宋_GB2312"/>
          <w:bCs/>
          <w:color w:val="auto"/>
          <w:sz w:val="24"/>
        </w:rPr>
        <w:t>.</w:t>
      </w:r>
      <w:r>
        <w:rPr>
          <w:rFonts w:hint="eastAsia" w:ascii="宋体" w:hAnsi="宋体" w:cs="仿宋_GB2312"/>
          <w:color w:val="auto"/>
          <w:sz w:val="24"/>
        </w:rPr>
        <w:t>报价一经涂改，应在涂改处加盖供应商公章或者由法定代表人或者授权委托人签字或者盖章</w:t>
      </w:r>
      <w:r>
        <w:rPr>
          <w:rFonts w:hint="eastAsia" w:ascii="宋体" w:hAnsi="宋体" w:cs="仿宋_GB2312"/>
          <w:b/>
          <w:color w:val="auto"/>
          <w:sz w:val="24"/>
        </w:rPr>
        <w:t>，否则其响应文件按无效响应处理。</w:t>
      </w:r>
    </w:p>
    <w:p w14:paraId="267D7914">
      <w:pPr>
        <w:keepNext w:val="0"/>
        <w:keepLines w:val="0"/>
        <w:pageBreakBefore w:val="0"/>
        <w:widowControl w:val="0"/>
        <w:kinsoku/>
        <w:wordWrap/>
        <w:overflowPunct/>
        <w:topLinePunct w:val="0"/>
        <w:autoSpaceDE/>
        <w:autoSpaceDN/>
        <w:bidi w:val="0"/>
        <w:adjustRightInd/>
        <w:snapToGrid/>
        <w:spacing w:line="360" w:lineRule="exact"/>
        <w:ind w:firstLine="480" w:firstLineChars="200"/>
        <w:contextualSpacing/>
        <w:jc w:val="left"/>
        <w:textAlignment w:val="auto"/>
        <w:rPr>
          <w:rFonts w:ascii="宋体" w:hAnsi="宋体" w:cs="仿宋_GB2312"/>
          <w:color w:val="auto"/>
          <w:sz w:val="24"/>
        </w:rPr>
      </w:pPr>
      <w:r>
        <w:rPr>
          <w:rFonts w:ascii="宋体" w:hAnsi="宋体" w:cs="仿宋_GB2312"/>
          <w:color w:val="auto"/>
          <w:sz w:val="24"/>
        </w:rPr>
        <w:t>4</w:t>
      </w:r>
      <w:r>
        <w:rPr>
          <w:rFonts w:hint="eastAsia" w:ascii="宋体" w:hAnsi="宋体" w:cs="仿宋_GB2312"/>
          <w:color w:val="auto"/>
          <w:sz w:val="24"/>
        </w:rPr>
        <w:t>.谈判文件中列明采购专用耗材的，应按谈判文件规定的耗材量或者按耗材的常规试用量提供报价。</w:t>
      </w:r>
    </w:p>
    <w:p w14:paraId="2BC62438">
      <w:pPr>
        <w:keepNext w:val="0"/>
        <w:keepLines w:val="0"/>
        <w:pageBreakBefore w:val="0"/>
        <w:widowControl w:val="0"/>
        <w:kinsoku/>
        <w:wordWrap/>
        <w:overflowPunct/>
        <w:topLinePunct w:val="0"/>
        <w:autoSpaceDE/>
        <w:autoSpaceDN/>
        <w:bidi w:val="0"/>
        <w:adjustRightInd/>
        <w:snapToGrid/>
        <w:spacing w:line="360" w:lineRule="exact"/>
        <w:ind w:firstLine="480" w:firstLineChars="200"/>
        <w:contextualSpacing/>
        <w:jc w:val="left"/>
        <w:textAlignment w:val="auto"/>
        <w:rPr>
          <w:rFonts w:ascii="宋体" w:hAnsi="宋体" w:cs="仿宋_GB2312"/>
          <w:color w:val="auto"/>
          <w:sz w:val="24"/>
        </w:rPr>
      </w:pPr>
      <w:r>
        <w:rPr>
          <w:rFonts w:ascii="宋体" w:hAnsi="宋体" w:cs="仿宋_GB2312"/>
          <w:color w:val="auto"/>
          <w:sz w:val="24"/>
        </w:rPr>
        <w:t>5</w:t>
      </w:r>
      <w:r>
        <w:rPr>
          <w:rFonts w:hint="eastAsia" w:ascii="宋体" w:hAnsi="宋体" w:cs="仿宋_GB2312"/>
          <w:color w:val="auto"/>
          <w:sz w:val="24"/>
        </w:rPr>
        <w:t>.如为联合体竞标,“供应商名称”处必须列明联合体各方名称，标注联合体牵头人名称，</w:t>
      </w:r>
      <w:r>
        <w:rPr>
          <w:rFonts w:hint="eastAsia" w:ascii="宋体" w:hAnsi="宋体" w:cs="仿宋_GB2312"/>
          <w:b/>
          <w:color w:val="auto"/>
          <w:sz w:val="24"/>
        </w:rPr>
        <w:t>否则其响应文件按无效响应处理。（采购人可根据项目情况自行修改是否需要联合体各方签字盖章）</w:t>
      </w:r>
    </w:p>
    <w:p w14:paraId="313ADC67">
      <w:pPr>
        <w:keepNext w:val="0"/>
        <w:keepLines w:val="0"/>
        <w:pageBreakBefore w:val="0"/>
        <w:widowControl w:val="0"/>
        <w:kinsoku/>
        <w:wordWrap/>
        <w:overflowPunct/>
        <w:topLinePunct w:val="0"/>
        <w:autoSpaceDE/>
        <w:autoSpaceDN/>
        <w:bidi w:val="0"/>
        <w:adjustRightInd/>
        <w:snapToGrid/>
        <w:spacing w:line="360" w:lineRule="exact"/>
        <w:ind w:firstLine="480" w:firstLineChars="200"/>
        <w:contextualSpacing/>
        <w:jc w:val="left"/>
        <w:textAlignment w:val="auto"/>
        <w:rPr>
          <w:rFonts w:ascii="宋体" w:hAnsi="宋体" w:cs="仿宋_GB2312"/>
          <w:color w:val="auto"/>
          <w:sz w:val="24"/>
        </w:rPr>
      </w:pPr>
      <w:r>
        <w:rPr>
          <w:rFonts w:ascii="宋体" w:hAnsi="宋体" w:cs="仿宋_GB2312"/>
          <w:color w:val="auto"/>
          <w:sz w:val="24"/>
        </w:rPr>
        <w:t>6</w:t>
      </w:r>
      <w:r>
        <w:rPr>
          <w:rFonts w:hint="eastAsia" w:ascii="宋体" w:hAnsi="宋体" w:cs="仿宋_GB2312"/>
          <w:color w:val="auto"/>
          <w:sz w:val="24"/>
        </w:rPr>
        <w:t>.如为联合体竞标,盖章处须加盖联合体各方公章，</w:t>
      </w:r>
      <w:r>
        <w:rPr>
          <w:rFonts w:hint="eastAsia" w:ascii="宋体" w:hAnsi="宋体" w:cs="仿宋_GB2312"/>
          <w:b/>
          <w:color w:val="auto"/>
          <w:sz w:val="24"/>
        </w:rPr>
        <w:t>否则其响应文件按无效响应处理。</w:t>
      </w:r>
    </w:p>
    <w:p w14:paraId="32B747D0">
      <w:pPr>
        <w:keepNext w:val="0"/>
        <w:keepLines w:val="0"/>
        <w:pageBreakBefore w:val="0"/>
        <w:widowControl w:val="0"/>
        <w:kinsoku/>
        <w:wordWrap/>
        <w:overflowPunct/>
        <w:topLinePunct w:val="0"/>
        <w:autoSpaceDE/>
        <w:autoSpaceDN/>
        <w:bidi w:val="0"/>
        <w:adjustRightInd/>
        <w:snapToGrid/>
        <w:spacing w:line="360" w:lineRule="exact"/>
        <w:ind w:firstLine="480" w:firstLineChars="200"/>
        <w:contextualSpacing/>
        <w:textAlignment w:val="auto"/>
        <w:rPr>
          <w:rFonts w:ascii="宋体" w:hAnsi="宋体" w:cs="仿宋_GB2312"/>
          <w:color w:val="auto"/>
          <w:sz w:val="24"/>
        </w:rPr>
      </w:pPr>
      <w:r>
        <w:rPr>
          <w:rFonts w:ascii="宋体" w:hAnsi="宋体" w:cs="仿宋_GB2312"/>
          <w:color w:val="auto"/>
          <w:sz w:val="24"/>
        </w:rPr>
        <w:t>7</w:t>
      </w:r>
      <w:r>
        <w:rPr>
          <w:rFonts w:hint="eastAsia" w:ascii="宋体" w:hAnsi="宋体" w:cs="仿宋_GB2312"/>
          <w:color w:val="auto"/>
          <w:sz w:val="24"/>
        </w:rPr>
        <w:t>.</w:t>
      </w:r>
      <w:r>
        <w:rPr>
          <w:rFonts w:hint="eastAsia" w:ascii="宋体" w:hAnsi="宋体" w:cs="仿宋_GB2312"/>
          <w:color w:val="auto"/>
          <w:spacing w:val="-6"/>
          <w:sz w:val="24"/>
        </w:rPr>
        <w:t>如有多分标，分别列明各分标的报价表，</w:t>
      </w:r>
      <w:r>
        <w:rPr>
          <w:rFonts w:hint="eastAsia" w:ascii="宋体" w:hAnsi="宋体" w:cs="仿宋_GB2312"/>
          <w:b/>
          <w:color w:val="auto"/>
          <w:spacing w:val="-6"/>
          <w:sz w:val="24"/>
        </w:rPr>
        <w:t>否则其响应文件按无效响应处理。</w:t>
      </w:r>
      <w:r>
        <w:rPr>
          <w:rFonts w:hint="eastAsia" w:ascii="宋体" w:hAnsi="宋体" w:cs="仿宋_GB2312"/>
          <w:b/>
          <w:color w:val="auto"/>
          <w:sz w:val="24"/>
        </w:rPr>
        <w:t>（采购人可根据项目情况自行修改是否需要联合体各方签字盖章）</w:t>
      </w:r>
    </w:p>
    <w:p w14:paraId="027E31D8">
      <w:pPr>
        <w:keepNext w:val="0"/>
        <w:keepLines w:val="0"/>
        <w:pageBreakBefore w:val="0"/>
        <w:widowControl w:val="0"/>
        <w:kinsoku/>
        <w:wordWrap/>
        <w:overflowPunct/>
        <w:topLinePunct w:val="0"/>
        <w:autoSpaceDE/>
        <w:autoSpaceDN/>
        <w:bidi w:val="0"/>
        <w:adjustRightInd/>
        <w:snapToGrid/>
        <w:spacing w:line="400" w:lineRule="exact"/>
        <w:ind w:right="-817" w:rightChars="-389" w:firstLine="2640" w:firstLineChars="1100"/>
        <w:contextualSpacing/>
        <w:textAlignment w:val="auto"/>
        <w:rPr>
          <w:rFonts w:ascii="宋体" w:hAnsi="宋体" w:cs="仿宋_GB2312"/>
          <w:color w:val="auto"/>
          <w:sz w:val="24"/>
        </w:rPr>
      </w:pPr>
      <w:r>
        <w:rPr>
          <w:rFonts w:hint="eastAsia" w:ascii="宋体" w:hAnsi="宋体" w:cs="仿宋_GB2312"/>
          <w:color w:val="auto"/>
          <w:sz w:val="24"/>
        </w:rPr>
        <w:t xml:space="preserve">法定代表人或者委托代理人（签字）：                    </w:t>
      </w:r>
    </w:p>
    <w:p w14:paraId="129CB3FF">
      <w:pPr>
        <w:keepNext w:val="0"/>
        <w:keepLines w:val="0"/>
        <w:pageBreakBefore w:val="0"/>
        <w:widowControl w:val="0"/>
        <w:kinsoku/>
        <w:wordWrap/>
        <w:overflowPunct/>
        <w:topLinePunct w:val="0"/>
        <w:autoSpaceDE/>
        <w:autoSpaceDN/>
        <w:bidi w:val="0"/>
        <w:adjustRightInd/>
        <w:snapToGrid/>
        <w:spacing w:line="400" w:lineRule="exact"/>
        <w:ind w:right="-817" w:rightChars="-389" w:firstLine="2640" w:firstLineChars="1100"/>
        <w:contextualSpacing/>
        <w:textAlignment w:val="auto"/>
        <w:rPr>
          <w:rFonts w:ascii="宋体" w:hAnsi="宋体" w:cs="仿宋_GB2312"/>
          <w:color w:val="auto"/>
          <w:sz w:val="24"/>
        </w:rPr>
      </w:pPr>
      <w:r>
        <w:rPr>
          <w:rFonts w:hint="eastAsia" w:ascii="宋体" w:hAnsi="宋体" w:cs="仿宋_GB2312"/>
          <w:color w:val="auto"/>
          <w:sz w:val="24"/>
        </w:rPr>
        <w:t xml:space="preserve">供应商（盖公章）：      </w:t>
      </w:r>
    </w:p>
    <w:p w14:paraId="29B107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小标宋简体" w:hAnsi="方正小标宋简体" w:eastAsia="方正小标宋简体" w:cs="方正小标宋简体"/>
          <w:color w:val="auto"/>
          <w:sz w:val="44"/>
          <w:szCs w:val="44"/>
        </w:rPr>
      </w:pPr>
      <w:r>
        <w:rPr>
          <w:rFonts w:hint="eastAsia" w:ascii="宋体" w:hAnsi="宋体" w:cs="仿宋_GB2312"/>
          <w:color w:val="auto"/>
          <w:sz w:val="24"/>
        </w:rPr>
        <w:t>日期：   年   月   日</w:t>
      </w:r>
      <w:r>
        <w:rPr>
          <w:rFonts w:hint="eastAsia" w:ascii="宋体" w:hAnsi="Courier New"/>
          <w:b/>
          <w:color w:val="auto"/>
          <w:sz w:val="32"/>
          <w:szCs w:val="32"/>
        </w:rPr>
        <w:br w:type="page"/>
      </w:r>
    </w:p>
    <w:p w14:paraId="5F4B2690">
      <w:pPr>
        <w:spacing w:line="520" w:lineRule="exact"/>
        <w:jc w:val="center"/>
        <w:rPr>
          <w:rFonts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rPr>
        <w:t>无串通竞标行为的承诺函</w:t>
      </w:r>
    </w:p>
    <w:p w14:paraId="673877D2">
      <w:pPr>
        <w:spacing w:line="360" w:lineRule="auto"/>
        <w:ind w:firstLine="640" w:firstLineChars="200"/>
        <w:contextualSpacing/>
        <w:rPr>
          <w:rFonts w:ascii="仿宋_GB2312" w:hAnsi="仿宋_GB2312" w:eastAsia="仿宋_GB2312" w:cs="仿宋_GB2312"/>
          <w:color w:val="auto"/>
          <w:sz w:val="32"/>
          <w:szCs w:val="32"/>
        </w:rPr>
      </w:pPr>
    </w:p>
    <w:p w14:paraId="5D11A5B3">
      <w:pPr>
        <w:spacing w:line="360" w:lineRule="auto"/>
        <w:ind w:firstLine="482" w:firstLineChars="200"/>
        <w:contextualSpacing/>
        <w:rPr>
          <w:rFonts w:ascii="宋体" w:hAnsi="宋体" w:cs="仿宋_GB2312"/>
          <w:b/>
          <w:bCs/>
          <w:color w:val="auto"/>
          <w:sz w:val="24"/>
        </w:rPr>
      </w:pPr>
      <w:r>
        <w:rPr>
          <w:rFonts w:hint="eastAsia" w:ascii="宋体" w:hAnsi="宋体" w:cs="仿宋_GB2312"/>
          <w:b/>
          <w:bCs/>
          <w:color w:val="auto"/>
          <w:sz w:val="24"/>
        </w:rPr>
        <w:t>一、我方承诺无下列相互串通竞标的情形：</w:t>
      </w:r>
    </w:p>
    <w:p w14:paraId="6F51E3D1">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1.不同供应商的响应文件由同一单位或者个人编制；</w:t>
      </w:r>
    </w:p>
    <w:p w14:paraId="48083CF0">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2.不同供应商委托同一单位或者个人办理竞标事宜；</w:t>
      </w:r>
    </w:p>
    <w:p w14:paraId="0C770EA3">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3.不同的供应商的响应文件载明的项目管理员为同一个人；</w:t>
      </w:r>
    </w:p>
    <w:p w14:paraId="779A71BE">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14:paraId="1F6C0F80">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5.不同供应商的响应文件相互混装；</w:t>
      </w:r>
    </w:p>
    <w:p w14:paraId="15EB7EC2">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6.不同供应商的竞标保证金从同一单位或者个人账户转出。</w:t>
      </w:r>
    </w:p>
    <w:p w14:paraId="67105D84">
      <w:pPr>
        <w:spacing w:line="360" w:lineRule="auto"/>
        <w:ind w:firstLine="482" w:firstLineChars="200"/>
        <w:contextualSpacing/>
        <w:rPr>
          <w:rFonts w:ascii="宋体" w:hAnsi="宋体" w:cs="仿宋_GB2312"/>
          <w:b/>
          <w:bCs/>
          <w:color w:val="auto"/>
          <w:sz w:val="24"/>
        </w:rPr>
      </w:pPr>
      <w:r>
        <w:rPr>
          <w:rFonts w:hint="eastAsia" w:ascii="宋体" w:hAnsi="宋体" w:cs="仿宋_GB2312"/>
          <w:b/>
          <w:bCs/>
          <w:color w:val="auto"/>
          <w:sz w:val="24"/>
        </w:rPr>
        <w:t>二、我方承诺无下列恶意串通的情形：</w:t>
      </w:r>
    </w:p>
    <w:p w14:paraId="1A3A8D3D">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1.供应商直接或者间接从采购人或者采购代理机构处获得其他供应商的相关信息并修改其响应文件；</w:t>
      </w:r>
    </w:p>
    <w:p w14:paraId="2E0078F8">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2.供应商按照采购人或者采购代理机构的授意撤换、修改响应文件；</w:t>
      </w:r>
    </w:p>
    <w:p w14:paraId="2067C064">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14:paraId="200C3F62">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4.属于同一集团、协会、商会等组织成员的供应商按照该组织要求协同参加政府采购活动；</w:t>
      </w:r>
    </w:p>
    <w:p w14:paraId="347090F1">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5.供应商之间事先约定一致抬高或者压低竞标报价,或者在竞争性谈判项目中事先约定轮流以高价位或者低价位成交,或者事先约定由某一特定供应商成交,然后再参加竞标；</w:t>
      </w:r>
    </w:p>
    <w:p w14:paraId="6A4E24A5">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6.供应商之间商定部分供应商放弃参加政府采购活动或者放弃成交；</w:t>
      </w:r>
    </w:p>
    <w:p w14:paraId="4EBEF9E5">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7.供应商与采购人或者采购代理机构之间、供应商相互之间，为</w:t>
      </w:r>
      <w:r>
        <w:rPr>
          <w:rFonts w:hint="eastAsia" w:ascii="宋体" w:hAnsi="宋体" w:cs="仿宋_GB2312"/>
          <w:color w:val="auto"/>
          <w:spacing w:val="-6"/>
          <w:sz w:val="24"/>
        </w:rPr>
        <w:t>谋求特定供应商成交或者排斥其他供应商的其他串通行为。</w:t>
      </w:r>
    </w:p>
    <w:p w14:paraId="2B1F097E">
      <w:pPr>
        <w:spacing w:line="360" w:lineRule="auto"/>
        <w:ind w:firstLine="480" w:firstLineChars="200"/>
        <w:contextualSpacing/>
        <w:rPr>
          <w:rFonts w:ascii="宋体" w:hAnsi="宋体" w:cs="仿宋_GB2312"/>
          <w:color w:val="auto"/>
          <w:sz w:val="24"/>
        </w:rPr>
      </w:pPr>
    </w:p>
    <w:p w14:paraId="450317D2">
      <w:pPr>
        <w:spacing w:line="360" w:lineRule="auto"/>
        <w:ind w:firstLine="482" w:firstLineChars="200"/>
        <w:contextualSpacing/>
        <w:rPr>
          <w:rFonts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14:paraId="646ECA3B">
      <w:pPr>
        <w:spacing w:line="360" w:lineRule="auto"/>
        <w:ind w:firstLine="480" w:firstLineChars="200"/>
        <w:contextualSpacing/>
        <w:rPr>
          <w:rFonts w:ascii="宋体" w:hAnsi="宋体" w:cs="仿宋_GB2312"/>
          <w:color w:val="auto"/>
          <w:sz w:val="24"/>
        </w:rPr>
      </w:pPr>
    </w:p>
    <w:p w14:paraId="475A7BFF">
      <w:pPr>
        <w:spacing w:line="360" w:lineRule="auto"/>
        <w:contextualSpacing/>
        <w:rPr>
          <w:rFonts w:ascii="宋体" w:hAnsi="宋体" w:cs="仿宋_GB2312"/>
          <w:color w:val="auto"/>
          <w:sz w:val="24"/>
        </w:rPr>
      </w:pPr>
    </w:p>
    <w:p w14:paraId="05F84966">
      <w:pPr>
        <w:spacing w:line="360" w:lineRule="auto"/>
        <w:ind w:firstLine="3600" w:firstLineChars="1500"/>
        <w:contextualSpacing/>
        <w:rPr>
          <w:rFonts w:ascii="宋体" w:hAnsi="宋体" w:cs="仿宋_GB2312"/>
          <w:color w:val="auto"/>
          <w:sz w:val="24"/>
        </w:rPr>
      </w:pPr>
      <w:r>
        <w:rPr>
          <w:rFonts w:hint="eastAsia" w:ascii="宋体" w:hAnsi="宋体" w:cs="仿宋_GB2312"/>
          <w:color w:val="auto"/>
          <w:sz w:val="24"/>
        </w:rPr>
        <w:t>供应商（盖公章 ）：</w:t>
      </w:r>
    </w:p>
    <w:p w14:paraId="1EE684F7">
      <w:pPr>
        <w:spacing w:line="360" w:lineRule="auto"/>
        <w:ind w:firstLine="480" w:firstLineChars="200"/>
        <w:contextualSpacing/>
        <w:jc w:val="center"/>
        <w:rPr>
          <w:rFonts w:ascii="宋体" w:hAnsi="宋体" w:cs="仿宋_GB2312"/>
          <w:color w:val="auto"/>
          <w:sz w:val="24"/>
        </w:rPr>
      </w:pPr>
      <w:r>
        <w:rPr>
          <w:rFonts w:hint="eastAsia" w:ascii="宋体" w:hAnsi="宋体" w:cs="仿宋_GB2312"/>
          <w:color w:val="auto"/>
          <w:sz w:val="24"/>
        </w:rPr>
        <w:t xml:space="preserve">                               年   月   日</w:t>
      </w:r>
    </w:p>
    <w:p w14:paraId="7F0E2F55">
      <w:pPr>
        <w:spacing w:line="360" w:lineRule="auto"/>
        <w:ind w:firstLine="640" w:firstLineChars="200"/>
        <w:contextualSpacing/>
        <w:jc w:val="center"/>
        <w:rPr>
          <w:rFonts w:ascii="宋体" w:hAnsi="宋体" w:cs="仿宋_GB2312"/>
          <w:color w:val="auto"/>
          <w:sz w:val="32"/>
          <w:szCs w:val="32"/>
        </w:rPr>
      </w:pPr>
    </w:p>
    <w:p w14:paraId="4960D992">
      <w:pPr>
        <w:spacing w:line="360" w:lineRule="auto"/>
        <w:ind w:right="-817" w:rightChars="-389"/>
        <w:contextualSpacing/>
        <w:jc w:val="center"/>
        <w:rPr>
          <w:rFonts w:ascii="仿宋_GB2312" w:hAnsi="仿宋_GB2312" w:eastAsia="仿宋_GB2312" w:cs="仿宋_GB2312"/>
          <w:color w:val="auto"/>
          <w:sz w:val="32"/>
          <w:szCs w:val="32"/>
        </w:rPr>
      </w:pPr>
      <w:r>
        <w:rPr>
          <w:rFonts w:ascii="方正小标宋简体" w:hAnsi="方正小标宋简体" w:eastAsia="方正小标宋简体" w:cs="方正小标宋简体"/>
          <w:bCs/>
          <w:color w:val="auto"/>
          <w:sz w:val="44"/>
          <w:szCs w:val="44"/>
        </w:rPr>
        <w:br w:type="page"/>
      </w:r>
      <w:r>
        <w:rPr>
          <w:rFonts w:hint="eastAsia" w:ascii="方正小标宋简体" w:hAnsi="方正小标宋简体" w:eastAsia="方正小标宋简体" w:cs="方正小标宋简体"/>
          <w:bCs/>
          <w:color w:val="auto"/>
          <w:sz w:val="44"/>
          <w:szCs w:val="44"/>
        </w:rPr>
        <w:t>法定代表人身份证明</w:t>
      </w:r>
    </w:p>
    <w:p w14:paraId="3A2146F7">
      <w:pPr>
        <w:spacing w:line="360" w:lineRule="auto"/>
        <w:ind w:left="540"/>
        <w:contextualSpacing/>
        <w:rPr>
          <w:rFonts w:ascii="仿宋_GB2312" w:hAnsi="仿宋_GB2312" w:eastAsia="仿宋_GB2312" w:cs="仿宋_GB2312"/>
          <w:color w:val="auto"/>
          <w:sz w:val="32"/>
          <w:szCs w:val="32"/>
        </w:rPr>
      </w:pPr>
    </w:p>
    <w:p w14:paraId="78745E8A">
      <w:pPr>
        <w:spacing w:line="360" w:lineRule="auto"/>
        <w:ind w:left="540"/>
        <w:contextualSpacing/>
        <w:rPr>
          <w:rFonts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p>
    <w:p w14:paraId="3F029C4A">
      <w:pPr>
        <w:spacing w:line="360" w:lineRule="auto"/>
        <w:ind w:left="540"/>
        <w:contextualSpacing/>
        <w:rPr>
          <w:rFonts w:ascii="宋体" w:hAnsi="宋体" w:cs="仿宋_GB2312"/>
          <w:color w:val="auto"/>
          <w:sz w:val="24"/>
        </w:rPr>
      </w:pPr>
      <w:r>
        <w:rPr>
          <w:rFonts w:hint="eastAsia" w:ascii="宋体" w:hAnsi="宋体" w:cs="仿宋_GB2312"/>
          <w:color w:val="auto"/>
          <w:sz w:val="24"/>
        </w:rPr>
        <w:t>地    址：</w:t>
      </w:r>
      <w:r>
        <w:rPr>
          <w:rFonts w:hint="eastAsia" w:ascii="宋体" w:hAnsi="宋体" w:cs="仿宋_GB2312"/>
          <w:color w:val="auto"/>
          <w:sz w:val="24"/>
          <w:u w:val="single"/>
        </w:rPr>
        <w:t xml:space="preserve">                                                        </w:t>
      </w:r>
    </w:p>
    <w:p w14:paraId="092BD402">
      <w:pPr>
        <w:spacing w:line="360" w:lineRule="auto"/>
        <w:ind w:left="540"/>
        <w:contextualSpacing/>
        <w:rPr>
          <w:rFonts w:ascii="宋体" w:hAnsi="宋体" w:cs="仿宋_GB2312"/>
          <w:color w:val="auto"/>
          <w:sz w:val="24"/>
        </w:rPr>
      </w:pPr>
      <w:r>
        <w:rPr>
          <w:rFonts w:hint="eastAsia" w:ascii="宋体" w:hAnsi="宋体" w:cs="仿宋_GB2312"/>
          <w:color w:val="auto"/>
          <w:sz w:val="24"/>
        </w:rPr>
        <w:t>姓    名：</w:t>
      </w:r>
      <w:r>
        <w:rPr>
          <w:rFonts w:hint="eastAsia" w:ascii="宋体" w:hAnsi="宋体" w:cs="仿宋_GB2312"/>
          <w:color w:val="auto"/>
          <w:sz w:val="24"/>
          <w:u w:val="single"/>
        </w:rPr>
        <w:t xml:space="preserve">               </w:t>
      </w:r>
      <w:r>
        <w:rPr>
          <w:rFonts w:hint="eastAsia" w:ascii="宋体" w:hAnsi="宋体" w:cs="仿宋_GB2312"/>
          <w:color w:val="auto"/>
          <w:sz w:val="24"/>
        </w:rPr>
        <w:t>性      别：</w:t>
      </w:r>
      <w:r>
        <w:rPr>
          <w:rFonts w:hint="eastAsia" w:ascii="宋体" w:hAnsi="宋体" w:cs="仿宋_GB2312"/>
          <w:color w:val="auto"/>
          <w:sz w:val="24"/>
          <w:u w:val="single"/>
        </w:rPr>
        <w:t xml:space="preserve">                </w:t>
      </w:r>
    </w:p>
    <w:p w14:paraId="0F749BC5">
      <w:pPr>
        <w:spacing w:line="360" w:lineRule="auto"/>
        <w:ind w:left="540"/>
        <w:contextualSpacing/>
        <w:rPr>
          <w:rFonts w:ascii="宋体" w:hAnsi="宋体" w:cs="仿宋_GB2312"/>
          <w:color w:val="auto"/>
          <w:sz w:val="24"/>
          <w:u w:val="single"/>
        </w:rPr>
      </w:pPr>
      <w:r>
        <w:rPr>
          <w:rFonts w:hint="eastAsia" w:ascii="宋体" w:hAnsi="宋体" w:cs="仿宋_GB2312"/>
          <w:color w:val="auto"/>
          <w:sz w:val="24"/>
        </w:rPr>
        <w:t>年    龄：</w:t>
      </w:r>
      <w:r>
        <w:rPr>
          <w:rFonts w:hint="eastAsia" w:ascii="宋体" w:hAnsi="宋体" w:cs="仿宋_GB2312"/>
          <w:color w:val="auto"/>
          <w:sz w:val="24"/>
          <w:u w:val="single"/>
        </w:rPr>
        <w:t xml:space="preserve">               </w:t>
      </w:r>
      <w:r>
        <w:rPr>
          <w:rFonts w:hint="eastAsia" w:ascii="宋体" w:hAnsi="宋体" w:cs="仿宋_GB2312"/>
          <w:color w:val="auto"/>
          <w:sz w:val="24"/>
        </w:rPr>
        <w:t>职      务：</w:t>
      </w:r>
      <w:r>
        <w:rPr>
          <w:rFonts w:hint="eastAsia" w:ascii="宋体" w:hAnsi="宋体" w:cs="仿宋_GB2312"/>
          <w:color w:val="auto"/>
          <w:sz w:val="24"/>
          <w:u w:val="single"/>
        </w:rPr>
        <w:t xml:space="preserve">                </w:t>
      </w:r>
    </w:p>
    <w:p w14:paraId="5CAA9702">
      <w:pPr>
        <w:spacing w:line="360" w:lineRule="auto"/>
        <w:ind w:left="540"/>
        <w:contextualSpacing/>
        <w:rPr>
          <w:rFonts w:ascii="宋体" w:hAnsi="宋体" w:cs="仿宋_GB2312"/>
          <w:color w:val="auto"/>
          <w:sz w:val="24"/>
        </w:rPr>
      </w:pPr>
      <w:r>
        <w:rPr>
          <w:rFonts w:hint="eastAsia" w:ascii="宋体" w:hAnsi="宋体" w:cs="仿宋_GB2312"/>
          <w:color w:val="auto"/>
          <w:sz w:val="24"/>
        </w:rPr>
        <w:t>身份证号码：</w:t>
      </w:r>
      <w:r>
        <w:rPr>
          <w:rFonts w:hint="eastAsia" w:ascii="宋体" w:hAnsi="宋体" w:cs="仿宋_GB2312"/>
          <w:color w:val="auto"/>
          <w:sz w:val="24"/>
          <w:u w:val="single"/>
        </w:rPr>
        <w:t xml:space="preserve">                                        </w:t>
      </w:r>
    </w:p>
    <w:p w14:paraId="41F94A0F">
      <w:pPr>
        <w:spacing w:line="360" w:lineRule="auto"/>
        <w:ind w:left="540"/>
        <w:contextualSpacing/>
        <w:rPr>
          <w:rFonts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 xml:space="preserve"> </w:t>
      </w:r>
      <w:r>
        <w:rPr>
          <w:rFonts w:ascii="宋体" w:hAnsi="宋体" w:cs="仿宋_GB2312"/>
          <w:color w:val="auto"/>
          <w:sz w:val="24"/>
          <w:u w:val="single"/>
        </w:rPr>
        <w:t xml:space="preserve">   </w:t>
      </w:r>
      <w:r>
        <w:rPr>
          <w:rFonts w:hint="eastAsia" w:ascii="宋体" w:hAnsi="宋体" w:cs="仿宋_GB2312"/>
          <w:color w:val="auto"/>
          <w:sz w:val="24"/>
          <w:u w:val="single"/>
        </w:rPr>
        <w:t xml:space="preserve">供应商名称 </w:t>
      </w:r>
      <w:r>
        <w:rPr>
          <w:rFonts w:ascii="宋体" w:hAnsi="宋体" w:cs="仿宋_GB2312"/>
          <w:color w:val="auto"/>
          <w:sz w:val="24"/>
          <w:u w:val="single"/>
        </w:rPr>
        <w:t xml:space="preserve">  </w:t>
      </w:r>
      <w:r>
        <w:rPr>
          <w:rFonts w:hint="eastAsia" w:ascii="宋体" w:hAnsi="宋体" w:cs="仿宋_GB2312"/>
          <w:color w:val="auto"/>
          <w:sz w:val="24"/>
        </w:rPr>
        <w:t>的法定代表人。</w:t>
      </w:r>
    </w:p>
    <w:p w14:paraId="68E0DE57">
      <w:pPr>
        <w:spacing w:line="360" w:lineRule="auto"/>
        <w:ind w:left="540"/>
        <w:contextualSpacing/>
        <w:rPr>
          <w:rFonts w:ascii="宋体" w:hAnsi="宋体" w:cs="仿宋_GB2312"/>
          <w:color w:val="auto"/>
          <w:sz w:val="24"/>
        </w:rPr>
      </w:pPr>
      <w:r>
        <w:rPr>
          <w:rFonts w:hint="eastAsia" w:ascii="宋体" w:hAnsi="宋体" w:cs="仿宋_GB2312"/>
          <w:color w:val="auto"/>
          <w:sz w:val="24"/>
        </w:rPr>
        <w:t>特此证明。</w:t>
      </w:r>
    </w:p>
    <w:p w14:paraId="794A92CB">
      <w:pPr>
        <w:spacing w:line="360" w:lineRule="auto"/>
        <w:ind w:left="540"/>
        <w:contextualSpacing/>
        <w:rPr>
          <w:rFonts w:ascii="宋体" w:hAnsi="宋体" w:cs="仿宋_GB2312"/>
          <w:color w:val="auto"/>
          <w:sz w:val="24"/>
        </w:rPr>
      </w:pPr>
    </w:p>
    <w:p w14:paraId="0F81D38E">
      <w:pPr>
        <w:spacing w:line="360" w:lineRule="auto"/>
        <w:ind w:left="540"/>
        <w:contextualSpacing/>
        <w:rPr>
          <w:rFonts w:ascii="宋体" w:hAnsi="宋体" w:cs="仿宋_GB2312"/>
          <w:color w:val="auto"/>
          <w:sz w:val="24"/>
        </w:rPr>
      </w:pPr>
    </w:p>
    <w:p w14:paraId="3EC2D27C">
      <w:pPr>
        <w:spacing w:line="360" w:lineRule="auto"/>
        <w:ind w:left="540"/>
        <w:contextualSpacing/>
        <w:rPr>
          <w:rFonts w:ascii="宋体" w:hAnsi="宋体" w:cs="仿宋_GB2312"/>
          <w:color w:val="auto"/>
          <w:sz w:val="24"/>
        </w:rPr>
      </w:pPr>
    </w:p>
    <w:p w14:paraId="0CB8D278">
      <w:pPr>
        <w:spacing w:line="360" w:lineRule="auto"/>
        <w:ind w:left="540"/>
        <w:contextualSpacing/>
        <w:rPr>
          <w:rFonts w:ascii="宋体" w:hAnsi="宋体" w:cs="仿宋_GB2312"/>
          <w:color w:val="auto"/>
          <w:sz w:val="24"/>
        </w:rPr>
      </w:pPr>
      <w:r>
        <w:rPr>
          <w:rFonts w:hint="eastAsia" w:ascii="宋体" w:hAnsi="宋体" w:cs="仿宋_GB2312"/>
          <w:color w:val="auto"/>
          <w:sz w:val="24"/>
        </w:rPr>
        <w:t>附件：法定代表人有效身份证正反面复印件</w:t>
      </w:r>
    </w:p>
    <w:p w14:paraId="56A7F975">
      <w:pPr>
        <w:spacing w:line="360" w:lineRule="auto"/>
        <w:ind w:left="540"/>
        <w:contextualSpacing/>
        <w:rPr>
          <w:rFonts w:ascii="宋体" w:hAnsi="宋体" w:cs="仿宋_GB2312"/>
          <w:color w:val="auto"/>
          <w:sz w:val="24"/>
        </w:rPr>
      </w:pPr>
    </w:p>
    <w:p w14:paraId="546CD9EE">
      <w:pPr>
        <w:spacing w:line="360" w:lineRule="auto"/>
        <w:ind w:left="540"/>
        <w:contextualSpacing/>
        <w:jc w:val="right"/>
        <w:rPr>
          <w:rFonts w:ascii="宋体" w:hAnsi="宋体" w:cs="仿宋_GB2312"/>
          <w:color w:val="auto"/>
          <w:sz w:val="24"/>
        </w:rPr>
      </w:pPr>
      <w:r>
        <w:rPr>
          <w:rFonts w:hint="eastAsia" w:ascii="宋体" w:hAnsi="宋体" w:cs="仿宋_GB2312"/>
          <w:color w:val="auto"/>
          <w:sz w:val="24"/>
        </w:rPr>
        <w:t>供应商（盖公章）：</w:t>
      </w:r>
      <w:r>
        <w:rPr>
          <w:rFonts w:hint="eastAsia" w:ascii="宋体" w:hAnsi="宋体" w:cs="仿宋_GB2312"/>
          <w:color w:val="auto"/>
          <w:sz w:val="24"/>
          <w:u w:val="single"/>
        </w:rPr>
        <w:t xml:space="preserve">               </w:t>
      </w:r>
    </w:p>
    <w:p w14:paraId="47C85476">
      <w:pPr>
        <w:spacing w:line="360" w:lineRule="auto"/>
        <w:ind w:firstLine="4080" w:firstLineChars="1700"/>
        <w:contextualSpacing/>
        <w:rPr>
          <w:rFonts w:ascii="宋体" w:hAnsi="宋体" w:cs="仿宋_GB2312"/>
          <w:color w:val="auto"/>
          <w:sz w:val="24"/>
        </w:rPr>
      </w:pPr>
      <w:r>
        <w:rPr>
          <w:rFonts w:hint="eastAsia" w:ascii="宋体" w:hAnsi="宋体" w:cs="仿宋_GB2312"/>
          <w:color w:val="auto"/>
          <w:sz w:val="24"/>
          <w:u w:val="single"/>
        </w:rPr>
        <w:t xml:space="preserve">     </w:t>
      </w:r>
      <w:r>
        <w:rPr>
          <w:rFonts w:hint="eastAsia" w:ascii="宋体" w:hAnsi="宋体" w:cs="仿宋_GB2312"/>
          <w:color w:val="auto"/>
          <w:sz w:val="24"/>
        </w:rPr>
        <w:t>年</w:t>
      </w:r>
      <w:r>
        <w:rPr>
          <w:rFonts w:hint="eastAsia" w:ascii="宋体" w:hAnsi="宋体" w:cs="仿宋_GB2312"/>
          <w:color w:val="auto"/>
          <w:sz w:val="24"/>
          <w:u w:val="single"/>
        </w:rPr>
        <w:t xml:space="preserve">     </w:t>
      </w:r>
      <w:r>
        <w:rPr>
          <w:rFonts w:hint="eastAsia" w:ascii="宋体" w:hAnsi="宋体" w:cs="仿宋_GB2312"/>
          <w:color w:val="auto"/>
          <w:sz w:val="24"/>
        </w:rPr>
        <w:t>月</w:t>
      </w:r>
      <w:r>
        <w:rPr>
          <w:rFonts w:hint="eastAsia" w:ascii="宋体" w:hAnsi="宋体" w:cs="仿宋_GB2312"/>
          <w:color w:val="auto"/>
          <w:sz w:val="24"/>
          <w:u w:val="single"/>
        </w:rPr>
        <w:t xml:space="preserve">     </w:t>
      </w:r>
      <w:r>
        <w:rPr>
          <w:rFonts w:hint="eastAsia" w:ascii="宋体" w:hAnsi="宋体" w:cs="仿宋_GB2312"/>
          <w:color w:val="auto"/>
          <w:sz w:val="24"/>
        </w:rPr>
        <w:t>日</w:t>
      </w:r>
    </w:p>
    <w:p w14:paraId="16446ED5">
      <w:pPr>
        <w:spacing w:line="360" w:lineRule="auto"/>
        <w:contextualSpacing/>
        <w:jc w:val="center"/>
        <w:rPr>
          <w:rFonts w:ascii="宋体" w:hAnsi="宋体" w:cs="仿宋_GB2312"/>
          <w:b/>
          <w:color w:val="auto"/>
          <w:sz w:val="24"/>
        </w:rPr>
      </w:pPr>
    </w:p>
    <w:p w14:paraId="1B2C8571">
      <w:pPr>
        <w:spacing w:line="360" w:lineRule="auto"/>
        <w:contextualSpacing/>
        <w:jc w:val="left"/>
        <w:rPr>
          <w:rFonts w:ascii="宋体" w:hAnsi="宋体" w:cs="仿宋_GB2312"/>
          <w:color w:val="auto"/>
          <w:sz w:val="24"/>
        </w:rPr>
      </w:pPr>
      <w:r>
        <w:rPr>
          <w:rFonts w:hint="eastAsia" w:ascii="宋体" w:hAnsi="宋体" w:cs="仿宋_GB2312"/>
          <w:color w:val="auto"/>
          <w:sz w:val="24"/>
        </w:rPr>
        <w:t>注：自然人竞标的无需提供，联合体竞标的只需牵头人出具。</w:t>
      </w:r>
    </w:p>
    <w:p w14:paraId="38C9E44B">
      <w:pPr>
        <w:adjustRightInd w:val="0"/>
        <w:snapToGrid w:val="0"/>
        <w:spacing w:line="300" w:lineRule="auto"/>
        <w:jc w:val="left"/>
        <w:rPr>
          <w:rFonts w:ascii="宋体" w:hAnsi="宋体"/>
          <w:b/>
          <w:color w:val="auto"/>
          <w:szCs w:val="21"/>
        </w:rPr>
      </w:pPr>
    </w:p>
    <w:p w14:paraId="6B6BE203">
      <w:pPr>
        <w:spacing w:line="5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r>
        <w:rPr>
          <w:rFonts w:hint="eastAsia" w:ascii="方正小标宋简体" w:hAnsi="方正小标宋简体" w:eastAsia="方正小标宋简体" w:cs="方正小标宋简体"/>
          <w:color w:val="auto"/>
          <w:sz w:val="44"/>
          <w:szCs w:val="44"/>
        </w:rPr>
        <w:t>授权委托书</w:t>
      </w:r>
    </w:p>
    <w:p w14:paraId="2BEDFA02">
      <w:pPr>
        <w:spacing w:line="520" w:lineRule="exact"/>
        <w:jc w:val="center"/>
        <w:rPr>
          <w:rFonts w:ascii="方正小标宋简体" w:hAnsi="方正小标宋简体" w:eastAsia="方正小标宋简体" w:cs="方正小标宋简体"/>
          <w:color w:val="auto"/>
          <w:sz w:val="28"/>
          <w:szCs w:val="28"/>
        </w:rPr>
      </w:pPr>
      <w:r>
        <w:rPr>
          <w:rFonts w:hint="eastAsia" w:ascii="方正小标宋简体" w:hAnsi="方正小标宋简体" w:eastAsia="方正小标宋简体" w:cs="方正小标宋简体"/>
          <w:color w:val="auto"/>
          <w:sz w:val="28"/>
          <w:szCs w:val="28"/>
        </w:rPr>
        <w:t>（非联合体竞标格式）</w:t>
      </w:r>
    </w:p>
    <w:p w14:paraId="317BC8E8">
      <w:pPr>
        <w:spacing w:line="520" w:lineRule="exact"/>
        <w:jc w:val="center"/>
        <w:rPr>
          <w:rFonts w:ascii="方正小标宋简体" w:hAnsi="方正小标宋简体" w:eastAsia="方正小标宋简体" w:cs="方正小标宋简体"/>
          <w:color w:val="auto"/>
          <w:sz w:val="28"/>
          <w:szCs w:val="28"/>
        </w:rPr>
      </w:pPr>
      <w:r>
        <w:rPr>
          <w:rFonts w:hint="eastAsia" w:ascii="方正小标宋简体" w:hAnsi="方正小标宋简体" w:eastAsia="方正小标宋简体" w:cs="方正小标宋简体"/>
          <w:color w:val="auto"/>
          <w:sz w:val="28"/>
          <w:szCs w:val="28"/>
        </w:rPr>
        <w:t>（如有委托时）</w:t>
      </w:r>
    </w:p>
    <w:p w14:paraId="3DAEBBC1">
      <w:pPr>
        <w:spacing w:line="360" w:lineRule="auto"/>
        <w:contextualSpacing/>
        <w:rPr>
          <w:rFonts w:ascii="仿宋_GB2312" w:hAnsi="仿宋_GB2312" w:eastAsia="仿宋_GB2312" w:cs="仿宋_GB2312"/>
          <w:color w:val="auto"/>
          <w:sz w:val="32"/>
          <w:szCs w:val="32"/>
        </w:rPr>
      </w:pPr>
    </w:p>
    <w:p w14:paraId="0571A00D">
      <w:pPr>
        <w:spacing w:line="360" w:lineRule="auto"/>
        <w:contextualSpacing/>
        <w:rPr>
          <w:rFonts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u w:val="single"/>
        </w:rPr>
        <w:t>采购人名称</w:t>
      </w:r>
    </w:p>
    <w:p w14:paraId="19B38B71">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  供应商名称  </w:t>
      </w:r>
      <w:r>
        <w:rPr>
          <w:rFonts w:hint="eastAsia" w:ascii="宋体" w:hAnsi="宋体" w:cs="仿宋_GB2312"/>
          <w:color w:val="auto"/>
          <w:sz w:val="24"/>
        </w:rPr>
        <w:t>的（</w:t>
      </w:r>
      <w:r>
        <w:rPr>
          <w:rFonts w:hint="eastAsia" w:ascii="宋体" w:hAnsi="宋体" w:cs="仿宋_GB2312"/>
          <w:color w:val="auto"/>
          <w:sz w:val="24"/>
          <w:u w:val="single"/>
        </w:rPr>
        <w:sym w:font="Wingdings 2" w:char="00A3"/>
      </w:r>
      <w:r>
        <w:rPr>
          <w:rFonts w:hint="eastAsia" w:ascii="宋体" w:hAnsi="宋体" w:cs="仿宋_GB2312"/>
          <w:color w:val="auto"/>
          <w:sz w:val="24"/>
          <w:u w:val="single"/>
        </w:rPr>
        <w:t>法定代表人/□负责人/□自然人本人</w:t>
      </w:r>
      <w:r>
        <w:rPr>
          <w:rFonts w:hint="eastAsia" w:ascii="宋体" w:hAnsi="宋体" w:cs="仿宋_GB2312"/>
          <w:color w:val="auto"/>
          <w:sz w:val="24"/>
        </w:rPr>
        <w:t>），现授权</w:t>
      </w:r>
      <w:r>
        <w:rPr>
          <w:rFonts w:hint="eastAsia" w:ascii="宋体" w:hAnsi="宋体" w:cs="仿宋_GB2312"/>
          <w:color w:val="auto"/>
          <w:sz w:val="24"/>
          <w:u w:val="single"/>
        </w:rPr>
        <w:t xml:space="preserve"> 姓名 </w:t>
      </w:r>
      <w:r>
        <w:rPr>
          <w:rFonts w:hint="eastAsia" w:ascii="宋体" w:hAnsi="宋体" w:cs="仿宋_GB2312"/>
          <w:color w:val="auto"/>
          <w:sz w:val="24"/>
        </w:rPr>
        <w:t>以我方的名义参加</w:t>
      </w:r>
      <w:r>
        <w:rPr>
          <w:rFonts w:hint="eastAsia" w:ascii="宋体" w:hAnsi="宋体" w:cs="仿宋_GB2312"/>
          <w:color w:val="auto"/>
          <w:sz w:val="24"/>
          <w:u w:val="single"/>
        </w:rPr>
        <w:t xml:space="preserve">      </w:t>
      </w:r>
      <w:r>
        <w:rPr>
          <w:rFonts w:hint="eastAsia" w:ascii="宋体" w:hAnsi="宋体" w:cs="仿宋_GB2312"/>
          <w:color w:val="auto"/>
          <w:sz w:val="24"/>
          <w:u w:val="single"/>
          <w:lang w:eastAsia="zh-CN"/>
        </w:rPr>
        <w:t>项目名称</w:t>
      </w:r>
      <w:r>
        <w:rPr>
          <w:rFonts w:hint="eastAsia" w:ascii="宋体" w:hAnsi="宋体" w:cs="仿宋_GB2312"/>
          <w:color w:val="auto"/>
          <w:sz w:val="24"/>
          <w:u w:val="single"/>
        </w:rPr>
        <w:t xml:space="preserve">        </w:t>
      </w:r>
      <w:r>
        <w:rPr>
          <w:rFonts w:hint="eastAsia" w:ascii="宋体" w:hAnsi="宋体" w:cs="仿宋_GB2312"/>
          <w:color w:val="auto"/>
          <w:sz w:val="24"/>
        </w:rPr>
        <w:t>项目的竞标活动，并代表我方全权办理针对上述项目的所有采购程序和环节的具体事务和签署相关文件。</w:t>
      </w:r>
    </w:p>
    <w:p w14:paraId="109B92D5">
      <w:pPr>
        <w:spacing w:line="360" w:lineRule="auto"/>
        <w:contextualSpacing/>
        <w:rPr>
          <w:rFonts w:ascii="宋体" w:hAnsi="宋体" w:cs="仿宋_GB2312"/>
          <w:color w:val="auto"/>
          <w:sz w:val="24"/>
        </w:rPr>
      </w:pPr>
      <w:r>
        <w:rPr>
          <w:rFonts w:hint="eastAsia" w:ascii="宋体" w:hAnsi="宋体" w:cs="仿宋_GB2312"/>
          <w:color w:val="auto"/>
          <w:sz w:val="24"/>
        </w:rPr>
        <w:t xml:space="preserve">    我方对委托代理人的签字事项负全部责任。</w:t>
      </w:r>
    </w:p>
    <w:p w14:paraId="5C69EF4E">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4DF8780E">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委托代理人无转委托权，特此委托。</w:t>
      </w:r>
    </w:p>
    <w:p w14:paraId="36B68124">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附：法定代表人身份证明及委托代理人有效身份证正反面复印件</w:t>
      </w:r>
    </w:p>
    <w:p w14:paraId="3A0CAEC1">
      <w:pPr>
        <w:spacing w:line="360" w:lineRule="auto"/>
        <w:contextualSpacing/>
        <w:rPr>
          <w:rFonts w:ascii="宋体" w:hAnsi="宋体" w:cs="仿宋_GB2312"/>
          <w:color w:val="auto"/>
          <w:sz w:val="24"/>
        </w:rPr>
      </w:pPr>
    </w:p>
    <w:p w14:paraId="313AB602">
      <w:pPr>
        <w:spacing w:line="360" w:lineRule="auto"/>
        <w:contextualSpacing/>
        <w:rPr>
          <w:rFonts w:ascii="宋体" w:hAnsi="宋体" w:cs="仿宋_GB2312"/>
          <w:color w:val="auto"/>
          <w:sz w:val="24"/>
        </w:rPr>
      </w:pPr>
      <w:r>
        <w:rPr>
          <w:rFonts w:hint="eastAsia" w:ascii="宋体" w:hAnsi="宋体" w:cs="仿宋_GB2312"/>
          <w:color w:val="auto"/>
          <w:sz w:val="24"/>
        </w:rPr>
        <w:t xml:space="preserve">委托代理人（签字）：         法定代表人（签字或者盖章）：                    </w:t>
      </w:r>
    </w:p>
    <w:p w14:paraId="72222C9F">
      <w:pPr>
        <w:spacing w:line="360" w:lineRule="auto"/>
        <w:contextualSpacing/>
        <w:rPr>
          <w:rFonts w:ascii="宋体" w:hAnsi="宋体" w:cs="仿宋_GB2312"/>
          <w:color w:val="auto"/>
          <w:sz w:val="24"/>
        </w:rPr>
      </w:pPr>
      <w:r>
        <w:rPr>
          <w:rFonts w:hint="eastAsia" w:ascii="宋体" w:hAnsi="宋体" w:cs="仿宋_GB2312"/>
          <w:color w:val="auto"/>
          <w:sz w:val="24"/>
        </w:rPr>
        <w:t xml:space="preserve">委托代理人身份证号码：                              </w:t>
      </w:r>
    </w:p>
    <w:p w14:paraId="0168E528">
      <w:pPr>
        <w:spacing w:line="360" w:lineRule="auto"/>
        <w:contextualSpacing/>
        <w:rPr>
          <w:rFonts w:ascii="宋体" w:hAnsi="宋体" w:cs="仿宋_GB2312"/>
          <w:color w:val="auto"/>
          <w:sz w:val="24"/>
        </w:rPr>
      </w:pPr>
      <w:r>
        <w:rPr>
          <w:rFonts w:hint="eastAsia" w:ascii="宋体" w:hAnsi="宋体" w:cs="仿宋_GB2312"/>
          <w:color w:val="auto"/>
          <w:sz w:val="24"/>
        </w:rPr>
        <w:t xml:space="preserve">                                </w:t>
      </w:r>
    </w:p>
    <w:p w14:paraId="460EB185">
      <w:pPr>
        <w:spacing w:line="360" w:lineRule="auto"/>
        <w:contextualSpacing/>
        <w:rPr>
          <w:rFonts w:ascii="宋体" w:hAnsi="宋体" w:cs="仿宋_GB2312"/>
          <w:color w:val="auto"/>
          <w:sz w:val="24"/>
        </w:rPr>
      </w:pPr>
      <w:r>
        <w:rPr>
          <w:rFonts w:hint="eastAsia" w:ascii="宋体" w:hAnsi="宋体" w:cs="仿宋_GB2312"/>
          <w:color w:val="auto"/>
          <w:sz w:val="24"/>
        </w:rPr>
        <w:t xml:space="preserve">                         供应商（盖公章）：                      </w:t>
      </w:r>
    </w:p>
    <w:p w14:paraId="28A3F6DD">
      <w:pPr>
        <w:spacing w:line="360" w:lineRule="auto"/>
        <w:contextualSpacing/>
        <w:rPr>
          <w:rFonts w:ascii="宋体" w:hAnsi="宋体" w:cs="仿宋_GB2312"/>
          <w:color w:val="auto"/>
          <w:sz w:val="24"/>
        </w:rPr>
      </w:pPr>
      <w:r>
        <w:rPr>
          <w:rFonts w:hint="eastAsia" w:ascii="宋体" w:hAnsi="宋体" w:cs="仿宋_GB2312"/>
          <w:color w:val="auto"/>
          <w:sz w:val="24"/>
        </w:rPr>
        <w:t xml:space="preserve">                                         年    月    日</w:t>
      </w:r>
    </w:p>
    <w:p w14:paraId="1342BDDF">
      <w:pPr>
        <w:spacing w:line="360" w:lineRule="auto"/>
        <w:contextualSpacing/>
        <w:rPr>
          <w:rFonts w:ascii="宋体" w:hAnsi="宋体" w:cs="仿宋_GB2312"/>
          <w:color w:val="auto"/>
          <w:sz w:val="24"/>
        </w:rPr>
      </w:pPr>
    </w:p>
    <w:p w14:paraId="58CE8C87">
      <w:pPr>
        <w:spacing w:line="360" w:lineRule="auto"/>
        <w:contextualSpacing/>
        <w:rPr>
          <w:rFonts w:ascii="宋体" w:hAnsi="宋体" w:cs="仿宋_GB2312"/>
          <w:color w:val="auto"/>
          <w:sz w:val="24"/>
        </w:rPr>
      </w:pPr>
      <w:r>
        <w:rPr>
          <w:rFonts w:hint="eastAsia" w:ascii="宋体" w:hAnsi="宋体" w:cs="仿宋_GB2312"/>
          <w:color w:val="auto"/>
          <w:sz w:val="24"/>
        </w:rPr>
        <w:t>注：1. 法定代表人必须在授权委托书上亲笔签字或者盖章，委托代理人必须在授权委托书上亲笔签字，</w:t>
      </w:r>
      <w:r>
        <w:rPr>
          <w:rFonts w:hint="eastAsia" w:ascii="宋体" w:hAnsi="宋体" w:cs="仿宋_GB2312"/>
          <w:b/>
          <w:color w:val="auto"/>
          <w:sz w:val="24"/>
        </w:rPr>
        <w:t>否则其响应文件按无效响应处理。</w:t>
      </w:r>
    </w:p>
    <w:p w14:paraId="00181348">
      <w:pPr>
        <w:spacing w:line="360" w:lineRule="auto"/>
        <w:ind w:firstLine="480" w:firstLineChars="200"/>
        <w:contextualSpacing/>
        <w:jc w:val="left"/>
        <w:rPr>
          <w:rFonts w:ascii="宋体" w:hAnsi="宋体" w:cs="仿宋_GB2312"/>
          <w:color w:val="auto"/>
          <w:sz w:val="24"/>
        </w:rPr>
      </w:pPr>
      <w:r>
        <w:rPr>
          <w:rFonts w:ascii="宋体" w:hAnsi="宋体" w:cs="仿宋_GB2312"/>
          <w:color w:val="auto"/>
          <w:sz w:val="24"/>
        </w:rPr>
        <w:t>2.</w:t>
      </w:r>
      <w:r>
        <w:rPr>
          <w:rFonts w:hint="eastAsia" w:ascii="宋体" w:hAnsi="宋体" w:cs="仿宋_GB2312"/>
          <w:color w:val="auto"/>
          <w:sz w:val="24"/>
        </w:rPr>
        <w:t>法人、其他组织竞标时“我方”是指“我单位”，自然人竞标时“我方”是指“本人”。</w:t>
      </w:r>
    </w:p>
    <w:p w14:paraId="6A88BAD1">
      <w:pPr>
        <w:spacing w:line="360" w:lineRule="auto"/>
        <w:ind w:firstLine="420" w:firstLineChars="200"/>
        <w:contextualSpacing/>
        <w:jc w:val="left"/>
        <w:rPr>
          <w:rFonts w:ascii="仿宋_GB2312" w:hAnsi="仿宋_GB2312" w:eastAsia="仿宋_GB2312" w:cs="仿宋_GB2312"/>
          <w:color w:val="auto"/>
          <w:szCs w:val="21"/>
        </w:rPr>
      </w:pPr>
    </w:p>
    <w:p w14:paraId="59EBDCB2">
      <w:pPr>
        <w:contextualSpacing/>
        <w:jc w:val="center"/>
        <w:rPr>
          <w:rFonts w:ascii="方正小标宋简体" w:hAnsi="方正小标宋简体" w:eastAsia="方正小标宋简体" w:cs="方正小标宋简体"/>
          <w:color w:val="auto"/>
          <w:sz w:val="44"/>
          <w:szCs w:val="44"/>
        </w:rPr>
      </w:pPr>
      <w:r>
        <w:rPr>
          <w:rFonts w:ascii="仿宋_GB2312" w:hAnsi="仿宋_GB2312" w:eastAsia="仿宋_GB2312" w:cs="仿宋_GB2312"/>
          <w:color w:val="auto"/>
          <w:szCs w:val="21"/>
        </w:rPr>
        <w:br w:type="page"/>
      </w:r>
      <w:r>
        <w:rPr>
          <w:rFonts w:hint="eastAsia" w:ascii="方正小标宋简体" w:hAnsi="方正小标宋简体" w:eastAsia="方正小标宋简体" w:cs="方正小标宋简体"/>
          <w:color w:val="auto"/>
          <w:sz w:val="44"/>
          <w:szCs w:val="44"/>
        </w:rPr>
        <w:t>授权委托书</w:t>
      </w:r>
    </w:p>
    <w:p w14:paraId="4C077750">
      <w:pPr>
        <w:contextualSpacing/>
        <w:jc w:val="center"/>
        <w:rPr>
          <w:rFonts w:ascii="方正小标宋简体" w:hAnsi="方正小标宋简体" w:eastAsia="方正小标宋简体" w:cs="方正小标宋简体"/>
          <w:color w:val="auto"/>
          <w:sz w:val="28"/>
          <w:szCs w:val="28"/>
        </w:rPr>
      </w:pPr>
      <w:r>
        <w:rPr>
          <w:rFonts w:hint="eastAsia" w:ascii="方正小标宋简体" w:hAnsi="方正小标宋简体" w:eastAsia="方正小标宋简体" w:cs="方正小标宋简体"/>
          <w:color w:val="auto"/>
          <w:sz w:val="28"/>
          <w:szCs w:val="28"/>
        </w:rPr>
        <w:t>（联合体竞标格式）</w:t>
      </w:r>
    </w:p>
    <w:p w14:paraId="397103E8">
      <w:pPr>
        <w:contextualSpacing/>
        <w:jc w:val="center"/>
        <w:rPr>
          <w:rFonts w:ascii="方正小标宋简体" w:hAnsi="方正小标宋简体" w:eastAsia="方正小标宋简体" w:cs="方正小标宋简体"/>
          <w:color w:val="auto"/>
          <w:sz w:val="28"/>
          <w:szCs w:val="28"/>
        </w:rPr>
      </w:pPr>
      <w:r>
        <w:rPr>
          <w:rFonts w:hint="eastAsia" w:ascii="方正小标宋简体" w:hAnsi="方正小标宋简体" w:eastAsia="方正小标宋简体" w:cs="方正小标宋简体"/>
          <w:color w:val="auto"/>
          <w:sz w:val="28"/>
          <w:szCs w:val="28"/>
        </w:rPr>
        <w:t>（如有委托时）</w:t>
      </w:r>
    </w:p>
    <w:p w14:paraId="4A835AFC">
      <w:pPr>
        <w:spacing w:line="360" w:lineRule="auto"/>
        <w:contextualSpacing/>
        <w:rPr>
          <w:rFonts w:ascii="仿宋_GB2312" w:hAnsi="仿宋_GB2312" w:eastAsia="仿宋_GB2312" w:cs="仿宋_GB2312"/>
          <w:color w:val="auto"/>
          <w:sz w:val="32"/>
          <w:szCs w:val="32"/>
        </w:rPr>
      </w:pPr>
    </w:p>
    <w:p w14:paraId="30621035">
      <w:pPr>
        <w:spacing w:line="360" w:lineRule="auto"/>
        <w:ind w:firstLine="480" w:firstLineChars="200"/>
        <w:contextualSpacing/>
        <w:jc w:val="left"/>
        <w:rPr>
          <w:rFonts w:ascii="宋体" w:hAnsi="宋体" w:cs="仿宋_GB2312"/>
          <w:color w:val="auto"/>
          <w:sz w:val="24"/>
        </w:rPr>
      </w:pPr>
      <w:r>
        <w:rPr>
          <w:rFonts w:hint="eastAsia" w:ascii="宋体" w:hAnsi="宋体" w:cs="仿宋_GB2312"/>
          <w:color w:val="auto"/>
          <w:sz w:val="24"/>
        </w:rPr>
        <w:t>本授权委托书声明：根据</w:t>
      </w:r>
      <w:r>
        <w:rPr>
          <w:rFonts w:hint="eastAsia" w:ascii="宋体" w:hAnsi="宋体" w:cs="仿宋_GB2312"/>
          <w:color w:val="auto"/>
          <w:sz w:val="24"/>
          <w:u w:val="single"/>
        </w:rPr>
        <w:t xml:space="preserve">                </w:t>
      </w:r>
      <w:r>
        <w:rPr>
          <w:rFonts w:hint="eastAsia" w:ascii="宋体" w:hAnsi="宋体" w:cs="仿宋_GB2312"/>
          <w:color w:val="auto"/>
          <w:sz w:val="24"/>
        </w:rPr>
        <w:t>（牵头人名称）与</w:t>
      </w:r>
      <w:r>
        <w:rPr>
          <w:rFonts w:hint="eastAsia" w:ascii="宋体" w:hAnsi="宋体" w:cs="仿宋_GB2312"/>
          <w:color w:val="auto"/>
          <w:sz w:val="24"/>
          <w:u w:val="single"/>
        </w:rPr>
        <w:t xml:space="preserve">              </w:t>
      </w:r>
      <w:r>
        <w:rPr>
          <w:rFonts w:hint="eastAsia" w:ascii="宋体" w:hAnsi="宋体" w:cs="仿宋_GB2312"/>
          <w:color w:val="auto"/>
          <w:sz w:val="24"/>
        </w:rPr>
        <w:t>（联合体其他成员名称）签订的《联合体竞标协议书》的内容，</w:t>
      </w:r>
      <w:r>
        <w:rPr>
          <w:rFonts w:hint="eastAsia" w:ascii="宋体" w:hAnsi="宋体" w:cs="仿宋_GB2312"/>
          <w:color w:val="auto"/>
          <w:sz w:val="24"/>
          <w:u w:val="single"/>
        </w:rPr>
        <w:t xml:space="preserve">                       </w:t>
      </w:r>
      <w:r>
        <w:rPr>
          <w:rFonts w:hint="eastAsia" w:ascii="宋体" w:hAnsi="宋体" w:cs="仿宋_GB2312"/>
          <w:color w:val="auto"/>
          <w:sz w:val="24"/>
        </w:rPr>
        <w:t>（牵头人名称）的法定代表人</w:t>
      </w:r>
      <w:r>
        <w:rPr>
          <w:rFonts w:hint="eastAsia" w:ascii="宋体" w:hAnsi="宋体" w:cs="仿宋_GB2312"/>
          <w:color w:val="auto"/>
          <w:sz w:val="24"/>
          <w:u w:val="single"/>
        </w:rPr>
        <w:t xml:space="preserve">      </w:t>
      </w:r>
      <w:r>
        <w:rPr>
          <w:rFonts w:hint="eastAsia" w:ascii="宋体" w:hAnsi="宋体" w:cs="仿宋_GB2312"/>
          <w:color w:val="auto"/>
          <w:sz w:val="24"/>
        </w:rPr>
        <w:t>（姓名）现授权</w:t>
      </w:r>
      <w:r>
        <w:rPr>
          <w:rFonts w:hint="eastAsia" w:ascii="宋体" w:hAnsi="宋体" w:cs="仿宋_GB2312"/>
          <w:color w:val="auto"/>
          <w:sz w:val="24"/>
          <w:u w:val="single"/>
        </w:rPr>
        <w:t xml:space="preserve">      </w:t>
      </w:r>
      <w:r>
        <w:rPr>
          <w:rFonts w:hint="eastAsia" w:ascii="宋体" w:hAnsi="宋体" w:cs="仿宋_GB2312"/>
          <w:color w:val="auto"/>
          <w:sz w:val="24"/>
        </w:rPr>
        <w:t>（姓名）为联合委托代理人，并代表我方全权办理针对上述项目的所有采购程序和环节的具体事务和签署相关文件。</w:t>
      </w:r>
    </w:p>
    <w:p w14:paraId="4B80AEAF">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我方对委托代理人的签字事项负全部责任。</w:t>
      </w:r>
    </w:p>
    <w:p w14:paraId="0CD39E7D">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700E3940">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委托代理人无转委托权，特此委托。</w:t>
      </w:r>
    </w:p>
    <w:p w14:paraId="7757F646">
      <w:pPr>
        <w:spacing w:line="360" w:lineRule="auto"/>
        <w:contextualSpacing/>
        <w:rPr>
          <w:rFonts w:ascii="宋体" w:hAnsi="宋体" w:cs="仿宋_GB2312"/>
          <w:color w:val="auto"/>
          <w:sz w:val="24"/>
        </w:rPr>
      </w:pPr>
      <w:r>
        <w:rPr>
          <w:rFonts w:hint="eastAsia" w:ascii="宋体" w:hAnsi="宋体" w:cs="仿宋_GB2312"/>
          <w:color w:val="auto"/>
          <w:sz w:val="24"/>
        </w:rPr>
        <w:t xml:space="preserve">    附：法定代表人身份证明及委托代理人有效身份证正反面复印件</w:t>
      </w:r>
    </w:p>
    <w:p w14:paraId="6520DF87">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牵头人法定代表人（签字或者盖章）：</w:t>
      </w:r>
    </w:p>
    <w:p w14:paraId="497F50A0">
      <w:pPr>
        <w:spacing w:line="360" w:lineRule="auto"/>
        <w:ind w:firstLine="3120" w:firstLineChars="1300"/>
        <w:contextualSpacing/>
        <w:rPr>
          <w:rFonts w:ascii="宋体" w:hAnsi="宋体" w:cs="仿宋_GB2312"/>
          <w:color w:val="auto"/>
          <w:sz w:val="24"/>
        </w:rPr>
      </w:pPr>
      <w:r>
        <w:rPr>
          <w:rFonts w:hint="eastAsia" w:ascii="宋体" w:hAnsi="宋体" w:cs="仿宋_GB2312"/>
          <w:color w:val="auto"/>
          <w:sz w:val="24"/>
        </w:rPr>
        <w:t>牵头人（盖公章）：</w:t>
      </w:r>
    </w:p>
    <w:p w14:paraId="2241DDE6">
      <w:pPr>
        <w:spacing w:line="360" w:lineRule="auto"/>
        <w:ind w:firstLine="3840" w:firstLineChars="1600"/>
        <w:contextualSpacing/>
        <w:rPr>
          <w:rFonts w:ascii="宋体" w:hAnsi="宋体" w:cs="仿宋_GB2312"/>
          <w:color w:val="auto"/>
          <w:sz w:val="24"/>
        </w:rPr>
      </w:pPr>
      <w:r>
        <w:rPr>
          <w:rFonts w:hint="eastAsia" w:ascii="宋体" w:hAnsi="宋体" w:cs="仿宋_GB2312"/>
          <w:color w:val="auto"/>
          <w:sz w:val="24"/>
        </w:rPr>
        <w:t>日期：    年   月   日</w:t>
      </w:r>
    </w:p>
    <w:p w14:paraId="7C05DC6A">
      <w:pPr>
        <w:spacing w:line="360" w:lineRule="auto"/>
        <w:contextualSpacing/>
        <w:rPr>
          <w:rFonts w:ascii="宋体" w:hAnsi="宋体" w:cs="仿宋_GB2312"/>
          <w:color w:val="auto"/>
          <w:sz w:val="24"/>
        </w:rPr>
      </w:pPr>
    </w:p>
    <w:p w14:paraId="41F6A8D1">
      <w:pPr>
        <w:spacing w:line="360" w:lineRule="auto"/>
        <w:ind w:firstLine="3120" w:firstLineChars="1300"/>
        <w:contextualSpacing/>
        <w:rPr>
          <w:rFonts w:ascii="宋体" w:hAnsi="宋体" w:cs="仿宋_GB2312"/>
          <w:color w:val="auto"/>
          <w:sz w:val="24"/>
        </w:rPr>
      </w:pPr>
      <w:r>
        <w:rPr>
          <w:rFonts w:hint="eastAsia" w:ascii="宋体" w:hAnsi="宋体" w:cs="仿宋_GB2312"/>
          <w:color w:val="auto"/>
          <w:sz w:val="24"/>
        </w:rPr>
        <w:t>被授权人（签字）：</w:t>
      </w:r>
    </w:p>
    <w:p w14:paraId="3C9AF215">
      <w:pPr>
        <w:spacing w:line="360" w:lineRule="auto"/>
        <w:ind w:firstLine="3840" w:firstLineChars="1600"/>
        <w:contextualSpacing/>
        <w:rPr>
          <w:rFonts w:ascii="宋体" w:hAnsi="宋体" w:cs="仿宋_GB2312"/>
          <w:color w:val="auto"/>
          <w:sz w:val="24"/>
        </w:rPr>
      </w:pPr>
      <w:r>
        <w:rPr>
          <w:rFonts w:hint="eastAsia" w:ascii="宋体" w:hAnsi="宋体" w:cs="仿宋_GB2312"/>
          <w:color w:val="auto"/>
          <w:sz w:val="24"/>
        </w:rPr>
        <w:t>日期：    年   月   日</w:t>
      </w:r>
    </w:p>
    <w:p w14:paraId="46D5057A">
      <w:pPr>
        <w:spacing w:line="360" w:lineRule="auto"/>
        <w:contextualSpacing/>
        <w:rPr>
          <w:rFonts w:ascii="宋体" w:hAnsi="宋体" w:cs="仿宋_GB2312"/>
          <w:color w:val="auto"/>
          <w:sz w:val="24"/>
        </w:rPr>
      </w:pPr>
    </w:p>
    <w:p w14:paraId="4044F234">
      <w:pPr>
        <w:spacing w:line="360" w:lineRule="auto"/>
        <w:contextualSpacing/>
        <w:rPr>
          <w:rFonts w:ascii="宋体" w:hAnsi="宋体" w:cs="仿宋_GB2312"/>
          <w:color w:val="auto"/>
          <w:sz w:val="24"/>
        </w:rPr>
      </w:pPr>
      <w:r>
        <w:rPr>
          <w:rFonts w:hint="eastAsia" w:ascii="宋体" w:hAnsi="宋体" w:cs="仿宋_GB2312"/>
          <w:color w:val="auto"/>
          <w:sz w:val="24"/>
        </w:rPr>
        <w:t>注：1. 法定代表人必须在授权委托书上亲笔签字或者盖章，委托代理人必须在授权委托书上亲笔签字，</w:t>
      </w:r>
      <w:r>
        <w:rPr>
          <w:rFonts w:hint="eastAsia" w:ascii="宋体" w:hAnsi="宋体" w:cs="仿宋_GB2312"/>
          <w:b/>
          <w:bCs/>
          <w:color w:val="auto"/>
          <w:sz w:val="24"/>
        </w:rPr>
        <w:t>否</w:t>
      </w:r>
      <w:r>
        <w:rPr>
          <w:rFonts w:hint="eastAsia" w:ascii="宋体" w:hAnsi="宋体" w:cs="仿宋_GB2312"/>
          <w:b/>
          <w:color w:val="auto"/>
          <w:sz w:val="24"/>
        </w:rPr>
        <w:t>则其响应文件按无效响应处理。</w:t>
      </w:r>
    </w:p>
    <w:p w14:paraId="696CF2F2">
      <w:pPr>
        <w:spacing w:line="360" w:lineRule="auto"/>
        <w:ind w:firstLine="480" w:firstLineChars="200"/>
        <w:contextualSpacing/>
        <w:jc w:val="left"/>
        <w:rPr>
          <w:rFonts w:ascii="宋体" w:hAnsi="宋体" w:cs="仿宋_GB2312"/>
          <w:color w:val="auto"/>
          <w:sz w:val="24"/>
        </w:rPr>
      </w:pPr>
      <w:r>
        <w:rPr>
          <w:rFonts w:hint="eastAsia" w:ascii="宋体" w:hAnsi="宋体" w:cs="仿宋_GB2312"/>
          <w:color w:val="auto"/>
          <w:sz w:val="24"/>
        </w:rPr>
        <w:t>2.本授权委托书应由联合体牵头人的法定代表人按上述规定签署。</w:t>
      </w:r>
    </w:p>
    <w:p w14:paraId="45EC38F0">
      <w:pPr>
        <w:spacing w:line="360" w:lineRule="auto"/>
        <w:ind w:firstLine="480" w:firstLineChars="200"/>
        <w:contextualSpacing/>
        <w:jc w:val="left"/>
        <w:rPr>
          <w:rFonts w:ascii="仿宋_GB2312" w:hAnsi="仿宋_GB2312" w:eastAsia="仿宋_GB2312" w:cs="仿宋_GB2312"/>
          <w:color w:val="auto"/>
          <w:szCs w:val="21"/>
        </w:rPr>
      </w:pPr>
      <w:r>
        <w:rPr>
          <w:rFonts w:hint="eastAsia" w:ascii="宋体" w:hAnsi="宋体" w:cs="仿宋_GB2312"/>
          <w:color w:val="auto"/>
          <w:sz w:val="24"/>
        </w:rPr>
        <w:t>3</w:t>
      </w:r>
      <w:r>
        <w:rPr>
          <w:rFonts w:ascii="宋体" w:hAnsi="宋体" w:cs="仿宋_GB2312"/>
          <w:color w:val="auto"/>
          <w:sz w:val="24"/>
        </w:rPr>
        <w:t>.</w:t>
      </w:r>
      <w:r>
        <w:rPr>
          <w:rFonts w:hint="eastAsia" w:ascii="宋体" w:hAnsi="宋体" w:cs="仿宋_GB2312"/>
          <w:color w:val="auto"/>
          <w:sz w:val="24"/>
        </w:rPr>
        <w:t>法人、其他组织竞标时“我方”是指“我单位”，自然人竞标时“我方”是指“本人”。</w:t>
      </w:r>
    </w:p>
    <w:p w14:paraId="330FC3D8">
      <w:pPr>
        <w:spacing w:line="500" w:lineRule="exact"/>
        <w:jc w:val="center"/>
        <w:rPr>
          <w:rFonts w:ascii="方正小标宋简体" w:hAnsi="方正小标宋简体" w:eastAsia="方正小标宋简体" w:cs="方正小标宋简体"/>
          <w:bCs/>
          <w:color w:val="auto"/>
          <w:sz w:val="44"/>
          <w:szCs w:val="44"/>
        </w:rPr>
      </w:pPr>
      <w:r>
        <w:rPr>
          <w:rFonts w:hint="eastAsia" w:ascii="仿宋_GB2312" w:hAnsi="仿宋_GB2312" w:eastAsia="仿宋_GB2312" w:cs="仿宋_GB2312"/>
          <w:color w:val="auto"/>
          <w:sz w:val="32"/>
          <w:szCs w:val="32"/>
        </w:rPr>
        <w:br w:type="page"/>
      </w:r>
      <w:r>
        <w:rPr>
          <w:rFonts w:hint="eastAsia" w:ascii="方正小标宋简体" w:hAnsi="方正小标宋简体" w:eastAsia="方正小标宋简体" w:cs="方正小标宋简体"/>
          <w:bCs/>
          <w:color w:val="auto"/>
          <w:sz w:val="44"/>
          <w:szCs w:val="44"/>
        </w:rPr>
        <w:t>商务要求偏离表格式</w:t>
      </w:r>
    </w:p>
    <w:p w14:paraId="2FFD32CB">
      <w:pPr>
        <w:spacing w:line="500" w:lineRule="exact"/>
        <w:jc w:val="center"/>
        <w:rPr>
          <w:rFonts w:ascii="宋体" w:hAnsi="宋体"/>
          <w:b/>
          <w:color w:val="auto"/>
          <w:sz w:val="28"/>
          <w:szCs w:val="28"/>
        </w:rPr>
      </w:pPr>
      <w:r>
        <w:rPr>
          <w:rFonts w:hint="eastAsia" w:ascii="方正小标宋简体" w:hAnsi="方正小标宋简体" w:eastAsia="方正小标宋简体" w:cs="方正小标宋简体"/>
          <w:bCs/>
          <w:color w:val="auto"/>
          <w:sz w:val="28"/>
          <w:szCs w:val="28"/>
        </w:rPr>
        <w:t>（注：按采购需求具体条款修改）</w:t>
      </w:r>
    </w:p>
    <w:p w14:paraId="61B6074B">
      <w:pPr>
        <w:snapToGrid w:val="0"/>
        <w:spacing w:before="50"/>
        <w:jc w:val="left"/>
        <w:rPr>
          <w:rFonts w:ascii="宋体" w:hAnsi="宋体"/>
          <w:color w:val="auto"/>
          <w:sz w:val="24"/>
        </w:rPr>
      </w:pPr>
    </w:p>
    <w:p w14:paraId="3AD1A56E">
      <w:pPr>
        <w:pStyle w:val="15"/>
        <w:spacing w:line="360" w:lineRule="auto"/>
        <w:rPr>
          <w:rFonts w:hAnsi="宋体" w:cs="仿宋_GB2312"/>
          <w:color w:val="auto"/>
          <w:sz w:val="24"/>
          <w:szCs w:val="24"/>
        </w:rPr>
      </w:pPr>
      <w:r>
        <w:rPr>
          <w:rFonts w:hint="eastAsia" w:hAnsi="宋体" w:cs="仿宋_GB2312"/>
          <w:color w:val="auto"/>
          <w:sz w:val="24"/>
          <w:szCs w:val="24"/>
        </w:rPr>
        <w:t>所竞分标：</w:t>
      </w:r>
      <w:r>
        <w:rPr>
          <w:rFonts w:hint="eastAsia" w:hAnsi="宋体" w:cs="仿宋_GB2312"/>
          <w:color w:val="auto"/>
          <w:sz w:val="24"/>
          <w:szCs w:val="24"/>
          <w:u w:val="single"/>
        </w:rPr>
        <w:t xml:space="preserve">              </w:t>
      </w:r>
    </w:p>
    <w:tbl>
      <w:tblPr>
        <w:tblStyle w:val="27"/>
        <w:tblpPr w:leftFromText="180" w:rightFromText="180" w:vertAnchor="text" w:horzAnchor="margin" w:tblpY="311"/>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6FF9C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315D96B0">
            <w:pPr>
              <w:snapToGrid w:val="0"/>
              <w:spacing w:before="120" w:beforeLines="50" w:line="360" w:lineRule="auto"/>
              <w:jc w:val="center"/>
              <w:rPr>
                <w:rFonts w:ascii="宋体" w:hAnsi="宋体" w:cs="仿宋_GB2312"/>
                <w:color w:val="auto"/>
                <w:sz w:val="24"/>
              </w:rPr>
            </w:pPr>
            <w:r>
              <w:rPr>
                <w:rFonts w:hint="eastAsia" w:ascii="宋体" w:hAnsi="宋体" w:cs="仿宋_GB2312"/>
                <w:color w:val="auto"/>
                <w:sz w:val="24"/>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24649B29">
            <w:pPr>
              <w:snapToGrid w:val="0"/>
              <w:spacing w:before="120" w:beforeLines="50" w:line="360" w:lineRule="auto"/>
              <w:jc w:val="center"/>
              <w:rPr>
                <w:rFonts w:ascii="宋体" w:hAnsi="宋体" w:cs="仿宋_GB2312"/>
                <w:color w:val="auto"/>
                <w:sz w:val="24"/>
              </w:rPr>
            </w:pPr>
            <w:r>
              <w:rPr>
                <w:rFonts w:hint="eastAsia" w:ascii="宋体" w:hAnsi="宋体" w:cs="仿宋_GB2312"/>
                <w:color w:val="auto"/>
                <w:sz w:val="24"/>
              </w:rPr>
              <w:t>谈判文件商务要求</w:t>
            </w:r>
          </w:p>
        </w:tc>
        <w:tc>
          <w:tcPr>
            <w:tcW w:w="2633" w:type="dxa"/>
            <w:tcBorders>
              <w:top w:val="single" w:color="auto" w:sz="4" w:space="0"/>
              <w:left w:val="single" w:color="auto" w:sz="4" w:space="0"/>
              <w:bottom w:val="single" w:color="auto" w:sz="4" w:space="0"/>
              <w:right w:val="single" w:color="auto" w:sz="4" w:space="0"/>
            </w:tcBorders>
            <w:vAlign w:val="center"/>
          </w:tcPr>
          <w:p w14:paraId="29DDFB58">
            <w:pPr>
              <w:snapToGrid w:val="0"/>
              <w:spacing w:before="120" w:beforeLines="50" w:line="360" w:lineRule="auto"/>
              <w:jc w:val="center"/>
              <w:rPr>
                <w:rFonts w:ascii="宋体" w:hAnsi="宋体" w:cs="仿宋_GB2312"/>
                <w:color w:val="auto"/>
                <w:sz w:val="24"/>
              </w:rPr>
            </w:pPr>
            <w:r>
              <w:rPr>
                <w:rFonts w:hint="eastAsia" w:ascii="宋体" w:hAnsi="宋体" w:cs="仿宋_GB2312"/>
                <w:color w:val="auto"/>
                <w:sz w:val="24"/>
              </w:rPr>
              <w:t>供应商的响应</w:t>
            </w:r>
          </w:p>
        </w:tc>
        <w:tc>
          <w:tcPr>
            <w:tcW w:w="1829" w:type="dxa"/>
            <w:tcBorders>
              <w:top w:val="single" w:color="auto" w:sz="4" w:space="0"/>
              <w:left w:val="single" w:color="auto" w:sz="4" w:space="0"/>
              <w:bottom w:val="single" w:color="auto" w:sz="4" w:space="0"/>
              <w:right w:val="single" w:color="auto" w:sz="4" w:space="0"/>
            </w:tcBorders>
            <w:vAlign w:val="center"/>
          </w:tcPr>
          <w:p w14:paraId="18CC4D5D">
            <w:pPr>
              <w:snapToGrid w:val="0"/>
              <w:spacing w:before="120" w:beforeLines="50" w:line="360" w:lineRule="auto"/>
              <w:jc w:val="center"/>
              <w:rPr>
                <w:rFonts w:ascii="宋体" w:hAnsi="宋体" w:cs="仿宋_GB2312"/>
                <w:color w:val="auto"/>
                <w:sz w:val="24"/>
              </w:rPr>
            </w:pPr>
            <w:r>
              <w:rPr>
                <w:rFonts w:hint="eastAsia" w:ascii="宋体" w:hAnsi="宋体" w:cs="仿宋_GB2312"/>
                <w:color w:val="auto"/>
                <w:sz w:val="24"/>
              </w:rPr>
              <w:t>偏离说明</w:t>
            </w:r>
          </w:p>
        </w:tc>
      </w:tr>
      <w:tr w14:paraId="15A1D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vAlign w:val="center"/>
          </w:tcPr>
          <w:p w14:paraId="664458A8">
            <w:pPr>
              <w:spacing w:line="360" w:lineRule="auto"/>
              <w:jc w:val="center"/>
              <w:rPr>
                <w:rFonts w:ascii="宋体" w:hAnsi="宋体"/>
                <w:color w:val="auto"/>
                <w:sz w:val="24"/>
              </w:rPr>
            </w:pPr>
            <w:r>
              <w:rPr>
                <w:rFonts w:hint="eastAsia" w:ascii="宋体" w:hAnsi="宋体"/>
                <w:color w:val="auto"/>
                <w:szCs w:val="21"/>
              </w:rPr>
              <w:t>合同签订时间</w:t>
            </w:r>
          </w:p>
        </w:tc>
        <w:tc>
          <w:tcPr>
            <w:tcW w:w="2668" w:type="dxa"/>
            <w:tcBorders>
              <w:top w:val="single" w:color="auto" w:sz="4" w:space="0"/>
              <w:left w:val="single" w:color="auto" w:sz="4" w:space="0"/>
              <w:bottom w:val="single" w:color="auto" w:sz="4" w:space="0"/>
              <w:right w:val="single" w:color="auto" w:sz="4" w:space="0"/>
            </w:tcBorders>
            <w:vAlign w:val="center"/>
          </w:tcPr>
          <w:p w14:paraId="0351693B">
            <w:pPr>
              <w:jc w:val="center"/>
              <w:rPr>
                <w:rFonts w:ascii="宋体" w:hAnsi="宋体"/>
                <w:color w:val="auto"/>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502AC3FC">
            <w:pPr>
              <w:snapToGrid w:val="0"/>
              <w:spacing w:before="120" w:beforeLines="50" w:line="360" w:lineRule="auto"/>
              <w:jc w:val="center"/>
              <w:rPr>
                <w:rFonts w:ascii="宋体" w:hAnsi="宋体" w:cs="仿宋_GB2312"/>
                <w:color w:val="auto"/>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0630DB95">
            <w:pPr>
              <w:snapToGrid w:val="0"/>
              <w:spacing w:before="120" w:beforeLines="50" w:line="360" w:lineRule="auto"/>
              <w:jc w:val="center"/>
              <w:rPr>
                <w:rFonts w:ascii="宋体" w:hAnsi="宋体" w:cs="仿宋_GB2312"/>
                <w:color w:val="auto"/>
                <w:sz w:val="24"/>
              </w:rPr>
            </w:pPr>
          </w:p>
        </w:tc>
      </w:tr>
      <w:tr w14:paraId="7DB2A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7F9E2BCC">
            <w:pPr>
              <w:spacing w:line="360" w:lineRule="auto"/>
              <w:jc w:val="center"/>
              <w:rPr>
                <w:rFonts w:ascii="宋体" w:hAnsi="宋体"/>
                <w:color w:val="auto"/>
                <w:sz w:val="24"/>
              </w:rPr>
            </w:pPr>
            <w:r>
              <w:rPr>
                <w:rFonts w:hint="eastAsia" w:ascii="宋体" w:hAnsi="宋体" w:cs="宋体"/>
                <w:color w:val="auto"/>
                <w:szCs w:val="21"/>
                <w:lang w:eastAsia="zh-CN"/>
              </w:rPr>
              <w:t>合同履约期限</w:t>
            </w:r>
            <w:r>
              <w:rPr>
                <w:rFonts w:hint="eastAsia" w:ascii="宋体" w:hAnsi="宋体" w:cs="宋体"/>
                <w:color w:val="auto"/>
                <w:szCs w:val="21"/>
              </w:rPr>
              <w:t>和地点</w:t>
            </w:r>
          </w:p>
        </w:tc>
        <w:tc>
          <w:tcPr>
            <w:tcW w:w="2668" w:type="dxa"/>
            <w:tcBorders>
              <w:top w:val="single" w:color="auto" w:sz="4" w:space="0"/>
              <w:left w:val="single" w:color="auto" w:sz="4" w:space="0"/>
              <w:bottom w:val="single" w:color="auto" w:sz="4" w:space="0"/>
              <w:right w:val="single" w:color="auto" w:sz="4" w:space="0"/>
            </w:tcBorders>
            <w:vAlign w:val="center"/>
          </w:tcPr>
          <w:p w14:paraId="342F8C2C">
            <w:pPr>
              <w:jc w:val="center"/>
              <w:rPr>
                <w:rFonts w:ascii="宋体" w:hAnsi="宋体"/>
                <w:color w:val="auto"/>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27304138">
            <w:pPr>
              <w:snapToGrid w:val="0"/>
              <w:spacing w:before="120" w:beforeLines="50" w:line="360" w:lineRule="auto"/>
              <w:ind w:left="43"/>
              <w:jc w:val="center"/>
              <w:rPr>
                <w:rFonts w:ascii="宋体" w:hAnsi="宋体" w:cs="仿宋_GB2312"/>
                <w:color w:val="auto"/>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427365A5">
            <w:pPr>
              <w:snapToGrid w:val="0"/>
              <w:spacing w:before="120" w:beforeLines="50" w:line="360" w:lineRule="auto"/>
              <w:ind w:left="43"/>
              <w:jc w:val="center"/>
              <w:rPr>
                <w:rFonts w:ascii="宋体" w:hAnsi="宋体" w:cs="仿宋_GB2312"/>
                <w:color w:val="auto"/>
                <w:sz w:val="24"/>
              </w:rPr>
            </w:pPr>
          </w:p>
        </w:tc>
      </w:tr>
      <w:tr w14:paraId="7E79D4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7FFF1A19">
            <w:pPr>
              <w:snapToGrid w:val="0"/>
              <w:spacing w:before="120" w:beforeLines="50" w:line="360" w:lineRule="auto"/>
              <w:jc w:val="center"/>
              <w:rPr>
                <w:rFonts w:ascii="宋体" w:hAnsi="宋体" w:cs="仿宋_GB2312"/>
                <w:color w:val="auto"/>
                <w:sz w:val="24"/>
              </w:rPr>
            </w:pPr>
            <w:r>
              <w:rPr>
                <w:rFonts w:hint="eastAsia" w:ascii="宋体" w:hAnsi="宋体" w:cs="仿宋_GB2312"/>
                <w:color w:val="auto"/>
                <w:sz w:val="24"/>
              </w:rPr>
              <w:t>…</w:t>
            </w:r>
            <w:r>
              <w:rPr>
                <w:rFonts w:hint="eastAsia" w:ascii="宋体" w:hAnsi="宋体" w:cs="宋体"/>
                <w:color w:val="auto"/>
                <w:sz w:val="24"/>
              </w:rPr>
              <w:t>…</w:t>
            </w:r>
          </w:p>
        </w:tc>
        <w:tc>
          <w:tcPr>
            <w:tcW w:w="2668" w:type="dxa"/>
            <w:tcBorders>
              <w:top w:val="single" w:color="auto" w:sz="4" w:space="0"/>
              <w:left w:val="single" w:color="auto" w:sz="4" w:space="0"/>
              <w:bottom w:val="single" w:color="auto" w:sz="4" w:space="0"/>
              <w:right w:val="single" w:color="auto" w:sz="4" w:space="0"/>
            </w:tcBorders>
            <w:vAlign w:val="center"/>
          </w:tcPr>
          <w:p w14:paraId="62E0B17A">
            <w:pPr>
              <w:snapToGrid w:val="0"/>
              <w:spacing w:before="120" w:beforeLines="50" w:line="360" w:lineRule="auto"/>
              <w:jc w:val="center"/>
              <w:rPr>
                <w:rFonts w:ascii="宋体" w:hAnsi="宋体" w:cs="仿宋_GB2312"/>
                <w:color w:val="auto"/>
                <w:sz w:val="24"/>
              </w:rPr>
            </w:pPr>
            <w:r>
              <w:rPr>
                <w:rFonts w:hint="eastAsia" w:ascii="宋体" w:hAnsi="宋体" w:cs="仿宋_GB2312"/>
                <w:color w:val="auto"/>
                <w:sz w:val="24"/>
              </w:rPr>
              <w:t>…</w:t>
            </w:r>
            <w:r>
              <w:rPr>
                <w:rFonts w:hint="eastAsia" w:ascii="宋体" w:hAnsi="宋体" w:cs="宋体"/>
                <w:color w:val="auto"/>
                <w:sz w:val="24"/>
              </w:rPr>
              <w:t>…</w:t>
            </w:r>
          </w:p>
        </w:tc>
        <w:tc>
          <w:tcPr>
            <w:tcW w:w="2633" w:type="dxa"/>
            <w:tcBorders>
              <w:top w:val="single" w:color="auto" w:sz="4" w:space="0"/>
              <w:left w:val="single" w:color="auto" w:sz="4" w:space="0"/>
              <w:bottom w:val="single" w:color="auto" w:sz="4" w:space="0"/>
              <w:right w:val="single" w:color="auto" w:sz="4" w:space="0"/>
            </w:tcBorders>
            <w:vAlign w:val="center"/>
          </w:tcPr>
          <w:p w14:paraId="4F84DB44">
            <w:pPr>
              <w:snapToGrid w:val="0"/>
              <w:spacing w:before="120" w:beforeLines="50" w:line="360" w:lineRule="auto"/>
              <w:jc w:val="center"/>
              <w:rPr>
                <w:rFonts w:ascii="宋体" w:hAnsi="宋体" w:cs="仿宋_GB2312"/>
                <w:color w:val="auto"/>
                <w:sz w:val="24"/>
              </w:rPr>
            </w:pPr>
            <w:r>
              <w:rPr>
                <w:rFonts w:hint="eastAsia" w:ascii="宋体" w:hAnsi="宋体" w:cs="仿宋_GB2312"/>
                <w:color w:val="auto"/>
                <w:sz w:val="24"/>
              </w:rPr>
              <w:t>…</w:t>
            </w:r>
            <w:r>
              <w:rPr>
                <w:rFonts w:hint="eastAsia" w:ascii="宋体" w:hAnsi="宋体" w:cs="宋体"/>
                <w:color w:val="auto"/>
                <w:sz w:val="24"/>
              </w:rPr>
              <w:t>…</w:t>
            </w:r>
          </w:p>
        </w:tc>
        <w:tc>
          <w:tcPr>
            <w:tcW w:w="1829" w:type="dxa"/>
            <w:tcBorders>
              <w:top w:val="single" w:color="auto" w:sz="4" w:space="0"/>
              <w:left w:val="single" w:color="auto" w:sz="4" w:space="0"/>
              <w:bottom w:val="single" w:color="auto" w:sz="4" w:space="0"/>
              <w:right w:val="single" w:color="auto" w:sz="4" w:space="0"/>
            </w:tcBorders>
            <w:vAlign w:val="center"/>
          </w:tcPr>
          <w:p w14:paraId="336FDEA5">
            <w:pPr>
              <w:snapToGrid w:val="0"/>
              <w:spacing w:before="120" w:beforeLines="50" w:line="360" w:lineRule="auto"/>
              <w:jc w:val="center"/>
              <w:rPr>
                <w:rFonts w:ascii="宋体" w:hAnsi="宋体" w:cs="仿宋_GB2312"/>
                <w:color w:val="auto"/>
                <w:sz w:val="24"/>
              </w:rPr>
            </w:pPr>
            <w:r>
              <w:rPr>
                <w:rFonts w:hint="eastAsia" w:ascii="宋体" w:hAnsi="宋体" w:cs="仿宋_GB2312"/>
                <w:color w:val="auto"/>
                <w:sz w:val="24"/>
              </w:rPr>
              <w:t>…</w:t>
            </w:r>
            <w:r>
              <w:rPr>
                <w:rFonts w:hint="eastAsia" w:ascii="宋体" w:hAnsi="宋体" w:cs="宋体"/>
                <w:color w:val="auto"/>
                <w:sz w:val="24"/>
              </w:rPr>
              <w:t>…</w:t>
            </w:r>
          </w:p>
        </w:tc>
      </w:tr>
    </w:tbl>
    <w:p w14:paraId="2B11C901">
      <w:pPr>
        <w:pStyle w:val="11"/>
        <w:spacing w:after="0" w:line="360" w:lineRule="auto"/>
        <w:contextualSpacing/>
        <w:rPr>
          <w:rFonts w:ascii="宋体" w:hAnsi="宋体"/>
          <w:color w:val="auto"/>
          <w:kern w:val="0"/>
          <w:sz w:val="24"/>
          <w:szCs w:val="24"/>
        </w:rPr>
      </w:pPr>
      <w:r>
        <w:rPr>
          <w:rFonts w:hint="eastAsia" w:ascii="宋体" w:hAnsi="宋体"/>
          <w:color w:val="auto"/>
          <w:kern w:val="0"/>
          <w:sz w:val="24"/>
          <w:szCs w:val="24"/>
        </w:rPr>
        <w:t>注：</w:t>
      </w:r>
    </w:p>
    <w:p w14:paraId="3D26B1BC">
      <w:pPr>
        <w:pStyle w:val="11"/>
        <w:spacing w:after="0" w:line="360" w:lineRule="auto"/>
        <w:contextualSpacing/>
        <w:rPr>
          <w:rFonts w:ascii="宋体" w:hAnsi="宋体"/>
          <w:color w:val="auto"/>
          <w:kern w:val="0"/>
          <w:sz w:val="24"/>
          <w:szCs w:val="24"/>
        </w:rPr>
      </w:pPr>
      <w:r>
        <w:rPr>
          <w:rFonts w:hint="eastAsia" w:ascii="宋体" w:hAnsi="宋体"/>
          <w:color w:val="auto"/>
          <w:kern w:val="0"/>
          <w:sz w:val="24"/>
          <w:szCs w:val="24"/>
        </w:rPr>
        <w:t>1. 说明：应对照谈判文件“第三章 采购需求”中的商务要求逐条明确响应，并作出偏离说明。</w:t>
      </w:r>
    </w:p>
    <w:p w14:paraId="4FE090A6">
      <w:pPr>
        <w:pStyle w:val="11"/>
        <w:spacing w:after="0" w:line="360" w:lineRule="auto"/>
        <w:contextualSpacing/>
        <w:rPr>
          <w:rFonts w:ascii="宋体" w:hAnsi="宋体"/>
          <w:color w:val="auto"/>
          <w:kern w:val="0"/>
          <w:sz w:val="24"/>
          <w:szCs w:val="24"/>
        </w:rPr>
      </w:pPr>
      <w:r>
        <w:rPr>
          <w:rFonts w:hint="eastAsia" w:ascii="宋体" w:hAnsi="宋体"/>
          <w:color w:val="auto"/>
          <w:kern w:val="0"/>
          <w:sz w:val="24"/>
          <w:szCs w:val="24"/>
        </w:rPr>
        <w:t>2.供应商应根据自身的承诺，对照谈判文件要求在“偏离说明”中注明“正偏离”、“负偏离”或者“无偏离”。既不属于“正偏离”也不属于“负偏离”即为“无偏离”。</w:t>
      </w:r>
    </w:p>
    <w:p w14:paraId="2F4E4F15">
      <w:pPr>
        <w:spacing w:line="360" w:lineRule="auto"/>
        <w:contextualSpacing/>
        <w:jc w:val="left"/>
        <w:rPr>
          <w:rFonts w:ascii="宋体" w:hAnsi="宋体" w:cs="仿宋_GB2312"/>
          <w:color w:val="auto"/>
          <w:sz w:val="24"/>
          <w:u w:val="single"/>
        </w:rPr>
      </w:pPr>
    </w:p>
    <w:p w14:paraId="61645DF5">
      <w:pPr>
        <w:spacing w:line="360" w:lineRule="auto"/>
        <w:contextualSpacing/>
        <w:jc w:val="left"/>
        <w:rPr>
          <w:rFonts w:ascii="宋体" w:hAnsi="宋体" w:cs="仿宋_GB2312"/>
          <w:color w:val="auto"/>
          <w:sz w:val="24"/>
          <w:u w:val="single"/>
        </w:rPr>
      </w:pPr>
    </w:p>
    <w:p w14:paraId="1217437F">
      <w:pPr>
        <w:spacing w:line="360" w:lineRule="auto"/>
        <w:ind w:right="-817" w:rightChars="-389"/>
        <w:contextualSpacing/>
        <w:rPr>
          <w:rFonts w:ascii="宋体" w:hAnsi="宋体" w:cs="仿宋_GB2312"/>
          <w:color w:val="auto"/>
          <w:sz w:val="24"/>
        </w:rPr>
      </w:pPr>
    </w:p>
    <w:p w14:paraId="002DD860">
      <w:pPr>
        <w:spacing w:line="360" w:lineRule="auto"/>
        <w:ind w:right="-817" w:rightChars="-389"/>
        <w:contextualSpacing/>
        <w:jc w:val="center"/>
        <w:rPr>
          <w:rFonts w:ascii="宋体" w:hAnsi="宋体" w:cs="仿宋_GB2312"/>
          <w:color w:val="auto"/>
          <w:sz w:val="24"/>
        </w:rPr>
      </w:pPr>
      <w:r>
        <w:rPr>
          <w:rFonts w:hint="eastAsia" w:ascii="宋体" w:hAnsi="宋体" w:cs="仿宋_GB2312"/>
          <w:color w:val="auto"/>
          <w:sz w:val="24"/>
        </w:rPr>
        <w:t>法定代表人或者委托代理人（签字）：</w:t>
      </w:r>
    </w:p>
    <w:p w14:paraId="058ED253">
      <w:pPr>
        <w:spacing w:line="360" w:lineRule="auto"/>
        <w:ind w:right="-817" w:rightChars="-389" w:firstLine="3240" w:firstLineChars="1350"/>
        <w:contextualSpacing/>
        <w:rPr>
          <w:rFonts w:ascii="宋体" w:hAnsi="宋体" w:cs="仿宋_GB2312"/>
          <w:color w:val="auto"/>
          <w:sz w:val="24"/>
        </w:rPr>
      </w:pPr>
      <w:r>
        <w:rPr>
          <w:rFonts w:hint="eastAsia" w:ascii="宋体" w:hAnsi="宋体" w:cs="仿宋_GB2312"/>
          <w:color w:val="auto"/>
          <w:sz w:val="24"/>
        </w:rPr>
        <w:t xml:space="preserve">供应商（盖公章）：      </w:t>
      </w:r>
    </w:p>
    <w:p w14:paraId="4D2A3964">
      <w:pPr>
        <w:spacing w:line="360" w:lineRule="auto"/>
        <w:ind w:right="-817" w:rightChars="-389" w:firstLine="3240" w:firstLineChars="1350"/>
        <w:contextualSpacing/>
        <w:rPr>
          <w:rFonts w:ascii="宋体" w:hAnsi="宋体" w:cs="仿宋_GB2312"/>
          <w:color w:val="auto"/>
          <w:sz w:val="24"/>
        </w:rPr>
      </w:pPr>
      <w:r>
        <w:rPr>
          <w:rFonts w:hint="eastAsia" w:ascii="宋体" w:hAnsi="宋体" w:cs="仿宋_GB2312"/>
          <w:color w:val="auto"/>
          <w:sz w:val="24"/>
        </w:rPr>
        <w:t>日期：   年   月   日</w:t>
      </w:r>
    </w:p>
    <w:p w14:paraId="383E6624">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rPr>
      </w:pPr>
    </w:p>
    <w:p w14:paraId="0BF18CED">
      <w:pPr>
        <w:adjustRightInd w:val="0"/>
        <w:snapToGrid w:val="0"/>
        <w:spacing w:line="520" w:lineRule="exact"/>
        <w:jc w:val="center"/>
        <w:rPr>
          <w:rFonts w:ascii="宋体" w:hAnsi="宋体"/>
          <w:b/>
          <w:color w:val="auto"/>
          <w:sz w:val="32"/>
          <w:szCs w:val="32"/>
        </w:rPr>
      </w:pPr>
      <w:r>
        <w:rPr>
          <w:rFonts w:ascii="方正小标宋简体" w:hAnsi="方正小标宋简体" w:eastAsia="方正小标宋简体" w:cs="方正小标宋简体"/>
          <w:bCs/>
          <w:color w:val="auto"/>
          <w:sz w:val="44"/>
          <w:szCs w:val="44"/>
        </w:rPr>
        <w:br w:type="page"/>
      </w:r>
      <w:r>
        <w:rPr>
          <w:rFonts w:hint="eastAsia" w:ascii="方正小标宋简体" w:hAnsi="方正小标宋简体" w:eastAsia="方正小标宋简体" w:cs="方正小标宋简体"/>
          <w:bCs/>
          <w:color w:val="auto"/>
          <w:sz w:val="44"/>
          <w:szCs w:val="44"/>
        </w:rPr>
        <w:t>货物配置清单</w:t>
      </w:r>
    </w:p>
    <w:p w14:paraId="14F61CAA">
      <w:pPr>
        <w:spacing w:line="300" w:lineRule="auto"/>
        <w:rPr>
          <w:rFonts w:ascii="宋体" w:hAnsi="宋体"/>
          <w:color w:val="auto"/>
          <w:szCs w:val="21"/>
        </w:rPr>
      </w:pPr>
    </w:p>
    <w:p w14:paraId="4730AE2D">
      <w:pPr>
        <w:spacing w:line="360" w:lineRule="auto"/>
        <w:rPr>
          <w:rFonts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14:paraId="332C9BEE">
      <w:pPr>
        <w:spacing w:line="360" w:lineRule="auto"/>
        <w:rPr>
          <w:rFonts w:ascii="宋体" w:hAnsi="宋体" w:cs="仿宋_GB2312"/>
          <w:color w:val="auto"/>
          <w:sz w:val="24"/>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14:paraId="084908E7">
      <w:pPr>
        <w:spacing w:line="360" w:lineRule="auto"/>
        <w:rPr>
          <w:rFonts w:ascii="宋体" w:hAnsi="宋体" w:cs="仿宋_GB2312"/>
          <w:color w:val="auto"/>
          <w:sz w:val="24"/>
          <w:u w:val="single"/>
        </w:rPr>
      </w:pPr>
      <w:r>
        <w:rPr>
          <w:rFonts w:hint="eastAsia" w:ascii="宋体" w:hAnsi="宋体" w:cs="仿宋_GB2312"/>
          <w:color w:val="auto"/>
          <w:sz w:val="24"/>
        </w:rPr>
        <w:t>所竞分标：</w:t>
      </w:r>
      <w:r>
        <w:rPr>
          <w:rFonts w:hint="eastAsia" w:ascii="宋体" w:hAnsi="宋体" w:cs="仿宋_GB2312"/>
          <w:color w:val="auto"/>
          <w:sz w:val="24"/>
          <w:u w:val="single"/>
        </w:rPr>
        <w:t xml:space="preserve">                 </w:t>
      </w:r>
    </w:p>
    <w:tbl>
      <w:tblPr>
        <w:tblStyle w:val="2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4"/>
        <w:gridCol w:w="1372"/>
        <w:gridCol w:w="885"/>
        <w:gridCol w:w="986"/>
        <w:gridCol w:w="1968"/>
        <w:gridCol w:w="1372"/>
        <w:gridCol w:w="812"/>
        <w:gridCol w:w="1649"/>
      </w:tblGrid>
      <w:tr w14:paraId="2F514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4EAAC20A">
            <w:pPr>
              <w:snapToGrid w:val="0"/>
              <w:spacing w:before="50" w:after="50"/>
              <w:jc w:val="center"/>
              <w:rPr>
                <w:rFonts w:ascii="宋体" w:hAnsi="宋体"/>
                <w:color w:val="auto"/>
                <w:sz w:val="24"/>
              </w:rPr>
            </w:pPr>
            <w:r>
              <w:rPr>
                <w:rFonts w:hint="eastAsia" w:ascii="宋体" w:hAnsi="宋体"/>
                <w:color w:val="auto"/>
                <w:sz w:val="24"/>
              </w:rPr>
              <w:t>序号</w:t>
            </w:r>
          </w:p>
        </w:tc>
        <w:tc>
          <w:tcPr>
            <w:tcW w:w="696" w:type="pct"/>
            <w:tcBorders>
              <w:top w:val="single" w:color="auto" w:sz="4" w:space="0"/>
              <w:left w:val="single" w:color="auto" w:sz="4" w:space="0"/>
              <w:bottom w:val="single" w:color="auto" w:sz="4" w:space="0"/>
              <w:right w:val="single" w:color="auto" w:sz="4" w:space="0"/>
            </w:tcBorders>
            <w:vAlign w:val="center"/>
          </w:tcPr>
          <w:p w14:paraId="40F9603C">
            <w:pPr>
              <w:snapToGrid w:val="0"/>
              <w:spacing w:before="50" w:after="50"/>
              <w:jc w:val="center"/>
              <w:rPr>
                <w:rFonts w:ascii="宋体" w:hAnsi="宋体"/>
                <w:color w:val="auto"/>
                <w:sz w:val="24"/>
              </w:rPr>
            </w:pPr>
            <w:r>
              <w:rPr>
                <w:rFonts w:hint="eastAsia" w:ascii="宋体" w:hAnsi="宋体"/>
                <w:color w:val="auto"/>
                <w:sz w:val="24"/>
              </w:rPr>
              <w:t>货物名称</w:t>
            </w:r>
          </w:p>
        </w:tc>
        <w:tc>
          <w:tcPr>
            <w:tcW w:w="449" w:type="pct"/>
            <w:tcBorders>
              <w:top w:val="single" w:color="auto" w:sz="4" w:space="0"/>
              <w:left w:val="single" w:color="auto" w:sz="4" w:space="0"/>
              <w:bottom w:val="single" w:color="auto" w:sz="4" w:space="0"/>
              <w:right w:val="single" w:color="auto" w:sz="4" w:space="0"/>
            </w:tcBorders>
            <w:vAlign w:val="center"/>
          </w:tcPr>
          <w:p w14:paraId="2C5CFFC6">
            <w:pPr>
              <w:snapToGrid w:val="0"/>
              <w:spacing w:before="50" w:after="50"/>
              <w:jc w:val="center"/>
              <w:rPr>
                <w:rFonts w:ascii="宋体" w:hAnsi="宋体"/>
                <w:color w:val="auto"/>
                <w:sz w:val="24"/>
              </w:rPr>
            </w:pPr>
            <w:r>
              <w:rPr>
                <w:rFonts w:hint="eastAsia" w:ascii="宋体" w:hAnsi="宋体"/>
                <w:color w:val="auto"/>
                <w:sz w:val="24"/>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14:paraId="232CBA26">
            <w:pPr>
              <w:snapToGrid w:val="0"/>
              <w:spacing w:before="50" w:after="50"/>
              <w:jc w:val="center"/>
              <w:rPr>
                <w:rFonts w:ascii="宋体" w:hAnsi="宋体"/>
                <w:color w:val="auto"/>
                <w:sz w:val="24"/>
              </w:rPr>
            </w:pPr>
            <w:r>
              <w:rPr>
                <w:rFonts w:hint="eastAsia" w:ascii="宋体" w:hAnsi="宋体"/>
                <w:color w:val="auto"/>
                <w:sz w:val="24"/>
              </w:rPr>
              <w:t>品牌</w:t>
            </w:r>
          </w:p>
        </w:tc>
        <w:tc>
          <w:tcPr>
            <w:tcW w:w="998" w:type="pct"/>
            <w:tcBorders>
              <w:top w:val="single" w:color="auto" w:sz="4" w:space="0"/>
              <w:left w:val="single" w:color="auto" w:sz="4" w:space="0"/>
              <w:bottom w:val="single" w:color="auto" w:sz="4" w:space="0"/>
              <w:right w:val="single" w:color="auto" w:sz="4" w:space="0"/>
            </w:tcBorders>
          </w:tcPr>
          <w:p w14:paraId="35C53BA0">
            <w:pPr>
              <w:snapToGrid w:val="0"/>
              <w:spacing w:before="50" w:after="50"/>
              <w:jc w:val="center"/>
              <w:rPr>
                <w:rFonts w:ascii="宋体" w:hAnsi="宋体"/>
                <w:color w:val="auto"/>
                <w:sz w:val="24"/>
              </w:rPr>
            </w:pPr>
          </w:p>
          <w:p w14:paraId="44380921">
            <w:pPr>
              <w:snapToGrid w:val="0"/>
              <w:spacing w:before="50" w:after="50"/>
              <w:jc w:val="center"/>
              <w:rPr>
                <w:rFonts w:ascii="宋体" w:hAnsi="宋体"/>
                <w:color w:val="auto"/>
                <w:sz w:val="24"/>
              </w:rPr>
            </w:pPr>
            <w:r>
              <w:rPr>
                <w:rFonts w:hint="eastAsia" w:ascii="宋体" w:hAnsi="宋体"/>
                <w:color w:val="auto"/>
                <w:sz w:val="24"/>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45C85457">
            <w:pPr>
              <w:snapToGrid w:val="0"/>
              <w:spacing w:before="50" w:after="50"/>
              <w:jc w:val="center"/>
              <w:rPr>
                <w:rFonts w:ascii="宋体" w:hAnsi="宋体"/>
                <w:color w:val="auto"/>
                <w:sz w:val="24"/>
              </w:rPr>
            </w:pPr>
            <w:r>
              <w:rPr>
                <w:rFonts w:hint="eastAsia" w:ascii="宋体" w:hAnsi="宋体"/>
                <w:color w:val="auto"/>
                <w:sz w:val="24"/>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532A3B01">
            <w:pPr>
              <w:snapToGrid w:val="0"/>
              <w:spacing w:before="50" w:after="50"/>
              <w:jc w:val="center"/>
              <w:rPr>
                <w:rFonts w:ascii="宋体" w:hAnsi="宋体"/>
                <w:color w:val="auto"/>
                <w:sz w:val="24"/>
              </w:rPr>
            </w:pPr>
            <w:r>
              <w:rPr>
                <w:rFonts w:hint="eastAsia" w:ascii="宋体" w:hAnsi="宋体"/>
                <w:color w:val="auto"/>
                <w:sz w:val="24"/>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25ACD1D5">
            <w:pPr>
              <w:snapToGrid w:val="0"/>
              <w:spacing w:before="50" w:after="50"/>
              <w:jc w:val="center"/>
              <w:rPr>
                <w:rFonts w:ascii="宋体" w:hAnsi="宋体"/>
                <w:color w:val="auto"/>
                <w:sz w:val="24"/>
              </w:rPr>
            </w:pPr>
            <w:r>
              <w:rPr>
                <w:rFonts w:hint="eastAsia" w:ascii="宋体" w:hAnsi="宋体"/>
                <w:color w:val="auto"/>
                <w:sz w:val="24"/>
              </w:rPr>
              <w:t>参数性能、指标及配置</w:t>
            </w:r>
          </w:p>
        </w:tc>
      </w:tr>
      <w:tr w14:paraId="77D42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27AEC58F">
            <w:pPr>
              <w:snapToGrid w:val="0"/>
              <w:spacing w:before="50" w:after="50"/>
              <w:jc w:val="center"/>
              <w:rPr>
                <w:rFonts w:ascii="宋体" w:hAnsi="宋体"/>
                <w:color w:val="auto"/>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4BDBF9CC">
            <w:pPr>
              <w:snapToGrid w:val="0"/>
              <w:spacing w:before="50" w:after="50"/>
              <w:jc w:val="center"/>
              <w:rPr>
                <w:rFonts w:ascii="宋体" w:hAnsi="宋体"/>
                <w:color w:val="auto"/>
                <w:sz w:val="24"/>
              </w:rPr>
            </w:pPr>
          </w:p>
        </w:tc>
        <w:tc>
          <w:tcPr>
            <w:tcW w:w="449" w:type="pct"/>
            <w:tcBorders>
              <w:top w:val="single" w:color="auto" w:sz="4" w:space="0"/>
              <w:left w:val="single" w:color="auto" w:sz="4" w:space="0"/>
              <w:bottom w:val="single" w:color="auto" w:sz="4" w:space="0"/>
              <w:right w:val="single" w:color="auto" w:sz="4" w:space="0"/>
            </w:tcBorders>
            <w:vAlign w:val="center"/>
          </w:tcPr>
          <w:p w14:paraId="3AABB5CD">
            <w:pPr>
              <w:snapToGrid w:val="0"/>
              <w:spacing w:before="50" w:after="50"/>
              <w:jc w:val="center"/>
              <w:rPr>
                <w:rFonts w:ascii="宋体" w:hAnsi="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28857DE4">
            <w:pPr>
              <w:snapToGrid w:val="0"/>
              <w:spacing w:before="50" w:after="50"/>
              <w:jc w:val="center"/>
              <w:rPr>
                <w:rFonts w:ascii="宋体" w:hAnsi="宋体"/>
                <w:color w:val="auto"/>
                <w:sz w:val="24"/>
              </w:rPr>
            </w:pPr>
          </w:p>
        </w:tc>
        <w:tc>
          <w:tcPr>
            <w:tcW w:w="998" w:type="pct"/>
            <w:tcBorders>
              <w:top w:val="single" w:color="auto" w:sz="4" w:space="0"/>
              <w:left w:val="single" w:color="auto" w:sz="4" w:space="0"/>
              <w:bottom w:val="single" w:color="auto" w:sz="4" w:space="0"/>
              <w:right w:val="single" w:color="auto" w:sz="4" w:space="0"/>
            </w:tcBorders>
          </w:tcPr>
          <w:p w14:paraId="590FDBC6">
            <w:pPr>
              <w:snapToGrid w:val="0"/>
              <w:spacing w:before="50" w:after="50"/>
              <w:jc w:val="center"/>
              <w:rPr>
                <w:rFonts w:ascii="宋体" w:hAnsi="宋体"/>
                <w:color w:val="auto"/>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453A9C9F">
            <w:pPr>
              <w:snapToGrid w:val="0"/>
              <w:spacing w:before="50" w:after="50"/>
              <w:jc w:val="center"/>
              <w:rPr>
                <w:rFonts w:ascii="宋体" w:hAnsi="宋体"/>
                <w:color w:val="auto"/>
                <w:sz w:val="24"/>
              </w:rPr>
            </w:pPr>
          </w:p>
        </w:tc>
        <w:tc>
          <w:tcPr>
            <w:tcW w:w="412" w:type="pct"/>
            <w:tcBorders>
              <w:top w:val="single" w:color="auto" w:sz="4" w:space="0"/>
              <w:left w:val="single" w:color="auto" w:sz="4" w:space="0"/>
              <w:bottom w:val="single" w:color="auto" w:sz="4" w:space="0"/>
              <w:right w:val="single" w:color="auto" w:sz="4" w:space="0"/>
            </w:tcBorders>
            <w:vAlign w:val="center"/>
          </w:tcPr>
          <w:p w14:paraId="290F5304">
            <w:pPr>
              <w:snapToGrid w:val="0"/>
              <w:spacing w:before="50" w:after="50"/>
              <w:jc w:val="center"/>
              <w:rPr>
                <w:rFonts w:ascii="宋体" w:hAnsi="宋体"/>
                <w:color w:val="auto"/>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65D90001">
            <w:pPr>
              <w:snapToGrid w:val="0"/>
              <w:spacing w:before="50" w:after="50"/>
              <w:jc w:val="center"/>
              <w:rPr>
                <w:rFonts w:ascii="宋体" w:hAnsi="宋体"/>
                <w:color w:val="auto"/>
                <w:sz w:val="24"/>
              </w:rPr>
            </w:pPr>
          </w:p>
        </w:tc>
      </w:tr>
      <w:tr w14:paraId="7BAE93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882B9E3">
            <w:pPr>
              <w:snapToGrid w:val="0"/>
              <w:spacing w:before="50" w:after="50"/>
              <w:jc w:val="center"/>
              <w:rPr>
                <w:rFonts w:ascii="宋体" w:hAnsi="宋体"/>
                <w:color w:val="auto"/>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5B243EDF">
            <w:pPr>
              <w:snapToGrid w:val="0"/>
              <w:spacing w:before="50" w:after="50"/>
              <w:jc w:val="center"/>
              <w:rPr>
                <w:rFonts w:ascii="宋体" w:hAnsi="宋体"/>
                <w:color w:val="auto"/>
                <w:sz w:val="24"/>
              </w:rPr>
            </w:pPr>
          </w:p>
        </w:tc>
        <w:tc>
          <w:tcPr>
            <w:tcW w:w="449" w:type="pct"/>
            <w:tcBorders>
              <w:top w:val="single" w:color="auto" w:sz="4" w:space="0"/>
              <w:left w:val="single" w:color="auto" w:sz="4" w:space="0"/>
              <w:bottom w:val="single" w:color="auto" w:sz="4" w:space="0"/>
              <w:right w:val="single" w:color="auto" w:sz="4" w:space="0"/>
            </w:tcBorders>
            <w:vAlign w:val="center"/>
          </w:tcPr>
          <w:p w14:paraId="639F9186">
            <w:pPr>
              <w:snapToGrid w:val="0"/>
              <w:spacing w:before="50" w:after="50"/>
              <w:jc w:val="center"/>
              <w:rPr>
                <w:rFonts w:ascii="宋体" w:hAnsi="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446930BA">
            <w:pPr>
              <w:snapToGrid w:val="0"/>
              <w:spacing w:before="50" w:after="50"/>
              <w:jc w:val="center"/>
              <w:rPr>
                <w:rFonts w:ascii="宋体" w:hAnsi="宋体"/>
                <w:color w:val="auto"/>
                <w:sz w:val="24"/>
              </w:rPr>
            </w:pPr>
          </w:p>
        </w:tc>
        <w:tc>
          <w:tcPr>
            <w:tcW w:w="998" w:type="pct"/>
            <w:tcBorders>
              <w:top w:val="single" w:color="auto" w:sz="4" w:space="0"/>
              <w:left w:val="single" w:color="auto" w:sz="4" w:space="0"/>
              <w:bottom w:val="single" w:color="auto" w:sz="4" w:space="0"/>
              <w:right w:val="single" w:color="auto" w:sz="4" w:space="0"/>
            </w:tcBorders>
          </w:tcPr>
          <w:p w14:paraId="58F91051">
            <w:pPr>
              <w:snapToGrid w:val="0"/>
              <w:spacing w:before="50" w:after="50"/>
              <w:jc w:val="center"/>
              <w:rPr>
                <w:rFonts w:ascii="宋体" w:hAnsi="宋体"/>
                <w:color w:val="auto"/>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2958A755">
            <w:pPr>
              <w:snapToGrid w:val="0"/>
              <w:spacing w:before="50" w:after="50"/>
              <w:jc w:val="center"/>
              <w:rPr>
                <w:rFonts w:ascii="宋体" w:hAnsi="宋体"/>
                <w:color w:val="auto"/>
                <w:sz w:val="24"/>
              </w:rPr>
            </w:pPr>
          </w:p>
        </w:tc>
        <w:tc>
          <w:tcPr>
            <w:tcW w:w="412" w:type="pct"/>
            <w:tcBorders>
              <w:top w:val="single" w:color="auto" w:sz="4" w:space="0"/>
              <w:left w:val="single" w:color="auto" w:sz="4" w:space="0"/>
              <w:bottom w:val="single" w:color="auto" w:sz="4" w:space="0"/>
              <w:right w:val="single" w:color="auto" w:sz="4" w:space="0"/>
            </w:tcBorders>
            <w:vAlign w:val="center"/>
          </w:tcPr>
          <w:p w14:paraId="66B8FF06">
            <w:pPr>
              <w:snapToGrid w:val="0"/>
              <w:spacing w:before="50" w:after="50"/>
              <w:jc w:val="center"/>
              <w:rPr>
                <w:rFonts w:ascii="宋体" w:hAnsi="宋体"/>
                <w:color w:val="auto"/>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0283CD61">
            <w:pPr>
              <w:snapToGrid w:val="0"/>
              <w:spacing w:before="50" w:after="50"/>
              <w:jc w:val="center"/>
              <w:rPr>
                <w:rFonts w:ascii="宋体" w:hAnsi="宋体"/>
                <w:color w:val="auto"/>
                <w:sz w:val="24"/>
              </w:rPr>
            </w:pPr>
          </w:p>
        </w:tc>
      </w:tr>
      <w:tr w14:paraId="377A7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149D2537">
            <w:pPr>
              <w:snapToGrid w:val="0"/>
              <w:spacing w:before="50" w:after="50"/>
              <w:jc w:val="center"/>
              <w:rPr>
                <w:rFonts w:ascii="宋体" w:hAnsi="宋体"/>
                <w:color w:val="auto"/>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198EE8E4">
            <w:pPr>
              <w:snapToGrid w:val="0"/>
              <w:spacing w:before="50" w:after="50"/>
              <w:jc w:val="center"/>
              <w:rPr>
                <w:rFonts w:ascii="宋体" w:hAnsi="宋体"/>
                <w:color w:val="auto"/>
                <w:sz w:val="24"/>
              </w:rPr>
            </w:pPr>
          </w:p>
        </w:tc>
        <w:tc>
          <w:tcPr>
            <w:tcW w:w="449" w:type="pct"/>
            <w:tcBorders>
              <w:top w:val="single" w:color="auto" w:sz="4" w:space="0"/>
              <w:left w:val="single" w:color="auto" w:sz="4" w:space="0"/>
              <w:bottom w:val="single" w:color="auto" w:sz="4" w:space="0"/>
              <w:right w:val="single" w:color="auto" w:sz="4" w:space="0"/>
            </w:tcBorders>
            <w:vAlign w:val="center"/>
          </w:tcPr>
          <w:p w14:paraId="3832DAAD">
            <w:pPr>
              <w:snapToGrid w:val="0"/>
              <w:spacing w:before="50" w:after="50"/>
              <w:jc w:val="center"/>
              <w:rPr>
                <w:rFonts w:ascii="宋体" w:hAnsi="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21F85256">
            <w:pPr>
              <w:snapToGrid w:val="0"/>
              <w:spacing w:before="50" w:after="50"/>
              <w:jc w:val="center"/>
              <w:rPr>
                <w:rFonts w:ascii="宋体" w:hAnsi="宋体"/>
                <w:color w:val="auto"/>
                <w:sz w:val="24"/>
              </w:rPr>
            </w:pPr>
          </w:p>
        </w:tc>
        <w:tc>
          <w:tcPr>
            <w:tcW w:w="998" w:type="pct"/>
            <w:tcBorders>
              <w:top w:val="single" w:color="auto" w:sz="4" w:space="0"/>
              <w:left w:val="single" w:color="auto" w:sz="4" w:space="0"/>
              <w:bottom w:val="single" w:color="auto" w:sz="4" w:space="0"/>
              <w:right w:val="single" w:color="auto" w:sz="4" w:space="0"/>
            </w:tcBorders>
          </w:tcPr>
          <w:p w14:paraId="24D0DCF5">
            <w:pPr>
              <w:snapToGrid w:val="0"/>
              <w:spacing w:before="50" w:after="50"/>
              <w:jc w:val="center"/>
              <w:rPr>
                <w:rFonts w:ascii="宋体" w:hAnsi="宋体"/>
                <w:color w:val="auto"/>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66877F24">
            <w:pPr>
              <w:snapToGrid w:val="0"/>
              <w:spacing w:before="50" w:after="50"/>
              <w:jc w:val="center"/>
              <w:rPr>
                <w:rFonts w:ascii="宋体" w:hAnsi="宋体"/>
                <w:color w:val="auto"/>
                <w:sz w:val="24"/>
              </w:rPr>
            </w:pPr>
          </w:p>
        </w:tc>
        <w:tc>
          <w:tcPr>
            <w:tcW w:w="412" w:type="pct"/>
            <w:tcBorders>
              <w:top w:val="single" w:color="auto" w:sz="4" w:space="0"/>
              <w:left w:val="single" w:color="auto" w:sz="4" w:space="0"/>
              <w:bottom w:val="single" w:color="auto" w:sz="4" w:space="0"/>
              <w:right w:val="single" w:color="auto" w:sz="4" w:space="0"/>
            </w:tcBorders>
            <w:vAlign w:val="center"/>
          </w:tcPr>
          <w:p w14:paraId="3538FE6A">
            <w:pPr>
              <w:snapToGrid w:val="0"/>
              <w:spacing w:before="50" w:after="50"/>
              <w:jc w:val="center"/>
              <w:rPr>
                <w:rFonts w:ascii="宋体" w:hAnsi="宋体"/>
                <w:color w:val="auto"/>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4B8E9CCD">
            <w:pPr>
              <w:snapToGrid w:val="0"/>
              <w:spacing w:before="50" w:after="50"/>
              <w:jc w:val="center"/>
              <w:rPr>
                <w:rFonts w:ascii="宋体" w:hAnsi="宋体"/>
                <w:color w:val="auto"/>
                <w:sz w:val="24"/>
              </w:rPr>
            </w:pPr>
          </w:p>
        </w:tc>
      </w:tr>
    </w:tbl>
    <w:p w14:paraId="09AA7A79">
      <w:pPr>
        <w:spacing w:line="360" w:lineRule="auto"/>
        <w:contextualSpacing/>
        <w:rPr>
          <w:rFonts w:ascii="宋体" w:hAnsi="宋体"/>
          <w:color w:val="auto"/>
          <w:sz w:val="24"/>
        </w:rPr>
      </w:pPr>
      <w:r>
        <w:rPr>
          <w:rFonts w:hint="eastAsia" w:ascii="宋体" w:hAnsi="宋体"/>
          <w:color w:val="auto"/>
          <w:sz w:val="24"/>
        </w:rPr>
        <w:t>备注：</w:t>
      </w:r>
    </w:p>
    <w:p w14:paraId="60D7E10A">
      <w:pPr>
        <w:tabs>
          <w:tab w:val="left" w:pos="1065"/>
        </w:tabs>
        <w:adjustRightInd w:val="0"/>
        <w:spacing w:line="360" w:lineRule="auto"/>
        <w:contextualSpacing/>
        <w:rPr>
          <w:rFonts w:ascii="宋体" w:hAnsi="宋体" w:cs="仿宋_GB2312"/>
          <w:color w:val="auto"/>
          <w:sz w:val="24"/>
        </w:rPr>
      </w:pPr>
      <w:r>
        <w:rPr>
          <w:rFonts w:hint="eastAsia" w:ascii="宋体" w:hAnsi="宋体"/>
          <w:b/>
          <w:bCs/>
          <w:color w:val="auto"/>
          <w:sz w:val="24"/>
        </w:rPr>
        <w:t>以上货物配置清单中“货物名称、数量及单位、品牌、规格型号、制造商、原产地、参数性能、指标及配置”必须如实填写完整，品牌、规格型号没有则填无，填写有缺漏的，响应文件按无效响应处理</w:t>
      </w:r>
      <w:r>
        <w:rPr>
          <w:rFonts w:hint="eastAsia" w:ascii="宋体" w:hAnsi="宋体"/>
          <w:b/>
          <w:color w:val="auto"/>
          <w:sz w:val="24"/>
        </w:rPr>
        <w:t>。</w:t>
      </w:r>
      <w:r>
        <w:rPr>
          <w:rFonts w:hint="eastAsia" w:ascii="宋体" w:hAnsi="宋体"/>
          <w:color w:val="auto"/>
          <w:sz w:val="24"/>
        </w:rPr>
        <w:t>货物名称、数量及单位、品牌必须与“竞标报价表”一致</w:t>
      </w:r>
      <w:r>
        <w:rPr>
          <w:rFonts w:hint="eastAsia" w:ascii="宋体" w:hAnsi="宋体"/>
          <w:b/>
          <w:color w:val="auto"/>
          <w:sz w:val="24"/>
        </w:rPr>
        <w:t>。</w:t>
      </w:r>
      <w:r>
        <w:rPr>
          <w:rFonts w:hint="eastAsia" w:ascii="宋体" w:hAnsi="宋体" w:cs="仿宋_GB2312"/>
          <w:color w:val="auto"/>
          <w:sz w:val="24"/>
        </w:rPr>
        <w:tab/>
      </w:r>
    </w:p>
    <w:p w14:paraId="5BE555C4">
      <w:pPr>
        <w:adjustRightInd w:val="0"/>
        <w:spacing w:line="360" w:lineRule="auto"/>
        <w:contextualSpacing/>
        <w:jc w:val="left"/>
        <w:rPr>
          <w:rFonts w:ascii="宋体" w:hAnsi="宋体" w:cs="仿宋_GB2312"/>
          <w:color w:val="auto"/>
          <w:sz w:val="24"/>
        </w:rPr>
      </w:pPr>
    </w:p>
    <w:p w14:paraId="7687DE43">
      <w:pPr>
        <w:adjustRightInd w:val="0"/>
        <w:spacing w:line="360" w:lineRule="auto"/>
        <w:contextualSpacing/>
        <w:jc w:val="left"/>
        <w:rPr>
          <w:rFonts w:ascii="宋体" w:hAnsi="宋体" w:cs="仿宋_GB2312"/>
          <w:color w:val="auto"/>
          <w:sz w:val="24"/>
        </w:rPr>
      </w:pPr>
    </w:p>
    <w:p w14:paraId="0B7049FA">
      <w:pPr>
        <w:adjustRightInd w:val="0"/>
        <w:spacing w:line="360" w:lineRule="auto"/>
        <w:contextualSpacing/>
        <w:jc w:val="left"/>
        <w:rPr>
          <w:rFonts w:ascii="宋体" w:hAnsi="宋体" w:cs="仿宋_GB2312"/>
          <w:color w:val="auto"/>
          <w:sz w:val="24"/>
        </w:rPr>
      </w:pPr>
    </w:p>
    <w:p w14:paraId="0959A35D">
      <w:pPr>
        <w:spacing w:line="360" w:lineRule="auto"/>
        <w:ind w:right="-817" w:rightChars="-389"/>
        <w:contextualSpacing/>
        <w:jc w:val="center"/>
        <w:rPr>
          <w:rFonts w:ascii="宋体" w:hAnsi="宋体" w:cs="仿宋_GB2312"/>
          <w:color w:val="auto"/>
          <w:sz w:val="24"/>
        </w:rPr>
      </w:pPr>
      <w:r>
        <w:rPr>
          <w:rFonts w:hint="eastAsia" w:ascii="宋体" w:hAnsi="宋体" w:cs="仿宋_GB2312"/>
          <w:color w:val="auto"/>
          <w:sz w:val="24"/>
        </w:rPr>
        <w:t>法定代表人或者委托代理人（签字）：</w:t>
      </w:r>
    </w:p>
    <w:p w14:paraId="01FCD925">
      <w:pPr>
        <w:spacing w:line="360" w:lineRule="auto"/>
        <w:ind w:right="-817" w:rightChars="-389" w:firstLine="3240" w:firstLineChars="1350"/>
        <w:contextualSpacing/>
        <w:rPr>
          <w:rFonts w:ascii="宋体" w:hAnsi="宋体" w:cs="仿宋_GB2312"/>
          <w:color w:val="auto"/>
          <w:sz w:val="24"/>
        </w:rPr>
      </w:pPr>
      <w:r>
        <w:rPr>
          <w:rFonts w:hint="eastAsia" w:ascii="宋体" w:hAnsi="宋体" w:cs="仿宋_GB2312"/>
          <w:color w:val="auto"/>
          <w:sz w:val="24"/>
        </w:rPr>
        <w:t xml:space="preserve">供应商（盖公章）：      </w:t>
      </w:r>
    </w:p>
    <w:p w14:paraId="5A3FCDEE">
      <w:pPr>
        <w:spacing w:line="360" w:lineRule="auto"/>
        <w:ind w:right="-817" w:rightChars="-389" w:firstLine="3240" w:firstLineChars="1350"/>
        <w:contextualSpacing/>
        <w:rPr>
          <w:rFonts w:ascii="仿宋_GB2312" w:hAnsi="仿宋_GB2312" w:eastAsia="仿宋_GB2312" w:cs="仿宋_GB2312"/>
          <w:b/>
          <w:color w:val="auto"/>
          <w:sz w:val="32"/>
          <w:szCs w:val="32"/>
        </w:rPr>
      </w:pPr>
      <w:r>
        <w:rPr>
          <w:rFonts w:hint="eastAsia" w:ascii="宋体" w:hAnsi="宋体" w:cs="仿宋_GB2312"/>
          <w:color w:val="auto"/>
          <w:sz w:val="24"/>
        </w:rPr>
        <w:t>日期：   年   月   日</w:t>
      </w:r>
    </w:p>
    <w:p w14:paraId="4E7439DC">
      <w:pPr>
        <w:adjustRightInd w:val="0"/>
        <w:snapToGrid w:val="0"/>
        <w:spacing w:line="300" w:lineRule="auto"/>
        <w:rPr>
          <w:rFonts w:ascii="宋体" w:hAnsi="宋体"/>
          <w:color w:val="auto"/>
          <w:szCs w:val="21"/>
          <w:u w:val="single"/>
        </w:rPr>
      </w:pPr>
    </w:p>
    <w:p w14:paraId="3B6C4282">
      <w:pPr>
        <w:adjustRightInd w:val="0"/>
        <w:snapToGrid w:val="0"/>
        <w:spacing w:line="300" w:lineRule="auto"/>
        <w:rPr>
          <w:rFonts w:ascii="宋体" w:hAnsi="宋体"/>
          <w:color w:val="auto"/>
          <w:szCs w:val="21"/>
          <w:u w:val="single"/>
        </w:rPr>
      </w:pPr>
    </w:p>
    <w:p w14:paraId="3F059A97">
      <w:pPr>
        <w:adjustRightInd w:val="0"/>
        <w:snapToGrid w:val="0"/>
        <w:spacing w:line="300" w:lineRule="auto"/>
        <w:rPr>
          <w:rFonts w:ascii="宋体" w:hAnsi="宋体"/>
          <w:color w:val="auto"/>
          <w:szCs w:val="21"/>
          <w:u w:val="single"/>
        </w:rPr>
      </w:pPr>
    </w:p>
    <w:p w14:paraId="060BFAF1">
      <w:pPr>
        <w:adjustRightInd w:val="0"/>
        <w:snapToGrid w:val="0"/>
        <w:spacing w:line="300" w:lineRule="auto"/>
        <w:rPr>
          <w:rFonts w:ascii="宋体" w:hAnsi="宋体"/>
          <w:color w:val="auto"/>
          <w:szCs w:val="21"/>
          <w:u w:val="single"/>
        </w:rPr>
      </w:pPr>
    </w:p>
    <w:p w14:paraId="5FC09E0B">
      <w:pPr>
        <w:adjustRightInd w:val="0"/>
        <w:snapToGrid w:val="0"/>
        <w:spacing w:line="300" w:lineRule="auto"/>
        <w:rPr>
          <w:rFonts w:ascii="宋体" w:hAnsi="宋体"/>
          <w:color w:val="auto"/>
          <w:szCs w:val="21"/>
          <w:u w:val="single"/>
        </w:rPr>
      </w:pPr>
    </w:p>
    <w:p w14:paraId="105283A8">
      <w:pPr>
        <w:adjustRightInd w:val="0"/>
        <w:snapToGrid w:val="0"/>
        <w:spacing w:line="300" w:lineRule="auto"/>
        <w:rPr>
          <w:rFonts w:ascii="宋体" w:hAnsi="宋体"/>
          <w:color w:val="auto"/>
          <w:szCs w:val="21"/>
          <w:u w:val="single"/>
        </w:rPr>
      </w:pPr>
    </w:p>
    <w:p w14:paraId="5EF285EA">
      <w:pPr>
        <w:adjustRightInd w:val="0"/>
        <w:snapToGrid w:val="0"/>
        <w:spacing w:line="300" w:lineRule="auto"/>
        <w:rPr>
          <w:rFonts w:ascii="宋体" w:hAnsi="宋体"/>
          <w:color w:val="auto"/>
          <w:szCs w:val="21"/>
          <w:u w:val="single"/>
        </w:rPr>
      </w:pPr>
    </w:p>
    <w:p w14:paraId="7113D1B2">
      <w:pPr>
        <w:adjustRightInd w:val="0"/>
        <w:snapToGrid w:val="0"/>
        <w:spacing w:line="300" w:lineRule="auto"/>
        <w:rPr>
          <w:rFonts w:ascii="宋体" w:hAnsi="宋体"/>
          <w:color w:val="auto"/>
          <w:szCs w:val="21"/>
          <w:u w:val="single"/>
        </w:rPr>
      </w:pPr>
    </w:p>
    <w:p w14:paraId="087A17B4">
      <w:pPr>
        <w:adjustRightInd w:val="0"/>
        <w:snapToGrid w:val="0"/>
        <w:spacing w:line="300" w:lineRule="auto"/>
        <w:jc w:val="center"/>
        <w:rPr>
          <w:rFonts w:ascii="方正小标宋简体" w:hAnsi="方正小标宋简体" w:eastAsia="方正小标宋简体" w:cs="方正小标宋简体"/>
          <w:bCs/>
          <w:color w:val="auto"/>
          <w:sz w:val="44"/>
          <w:szCs w:val="44"/>
        </w:rPr>
      </w:pPr>
      <w:r>
        <w:rPr>
          <w:rFonts w:ascii="方正小标宋简体" w:hAnsi="方正小标宋简体" w:eastAsia="方正小标宋简体" w:cs="方正小标宋简体"/>
          <w:bCs/>
          <w:color w:val="auto"/>
          <w:sz w:val="44"/>
          <w:szCs w:val="44"/>
        </w:rPr>
        <w:br w:type="page"/>
      </w:r>
      <w:r>
        <w:rPr>
          <w:rFonts w:hint="eastAsia" w:ascii="方正小标宋简体" w:hAnsi="方正小标宋简体" w:eastAsia="方正小标宋简体" w:cs="方正小标宋简体"/>
          <w:bCs/>
          <w:color w:val="auto"/>
          <w:sz w:val="44"/>
          <w:szCs w:val="44"/>
        </w:rPr>
        <w:t>技术要求偏离表</w:t>
      </w:r>
    </w:p>
    <w:p w14:paraId="4DC6CD37">
      <w:pPr>
        <w:spacing w:line="520" w:lineRule="exact"/>
        <w:rPr>
          <w:rFonts w:ascii="仿宋_GB2312" w:hAnsi="仿宋_GB2312" w:eastAsia="仿宋_GB2312" w:cs="仿宋_GB2312"/>
          <w:color w:val="auto"/>
          <w:sz w:val="32"/>
          <w:szCs w:val="32"/>
        </w:rPr>
      </w:pPr>
    </w:p>
    <w:p w14:paraId="1F97497E">
      <w:pPr>
        <w:spacing w:line="360" w:lineRule="auto"/>
        <w:rPr>
          <w:rFonts w:ascii="宋体" w:hAnsi="宋体" w:cs="仿宋_GB2312"/>
          <w:color w:val="auto"/>
          <w:sz w:val="24"/>
          <w:u w:val="single"/>
        </w:rPr>
      </w:pPr>
      <w:r>
        <w:rPr>
          <w:rFonts w:hint="eastAsia" w:ascii="宋体" w:hAnsi="宋体" w:cs="仿宋_GB2312"/>
          <w:color w:val="auto"/>
          <w:sz w:val="24"/>
        </w:rPr>
        <w:t>采购项目编号：</w:t>
      </w:r>
      <w:r>
        <w:rPr>
          <w:rFonts w:hint="eastAsia" w:ascii="宋体" w:hAnsi="宋体" w:cs="仿宋_GB2312"/>
          <w:color w:val="auto"/>
          <w:sz w:val="24"/>
          <w:u w:val="single"/>
        </w:rPr>
        <w:t xml:space="preserve">                 </w:t>
      </w:r>
    </w:p>
    <w:p w14:paraId="32E86257">
      <w:pPr>
        <w:spacing w:line="360" w:lineRule="auto"/>
        <w:rPr>
          <w:rFonts w:ascii="宋体" w:hAnsi="宋体" w:cs="仿宋_GB2312"/>
          <w:color w:val="auto"/>
          <w:sz w:val="24"/>
        </w:rPr>
      </w:pPr>
      <w:r>
        <w:rPr>
          <w:rFonts w:hint="eastAsia" w:ascii="宋体" w:hAnsi="宋体" w:cs="仿宋_GB2312"/>
          <w:color w:val="auto"/>
          <w:sz w:val="24"/>
        </w:rPr>
        <w:t>采购项目名称：</w:t>
      </w:r>
      <w:r>
        <w:rPr>
          <w:rFonts w:hint="eastAsia" w:ascii="宋体" w:hAnsi="宋体" w:cs="仿宋_GB2312"/>
          <w:color w:val="auto"/>
          <w:sz w:val="24"/>
          <w:u w:val="single"/>
        </w:rPr>
        <w:t xml:space="preserve">                 </w:t>
      </w:r>
    </w:p>
    <w:p w14:paraId="18D95D92">
      <w:pPr>
        <w:spacing w:line="360" w:lineRule="auto"/>
        <w:rPr>
          <w:rFonts w:ascii="宋体" w:hAnsi="宋体" w:cs="仿宋_GB2312"/>
          <w:color w:val="auto"/>
          <w:sz w:val="24"/>
          <w:u w:val="single"/>
        </w:rPr>
      </w:pPr>
      <w:r>
        <w:rPr>
          <w:rFonts w:hint="eastAsia" w:ascii="宋体" w:hAnsi="宋体" w:cs="仿宋_GB2312"/>
          <w:color w:val="auto"/>
          <w:sz w:val="24"/>
        </w:rPr>
        <w:t>分标号：</w:t>
      </w:r>
      <w:r>
        <w:rPr>
          <w:rFonts w:hint="eastAsia" w:ascii="宋体" w:hAnsi="宋体" w:cs="仿宋_GB2312"/>
          <w:color w:val="auto"/>
          <w:sz w:val="24"/>
          <w:u w:val="single"/>
        </w:rPr>
        <w:t xml:space="preserve">                       </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92"/>
        <w:gridCol w:w="992"/>
        <w:gridCol w:w="3293"/>
        <w:gridCol w:w="2964"/>
        <w:gridCol w:w="1617"/>
      </w:tblGrid>
      <w:tr w14:paraId="05FD6D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3525BFC9">
            <w:pPr>
              <w:pStyle w:val="13"/>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序号</w:t>
            </w:r>
          </w:p>
        </w:tc>
        <w:tc>
          <w:tcPr>
            <w:tcW w:w="503" w:type="pct"/>
            <w:tcBorders>
              <w:right w:val="single" w:color="auto" w:sz="4" w:space="0"/>
            </w:tcBorders>
            <w:vAlign w:val="center"/>
          </w:tcPr>
          <w:p w14:paraId="2D410ACB">
            <w:pPr>
              <w:pStyle w:val="13"/>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名称</w:t>
            </w:r>
          </w:p>
        </w:tc>
        <w:tc>
          <w:tcPr>
            <w:tcW w:w="1670" w:type="pct"/>
            <w:tcBorders>
              <w:left w:val="single" w:color="auto" w:sz="4" w:space="0"/>
            </w:tcBorders>
            <w:vAlign w:val="center"/>
          </w:tcPr>
          <w:p w14:paraId="798E9FAB">
            <w:pPr>
              <w:pStyle w:val="13"/>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谈判文件要求</w:t>
            </w:r>
          </w:p>
        </w:tc>
        <w:tc>
          <w:tcPr>
            <w:tcW w:w="1503" w:type="pct"/>
            <w:vAlign w:val="center"/>
          </w:tcPr>
          <w:p w14:paraId="0F2A0263">
            <w:pPr>
              <w:pStyle w:val="13"/>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竞标响应</w:t>
            </w:r>
          </w:p>
        </w:tc>
        <w:tc>
          <w:tcPr>
            <w:tcW w:w="820" w:type="pct"/>
            <w:vAlign w:val="center"/>
          </w:tcPr>
          <w:p w14:paraId="3F32CB32">
            <w:pPr>
              <w:pStyle w:val="13"/>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偏离说明</w:t>
            </w:r>
          </w:p>
        </w:tc>
      </w:tr>
      <w:tr w14:paraId="74589F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2C15DFE3">
            <w:pPr>
              <w:pStyle w:val="13"/>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1</w:t>
            </w:r>
          </w:p>
        </w:tc>
        <w:tc>
          <w:tcPr>
            <w:tcW w:w="503" w:type="pct"/>
            <w:tcBorders>
              <w:right w:val="single" w:color="auto" w:sz="4" w:space="0"/>
            </w:tcBorders>
            <w:vAlign w:val="center"/>
          </w:tcPr>
          <w:p w14:paraId="7750EDC6">
            <w:pPr>
              <w:pStyle w:val="13"/>
              <w:spacing w:line="360" w:lineRule="auto"/>
              <w:ind w:firstLine="0" w:firstLineChars="0"/>
              <w:jc w:val="center"/>
              <w:rPr>
                <w:rFonts w:ascii="宋体" w:hAnsi="宋体" w:eastAsia="宋体" w:cs="仿宋_GB2312"/>
                <w:color w:val="auto"/>
                <w:kern w:val="2"/>
                <w:sz w:val="24"/>
                <w:szCs w:val="24"/>
              </w:rPr>
            </w:pPr>
          </w:p>
        </w:tc>
        <w:tc>
          <w:tcPr>
            <w:tcW w:w="1670" w:type="pct"/>
            <w:tcBorders>
              <w:left w:val="single" w:color="auto" w:sz="4" w:space="0"/>
            </w:tcBorders>
            <w:vAlign w:val="center"/>
          </w:tcPr>
          <w:p w14:paraId="5B68A3E8">
            <w:pPr>
              <w:pStyle w:val="13"/>
              <w:spacing w:line="360" w:lineRule="auto"/>
              <w:ind w:firstLine="0" w:firstLineChars="0"/>
              <w:jc w:val="center"/>
              <w:rPr>
                <w:rFonts w:ascii="宋体" w:hAnsi="宋体" w:eastAsia="宋体" w:cs="仿宋_GB2312"/>
                <w:color w:val="auto"/>
                <w:kern w:val="2"/>
                <w:sz w:val="24"/>
                <w:szCs w:val="24"/>
              </w:rPr>
            </w:pPr>
          </w:p>
        </w:tc>
        <w:tc>
          <w:tcPr>
            <w:tcW w:w="1503" w:type="pct"/>
            <w:vAlign w:val="center"/>
          </w:tcPr>
          <w:p w14:paraId="166939D2">
            <w:pPr>
              <w:pStyle w:val="13"/>
              <w:spacing w:line="360" w:lineRule="auto"/>
              <w:ind w:firstLine="0" w:firstLineChars="0"/>
              <w:jc w:val="center"/>
              <w:rPr>
                <w:rFonts w:ascii="宋体" w:hAnsi="宋体" w:eastAsia="宋体" w:cs="仿宋_GB2312"/>
                <w:color w:val="auto"/>
                <w:kern w:val="2"/>
                <w:sz w:val="24"/>
                <w:szCs w:val="24"/>
              </w:rPr>
            </w:pPr>
          </w:p>
        </w:tc>
        <w:tc>
          <w:tcPr>
            <w:tcW w:w="820" w:type="pct"/>
            <w:vAlign w:val="center"/>
          </w:tcPr>
          <w:p w14:paraId="00E1AD7A">
            <w:pPr>
              <w:pStyle w:val="13"/>
              <w:spacing w:line="360" w:lineRule="auto"/>
              <w:ind w:firstLine="0" w:firstLineChars="0"/>
              <w:jc w:val="center"/>
              <w:rPr>
                <w:rFonts w:ascii="宋体" w:hAnsi="宋体" w:eastAsia="宋体" w:cs="仿宋_GB2312"/>
                <w:color w:val="auto"/>
                <w:kern w:val="2"/>
                <w:sz w:val="24"/>
                <w:szCs w:val="24"/>
              </w:rPr>
            </w:pPr>
          </w:p>
        </w:tc>
      </w:tr>
      <w:tr w14:paraId="5B4BDD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400963AA">
            <w:pPr>
              <w:pStyle w:val="13"/>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2</w:t>
            </w:r>
          </w:p>
        </w:tc>
        <w:tc>
          <w:tcPr>
            <w:tcW w:w="503" w:type="pct"/>
            <w:tcBorders>
              <w:right w:val="single" w:color="auto" w:sz="4" w:space="0"/>
            </w:tcBorders>
            <w:vAlign w:val="center"/>
          </w:tcPr>
          <w:p w14:paraId="18CAE29E">
            <w:pPr>
              <w:pStyle w:val="13"/>
              <w:spacing w:line="360" w:lineRule="auto"/>
              <w:ind w:firstLine="0" w:firstLineChars="0"/>
              <w:jc w:val="center"/>
              <w:rPr>
                <w:rFonts w:ascii="宋体" w:hAnsi="宋体" w:eastAsia="宋体" w:cs="仿宋_GB2312"/>
                <w:color w:val="auto"/>
                <w:kern w:val="2"/>
                <w:sz w:val="24"/>
                <w:szCs w:val="24"/>
              </w:rPr>
            </w:pPr>
          </w:p>
        </w:tc>
        <w:tc>
          <w:tcPr>
            <w:tcW w:w="1670" w:type="pct"/>
            <w:tcBorders>
              <w:left w:val="single" w:color="auto" w:sz="4" w:space="0"/>
            </w:tcBorders>
            <w:vAlign w:val="center"/>
          </w:tcPr>
          <w:p w14:paraId="5BDDE7B4">
            <w:pPr>
              <w:pStyle w:val="13"/>
              <w:spacing w:line="360" w:lineRule="auto"/>
              <w:ind w:firstLine="0" w:firstLineChars="0"/>
              <w:jc w:val="center"/>
              <w:rPr>
                <w:rFonts w:ascii="宋体" w:hAnsi="宋体" w:eastAsia="宋体" w:cs="仿宋_GB2312"/>
                <w:color w:val="auto"/>
                <w:kern w:val="2"/>
                <w:sz w:val="24"/>
                <w:szCs w:val="24"/>
              </w:rPr>
            </w:pPr>
          </w:p>
        </w:tc>
        <w:tc>
          <w:tcPr>
            <w:tcW w:w="1503" w:type="pct"/>
            <w:vAlign w:val="center"/>
          </w:tcPr>
          <w:p w14:paraId="56E270FB">
            <w:pPr>
              <w:pStyle w:val="13"/>
              <w:spacing w:line="360" w:lineRule="auto"/>
              <w:ind w:firstLine="0" w:firstLineChars="0"/>
              <w:jc w:val="center"/>
              <w:rPr>
                <w:rFonts w:ascii="宋体" w:hAnsi="宋体" w:eastAsia="宋体" w:cs="仿宋_GB2312"/>
                <w:color w:val="auto"/>
                <w:kern w:val="2"/>
                <w:sz w:val="24"/>
                <w:szCs w:val="24"/>
              </w:rPr>
            </w:pPr>
          </w:p>
        </w:tc>
        <w:tc>
          <w:tcPr>
            <w:tcW w:w="820" w:type="pct"/>
            <w:vAlign w:val="center"/>
          </w:tcPr>
          <w:p w14:paraId="61CF357F">
            <w:pPr>
              <w:pStyle w:val="13"/>
              <w:spacing w:line="360" w:lineRule="auto"/>
              <w:ind w:firstLine="0" w:firstLineChars="0"/>
              <w:jc w:val="center"/>
              <w:rPr>
                <w:rFonts w:ascii="宋体" w:hAnsi="宋体" w:eastAsia="宋体" w:cs="仿宋_GB2312"/>
                <w:color w:val="auto"/>
                <w:kern w:val="2"/>
                <w:sz w:val="24"/>
                <w:szCs w:val="24"/>
              </w:rPr>
            </w:pPr>
          </w:p>
        </w:tc>
      </w:tr>
      <w:tr w14:paraId="46FF56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15D421CE">
            <w:pPr>
              <w:pStyle w:val="13"/>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3</w:t>
            </w:r>
          </w:p>
        </w:tc>
        <w:tc>
          <w:tcPr>
            <w:tcW w:w="503" w:type="pct"/>
            <w:tcBorders>
              <w:right w:val="single" w:color="auto" w:sz="4" w:space="0"/>
            </w:tcBorders>
            <w:vAlign w:val="center"/>
          </w:tcPr>
          <w:p w14:paraId="3CE2AEAC">
            <w:pPr>
              <w:pStyle w:val="13"/>
              <w:spacing w:line="360" w:lineRule="auto"/>
              <w:ind w:firstLine="0" w:firstLineChars="0"/>
              <w:jc w:val="center"/>
              <w:rPr>
                <w:rFonts w:ascii="宋体" w:hAnsi="宋体" w:eastAsia="宋体" w:cs="仿宋_GB2312"/>
                <w:color w:val="auto"/>
                <w:kern w:val="2"/>
                <w:sz w:val="24"/>
                <w:szCs w:val="24"/>
              </w:rPr>
            </w:pPr>
          </w:p>
        </w:tc>
        <w:tc>
          <w:tcPr>
            <w:tcW w:w="1670" w:type="pct"/>
            <w:tcBorders>
              <w:left w:val="single" w:color="auto" w:sz="4" w:space="0"/>
            </w:tcBorders>
            <w:vAlign w:val="center"/>
          </w:tcPr>
          <w:p w14:paraId="7DA66EBC">
            <w:pPr>
              <w:pStyle w:val="13"/>
              <w:spacing w:line="360" w:lineRule="auto"/>
              <w:ind w:firstLine="0" w:firstLineChars="0"/>
              <w:jc w:val="center"/>
              <w:rPr>
                <w:rFonts w:ascii="宋体" w:hAnsi="宋体" w:eastAsia="宋体" w:cs="仿宋_GB2312"/>
                <w:color w:val="auto"/>
                <w:kern w:val="2"/>
                <w:sz w:val="24"/>
                <w:szCs w:val="24"/>
              </w:rPr>
            </w:pPr>
          </w:p>
        </w:tc>
        <w:tc>
          <w:tcPr>
            <w:tcW w:w="1503" w:type="pct"/>
            <w:vAlign w:val="center"/>
          </w:tcPr>
          <w:p w14:paraId="09C55948">
            <w:pPr>
              <w:pStyle w:val="13"/>
              <w:spacing w:line="360" w:lineRule="auto"/>
              <w:ind w:firstLine="0" w:firstLineChars="0"/>
              <w:jc w:val="center"/>
              <w:rPr>
                <w:rFonts w:ascii="宋体" w:hAnsi="宋体" w:eastAsia="宋体" w:cs="仿宋_GB2312"/>
                <w:color w:val="auto"/>
                <w:kern w:val="2"/>
                <w:sz w:val="24"/>
                <w:szCs w:val="24"/>
              </w:rPr>
            </w:pPr>
          </w:p>
        </w:tc>
        <w:tc>
          <w:tcPr>
            <w:tcW w:w="820" w:type="pct"/>
            <w:vAlign w:val="center"/>
          </w:tcPr>
          <w:p w14:paraId="613CF7CE">
            <w:pPr>
              <w:pStyle w:val="13"/>
              <w:spacing w:line="360" w:lineRule="auto"/>
              <w:ind w:firstLine="0" w:firstLineChars="0"/>
              <w:jc w:val="center"/>
              <w:rPr>
                <w:rFonts w:ascii="宋体" w:hAnsi="宋体" w:eastAsia="宋体" w:cs="仿宋_GB2312"/>
                <w:color w:val="auto"/>
                <w:kern w:val="2"/>
                <w:sz w:val="24"/>
                <w:szCs w:val="24"/>
              </w:rPr>
            </w:pPr>
          </w:p>
        </w:tc>
      </w:tr>
      <w:tr w14:paraId="02A63B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05E368B5">
            <w:pPr>
              <w:pStyle w:val="13"/>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4</w:t>
            </w:r>
          </w:p>
        </w:tc>
        <w:tc>
          <w:tcPr>
            <w:tcW w:w="503" w:type="pct"/>
            <w:tcBorders>
              <w:right w:val="single" w:color="auto" w:sz="4" w:space="0"/>
            </w:tcBorders>
            <w:vAlign w:val="center"/>
          </w:tcPr>
          <w:p w14:paraId="3F8ABDEF">
            <w:pPr>
              <w:pStyle w:val="13"/>
              <w:spacing w:line="360" w:lineRule="auto"/>
              <w:ind w:firstLine="0" w:firstLineChars="0"/>
              <w:jc w:val="center"/>
              <w:rPr>
                <w:rFonts w:ascii="宋体" w:hAnsi="宋体" w:eastAsia="宋体" w:cs="仿宋_GB2312"/>
                <w:color w:val="auto"/>
                <w:kern w:val="2"/>
                <w:sz w:val="24"/>
                <w:szCs w:val="24"/>
              </w:rPr>
            </w:pPr>
          </w:p>
        </w:tc>
        <w:tc>
          <w:tcPr>
            <w:tcW w:w="1670" w:type="pct"/>
            <w:tcBorders>
              <w:left w:val="single" w:color="auto" w:sz="4" w:space="0"/>
            </w:tcBorders>
            <w:vAlign w:val="center"/>
          </w:tcPr>
          <w:p w14:paraId="6B7DE57F">
            <w:pPr>
              <w:pStyle w:val="13"/>
              <w:spacing w:line="360" w:lineRule="auto"/>
              <w:ind w:firstLine="0" w:firstLineChars="0"/>
              <w:jc w:val="center"/>
              <w:rPr>
                <w:rFonts w:ascii="宋体" w:hAnsi="宋体" w:eastAsia="宋体" w:cs="仿宋_GB2312"/>
                <w:color w:val="auto"/>
                <w:kern w:val="2"/>
                <w:sz w:val="24"/>
                <w:szCs w:val="24"/>
              </w:rPr>
            </w:pPr>
          </w:p>
        </w:tc>
        <w:tc>
          <w:tcPr>
            <w:tcW w:w="1503" w:type="pct"/>
            <w:vAlign w:val="center"/>
          </w:tcPr>
          <w:p w14:paraId="0226A0D0">
            <w:pPr>
              <w:pStyle w:val="13"/>
              <w:spacing w:line="360" w:lineRule="auto"/>
              <w:ind w:firstLine="0" w:firstLineChars="0"/>
              <w:jc w:val="center"/>
              <w:rPr>
                <w:rFonts w:ascii="宋体" w:hAnsi="宋体" w:eastAsia="宋体" w:cs="仿宋_GB2312"/>
                <w:color w:val="auto"/>
                <w:kern w:val="2"/>
                <w:sz w:val="24"/>
                <w:szCs w:val="24"/>
              </w:rPr>
            </w:pPr>
          </w:p>
        </w:tc>
        <w:tc>
          <w:tcPr>
            <w:tcW w:w="820" w:type="pct"/>
            <w:vAlign w:val="center"/>
          </w:tcPr>
          <w:p w14:paraId="7E4BDFA3">
            <w:pPr>
              <w:pStyle w:val="13"/>
              <w:spacing w:line="360" w:lineRule="auto"/>
              <w:ind w:firstLine="0" w:firstLineChars="0"/>
              <w:jc w:val="center"/>
              <w:rPr>
                <w:rFonts w:ascii="宋体" w:hAnsi="宋体" w:eastAsia="宋体" w:cs="仿宋_GB2312"/>
                <w:color w:val="auto"/>
                <w:kern w:val="2"/>
                <w:sz w:val="24"/>
                <w:szCs w:val="24"/>
              </w:rPr>
            </w:pPr>
          </w:p>
        </w:tc>
      </w:tr>
      <w:tr w14:paraId="24EB53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5390B48D">
            <w:pPr>
              <w:pStyle w:val="13"/>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5</w:t>
            </w:r>
          </w:p>
        </w:tc>
        <w:tc>
          <w:tcPr>
            <w:tcW w:w="503" w:type="pct"/>
            <w:tcBorders>
              <w:right w:val="single" w:color="auto" w:sz="4" w:space="0"/>
            </w:tcBorders>
            <w:vAlign w:val="center"/>
          </w:tcPr>
          <w:p w14:paraId="011976BD">
            <w:pPr>
              <w:pStyle w:val="13"/>
              <w:spacing w:line="360" w:lineRule="auto"/>
              <w:ind w:firstLine="0" w:firstLineChars="0"/>
              <w:jc w:val="center"/>
              <w:rPr>
                <w:rFonts w:ascii="宋体" w:hAnsi="宋体" w:eastAsia="宋体" w:cs="仿宋_GB2312"/>
                <w:color w:val="auto"/>
                <w:kern w:val="2"/>
                <w:sz w:val="24"/>
                <w:szCs w:val="24"/>
              </w:rPr>
            </w:pPr>
          </w:p>
        </w:tc>
        <w:tc>
          <w:tcPr>
            <w:tcW w:w="1670" w:type="pct"/>
            <w:tcBorders>
              <w:left w:val="single" w:color="auto" w:sz="4" w:space="0"/>
            </w:tcBorders>
            <w:vAlign w:val="center"/>
          </w:tcPr>
          <w:p w14:paraId="2969492F">
            <w:pPr>
              <w:pStyle w:val="13"/>
              <w:spacing w:line="360" w:lineRule="auto"/>
              <w:ind w:firstLine="0" w:firstLineChars="0"/>
              <w:jc w:val="center"/>
              <w:rPr>
                <w:rFonts w:ascii="宋体" w:hAnsi="宋体" w:eastAsia="宋体" w:cs="仿宋_GB2312"/>
                <w:color w:val="auto"/>
                <w:kern w:val="2"/>
                <w:sz w:val="24"/>
                <w:szCs w:val="24"/>
              </w:rPr>
            </w:pPr>
          </w:p>
        </w:tc>
        <w:tc>
          <w:tcPr>
            <w:tcW w:w="1503" w:type="pct"/>
            <w:vAlign w:val="center"/>
          </w:tcPr>
          <w:p w14:paraId="0AFEF792">
            <w:pPr>
              <w:pStyle w:val="13"/>
              <w:spacing w:line="360" w:lineRule="auto"/>
              <w:ind w:firstLine="0" w:firstLineChars="0"/>
              <w:jc w:val="center"/>
              <w:rPr>
                <w:rFonts w:ascii="宋体" w:hAnsi="宋体" w:eastAsia="宋体" w:cs="仿宋_GB2312"/>
                <w:color w:val="auto"/>
                <w:kern w:val="2"/>
                <w:sz w:val="24"/>
                <w:szCs w:val="24"/>
              </w:rPr>
            </w:pPr>
          </w:p>
        </w:tc>
        <w:tc>
          <w:tcPr>
            <w:tcW w:w="820" w:type="pct"/>
            <w:vAlign w:val="center"/>
          </w:tcPr>
          <w:p w14:paraId="401B43E2">
            <w:pPr>
              <w:pStyle w:val="13"/>
              <w:spacing w:line="360" w:lineRule="auto"/>
              <w:ind w:firstLine="0" w:firstLineChars="0"/>
              <w:jc w:val="center"/>
              <w:rPr>
                <w:rFonts w:ascii="宋体" w:hAnsi="宋体" w:eastAsia="宋体" w:cs="仿宋_GB2312"/>
                <w:color w:val="auto"/>
                <w:kern w:val="2"/>
                <w:sz w:val="24"/>
                <w:szCs w:val="24"/>
              </w:rPr>
            </w:pPr>
          </w:p>
        </w:tc>
      </w:tr>
      <w:tr w14:paraId="22E5C2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vAlign w:val="center"/>
          </w:tcPr>
          <w:p w14:paraId="16511FA9">
            <w:pPr>
              <w:spacing w:line="360" w:lineRule="auto"/>
              <w:jc w:val="center"/>
              <w:rPr>
                <w:rFonts w:ascii="宋体" w:hAnsi="宋体" w:cs="仿宋_GB2312"/>
                <w:color w:val="auto"/>
                <w:sz w:val="24"/>
              </w:rPr>
            </w:pPr>
            <w:r>
              <w:rPr>
                <w:rFonts w:hint="eastAsia" w:ascii="宋体" w:hAnsi="宋体" w:cs="仿宋_GB2312"/>
                <w:color w:val="auto"/>
                <w:sz w:val="24"/>
              </w:rPr>
              <w:t>…</w:t>
            </w:r>
            <w:r>
              <w:rPr>
                <w:rFonts w:hint="eastAsia" w:ascii="宋体" w:hAnsi="宋体" w:cs="宋体"/>
                <w:color w:val="auto"/>
                <w:sz w:val="24"/>
              </w:rPr>
              <w:t>…</w:t>
            </w:r>
          </w:p>
        </w:tc>
        <w:tc>
          <w:tcPr>
            <w:tcW w:w="503" w:type="pct"/>
            <w:tcBorders>
              <w:right w:val="single" w:color="auto" w:sz="4" w:space="0"/>
            </w:tcBorders>
            <w:vAlign w:val="center"/>
          </w:tcPr>
          <w:p w14:paraId="23B93305">
            <w:pPr>
              <w:spacing w:line="360" w:lineRule="auto"/>
              <w:jc w:val="center"/>
              <w:rPr>
                <w:rFonts w:ascii="宋体" w:hAnsi="宋体" w:cs="仿宋_GB2312"/>
                <w:color w:val="auto"/>
                <w:sz w:val="24"/>
              </w:rPr>
            </w:pPr>
            <w:r>
              <w:rPr>
                <w:rFonts w:hint="eastAsia" w:ascii="宋体" w:hAnsi="宋体" w:cs="仿宋_GB2312"/>
                <w:color w:val="auto"/>
                <w:sz w:val="24"/>
              </w:rPr>
              <w:t>…</w:t>
            </w:r>
            <w:r>
              <w:rPr>
                <w:rFonts w:hint="eastAsia" w:ascii="宋体" w:hAnsi="宋体" w:cs="宋体"/>
                <w:color w:val="auto"/>
                <w:sz w:val="24"/>
              </w:rPr>
              <w:t>…</w:t>
            </w:r>
          </w:p>
        </w:tc>
        <w:tc>
          <w:tcPr>
            <w:tcW w:w="1670" w:type="pct"/>
            <w:tcBorders>
              <w:left w:val="single" w:color="auto" w:sz="4" w:space="0"/>
            </w:tcBorders>
            <w:vAlign w:val="center"/>
          </w:tcPr>
          <w:p w14:paraId="1B244A71">
            <w:pPr>
              <w:spacing w:line="360" w:lineRule="auto"/>
              <w:jc w:val="center"/>
              <w:rPr>
                <w:rFonts w:ascii="宋体" w:hAnsi="宋体" w:cs="仿宋_GB2312"/>
                <w:color w:val="auto"/>
                <w:sz w:val="24"/>
              </w:rPr>
            </w:pPr>
            <w:r>
              <w:rPr>
                <w:rFonts w:hint="eastAsia" w:ascii="宋体" w:hAnsi="宋体" w:cs="仿宋_GB2312"/>
                <w:color w:val="auto"/>
                <w:sz w:val="24"/>
              </w:rPr>
              <w:t>…</w:t>
            </w:r>
            <w:r>
              <w:rPr>
                <w:rFonts w:hint="eastAsia" w:ascii="宋体" w:hAnsi="宋体" w:cs="宋体"/>
                <w:color w:val="auto"/>
                <w:sz w:val="24"/>
              </w:rPr>
              <w:t>…</w:t>
            </w:r>
          </w:p>
        </w:tc>
        <w:tc>
          <w:tcPr>
            <w:tcW w:w="1503" w:type="pct"/>
            <w:vAlign w:val="center"/>
          </w:tcPr>
          <w:p w14:paraId="41FCDC16">
            <w:pPr>
              <w:spacing w:line="360" w:lineRule="auto"/>
              <w:jc w:val="center"/>
              <w:rPr>
                <w:rFonts w:ascii="宋体" w:hAnsi="宋体" w:cs="仿宋_GB2312"/>
                <w:color w:val="auto"/>
                <w:sz w:val="24"/>
              </w:rPr>
            </w:pPr>
            <w:r>
              <w:rPr>
                <w:rFonts w:hint="eastAsia" w:ascii="宋体" w:hAnsi="宋体" w:cs="仿宋_GB2312"/>
                <w:color w:val="auto"/>
                <w:sz w:val="24"/>
              </w:rPr>
              <w:t>…</w:t>
            </w:r>
            <w:r>
              <w:rPr>
                <w:rFonts w:hint="eastAsia" w:ascii="宋体" w:hAnsi="宋体" w:cs="宋体"/>
                <w:color w:val="auto"/>
                <w:sz w:val="24"/>
              </w:rPr>
              <w:t>…</w:t>
            </w:r>
          </w:p>
        </w:tc>
        <w:tc>
          <w:tcPr>
            <w:tcW w:w="820" w:type="pct"/>
            <w:tcBorders>
              <w:right w:val="single" w:color="auto" w:sz="4" w:space="0"/>
            </w:tcBorders>
            <w:vAlign w:val="center"/>
          </w:tcPr>
          <w:p w14:paraId="4817C7F9">
            <w:pPr>
              <w:spacing w:line="360" w:lineRule="auto"/>
              <w:jc w:val="center"/>
              <w:rPr>
                <w:rFonts w:ascii="宋体" w:hAnsi="宋体" w:cs="仿宋_GB2312"/>
                <w:color w:val="auto"/>
                <w:sz w:val="24"/>
              </w:rPr>
            </w:pPr>
            <w:r>
              <w:rPr>
                <w:rFonts w:hint="eastAsia" w:ascii="宋体" w:hAnsi="宋体" w:cs="仿宋_GB2312"/>
                <w:color w:val="auto"/>
                <w:sz w:val="24"/>
              </w:rPr>
              <w:t>…</w:t>
            </w:r>
            <w:r>
              <w:rPr>
                <w:rFonts w:hint="eastAsia" w:ascii="宋体" w:hAnsi="宋体" w:cs="宋体"/>
                <w:color w:val="auto"/>
                <w:sz w:val="24"/>
              </w:rPr>
              <w:t>…</w:t>
            </w:r>
          </w:p>
        </w:tc>
      </w:tr>
    </w:tbl>
    <w:p w14:paraId="2D0A2591">
      <w:pPr>
        <w:pStyle w:val="13"/>
        <w:spacing w:line="360" w:lineRule="auto"/>
        <w:ind w:firstLine="0" w:firstLineChars="0"/>
        <w:contextualSpacing/>
        <w:rPr>
          <w:rFonts w:ascii="宋体" w:hAnsi="宋体" w:eastAsia="宋体" w:cs="仿宋_GB2312"/>
          <w:color w:val="auto"/>
          <w:sz w:val="24"/>
          <w:szCs w:val="24"/>
        </w:rPr>
      </w:pPr>
      <w:r>
        <w:rPr>
          <w:rFonts w:hint="eastAsia" w:ascii="宋体" w:hAnsi="宋体" w:eastAsia="宋体" w:cs="仿宋_GB2312"/>
          <w:color w:val="auto"/>
          <w:sz w:val="24"/>
          <w:szCs w:val="24"/>
        </w:rPr>
        <w:t>注：</w:t>
      </w:r>
    </w:p>
    <w:p w14:paraId="601FA178">
      <w:pPr>
        <w:pStyle w:val="13"/>
        <w:spacing w:line="360" w:lineRule="auto"/>
        <w:ind w:firstLine="0" w:firstLineChars="0"/>
        <w:contextualSpacing/>
        <w:rPr>
          <w:rFonts w:ascii="宋体" w:hAnsi="宋体" w:eastAsia="宋体" w:cs="仿宋_GB2312"/>
          <w:color w:val="auto"/>
          <w:sz w:val="24"/>
          <w:szCs w:val="24"/>
        </w:rPr>
      </w:pPr>
      <w:r>
        <w:rPr>
          <w:rFonts w:hint="eastAsia" w:ascii="宋体" w:hAnsi="宋体" w:eastAsia="宋体" w:cs="仿宋_GB2312"/>
          <w:color w:val="auto"/>
          <w:sz w:val="24"/>
          <w:szCs w:val="24"/>
        </w:rPr>
        <w:t>1. 说明：应对照谈判文件“第三章 采购需求”中的技术要求逐条实质性响应，并作出偏离说明。</w:t>
      </w:r>
    </w:p>
    <w:p w14:paraId="28091BA1">
      <w:pPr>
        <w:pStyle w:val="13"/>
        <w:spacing w:line="360" w:lineRule="auto"/>
        <w:ind w:firstLine="0" w:firstLineChars="0"/>
        <w:contextualSpacing/>
        <w:rPr>
          <w:rFonts w:ascii="宋体" w:hAnsi="宋体" w:eastAsia="宋体" w:cs="仿宋_GB2312"/>
          <w:color w:val="auto"/>
          <w:sz w:val="24"/>
          <w:szCs w:val="24"/>
        </w:rPr>
      </w:pPr>
      <w:r>
        <w:rPr>
          <w:rFonts w:hint="eastAsia" w:ascii="宋体" w:hAnsi="宋体" w:eastAsia="宋体" w:cs="仿宋_GB2312"/>
          <w:color w:val="auto"/>
          <w:sz w:val="24"/>
          <w:szCs w:val="24"/>
        </w:rPr>
        <w:t>2.供应商应根据竞标设备的性能指标，对照谈判文件要求，在“偏离说明”中注明“正偏离”、“负偏离”或者“无偏离”。既不属于“正偏离”也不属于“负偏离”即为“无偏离”。</w:t>
      </w:r>
    </w:p>
    <w:p w14:paraId="7C1CA947">
      <w:pPr>
        <w:pStyle w:val="13"/>
        <w:spacing w:line="360" w:lineRule="auto"/>
        <w:ind w:firstLine="0" w:firstLineChars="0"/>
        <w:rPr>
          <w:rFonts w:hint="eastAsia" w:ascii="宋体" w:hAnsi="宋体" w:eastAsia="宋体"/>
          <w:color w:val="auto"/>
          <w:sz w:val="24"/>
          <w:szCs w:val="24"/>
        </w:rPr>
      </w:pPr>
      <w:r>
        <w:rPr>
          <w:rFonts w:hint="eastAsia" w:ascii="宋体" w:hAnsi="宋体" w:eastAsia="宋体"/>
          <w:color w:val="auto"/>
          <w:sz w:val="24"/>
          <w:szCs w:val="24"/>
        </w:rPr>
        <w:t>3.</w:t>
      </w:r>
      <w:r>
        <w:rPr>
          <w:rFonts w:hint="eastAsia" w:ascii="宋体" w:hAnsi="宋体" w:eastAsia="宋体"/>
          <w:color w:val="auto"/>
          <w:sz w:val="24"/>
          <w:szCs w:val="24"/>
          <w:highlight w:val="none"/>
        </w:rPr>
        <w:t>如果</w:t>
      </w:r>
      <w:r>
        <w:rPr>
          <w:rFonts w:hint="eastAsia" w:ascii="宋体" w:hAnsi="宋体" w:eastAsia="宋体"/>
          <w:color w:val="auto"/>
          <w:sz w:val="24"/>
          <w:szCs w:val="24"/>
          <w:highlight w:val="none"/>
          <w:lang w:eastAsia="zh-CN"/>
        </w:rPr>
        <w:t>采购文件</w:t>
      </w:r>
      <w:r>
        <w:rPr>
          <w:rFonts w:hint="eastAsia" w:ascii="宋体" w:hAnsi="宋体" w:eastAsia="宋体"/>
          <w:color w:val="auto"/>
          <w:sz w:val="24"/>
          <w:szCs w:val="24"/>
          <w:highlight w:val="none"/>
        </w:rPr>
        <w:t>需求为小于等于或大于等于或小于或大于某个数值标准时，</w:t>
      </w:r>
      <w:r>
        <w:rPr>
          <w:rFonts w:hint="eastAsia" w:ascii="宋体" w:hAnsi="宋体" w:eastAsia="宋体"/>
          <w:color w:val="auto"/>
          <w:sz w:val="24"/>
          <w:szCs w:val="24"/>
          <w:highlight w:val="none"/>
          <w:lang w:eastAsia="zh-CN"/>
        </w:rPr>
        <w:t>响应文件</w:t>
      </w:r>
      <w:r>
        <w:rPr>
          <w:rFonts w:hint="eastAsia" w:ascii="宋体" w:hAnsi="宋体" w:eastAsia="宋体"/>
          <w:color w:val="auto"/>
          <w:sz w:val="24"/>
          <w:szCs w:val="24"/>
          <w:highlight w:val="none"/>
        </w:rPr>
        <w:t>承诺不得直接复制</w:t>
      </w:r>
      <w:r>
        <w:rPr>
          <w:rFonts w:hint="eastAsia" w:ascii="宋体" w:hAnsi="宋体" w:eastAsia="宋体"/>
          <w:color w:val="auto"/>
          <w:sz w:val="24"/>
          <w:szCs w:val="24"/>
          <w:highlight w:val="none"/>
          <w:lang w:eastAsia="zh-CN"/>
        </w:rPr>
        <w:t>采购文件</w:t>
      </w:r>
      <w:r>
        <w:rPr>
          <w:rFonts w:hint="eastAsia" w:ascii="宋体" w:hAnsi="宋体" w:eastAsia="宋体"/>
          <w:color w:val="auto"/>
          <w:sz w:val="24"/>
          <w:szCs w:val="24"/>
          <w:highlight w:val="none"/>
        </w:rPr>
        <w:t>需求，</w:t>
      </w:r>
      <w:r>
        <w:rPr>
          <w:rFonts w:hint="eastAsia" w:ascii="宋体" w:hAnsi="宋体" w:eastAsia="宋体"/>
          <w:color w:val="auto"/>
          <w:sz w:val="24"/>
          <w:szCs w:val="24"/>
          <w:highlight w:val="none"/>
          <w:lang w:eastAsia="zh-CN"/>
        </w:rPr>
        <w:t>响应文件</w:t>
      </w:r>
      <w:r>
        <w:rPr>
          <w:rFonts w:hint="eastAsia" w:ascii="宋体" w:hAnsi="宋体" w:eastAsia="宋体"/>
          <w:color w:val="auto"/>
          <w:sz w:val="24"/>
          <w:szCs w:val="24"/>
          <w:highlight w:val="none"/>
        </w:rPr>
        <w:t>承诺内容应当写明</w:t>
      </w:r>
      <w:r>
        <w:rPr>
          <w:rFonts w:hint="eastAsia" w:ascii="宋体" w:hAnsi="宋体" w:eastAsia="宋体"/>
          <w:color w:val="auto"/>
          <w:sz w:val="24"/>
          <w:szCs w:val="24"/>
          <w:highlight w:val="none"/>
          <w:lang w:eastAsia="zh-CN"/>
        </w:rPr>
        <w:t>竞标</w:t>
      </w:r>
      <w:r>
        <w:rPr>
          <w:rFonts w:hint="eastAsia" w:ascii="宋体" w:hAnsi="宋体" w:eastAsia="宋体"/>
          <w:color w:val="auto"/>
          <w:sz w:val="24"/>
          <w:szCs w:val="24"/>
          <w:highlight w:val="none"/>
        </w:rPr>
        <w:t>货物具体参数或商务响应承诺的具体数值，否则按</w:t>
      </w:r>
      <w:r>
        <w:rPr>
          <w:rFonts w:hint="eastAsia" w:ascii="宋体" w:hAnsi="宋体" w:eastAsia="宋体"/>
          <w:color w:val="auto"/>
          <w:sz w:val="24"/>
          <w:szCs w:val="24"/>
          <w:highlight w:val="none"/>
          <w:lang w:eastAsia="zh-CN"/>
        </w:rPr>
        <w:t>竞标</w:t>
      </w:r>
      <w:r>
        <w:rPr>
          <w:rFonts w:hint="eastAsia" w:ascii="宋体" w:hAnsi="宋体" w:eastAsia="宋体"/>
          <w:color w:val="auto"/>
          <w:sz w:val="24"/>
          <w:szCs w:val="24"/>
          <w:highlight w:val="none"/>
        </w:rPr>
        <w:t>无效处理。</w:t>
      </w:r>
    </w:p>
    <w:p w14:paraId="1DC7EDF2">
      <w:pPr>
        <w:pStyle w:val="13"/>
        <w:spacing w:line="360" w:lineRule="auto"/>
        <w:ind w:firstLine="0" w:firstLineChars="0"/>
        <w:contextualSpacing/>
        <w:rPr>
          <w:rFonts w:ascii="宋体" w:hAnsi="宋体" w:eastAsia="宋体"/>
          <w:color w:val="auto"/>
          <w:sz w:val="24"/>
          <w:szCs w:val="24"/>
        </w:rPr>
      </w:pPr>
      <w:r>
        <w:rPr>
          <w:rFonts w:hint="eastAsia" w:ascii="宋体" w:hAnsi="宋体" w:eastAsia="宋体"/>
          <w:color w:val="auto"/>
          <w:sz w:val="24"/>
          <w:szCs w:val="24"/>
          <w:lang w:val="en-US" w:eastAsia="zh-CN"/>
        </w:rPr>
        <w:t>4.</w:t>
      </w:r>
      <w:r>
        <w:rPr>
          <w:rFonts w:hint="eastAsia" w:ascii="宋体" w:hAnsi="宋体" w:eastAsia="宋体"/>
          <w:color w:val="auto"/>
          <w:sz w:val="24"/>
          <w:szCs w:val="24"/>
        </w:rPr>
        <w:t>供应商认为其竞标响应有正偏离的，请在技术偏离表中列明，且在响应文件中提供竞标产品的彩页或国家认可有资质的第三方检测机构出具的检测报告复印件或产品生产厂家出具的技术参数说明证明作为佐证，以上佐证材料均需加盖生产厂家或代理商（附生产厂家授权资料）公章。</w:t>
      </w:r>
    </w:p>
    <w:p w14:paraId="1A40FC6F">
      <w:pPr>
        <w:pStyle w:val="13"/>
        <w:spacing w:line="360" w:lineRule="auto"/>
        <w:ind w:firstLine="0" w:firstLineChars="0"/>
        <w:contextualSpacing/>
        <w:rPr>
          <w:rFonts w:ascii="宋体" w:hAnsi="宋体" w:eastAsia="宋体"/>
          <w:color w:val="auto"/>
          <w:sz w:val="24"/>
          <w:szCs w:val="24"/>
        </w:rPr>
      </w:pPr>
      <w:r>
        <w:rPr>
          <w:rFonts w:hint="eastAsia" w:ascii="宋体" w:hAnsi="宋体" w:eastAsia="宋体"/>
          <w:color w:val="auto"/>
          <w:sz w:val="24"/>
          <w:szCs w:val="24"/>
          <w:lang w:val="en-US" w:eastAsia="zh-CN"/>
        </w:rPr>
        <w:t>5.</w:t>
      </w:r>
      <w:r>
        <w:rPr>
          <w:rFonts w:hint="eastAsia" w:ascii="宋体" w:hAnsi="宋体" w:eastAsia="宋体"/>
          <w:color w:val="auto"/>
          <w:sz w:val="24"/>
          <w:szCs w:val="24"/>
        </w:rPr>
        <w:t>如技术偏离表中的竞标响应与佐证材料不一致的，以佐证材料为准。</w:t>
      </w:r>
    </w:p>
    <w:p w14:paraId="7AC1E999">
      <w:pPr>
        <w:pStyle w:val="13"/>
        <w:spacing w:line="360" w:lineRule="auto"/>
        <w:ind w:firstLine="0" w:firstLineChars="0"/>
        <w:contextualSpacing/>
        <w:rPr>
          <w:rFonts w:ascii="宋体" w:hAnsi="宋体" w:eastAsia="宋体" w:cs="仿宋_GB2312"/>
          <w:color w:val="auto"/>
          <w:sz w:val="24"/>
          <w:szCs w:val="24"/>
        </w:rPr>
      </w:pPr>
    </w:p>
    <w:p w14:paraId="764591BD">
      <w:pPr>
        <w:spacing w:line="360" w:lineRule="auto"/>
        <w:ind w:right="-817" w:rightChars="-389"/>
        <w:contextualSpacing/>
        <w:rPr>
          <w:rFonts w:ascii="宋体" w:hAnsi="宋体" w:cs="仿宋_GB2312"/>
          <w:color w:val="auto"/>
          <w:sz w:val="24"/>
        </w:rPr>
      </w:pPr>
    </w:p>
    <w:p w14:paraId="079B48FD">
      <w:pPr>
        <w:spacing w:line="360" w:lineRule="auto"/>
        <w:ind w:right="-817" w:rightChars="-389"/>
        <w:contextualSpacing/>
        <w:jc w:val="center"/>
        <w:rPr>
          <w:rFonts w:ascii="宋体" w:hAnsi="宋体" w:cs="仿宋_GB2312"/>
          <w:color w:val="auto"/>
          <w:sz w:val="24"/>
        </w:rPr>
      </w:pPr>
      <w:r>
        <w:rPr>
          <w:rFonts w:hint="eastAsia" w:ascii="宋体" w:hAnsi="宋体" w:cs="仿宋_GB2312"/>
          <w:color w:val="auto"/>
          <w:sz w:val="24"/>
        </w:rPr>
        <w:t>法定代表人或者委托代理人（签字）：</w:t>
      </w:r>
    </w:p>
    <w:p w14:paraId="3356B812">
      <w:pPr>
        <w:spacing w:line="360" w:lineRule="auto"/>
        <w:ind w:right="-817" w:rightChars="-389" w:firstLine="3360" w:firstLineChars="1400"/>
        <w:contextualSpacing/>
        <w:rPr>
          <w:rFonts w:ascii="宋体" w:hAnsi="宋体" w:cs="仿宋_GB2312"/>
          <w:color w:val="auto"/>
          <w:sz w:val="24"/>
        </w:rPr>
      </w:pPr>
      <w:r>
        <w:rPr>
          <w:rFonts w:hint="eastAsia" w:ascii="宋体" w:hAnsi="宋体" w:cs="仿宋_GB2312"/>
          <w:color w:val="auto"/>
          <w:sz w:val="24"/>
        </w:rPr>
        <w:t xml:space="preserve">供应商（盖公章）：      </w:t>
      </w:r>
    </w:p>
    <w:p w14:paraId="422F667F">
      <w:pPr>
        <w:spacing w:line="360" w:lineRule="auto"/>
        <w:ind w:right="-817" w:rightChars="-389" w:firstLine="3360" w:firstLineChars="1400"/>
        <w:contextualSpacing/>
        <w:rPr>
          <w:rFonts w:ascii="宋体" w:hAnsi="宋体"/>
          <w:b/>
          <w:bCs/>
          <w:color w:val="auto"/>
          <w:sz w:val="24"/>
        </w:rPr>
      </w:pPr>
      <w:r>
        <w:rPr>
          <w:rFonts w:hint="eastAsia" w:ascii="宋体" w:hAnsi="宋体" w:cs="仿宋_GB2312"/>
          <w:color w:val="auto"/>
          <w:sz w:val="24"/>
        </w:rPr>
        <w:t>日期：   年   月   日</w:t>
      </w:r>
    </w:p>
    <w:p w14:paraId="51ADC811">
      <w:pPr>
        <w:spacing w:line="300" w:lineRule="auto"/>
        <w:rPr>
          <w:rFonts w:ascii="宋体" w:hAnsi="宋体"/>
          <w:b/>
          <w:bCs/>
          <w:color w:val="auto"/>
          <w:sz w:val="24"/>
        </w:rPr>
      </w:pPr>
      <w:r>
        <w:rPr>
          <w:rFonts w:hint="eastAsia" w:ascii="宋体" w:hAnsi="宋体"/>
          <w:b/>
          <w:bCs/>
          <w:color w:val="auto"/>
          <w:sz w:val="24"/>
        </w:rPr>
        <w:t>其他文书、文件格式</w:t>
      </w:r>
    </w:p>
    <w:p w14:paraId="54FD5268">
      <w:pPr>
        <w:adjustRightInd w:val="0"/>
        <w:snapToGrid w:val="0"/>
        <w:spacing w:line="300" w:lineRule="auto"/>
        <w:jc w:val="center"/>
        <w:rPr>
          <w:rFonts w:ascii="方正小标宋简体" w:hAnsi="方正小标宋简体" w:eastAsia="方正小标宋简体" w:cs="方正小标宋简体"/>
          <w:bCs/>
          <w:color w:val="auto"/>
          <w:sz w:val="44"/>
          <w:szCs w:val="44"/>
        </w:rPr>
      </w:pPr>
      <w:bookmarkStart w:id="34" w:name="_Toc71365383"/>
      <w:bookmarkStart w:id="35" w:name="_Toc71366061"/>
      <w:r>
        <w:rPr>
          <w:rFonts w:hint="eastAsia" w:ascii="方正小标宋简体" w:hAnsi="方正小标宋简体" w:eastAsia="方正小标宋简体" w:cs="方正小标宋简体"/>
          <w:bCs/>
          <w:color w:val="auto"/>
          <w:sz w:val="44"/>
          <w:szCs w:val="44"/>
        </w:rPr>
        <w:t>中小企业声明函（货物）</w:t>
      </w:r>
      <w:bookmarkEnd w:id="34"/>
      <w:bookmarkEnd w:id="35"/>
    </w:p>
    <w:p w14:paraId="02A3D65F">
      <w:pPr>
        <w:rPr>
          <w:color w:val="auto"/>
        </w:rPr>
      </w:pPr>
    </w:p>
    <w:p w14:paraId="2F78A3D9">
      <w:pPr>
        <w:pStyle w:val="12"/>
        <w:spacing w:after="0" w:line="360" w:lineRule="auto"/>
        <w:ind w:left="-426" w:right="142" w:firstLine="640"/>
        <w:contextualSpacing/>
        <w:rPr>
          <w:rFonts w:ascii="宋体" w:hAnsi="宋体"/>
          <w:color w:val="auto"/>
          <w:sz w:val="24"/>
        </w:rPr>
      </w:pPr>
      <w:r>
        <w:rPr>
          <w:rFonts w:ascii="宋体" w:hAnsi="宋体"/>
          <w:color w:val="auto"/>
          <w:sz w:val="24"/>
        </w:rPr>
        <w:t>本公司（联合体）郑重声明，根据《政府采购促进中小企业发展管理办法》（财库﹝2020﹞46号）的规定，本公司（联合体）参加</w:t>
      </w:r>
      <w:r>
        <w:rPr>
          <w:rFonts w:ascii="宋体" w:hAnsi="宋体"/>
          <w:color w:val="auto"/>
          <w:sz w:val="24"/>
          <w:u w:val="single"/>
        </w:rPr>
        <w:t>（单位名称）</w:t>
      </w:r>
      <w:r>
        <w:rPr>
          <w:rFonts w:ascii="宋体" w:hAnsi="宋体"/>
          <w:color w:val="auto"/>
          <w:sz w:val="24"/>
        </w:rPr>
        <w:t>的</w:t>
      </w:r>
      <w:r>
        <w:rPr>
          <w:rFonts w:ascii="宋体" w:hAnsi="宋体"/>
          <w:color w:val="auto"/>
          <w:sz w:val="24"/>
          <w:u w:val="single"/>
        </w:rPr>
        <w:t>（项目名称）</w:t>
      </w:r>
      <w:r>
        <w:rPr>
          <w:rFonts w:ascii="宋体" w:hAnsi="宋体"/>
          <w:color w:val="auto"/>
          <w:sz w:val="24"/>
        </w:rPr>
        <w:t>采购活动，提供的货物全部由符合政策要求的中小企业制造。相关企业（含联合体中的中小企业、签订分包意向协议的中小企业）的具体情况如下：</w:t>
      </w:r>
    </w:p>
    <w:p w14:paraId="515CAEE5">
      <w:pPr>
        <w:tabs>
          <w:tab w:val="left" w:pos="1384"/>
          <w:tab w:val="left" w:pos="4562"/>
          <w:tab w:val="left" w:pos="6803"/>
        </w:tabs>
        <w:spacing w:line="360" w:lineRule="auto"/>
        <w:ind w:left="-426" w:right="-58" w:firstLine="655"/>
        <w:contextualSpacing/>
        <w:rPr>
          <w:rFonts w:ascii="宋体" w:hAnsi="宋体"/>
          <w:color w:val="auto"/>
          <w:sz w:val="24"/>
        </w:rPr>
      </w:pPr>
      <w:r>
        <w:rPr>
          <w:rFonts w:ascii="宋体" w:hAnsi="宋体"/>
          <w:color w:val="auto"/>
          <w:sz w:val="24"/>
        </w:rPr>
        <w:t>1.</w:t>
      </w:r>
      <w:r>
        <w:rPr>
          <w:rFonts w:ascii="宋体" w:hAnsi="宋体"/>
          <w:color w:val="auto"/>
          <w:sz w:val="24"/>
          <w:u w:val="single"/>
        </w:rPr>
        <w:t>（标的名称）</w:t>
      </w:r>
      <w:r>
        <w:rPr>
          <w:rFonts w:ascii="宋体" w:hAnsi="宋体"/>
          <w:color w:val="auto"/>
          <w:sz w:val="24"/>
        </w:rPr>
        <w:t>，属于</w:t>
      </w:r>
      <w:r>
        <w:rPr>
          <w:rFonts w:hint="eastAsia" w:ascii="宋体" w:hAnsi="宋体"/>
          <w:color w:val="auto"/>
          <w:sz w:val="24"/>
          <w:u w:val="single"/>
        </w:rPr>
        <w:t xml:space="preserve"> </w:t>
      </w:r>
      <w:r>
        <w:rPr>
          <w:rFonts w:hint="eastAsia" w:ascii="宋体" w:hAnsi="宋体"/>
          <w:color w:val="auto"/>
          <w:sz w:val="24"/>
          <w:u w:val="single"/>
          <w:lang w:eastAsia="zh-CN"/>
        </w:rPr>
        <w:t>（采购文件中明确的所属行业）</w:t>
      </w:r>
      <w:r>
        <w:rPr>
          <w:rFonts w:hint="eastAsia" w:ascii="宋体" w:hAnsi="宋体"/>
          <w:color w:val="auto"/>
          <w:sz w:val="24"/>
          <w:u w:val="single"/>
        </w:rPr>
        <w:t xml:space="preserve"> </w:t>
      </w:r>
      <w:r>
        <w:rPr>
          <w:rFonts w:ascii="宋体" w:hAnsi="宋体"/>
          <w:color w:val="auto"/>
          <w:sz w:val="24"/>
        </w:rPr>
        <w:t>行业；制造商为</w:t>
      </w:r>
      <w:r>
        <w:rPr>
          <w:rFonts w:ascii="宋体" w:hAnsi="宋体"/>
          <w:color w:val="auto"/>
          <w:sz w:val="24"/>
          <w:u w:val="single"/>
        </w:rPr>
        <w:t>（企业名称）</w:t>
      </w:r>
      <w:r>
        <w:rPr>
          <w:rFonts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万元，属于</w:t>
      </w:r>
      <w:r>
        <w:rPr>
          <w:rFonts w:ascii="宋体" w:hAnsi="宋体"/>
          <w:color w:val="auto"/>
          <w:sz w:val="24"/>
          <w:u w:val="single"/>
        </w:rPr>
        <w:t>（中型企业、小型企业、微型企业）</w:t>
      </w:r>
      <w:r>
        <w:rPr>
          <w:rFonts w:ascii="宋体" w:hAnsi="宋体"/>
          <w:color w:val="auto"/>
          <w:sz w:val="24"/>
        </w:rPr>
        <w:t>；</w:t>
      </w:r>
    </w:p>
    <w:p w14:paraId="5EBDE5A9">
      <w:pPr>
        <w:tabs>
          <w:tab w:val="left" w:pos="1065"/>
          <w:tab w:val="left" w:pos="6477"/>
        </w:tabs>
        <w:spacing w:line="360" w:lineRule="auto"/>
        <w:ind w:left="-426" w:right="-58" w:firstLine="655"/>
        <w:contextualSpacing/>
        <w:rPr>
          <w:rFonts w:ascii="宋体" w:hAnsi="宋体"/>
          <w:color w:val="auto"/>
          <w:sz w:val="24"/>
        </w:rPr>
      </w:pPr>
      <w:r>
        <w:rPr>
          <w:rFonts w:ascii="宋体" w:hAnsi="宋体"/>
          <w:color w:val="auto"/>
          <w:sz w:val="24"/>
        </w:rPr>
        <w:t>2.</w:t>
      </w:r>
      <w:r>
        <w:rPr>
          <w:rFonts w:ascii="宋体" w:hAnsi="宋体"/>
          <w:color w:val="auto"/>
          <w:sz w:val="24"/>
          <w:u w:val="single"/>
        </w:rPr>
        <w:t>（标的名称）</w:t>
      </w:r>
      <w:r>
        <w:rPr>
          <w:rFonts w:ascii="宋体" w:hAnsi="宋体"/>
          <w:color w:val="auto"/>
          <w:sz w:val="24"/>
        </w:rPr>
        <w:t>，属于</w:t>
      </w:r>
      <w:r>
        <w:rPr>
          <w:rFonts w:hint="eastAsia" w:ascii="宋体" w:hAnsi="宋体"/>
          <w:color w:val="auto"/>
          <w:sz w:val="24"/>
          <w:u w:val="single"/>
        </w:rPr>
        <w:t xml:space="preserve"> </w:t>
      </w:r>
      <w:r>
        <w:rPr>
          <w:rFonts w:hint="eastAsia" w:ascii="宋体" w:hAnsi="宋体"/>
          <w:color w:val="auto"/>
          <w:sz w:val="24"/>
          <w:u w:val="single"/>
          <w:lang w:eastAsia="zh-CN"/>
        </w:rPr>
        <w:t>（采购文件中明确的所属行业）</w:t>
      </w:r>
      <w:r>
        <w:rPr>
          <w:rFonts w:hint="eastAsia" w:ascii="宋体" w:hAnsi="宋体"/>
          <w:color w:val="auto"/>
          <w:sz w:val="24"/>
          <w:u w:val="single"/>
        </w:rPr>
        <w:t xml:space="preserve">  </w:t>
      </w:r>
      <w:r>
        <w:rPr>
          <w:rFonts w:ascii="宋体" w:hAnsi="宋体"/>
          <w:color w:val="auto"/>
          <w:sz w:val="24"/>
        </w:rPr>
        <w:t>行业；制造商为</w:t>
      </w:r>
      <w:r>
        <w:rPr>
          <w:rFonts w:ascii="宋体" w:hAnsi="宋体"/>
          <w:color w:val="auto"/>
          <w:sz w:val="24"/>
          <w:u w:val="single"/>
        </w:rPr>
        <w:t>（企业名称）</w:t>
      </w:r>
      <w:r>
        <w:rPr>
          <w:rFonts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万元，属于</w:t>
      </w:r>
      <w:r>
        <w:rPr>
          <w:rFonts w:ascii="宋体" w:hAnsi="宋体"/>
          <w:color w:val="auto"/>
          <w:sz w:val="24"/>
          <w:u w:val="single"/>
        </w:rPr>
        <w:t>（中型企业、小型企业、微型企业）</w:t>
      </w:r>
      <w:r>
        <w:rPr>
          <w:rFonts w:ascii="宋体" w:hAnsi="宋体"/>
          <w:color w:val="auto"/>
          <w:sz w:val="24"/>
        </w:rPr>
        <w:t>；</w:t>
      </w:r>
    </w:p>
    <w:p w14:paraId="6AEC801B">
      <w:pPr>
        <w:pStyle w:val="12"/>
        <w:spacing w:after="0" w:line="360" w:lineRule="auto"/>
        <w:ind w:left="142" w:right="142"/>
        <w:contextualSpacing/>
        <w:rPr>
          <w:rFonts w:ascii="宋体" w:hAnsi="宋体"/>
          <w:color w:val="auto"/>
          <w:sz w:val="24"/>
        </w:rPr>
      </w:pPr>
      <w:r>
        <w:rPr>
          <w:rFonts w:ascii="宋体" w:hAnsi="宋体"/>
          <w:color w:val="auto"/>
          <w:sz w:val="24"/>
        </w:rPr>
        <w:t xml:space="preserve">…… </w:t>
      </w:r>
    </w:p>
    <w:p w14:paraId="14D25D50">
      <w:pPr>
        <w:pStyle w:val="12"/>
        <w:spacing w:after="0" w:line="360" w:lineRule="auto"/>
        <w:ind w:left="-405" w:leftChars="-193" w:right="142" w:firstLine="453" w:firstLineChars="189"/>
        <w:contextualSpacing/>
        <w:rPr>
          <w:rFonts w:ascii="宋体" w:hAnsi="宋体"/>
          <w:color w:val="auto"/>
          <w:sz w:val="24"/>
        </w:rPr>
      </w:pPr>
      <w:r>
        <w:rPr>
          <w:rFonts w:ascii="宋体" w:hAnsi="宋体"/>
          <w:color w:val="auto"/>
          <w:sz w:val="24"/>
        </w:rPr>
        <w:t>以上企业，不属于大企业的分支机构，不存在控股股东为大企业的情形，也不存在与大企业的负责人为同一人的情形。</w:t>
      </w:r>
    </w:p>
    <w:p w14:paraId="5434A895">
      <w:pPr>
        <w:pStyle w:val="12"/>
        <w:spacing w:after="0" w:line="360" w:lineRule="auto"/>
        <w:ind w:left="-426" w:right="142" w:firstLine="567"/>
        <w:contextualSpacing/>
        <w:rPr>
          <w:rFonts w:ascii="宋体" w:hAnsi="宋体"/>
          <w:color w:val="auto"/>
          <w:sz w:val="24"/>
        </w:rPr>
      </w:pPr>
      <w:r>
        <w:rPr>
          <w:rFonts w:ascii="宋体" w:hAnsi="宋体"/>
          <w:color w:val="auto"/>
          <w:sz w:val="24"/>
        </w:rPr>
        <w:t>本企业对上述声明内容的真实性负责。如有虚假，将依法承担相应责任。</w:t>
      </w:r>
    </w:p>
    <w:p w14:paraId="47B81E64">
      <w:pPr>
        <w:pStyle w:val="12"/>
        <w:spacing w:after="0" w:line="360" w:lineRule="auto"/>
        <w:ind w:left="3960" w:right="1808"/>
        <w:contextualSpacing/>
        <w:rPr>
          <w:rFonts w:ascii="宋体" w:hAnsi="宋体"/>
          <w:color w:val="auto"/>
          <w:sz w:val="24"/>
        </w:rPr>
      </w:pPr>
    </w:p>
    <w:p w14:paraId="2C486525">
      <w:pPr>
        <w:pStyle w:val="12"/>
        <w:spacing w:after="0" w:line="360" w:lineRule="auto"/>
        <w:ind w:right="1808" w:firstLine="5760" w:firstLineChars="2400"/>
        <w:contextualSpacing/>
        <w:rPr>
          <w:rFonts w:ascii="宋体" w:hAnsi="宋体"/>
          <w:color w:val="auto"/>
          <w:sz w:val="24"/>
        </w:rPr>
      </w:pPr>
      <w:r>
        <w:rPr>
          <w:rFonts w:ascii="宋体" w:hAnsi="宋体"/>
          <w:color w:val="auto"/>
          <w:sz w:val="24"/>
        </w:rPr>
        <w:t xml:space="preserve">企业名称（章）： </w:t>
      </w:r>
    </w:p>
    <w:p w14:paraId="7D70FBAD">
      <w:pPr>
        <w:pStyle w:val="12"/>
        <w:spacing w:after="0" w:line="360" w:lineRule="auto"/>
        <w:ind w:right="1808" w:firstLine="6720" w:firstLineChars="2800"/>
        <w:contextualSpacing/>
        <w:rPr>
          <w:rFonts w:ascii="宋体" w:hAnsi="宋体"/>
          <w:color w:val="auto"/>
          <w:sz w:val="24"/>
        </w:rPr>
      </w:pPr>
      <w:r>
        <w:rPr>
          <w:rFonts w:ascii="宋体" w:hAnsi="宋体"/>
          <w:color w:val="auto"/>
          <w:sz w:val="24"/>
        </w:rPr>
        <w:t>日</w:t>
      </w:r>
      <w:r>
        <w:rPr>
          <w:rFonts w:hint="eastAsia" w:ascii="宋体" w:hAnsi="宋体"/>
          <w:color w:val="auto"/>
          <w:sz w:val="24"/>
        </w:rPr>
        <w:t xml:space="preserve"> </w:t>
      </w:r>
      <w:r>
        <w:rPr>
          <w:rFonts w:ascii="宋体" w:hAnsi="宋体"/>
          <w:color w:val="auto"/>
          <w:sz w:val="24"/>
        </w:rPr>
        <w:t>期：</w:t>
      </w:r>
    </w:p>
    <w:p w14:paraId="1ED2D327">
      <w:pPr>
        <w:pStyle w:val="12"/>
        <w:spacing w:after="0" w:line="360" w:lineRule="auto"/>
        <w:ind w:left="3960" w:right="1808"/>
        <w:contextualSpacing/>
        <w:rPr>
          <w:color w:val="auto"/>
        </w:rPr>
      </w:pPr>
    </w:p>
    <w:p w14:paraId="5D7CD389">
      <w:pPr>
        <w:spacing w:line="360" w:lineRule="auto"/>
        <w:contextualSpacing/>
        <w:jc w:val="left"/>
        <w:rPr>
          <w:rFonts w:ascii="宋体" w:hAnsi="宋体" w:cs="仿宋_GB2312"/>
          <w:color w:val="auto"/>
          <w:sz w:val="24"/>
        </w:rPr>
      </w:pPr>
      <w:r>
        <w:rPr>
          <w:rFonts w:hint="eastAsia" w:ascii="宋体" w:hAnsi="宋体" w:cs="仿宋_GB2312"/>
          <w:color w:val="auto"/>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3DA62FE">
      <w:pPr>
        <w:spacing w:line="360" w:lineRule="auto"/>
        <w:contextualSpacing/>
        <w:jc w:val="center"/>
        <w:rPr>
          <w:rFonts w:ascii="宋体" w:hAnsi="宋体"/>
          <w:color w:val="auto"/>
          <w:sz w:val="24"/>
        </w:rPr>
      </w:pPr>
    </w:p>
    <w:p w14:paraId="505178FD">
      <w:pPr>
        <w:spacing w:line="360" w:lineRule="auto"/>
        <w:contextualSpacing/>
        <w:jc w:val="center"/>
        <w:rPr>
          <w:rFonts w:ascii="宋体" w:hAnsi="宋体"/>
          <w:color w:val="auto"/>
          <w:sz w:val="24"/>
        </w:rPr>
      </w:pPr>
    </w:p>
    <w:p w14:paraId="3179FAE8">
      <w:pPr>
        <w:pStyle w:val="15"/>
        <w:jc w:val="left"/>
        <w:rPr>
          <w:rFonts w:ascii="Arial Unicode MS" w:hAnsi="Arial Unicode MS" w:eastAsia="Arial Unicode MS" w:cs="Arial Unicode MS"/>
          <w:color w:val="auto"/>
          <w:sz w:val="32"/>
          <w:szCs w:val="32"/>
        </w:rPr>
      </w:pPr>
      <w:r>
        <w:rPr>
          <w:rFonts w:ascii="Arial Unicode MS" w:hAnsi="Arial Unicode MS" w:eastAsia="Arial Unicode MS" w:cs="Arial Unicode MS"/>
          <w:color w:val="auto"/>
          <w:sz w:val="32"/>
          <w:szCs w:val="32"/>
        </w:rPr>
        <w:br w:type="page"/>
      </w:r>
      <w:r>
        <w:rPr>
          <w:rFonts w:hint="eastAsia" w:ascii="Arial Unicode MS" w:hAnsi="Arial Unicode MS" w:eastAsia="Arial Unicode MS" w:cs="Arial Unicode MS"/>
          <w:color w:val="auto"/>
          <w:sz w:val="32"/>
          <w:szCs w:val="32"/>
        </w:rPr>
        <w:t>附：</w:t>
      </w:r>
    </w:p>
    <w:p w14:paraId="1990D114">
      <w:pPr>
        <w:jc w:val="center"/>
        <w:rPr>
          <w:rFonts w:ascii="宋体" w:hAnsi="宋体" w:cs="Arial Unicode MS"/>
          <w:color w:val="auto"/>
          <w:sz w:val="44"/>
          <w:szCs w:val="44"/>
        </w:rPr>
      </w:pPr>
      <w:r>
        <w:rPr>
          <w:rFonts w:hint="eastAsia" w:ascii="宋体" w:hAnsi="宋体" w:cs="Arial Unicode MS"/>
          <w:color w:val="auto"/>
          <w:sz w:val="44"/>
          <w:szCs w:val="44"/>
        </w:rPr>
        <w:t>中小微企业划型标准</w:t>
      </w:r>
    </w:p>
    <w:p w14:paraId="4DD225D8">
      <w:pPr>
        <w:ind w:left="1871"/>
        <w:rPr>
          <w:rFonts w:ascii="宋体" w:hAnsi="宋体" w:cs="Arial Unicode MS"/>
          <w:color w:val="auto"/>
          <w:szCs w:val="21"/>
        </w:rPr>
      </w:pPr>
    </w:p>
    <w:tbl>
      <w:tblPr>
        <w:tblStyle w:val="27"/>
        <w:tblW w:w="8918" w:type="dxa"/>
        <w:jc w:val="center"/>
        <w:tblLayout w:type="fixed"/>
        <w:tblCellMar>
          <w:top w:w="0" w:type="dxa"/>
          <w:left w:w="108" w:type="dxa"/>
          <w:bottom w:w="0" w:type="dxa"/>
          <w:right w:w="108" w:type="dxa"/>
        </w:tblCellMar>
      </w:tblPr>
      <w:tblGrid>
        <w:gridCol w:w="1900"/>
        <w:gridCol w:w="1546"/>
        <w:gridCol w:w="1020"/>
        <w:gridCol w:w="1810"/>
        <w:gridCol w:w="1609"/>
        <w:gridCol w:w="1033"/>
      </w:tblGrid>
      <w:tr w14:paraId="03E2CC03">
        <w:tblPrEx>
          <w:tblCellMar>
            <w:top w:w="0" w:type="dxa"/>
            <w:left w:w="108" w:type="dxa"/>
            <w:bottom w:w="0" w:type="dxa"/>
            <w:right w:w="108" w:type="dxa"/>
          </w:tblCellMar>
        </w:tblPrEx>
        <w:trPr>
          <w:trHeight w:val="285" w:hRule="atLeast"/>
          <w:jc w:val="center"/>
        </w:trPr>
        <w:tc>
          <w:tcPr>
            <w:tcW w:w="1900" w:type="dxa"/>
            <w:tcBorders>
              <w:top w:val="single" w:color="auto" w:sz="4" w:space="0"/>
              <w:left w:val="single" w:color="auto" w:sz="4" w:space="0"/>
              <w:bottom w:val="single" w:color="auto" w:sz="4" w:space="0"/>
              <w:right w:val="single" w:color="auto" w:sz="4" w:space="0"/>
            </w:tcBorders>
            <w:vAlign w:val="center"/>
          </w:tcPr>
          <w:p w14:paraId="03594946">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行业名称</w:t>
            </w:r>
          </w:p>
        </w:tc>
        <w:tc>
          <w:tcPr>
            <w:tcW w:w="1546" w:type="dxa"/>
            <w:tcBorders>
              <w:top w:val="single" w:color="auto" w:sz="4" w:space="0"/>
              <w:left w:val="nil"/>
              <w:bottom w:val="single" w:color="auto" w:sz="4" w:space="0"/>
              <w:right w:val="single" w:color="auto" w:sz="4" w:space="0"/>
            </w:tcBorders>
            <w:vAlign w:val="center"/>
          </w:tcPr>
          <w:p w14:paraId="4D598A10">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指标名称</w:t>
            </w:r>
          </w:p>
        </w:tc>
        <w:tc>
          <w:tcPr>
            <w:tcW w:w="1020" w:type="dxa"/>
            <w:tcBorders>
              <w:top w:val="single" w:color="auto" w:sz="4" w:space="0"/>
              <w:left w:val="nil"/>
              <w:bottom w:val="single" w:color="auto" w:sz="4" w:space="0"/>
              <w:right w:val="single" w:color="auto" w:sz="4" w:space="0"/>
            </w:tcBorders>
            <w:vAlign w:val="center"/>
          </w:tcPr>
          <w:p w14:paraId="090474BF">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计量单位</w:t>
            </w:r>
          </w:p>
        </w:tc>
        <w:tc>
          <w:tcPr>
            <w:tcW w:w="1810" w:type="dxa"/>
            <w:tcBorders>
              <w:top w:val="single" w:color="auto" w:sz="4" w:space="0"/>
              <w:left w:val="nil"/>
              <w:bottom w:val="single" w:color="auto" w:sz="4" w:space="0"/>
              <w:right w:val="single" w:color="auto" w:sz="4" w:space="0"/>
            </w:tcBorders>
            <w:vAlign w:val="center"/>
          </w:tcPr>
          <w:p w14:paraId="7D6AEDC4">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中型</w:t>
            </w:r>
          </w:p>
        </w:tc>
        <w:tc>
          <w:tcPr>
            <w:tcW w:w="1609" w:type="dxa"/>
            <w:tcBorders>
              <w:top w:val="single" w:color="auto" w:sz="4" w:space="0"/>
              <w:left w:val="nil"/>
              <w:bottom w:val="single" w:color="auto" w:sz="4" w:space="0"/>
              <w:right w:val="single" w:color="auto" w:sz="4" w:space="0"/>
            </w:tcBorders>
            <w:vAlign w:val="center"/>
          </w:tcPr>
          <w:p w14:paraId="43E0D5CD">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小型</w:t>
            </w:r>
          </w:p>
        </w:tc>
        <w:tc>
          <w:tcPr>
            <w:tcW w:w="1033" w:type="dxa"/>
            <w:tcBorders>
              <w:top w:val="single" w:color="auto" w:sz="4" w:space="0"/>
              <w:left w:val="nil"/>
              <w:bottom w:val="single" w:color="auto" w:sz="4" w:space="0"/>
              <w:right w:val="single" w:color="auto" w:sz="4" w:space="0"/>
            </w:tcBorders>
            <w:vAlign w:val="center"/>
          </w:tcPr>
          <w:p w14:paraId="38E9E339">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微型</w:t>
            </w:r>
          </w:p>
        </w:tc>
      </w:tr>
      <w:tr w14:paraId="7D4AEB1B">
        <w:tblPrEx>
          <w:tblCellMar>
            <w:top w:w="0" w:type="dxa"/>
            <w:left w:w="108" w:type="dxa"/>
            <w:bottom w:w="0" w:type="dxa"/>
            <w:right w:w="108" w:type="dxa"/>
          </w:tblCellMar>
        </w:tblPrEx>
        <w:trPr>
          <w:trHeight w:val="225" w:hRule="atLeast"/>
          <w:jc w:val="center"/>
        </w:trPr>
        <w:tc>
          <w:tcPr>
            <w:tcW w:w="1900" w:type="dxa"/>
            <w:tcBorders>
              <w:top w:val="nil"/>
              <w:left w:val="single" w:color="auto" w:sz="4" w:space="0"/>
              <w:bottom w:val="single" w:color="auto" w:sz="4" w:space="0"/>
              <w:right w:val="single" w:color="auto" w:sz="4" w:space="0"/>
            </w:tcBorders>
            <w:vAlign w:val="bottom"/>
          </w:tcPr>
          <w:p w14:paraId="100137D8">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农、林、牧、渔</w:t>
            </w:r>
          </w:p>
        </w:tc>
        <w:tc>
          <w:tcPr>
            <w:tcW w:w="1546" w:type="dxa"/>
            <w:tcBorders>
              <w:top w:val="nil"/>
              <w:left w:val="nil"/>
              <w:bottom w:val="single" w:color="auto" w:sz="4" w:space="0"/>
              <w:right w:val="single" w:color="auto" w:sz="4" w:space="0"/>
            </w:tcBorders>
            <w:vAlign w:val="center"/>
          </w:tcPr>
          <w:p w14:paraId="54F5801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20" w:type="dxa"/>
            <w:tcBorders>
              <w:top w:val="nil"/>
              <w:left w:val="nil"/>
              <w:bottom w:val="single" w:color="auto" w:sz="4" w:space="0"/>
              <w:right w:val="single" w:color="auto" w:sz="4" w:space="0"/>
            </w:tcBorders>
            <w:vAlign w:val="center"/>
          </w:tcPr>
          <w:p w14:paraId="3CDC609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0" w:type="dxa"/>
            <w:tcBorders>
              <w:top w:val="nil"/>
              <w:left w:val="nil"/>
              <w:bottom w:val="single" w:color="auto" w:sz="4" w:space="0"/>
              <w:right w:val="single" w:color="auto" w:sz="4" w:space="0"/>
            </w:tcBorders>
            <w:vAlign w:val="center"/>
          </w:tcPr>
          <w:p w14:paraId="0DBBA43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609" w:type="dxa"/>
            <w:tcBorders>
              <w:top w:val="nil"/>
              <w:left w:val="nil"/>
              <w:bottom w:val="single" w:color="auto" w:sz="4" w:space="0"/>
              <w:right w:val="single" w:color="auto" w:sz="4" w:space="0"/>
            </w:tcBorders>
            <w:vAlign w:val="center"/>
          </w:tcPr>
          <w:p w14:paraId="0F9D076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50≤Y＜500</w:t>
            </w:r>
          </w:p>
        </w:tc>
        <w:tc>
          <w:tcPr>
            <w:tcW w:w="1033" w:type="dxa"/>
            <w:tcBorders>
              <w:top w:val="nil"/>
              <w:left w:val="nil"/>
              <w:bottom w:val="single" w:color="auto" w:sz="4" w:space="0"/>
              <w:right w:val="single" w:color="auto" w:sz="4" w:space="0"/>
            </w:tcBorders>
            <w:vAlign w:val="center"/>
          </w:tcPr>
          <w:p w14:paraId="660B93D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7C095C76">
        <w:tblPrEx>
          <w:tblCellMar>
            <w:top w:w="0" w:type="dxa"/>
            <w:left w:w="108" w:type="dxa"/>
            <w:bottom w:w="0" w:type="dxa"/>
            <w:right w:w="108" w:type="dxa"/>
          </w:tblCellMar>
        </w:tblPrEx>
        <w:trPr>
          <w:trHeight w:val="225" w:hRule="atLeast"/>
          <w:jc w:val="center"/>
        </w:trPr>
        <w:tc>
          <w:tcPr>
            <w:tcW w:w="1900" w:type="dxa"/>
            <w:vMerge w:val="restart"/>
            <w:tcBorders>
              <w:top w:val="nil"/>
              <w:left w:val="single" w:color="auto" w:sz="4" w:space="0"/>
              <w:bottom w:val="single" w:color="auto" w:sz="4" w:space="0"/>
              <w:right w:val="single" w:color="auto" w:sz="4" w:space="0"/>
            </w:tcBorders>
            <w:vAlign w:val="bottom"/>
          </w:tcPr>
          <w:p w14:paraId="74C4731D">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工业</w:t>
            </w:r>
          </w:p>
        </w:tc>
        <w:tc>
          <w:tcPr>
            <w:tcW w:w="1546" w:type="dxa"/>
            <w:tcBorders>
              <w:top w:val="nil"/>
              <w:left w:val="nil"/>
              <w:bottom w:val="single" w:color="auto" w:sz="4" w:space="0"/>
              <w:right w:val="single" w:color="auto" w:sz="4" w:space="0"/>
            </w:tcBorders>
            <w:vAlign w:val="center"/>
          </w:tcPr>
          <w:p w14:paraId="1B93120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20" w:type="dxa"/>
            <w:tcBorders>
              <w:top w:val="nil"/>
              <w:left w:val="nil"/>
              <w:bottom w:val="single" w:color="auto" w:sz="4" w:space="0"/>
              <w:right w:val="single" w:color="auto" w:sz="4" w:space="0"/>
            </w:tcBorders>
            <w:vAlign w:val="center"/>
          </w:tcPr>
          <w:p w14:paraId="179132D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10" w:type="dxa"/>
            <w:tcBorders>
              <w:top w:val="nil"/>
              <w:left w:val="nil"/>
              <w:bottom w:val="single" w:color="auto" w:sz="4" w:space="0"/>
              <w:right w:val="single" w:color="auto" w:sz="4" w:space="0"/>
            </w:tcBorders>
            <w:vAlign w:val="center"/>
          </w:tcPr>
          <w:p w14:paraId="47F600D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609" w:type="dxa"/>
            <w:tcBorders>
              <w:top w:val="nil"/>
              <w:left w:val="nil"/>
              <w:bottom w:val="single" w:color="auto" w:sz="4" w:space="0"/>
              <w:right w:val="single" w:color="auto" w:sz="4" w:space="0"/>
            </w:tcBorders>
            <w:vAlign w:val="center"/>
          </w:tcPr>
          <w:p w14:paraId="6A9C03C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1033" w:type="dxa"/>
            <w:tcBorders>
              <w:top w:val="nil"/>
              <w:left w:val="nil"/>
              <w:bottom w:val="single" w:color="auto" w:sz="4" w:space="0"/>
              <w:right w:val="single" w:color="auto" w:sz="4" w:space="0"/>
            </w:tcBorders>
            <w:vAlign w:val="center"/>
          </w:tcPr>
          <w:p w14:paraId="661FFF9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54F01664">
        <w:tblPrEx>
          <w:tblCellMar>
            <w:top w:w="0" w:type="dxa"/>
            <w:left w:w="108" w:type="dxa"/>
            <w:bottom w:w="0" w:type="dxa"/>
            <w:right w:w="108" w:type="dxa"/>
          </w:tblCellMar>
        </w:tblPrEx>
        <w:trPr>
          <w:trHeight w:val="225" w:hRule="atLeast"/>
          <w:jc w:val="center"/>
        </w:trPr>
        <w:tc>
          <w:tcPr>
            <w:tcW w:w="1900" w:type="dxa"/>
            <w:vMerge w:val="continue"/>
            <w:tcBorders>
              <w:top w:val="nil"/>
              <w:left w:val="single" w:color="auto" w:sz="4" w:space="0"/>
              <w:bottom w:val="single" w:color="auto" w:sz="4" w:space="0"/>
              <w:right w:val="single" w:color="auto" w:sz="4" w:space="0"/>
            </w:tcBorders>
            <w:vAlign w:val="center"/>
          </w:tcPr>
          <w:p w14:paraId="441A0340">
            <w:pPr>
              <w:widowControl/>
              <w:jc w:val="left"/>
              <w:rPr>
                <w:rFonts w:ascii="仿宋_GB2312" w:hAnsi="仿宋" w:eastAsia="仿宋_GB2312" w:cs="宋体"/>
                <w:b/>
                <w:bCs/>
                <w:color w:val="auto"/>
                <w:kern w:val="0"/>
                <w:sz w:val="18"/>
                <w:szCs w:val="18"/>
              </w:rPr>
            </w:pPr>
          </w:p>
        </w:tc>
        <w:tc>
          <w:tcPr>
            <w:tcW w:w="1546" w:type="dxa"/>
            <w:tcBorders>
              <w:top w:val="nil"/>
              <w:left w:val="nil"/>
              <w:bottom w:val="single" w:color="auto" w:sz="4" w:space="0"/>
              <w:right w:val="single" w:color="auto" w:sz="4" w:space="0"/>
            </w:tcBorders>
            <w:vAlign w:val="center"/>
          </w:tcPr>
          <w:p w14:paraId="4F5687C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20" w:type="dxa"/>
            <w:tcBorders>
              <w:top w:val="nil"/>
              <w:left w:val="nil"/>
              <w:bottom w:val="single" w:color="auto" w:sz="4" w:space="0"/>
              <w:right w:val="single" w:color="auto" w:sz="4" w:space="0"/>
            </w:tcBorders>
            <w:vAlign w:val="center"/>
          </w:tcPr>
          <w:p w14:paraId="65BE57B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0" w:type="dxa"/>
            <w:tcBorders>
              <w:top w:val="nil"/>
              <w:left w:val="nil"/>
              <w:bottom w:val="single" w:color="auto" w:sz="4" w:space="0"/>
              <w:right w:val="single" w:color="auto" w:sz="4" w:space="0"/>
            </w:tcBorders>
            <w:vAlign w:val="center"/>
          </w:tcPr>
          <w:p w14:paraId="53D5AFD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2000≤Y＜40000</w:t>
            </w:r>
          </w:p>
        </w:tc>
        <w:tc>
          <w:tcPr>
            <w:tcW w:w="1609" w:type="dxa"/>
            <w:tcBorders>
              <w:top w:val="nil"/>
              <w:left w:val="nil"/>
              <w:bottom w:val="single" w:color="auto" w:sz="4" w:space="0"/>
              <w:right w:val="single" w:color="auto" w:sz="4" w:space="0"/>
            </w:tcBorders>
            <w:vAlign w:val="center"/>
          </w:tcPr>
          <w:p w14:paraId="278BC19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300≤Y＜2000</w:t>
            </w:r>
          </w:p>
        </w:tc>
        <w:tc>
          <w:tcPr>
            <w:tcW w:w="1033" w:type="dxa"/>
            <w:tcBorders>
              <w:top w:val="nil"/>
              <w:left w:val="nil"/>
              <w:bottom w:val="single" w:color="auto" w:sz="4" w:space="0"/>
              <w:right w:val="single" w:color="auto" w:sz="4" w:space="0"/>
            </w:tcBorders>
            <w:vAlign w:val="center"/>
          </w:tcPr>
          <w:p w14:paraId="6C08E87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2CBD5EF1">
        <w:tblPrEx>
          <w:tblCellMar>
            <w:top w:w="0" w:type="dxa"/>
            <w:left w:w="108" w:type="dxa"/>
            <w:bottom w:w="0" w:type="dxa"/>
            <w:right w:w="108" w:type="dxa"/>
          </w:tblCellMar>
        </w:tblPrEx>
        <w:trPr>
          <w:trHeight w:val="225" w:hRule="atLeast"/>
          <w:jc w:val="center"/>
        </w:trPr>
        <w:tc>
          <w:tcPr>
            <w:tcW w:w="1900" w:type="dxa"/>
            <w:vMerge w:val="restart"/>
            <w:tcBorders>
              <w:top w:val="nil"/>
              <w:left w:val="single" w:color="auto" w:sz="4" w:space="0"/>
              <w:bottom w:val="single" w:color="auto" w:sz="4" w:space="0"/>
              <w:right w:val="single" w:color="auto" w:sz="4" w:space="0"/>
            </w:tcBorders>
            <w:vAlign w:val="bottom"/>
          </w:tcPr>
          <w:p w14:paraId="7ABDCE4D">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建筑业</w:t>
            </w:r>
          </w:p>
        </w:tc>
        <w:tc>
          <w:tcPr>
            <w:tcW w:w="1546" w:type="dxa"/>
            <w:tcBorders>
              <w:top w:val="nil"/>
              <w:left w:val="nil"/>
              <w:bottom w:val="single" w:color="auto" w:sz="4" w:space="0"/>
              <w:right w:val="single" w:color="auto" w:sz="4" w:space="0"/>
            </w:tcBorders>
            <w:vAlign w:val="center"/>
          </w:tcPr>
          <w:p w14:paraId="04F3F92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20" w:type="dxa"/>
            <w:tcBorders>
              <w:top w:val="nil"/>
              <w:left w:val="nil"/>
              <w:bottom w:val="single" w:color="auto" w:sz="4" w:space="0"/>
              <w:right w:val="single" w:color="auto" w:sz="4" w:space="0"/>
            </w:tcBorders>
            <w:vAlign w:val="center"/>
          </w:tcPr>
          <w:p w14:paraId="43E974D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0" w:type="dxa"/>
            <w:tcBorders>
              <w:top w:val="nil"/>
              <w:left w:val="nil"/>
              <w:bottom w:val="single" w:color="auto" w:sz="4" w:space="0"/>
              <w:right w:val="single" w:color="auto" w:sz="4" w:space="0"/>
            </w:tcBorders>
            <w:vAlign w:val="center"/>
          </w:tcPr>
          <w:p w14:paraId="0470C27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6000≤Y＜80000</w:t>
            </w:r>
          </w:p>
        </w:tc>
        <w:tc>
          <w:tcPr>
            <w:tcW w:w="1609" w:type="dxa"/>
            <w:tcBorders>
              <w:top w:val="nil"/>
              <w:left w:val="nil"/>
              <w:bottom w:val="single" w:color="auto" w:sz="4" w:space="0"/>
              <w:right w:val="single" w:color="auto" w:sz="4" w:space="0"/>
            </w:tcBorders>
            <w:vAlign w:val="center"/>
          </w:tcPr>
          <w:p w14:paraId="1D3DB17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300≤Y＜6000</w:t>
            </w:r>
          </w:p>
        </w:tc>
        <w:tc>
          <w:tcPr>
            <w:tcW w:w="1033" w:type="dxa"/>
            <w:tcBorders>
              <w:top w:val="nil"/>
              <w:left w:val="nil"/>
              <w:bottom w:val="single" w:color="auto" w:sz="4" w:space="0"/>
              <w:right w:val="single" w:color="auto" w:sz="4" w:space="0"/>
            </w:tcBorders>
            <w:vAlign w:val="center"/>
          </w:tcPr>
          <w:p w14:paraId="29D0FEA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7FB94EA2">
        <w:tblPrEx>
          <w:tblCellMar>
            <w:top w:w="0" w:type="dxa"/>
            <w:left w:w="108" w:type="dxa"/>
            <w:bottom w:w="0" w:type="dxa"/>
            <w:right w:w="108" w:type="dxa"/>
          </w:tblCellMar>
        </w:tblPrEx>
        <w:trPr>
          <w:trHeight w:val="225" w:hRule="atLeast"/>
          <w:jc w:val="center"/>
        </w:trPr>
        <w:tc>
          <w:tcPr>
            <w:tcW w:w="1900" w:type="dxa"/>
            <w:vMerge w:val="continue"/>
            <w:tcBorders>
              <w:top w:val="nil"/>
              <w:left w:val="single" w:color="auto" w:sz="4" w:space="0"/>
              <w:bottom w:val="single" w:color="auto" w:sz="4" w:space="0"/>
              <w:right w:val="single" w:color="auto" w:sz="4" w:space="0"/>
            </w:tcBorders>
            <w:vAlign w:val="center"/>
          </w:tcPr>
          <w:p w14:paraId="3F838129">
            <w:pPr>
              <w:widowControl/>
              <w:jc w:val="left"/>
              <w:rPr>
                <w:rFonts w:ascii="仿宋_GB2312" w:hAnsi="仿宋" w:eastAsia="仿宋_GB2312" w:cs="宋体"/>
                <w:b/>
                <w:bCs/>
                <w:color w:val="auto"/>
                <w:kern w:val="0"/>
                <w:sz w:val="18"/>
                <w:szCs w:val="18"/>
              </w:rPr>
            </w:pPr>
          </w:p>
        </w:tc>
        <w:tc>
          <w:tcPr>
            <w:tcW w:w="1546" w:type="dxa"/>
            <w:tcBorders>
              <w:top w:val="nil"/>
              <w:left w:val="nil"/>
              <w:bottom w:val="single" w:color="auto" w:sz="4" w:space="0"/>
              <w:right w:val="single" w:color="auto" w:sz="4" w:space="0"/>
            </w:tcBorders>
            <w:vAlign w:val="center"/>
          </w:tcPr>
          <w:p w14:paraId="2A13CA8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1020" w:type="dxa"/>
            <w:tcBorders>
              <w:top w:val="nil"/>
              <w:left w:val="nil"/>
              <w:bottom w:val="single" w:color="auto" w:sz="4" w:space="0"/>
              <w:right w:val="single" w:color="auto" w:sz="4" w:space="0"/>
            </w:tcBorders>
            <w:vAlign w:val="center"/>
          </w:tcPr>
          <w:p w14:paraId="2881439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0" w:type="dxa"/>
            <w:tcBorders>
              <w:top w:val="nil"/>
              <w:left w:val="nil"/>
              <w:bottom w:val="single" w:color="auto" w:sz="4" w:space="0"/>
              <w:right w:val="single" w:color="auto" w:sz="4" w:space="0"/>
            </w:tcBorders>
            <w:vAlign w:val="center"/>
          </w:tcPr>
          <w:p w14:paraId="664E60C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5000≤Z＜80000</w:t>
            </w:r>
          </w:p>
        </w:tc>
        <w:tc>
          <w:tcPr>
            <w:tcW w:w="1609" w:type="dxa"/>
            <w:tcBorders>
              <w:top w:val="nil"/>
              <w:left w:val="nil"/>
              <w:bottom w:val="single" w:color="auto" w:sz="4" w:space="0"/>
              <w:right w:val="single" w:color="auto" w:sz="4" w:space="0"/>
            </w:tcBorders>
            <w:vAlign w:val="center"/>
          </w:tcPr>
          <w:p w14:paraId="6BDC92C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300≤Z＜5000</w:t>
            </w:r>
          </w:p>
        </w:tc>
        <w:tc>
          <w:tcPr>
            <w:tcW w:w="1033" w:type="dxa"/>
            <w:tcBorders>
              <w:top w:val="nil"/>
              <w:left w:val="nil"/>
              <w:bottom w:val="single" w:color="auto" w:sz="4" w:space="0"/>
              <w:right w:val="single" w:color="auto" w:sz="4" w:space="0"/>
            </w:tcBorders>
            <w:vAlign w:val="center"/>
          </w:tcPr>
          <w:p w14:paraId="6904E9B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Z＜300</w:t>
            </w:r>
          </w:p>
        </w:tc>
      </w:tr>
      <w:tr w14:paraId="410E86B2">
        <w:tblPrEx>
          <w:tblCellMar>
            <w:top w:w="0" w:type="dxa"/>
            <w:left w:w="108" w:type="dxa"/>
            <w:bottom w:w="0" w:type="dxa"/>
            <w:right w:w="108" w:type="dxa"/>
          </w:tblCellMar>
        </w:tblPrEx>
        <w:trPr>
          <w:trHeight w:val="225" w:hRule="atLeast"/>
          <w:jc w:val="center"/>
        </w:trPr>
        <w:tc>
          <w:tcPr>
            <w:tcW w:w="1900" w:type="dxa"/>
            <w:vMerge w:val="restart"/>
            <w:tcBorders>
              <w:top w:val="nil"/>
              <w:left w:val="single" w:color="auto" w:sz="4" w:space="0"/>
              <w:bottom w:val="single" w:color="auto" w:sz="4" w:space="0"/>
              <w:right w:val="single" w:color="auto" w:sz="4" w:space="0"/>
            </w:tcBorders>
            <w:vAlign w:val="bottom"/>
          </w:tcPr>
          <w:p w14:paraId="2D5D4C24">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批发业</w:t>
            </w:r>
          </w:p>
        </w:tc>
        <w:tc>
          <w:tcPr>
            <w:tcW w:w="1546" w:type="dxa"/>
            <w:tcBorders>
              <w:top w:val="nil"/>
              <w:left w:val="nil"/>
              <w:bottom w:val="single" w:color="auto" w:sz="4" w:space="0"/>
              <w:right w:val="single" w:color="auto" w:sz="4" w:space="0"/>
            </w:tcBorders>
            <w:vAlign w:val="center"/>
          </w:tcPr>
          <w:p w14:paraId="0B6AE4F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20" w:type="dxa"/>
            <w:tcBorders>
              <w:top w:val="nil"/>
              <w:left w:val="nil"/>
              <w:bottom w:val="single" w:color="auto" w:sz="4" w:space="0"/>
              <w:right w:val="single" w:color="auto" w:sz="4" w:space="0"/>
            </w:tcBorders>
            <w:vAlign w:val="center"/>
          </w:tcPr>
          <w:p w14:paraId="205773F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10" w:type="dxa"/>
            <w:tcBorders>
              <w:top w:val="nil"/>
              <w:left w:val="nil"/>
              <w:bottom w:val="single" w:color="auto" w:sz="4" w:space="0"/>
              <w:right w:val="single" w:color="auto" w:sz="4" w:space="0"/>
            </w:tcBorders>
            <w:vAlign w:val="center"/>
          </w:tcPr>
          <w:p w14:paraId="72CB79C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20≤X＜200</w:t>
            </w:r>
          </w:p>
        </w:tc>
        <w:tc>
          <w:tcPr>
            <w:tcW w:w="1609" w:type="dxa"/>
            <w:tcBorders>
              <w:top w:val="nil"/>
              <w:left w:val="nil"/>
              <w:bottom w:val="single" w:color="auto" w:sz="4" w:space="0"/>
              <w:right w:val="single" w:color="auto" w:sz="4" w:space="0"/>
            </w:tcBorders>
            <w:vAlign w:val="center"/>
          </w:tcPr>
          <w:p w14:paraId="52B256A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5≤X＜20</w:t>
            </w:r>
          </w:p>
        </w:tc>
        <w:tc>
          <w:tcPr>
            <w:tcW w:w="1033" w:type="dxa"/>
            <w:tcBorders>
              <w:top w:val="nil"/>
              <w:left w:val="nil"/>
              <w:bottom w:val="single" w:color="auto" w:sz="4" w:space="0"/>
              <w:right w:val="single" w:color="auto" w:sz="4" w:space="0"/>
            </w:tcBorders>
            <w:vAlign w:val="center"/>
          </w:tcPr>
          <w:p w14:paraId="36F2C07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X＜5</w:t>
            </w:r>
          </w:p>
        </w:tc>
      </w:tr>
      <w:tr w14:paraId="674B36E6">
        <w:tblPrEx>
          <w:tblCellMar>
            <w:top w:w="0" w:type="dxa"/>
            <w:left w:w="108" w:type="dxa"/>
            <w:bottom w:w="0" w:type="dxa"/>
            <w:right w:w="108" w:type="dxa"/>
          </w:tblCellMar>
        </w:tblPrEx>
        <w:trPr>
          <w:trHeight w:val="225" w:hRule="atLeast"/>
          <w:jc w:val="center"/>
        </w:trPr>
        <w:tc>
          <w:tcPr>
            <w:tcW w:w="1900" w:type="dxa"/>
            <w:vMerge w:val="continue"/>
            <w:tcBorders>
              <w:top w:val="nil"/>
              <w:left w:val="single" w:color="auto" w:sz="4" w:space="0"/>
              <w:bottom w:val="single" w:color="auto" w:sz="4" w:space="0"/>
              <w:right w:val="single" w:color="auto" w:sz="4" w:space="0"/>
            </w:tcBorders>
            <w:vAlign w:val="center"/>
          </w:tcPr>
          <w:p w14:paraId="4BD22C1B">
            <w:pPr>
              <w:widowControl/>
              <w:jc w:val="left"/>
              <w:rPr>
                <w:rFonts w:ascii="仿宋_GB2312" w:hAnsi="仿宋" w:eastAsia="仿宋_GB2312" w:cs="宋体"/>
                <w:b/>
                <w:bCs/>
                <w:color w:val="auto"/>
                <w:kern w:val="0"/>
                <w:sz w:val="18"/>
                <w:szCs w:val="18"/>
              </w:rPr>
            </w:pPr>
          </w:p>
        </w:tc>
        <w:tc>
          <w:tcPr>
            <w:tcW w:w="1546" w:type="dxa"/>
            <w:tcBorders>
              <w:top w:val="nil"/>
              <w:left w:val="nil"/>
              <w:bottom w:val="single" w:color="auto" w:sz="4" w:space="0"/>
              <w:right w:val="single" w:color="auto" w:sz="4" w:space="0"/>
            </w:tcBorders>
            <w:vAlign w:val="center"/>
          </w:tcPr>
          <w:p w14:paraId="50ADAA0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20" w:type="dxa"/>
            <w:tcBorders>
              <w:top w:val="nil"/>
              <w:left w:val="nil"/>
              <w:bottom w:val="single" w:color="auto" w:sz="4" w:space="0"/>
              <w:right w:val="single" w:color="auto" w:sz="4" w:space="0"/>
            </w:tcBorders>
            <w:vAlign w:val="center"/>
          </w:tcPr>
          <w:p w14:paraId="328FE13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0" w:type="dxa"/>
            <w:tcBorders>
              <w:top w:val="nil"/>
              <w:left w:val="nil"/>
              <w:bottom w:val="single" w:color="auto" w:sz="4" w:space="0"/>
              <w:right w:val="single" w:color="auto" w:sz="4" w:space="0"/>
            </w:tcBorders>
            <w:vAlign w:val="center"/>
          </w:tcPr>
          <w:p w14:paraId="0137C8D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5000≤Y＜40000</w:t>
            </w:r>
          </w:p>
        </w:tc>
        <w:tc>
          <w:tcPr>
            <w:tcW w:w="1609" w:type="dxa"/>
            <w:tcBorders>
              <w:top w:val="nil"/>
              <w:left w:val="nil"/>
              <w:bottom w:val="single" w:color="auto" w:sz="4" w:space="0"/>
              <w:right w:val="single" w:color="auto" w:sz="4" w:space="0"/>
            </w:tcBorders>
            <w:vAlign w:val="center"/>
          </w:tcPr>
          <w:p w14:paraId="2AAF2C9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1033" w:type="dxa"/>
            <w:tcBorders>
              <w:top w:val="nil"/>
              <w:left w:val="nil"/>
              <w:bottom w:val="single" w:color="auto" w:sz="4" w:space="0"/>
              <w:right w:val="single" w:color="auto" w:sz="4" w:space="0"/>
            </w:tcBorders>
            <w:vAlign w:val="center"/>
          </w:tcPr>
          <w:p w14:paraId="3167AEA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Y＜1000</w:t>
            </w:r>
          </w:p>
        </w:tc>
      </w:tr>
      <w:tr w14:paraId="3A1A32AB">
        <w:tblPrEx>
          <w:tblCellMar>
            <w:top w:w="0" w:type="dxa"/>
            <w:left w:w="108" w:type="dxa"/>
            <w:bottom w:w="0" w:type="dxa"/>
            <w:right w:w="108" w:type="dxa"/>
          </w:tblCellMar>
        </w:tblPrEx>
        <w:trPr>
          <w:trHeight w:val="225" w:hRule="atLeast"/>
          <w:jc w:val="center"/>
        </w:trPr>
        <w:tc>
          <w:tcPr>
            <w:tcW w:w="1900" w:type="dxa"/>
            <w:vMerge w:val="restart"/>
            <w:tcBorders>
              <w:top w:val="nil"/>
              <w:left w:val="single" w:color="auto" w:sz="4" w:space="0"/>
              <w:bottom w:val="single" w:color="auto" w:sz="4" w:space="0"/>
              <w:right w:val="single" w:color="auto" w:sz="4" w:space="0"/>
            </w:tcBorders>
            <w:vAlign w:val="bottom"/>
          </w:tcPr>
          <w:p w14:paraId="1EC45E44">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零售业</w:t>
            </w:r>
          </w:p>
        </w:tc>
        <w:tc>
          <w:tcPr>
            <w:tcW w:w="1546" w:type="dxa"/>
            <w:tcBorders>
              <w:top w:val="nil"/>
              <w:left w:val="nil"/>
              <w:bottom w:val="single" w:color="auto" w:sz="4" w:space="0"/>
              <w:right w:val="single" w:color="auto" w:sz="4" w:space="0"/>
            </w:tcBorders>
            <w:vAlign w:val="center"/>
          </w:tcPr>
          <w:p w14:paraId="69F5719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20" w:type="dxa"/>
            <w:tcBorders>
              <w:top w:val="nil"/>
              <w:left w:val="nil"/>
              <w:bottom w:val="single" w:color="auto" w:sz="4" w:space="0"/>
              <w:right w:val="single" w:color="auto" w:sz="4" w:space="0"/>
            </w:tcBorders>
            <w:vAlign w:val="center"/>
          </w:tcPr>
          <w:p w14:paraId="6567DFD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10" w:type="dxa"/>
            <w:tcBorders>
              <w:top w:val="nil"/>
              <w:left w:val="nil"/>
              <w:bottom w:val="single" w:color="auto" w:sz="4" w:space="0"/>
              <w:right w:val="single" w:color="auto" w:sz="4" w:space="0"/>
            </w:tcBorders>
            <w:vAlign w:val="center"/>
          </w:tcPr>
          <w:p w14:paraId="256453A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50≤X＜300</w:t>
            </w:r>
          </w:p>
        </w:tc>
        <w:tc>
          <w:tcPr>
            <w:tcW w:w="1609" w:type="dxa"/>
            <w:tcBorders>
              <w:top w:val="nil"/>
              <w:left w:val="nil"/>
              <w:bottom w:val="single" w:color="auto" w:sz="4" w:space="0"/>
              <w:right w:val="single" w:color="auto" w:sz="4" w:space="0"/>
            </w:tcBorders>
            <w:vAlign w:val="center"/>
          </w:tcPr>
          <w:p w14:paraId="6697DD8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10≤X＜50</w:t>
            </w:r>
          </w:p>
        </w:tc>
        <w:tc>
          <w:tcPr>
            <w:tcW w:w="1033" w:type="dxa"/>
            <w:tcBorders>
              <w:top w:val="nil"/>
              <w:left w:val="nil"/>
              <w:bottom w:val="single" w:color="auto" w:sz="4" w:space="0"/>
              <w:right w:val="single" w:color="auto" w:sz="4" w:space="0"/>
            </w:tcBorders>
            <w:vAlign w:val="center"/>
          </w:tcPr>
          <w:p w14:paraId="7418C48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27280C7A">
        <w:tblPrEx>
          <w:tblCellMar>
            <w:top w:w="0" w:type="dxa"/>
            <w:left w:w="108" w:type="dxa"/>
            <w:bottom w:w="0" w:type="dxa"/>
            <w:right w:w="108" w:type="dxa"/>
          </w:tblCellMar>
        </w:tblPrEx>
        <w:trPr>
          <w:trHeight w:val="225" w:hRule="atLeast"/>
          <w:jc w:val="center"/>
        </w:trPr>
        <w:tc>
          <w:tcPr>
            <w:tcW w:w="1900" w:type="dxa"/>
            <w:vMerge w:val="continue"/>
            <w:tcBorders>
              <w:top w:val="nil"/>
              <w:left w:val="single" w:color="auto" w:sz="4" w:space="0"/>
              <w:bottom w:val="single" w:color="auto" w:sz="4" w:space="0"/>
              <w:right w:val="single" w:color="auto" w:sz="4" w:space="0"/>
            </w:tcBorders>
            <w:vAlign w:val="center"/>
          </w:tcPr>
          <w:p w14:paraId="4BD84FE7">
            <w:pPr>
              <w:widowControl/>
              <w:jc w:val="left"/>
              <w:rPr>
                <w:rFonts w:ascii="仿宋_GB2312" w:hAnsi="仿宋" w:eastAsia="仿宋_GB2312" w:cs="宋体"/>
                <w:b/>
                <w:bCs/>
                <w:color w:val="auto"/>
                <w:kern w:val="0"/>
                <w:sz w:val="18"/>
                <w:szCs w:val="18"/>
              </w:rPr>
            </w:pPr>
          </w:p>
        </w:tc>
        <w:tc>
          <w:tcPr>
            <w:tcW w:w="1546" w:type="dxa"/>
            <w:tcBorders>
              <w:top w:val="nil"/>
              <w:left w:val="nil"/>
              <w:bottom w:val="single" w:color="auto" w:sz="4" w:space="0"/>
              <w:right w:val="single" w:color="auto" w:sz="4" w:space="0"/>
            </w:tcBorders>
            <w:vAlign w:val="center"/>
          </w:tcPr>
          <w:p w14:paraId="466E82D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20" w:type="dxa"/>
            <w:tcBorders>
              <w:top w:val="nil"/>
              <w:left w:val="nil"/>
              <w:bottom w:val="single" w:color="auto" w:sz="4" w:space="0"/>
              <w:right w:val="single" w:color="auto" w:sz="4" w:space="0"/>
            </w:tcBorders>
            <w:vAlign w:val="center"/>
          </w:tcPr>
          <w:p w14:paraId="125DE3C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0" w:type="dxa"/>
            <w:tcBorders>
              <w:top w:val="nil"/>
              <w:left w:val="nil"/>
              <w:bottom w:val="single" w:color="auto" w:sz="4" w:space="0"/>
              <w:right w:val="single" w:color="auto" w:sz="4" w:space="0"/>
            </w:tcBorders>
            <w:vAlign w:val="center"/>
          </w:tcPr>
          <w:p w14:paraId="35CB702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609" w:type="dxa"/>
            <w:tcBorders>
              <w:top w:val="nil"/>
              <w:left w:val="nil"/>
              <w:bottom w:val="single" w:color="auto" w:sz="4" w:space="0"/>
              <w:right w:val="single" w:color="auto" w:sz="4" w:space="0"/>
            </w:tcBorders>
            <w:vAlign w:val="center"/>
          </w:tcPr>
          <w:p w14:paraId="68E486B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100≤Y＜500</w:t>
            </w:r>
          </w:p>
        </w:tc>
        <w:tc>
          <w:tcPr>
            <w:tcW w:w="1033" w:type="dxa"/>
            <w:tcBorders>
              <w:top w:val="nil"/>
              <w:left w:val="nil"/>
              <w:bottom w:val="single" w:color="auto" w:sz="4" w:space="0"/>
              <w:right w:val="single" w:color="auto" w:sz="4" w:space="0"/>
            </w:tcBorders>
            <w:vAlign w:val="center"/>
          </w:tcPr>
          <w:p w14:paraId="12C9A08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3128C2F6">
        <w:tblPrEx>
          <w:tblCellMar>
            <w:top w:w="0" w:type="dxa"/>
            <w:left w:w="108" w:type="dxa"/>
            <w:bottom w:w="0" w:type="dxa"/>
            <w:right w:w="108" w:type="dxa"/>
          </w:tblCellMar>
        </w:tblPrEx>
        <w:trPr>
          <w:trHeight w:val="225" w:hRule="atLeast"/>
          <w:jc w:val="center"/>
        </w:trPr>
        <w:tc>
          <w:tcPr>
            <w:tcW w:w="1900" w:type="dxa"/>
            <w:vMerge w:val="restart"/>
            <w:tcBorders>
              <w:top w:val="nil"/>
              <w:left w:val="single" w:color="auto" w:sz="4" w:space="0"/>
              <w:bottom w:val="single" w:color="auto" w:sz="4" w:space="0"/>
              <w:right w:val="single" w:color="auto" w:sz="4" w:space="0"/>
            </w:tcBorders>
            <w:vAlign w:val="bottom"/>
          </w:tcPr>
          <w:p w14:paraId="581C6DDF">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交通运输业</w:t>
            </w:r>
          </w:p>
        </w:tc>
        <w:tc>
          <w:tcPr>
            <w:tcW w:w="1546" w:type="dxa"/>
            <w:tcBorders>
              <w:top w:val="nil"/>
              <w:left w:val="nil"/>
              <w:bottom w:val="single" w:color="auto" w:sz="4" w:space="0"/>
              <w:right w:val="single" w:color="auto" w:sz="4" w:space="0"/>
            </w:tcBorders>
            <w:vAlign w:val="center"/>
          </w:tcPr>
          <w:p w14:paraId="4383A52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20" w:type="dxa"/>
            <w:tcBorders>
              <w:top w:val="nil"/>
              <w:left w:val="nil"/>
              <w:bottom w:val="single" w:color="auto" w:sz="4" w:space="0"/>
              <w:right w:val="single" w:color="auto" w:sz="4" w:space="0"/>
            </w:tcBorders>
            <w:vAlign w:val="center"/>
          </w:tcPr>
          <w:p w14:paraId="4E2A28C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10" w:type="dxa"/>
            <w:tcBorders>
              <w:top w:val="nil"/>
              <w:left w:val="nil"/>
              <w:bottom w:val="single" w:color="auto" w:sz="4" w:space="0"/>
              <w:right w:val="single" w:color="auto" w:sz="4" w:space="0"/>
            </w:tcBorders>
            <w:vAlign w:val="center"/>
          </w:tcPr>
          <w:p w14:paraId="1E7A8D8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609" w:type="dxa"/>
            <w:tcBorders>
              <w:top w:val="nil"/>
              <w:left w:val="nil"/>
              <w:bottom w:val="single" w:color="auto" w:sz="4" w:space="0"/>
              <w:right w:val="single" w:color="auto" w:sz="4" w:space="0"/>
            </w:tcBorders>
            <w:vAlign w:val="center"/>
          </w:tcPr>
          <w:p w14:paraId="259DB84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1033" w:type="dxa"/>
            <w:tcBorders>
              <w:top w:val="nil"/>
              <w:left w:val="nil"/>
              <w:bottom w:val="single" w:color="auto" w:sz="4" w:space="0"/>
              <w:right w:val="single" w:color="auto" w:sz="4" w:space="0"/>
            </w:tcBorders>
            <w:vAlign w:val="center"/>
          </w:tcPr>
          <w:p w14:paraId="6C1B2EC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08E1EDD2">
        <w:tblPrEx>
          <w:tblCellMar>
            <w:top w:w="0" w:type="dxa"/>
            <w:left w:w="108" w:type="dxa"/>
            <w:bottom w:w="0" w:type="dxa"/>
            <w:right w:w="108" w:type="dxa"/>
          </w:tblCellMar>
        </w:tblPrEx>
        <w:trPr>
          <w:trHeight w:val="225" w:hRule="atLeast"/>
          <w:jc w:val="center"/>
        </w:trPr>
        <w:tc>
          <w:tcPr>
            <w:tcW w:w="1900" w:type="dxa"/>
            <w:vMerge w:val="continue"/>
            <w:tcBorders>
              <w:top w:val="nil"/>
              <w:left w:val="single" w:color="auto" w:sz="4" w:space="0"/>
              <w:bottom w:val="single" w:color="auto" w:sz="4" w:space="0"/>
              <w:right w:val="single" w:color="auto" w:sz="4" w:space="0"/>
            </w:tcBorders>
            <w:vAlign w:val="center"/>
          </w:tcPr>
          <w:p w14:paraId="112C0DE7">
            <w:pPr>
              <w:widowControl/>
              <w:jc w:val="left"/>
              <w:rPr>
                <w:rFonts w:ascii="仿宋_GB2312" w:hAnsi="仿宋" w:eastAsia="仿宋_GB2312" w:cs="宋体"/>
                <w:b/>
                <w:bCs/>
                <w:color w:val="auto"/>
                <w:kern w:val="0"/>
                <w:sz w:val="18"/>
                <w:szCs w:val="18"/>
              </w:rPr>
            </w:pPr>
          </w:p>
        </w:tc>
        <w:tc>
          <w:tcPr>
            <w:tcW w:w="1546" w:type="dxa"/>
            <w:tcBorders>
              <w:top w:val="nil"/>
              <w:left w:val="nil"/>
              <w:bottom w:val="single" w:color="auto" w:sz="4" w:space="0"/>
              <w:right w:val="single" w:color="auto" w:sz="4" w:space="0"/>
            </w:tcBorders>
            <w:vAlign w:val="center"/>
          </w:tcPr>
          <w:p w14:paraId="564A4CB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20" w:type="dxa"/>
            <w:tcBorders>
              <w:top w:val="nil"/>
              <w:left w:val="nil"/>
              <w:bottom w:val="single" w:color="auto" w:sz="4" w:space="0"/>
              <w:right w:val="single" w:color="auto" w:sz="4" w:space="0"/>
            </w:tcBorders>
            <w:vAlign w:val="center"/>
          </w:tcPr>
          <w:p w14:paraId="19D853B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0" w:type="dxa"/>
            <w:tcBorders>
              <w:top w:val="nil"/>
              <w:left w:val="nil"/>
              <w:bottom w:val="single" w:color="auto" w:sz="4" w:space="0"/>
              <w:right w:val="single" w:color="auto" w:sz="4" w:space="0"/>
            </w:tcBorders>
            <w:vAlign w:val="center"/>
          </w:tcPr>
          <w:p w14:paraId="54E3CF6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3000≤Y＜30000</w:t>
            </w:r>
          </w:p>
        </w:tc>
        <w:tc>
          <w:tcPr>
            <w:tcW w:w="1609" w:type="dxa"/>
            <w:tcBorders>
              <w:top w:val="nil"/>
              <w:left w:val="nil"/>
              <w:bottom w:val="single" w:color="auto" w:sz="4" w:space="0"/>
              <w:right w:val="single" w:color="auto" w:sz="4" w:space="0"/>
            </w:tcBorders>
            <w:vAlign w:val="center"/>
          </w:tcPr>
          <w:p w14:paraId="7AA4D5B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200≤Y＜3000</w:t>
            </w:r>
          </w:p>
        </w:tc>
        <w:tc>
          <w:tcPr>
            <w:tcW w:w="1033" w:type="dxa"/>
            <w:tcBorders>
              <w:top w:val="nil"/>
              <w:left w:val="nil"/>
              <w:bottom w:val="single" w:color="auto" w:sz="4" w:space="0"/>
              <w:right w:val="single" w:color="auto" w:sz="4" w:space="0"/>
            </w:tcBorders>
            <w:vAlign w:val="center"/>
          </w:tcPr>
          <w:p w14:paraId="3293348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w:t>
            </w:r>
          </w:p>
        </w:tc>
      </w:tr>
      <w:tr w14:paraId="5F2E7260">
        <w:tblPrEx>
          <w:tblCellMar>
            <w:top w:w="0" w:type="dxa"/>
            <w:left w:w="108" w:type="dxa"/>
            <w:bottom w:w="0" w:type="dxa"/>
            <w:right w:w="108" w:type="dxa"/>
          </w:tblCellMar>
        </w:tblPrEx>
        <w:trPr>
          <w:trHeight w:val="225" w:hRule="atLeast"/>
          <w:jc w:val="center"/>
        </w:trPr>
        <w:tc>
          <w:tcPr>
            <w:tcW w:w="1900" w:type="dxa"/>
            <w:vMerge w:val="restart"/>
            <w:tcBorders>
              <w:top w:val="nil"/>
              <w:left w:val="single" w:color="auto" w:sz="4" w:space="0"/>
              <w:bottom w:val="single" w:color="auto" w:sz="4" w:space="0"/>
              <w:right w:val="single" w:color="auto" w:sz="4" w:space="0"/>
            </w:tcBorders>
            <w:vAlign w:val="bottom"/>
          </w:tcPr>
          <w:p w14:paraId="2DF70D81">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仓储业</w:t>
            </w:r>
          </w:p>
        </w:tc>
        <w:tc>
          <w:tcPr>
            <w:tcW w:w="1546" w:type="dxa"/>
            <w:tcBorders>
              <w:top w:val="nil"/>
              <w:left w:val="nil"/>
              <w:bottom w:val="single" w:color="auto" w:sz="4" w:space="0"/>
              <w:right w:val="single" w:color="auto" w:sz="4" w:space="0"/>
            </w:tcBorders>
            <w:vAlign w:val="center"/>
          </w:tcPr>
          <w:p w14:paraId="6F6D7DC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20" w:type="dxa"/>
            <w:tcBorders>
              <w:top w:val="nil"/>
              <w:left w:val="nil"/>
              <w:bottom w:val="single" w:color="auto" w:sz="4" w:space="0"/>
              <w:right w:val="single" w:color="auto" w:sz="4" w:space="0"/>
            </w:tcBorders>
            <w:vAlign w:val="center"/>
          </w:tcPr>
          <w:p w14:paraId="4CB2E5D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10" w:type="dxa"/>
            <w:tcBorders>
              <w:top w:val="nil"/>
              <w:left w:val="nil"/>
              <w:bottom w:val="single" w:color="auto" w:sz="4" w:space="0"/>
              <w:right w:val="single" w:color="auto" w:sz="4" w:space="0"/>
            </w:tcBorders>
            <w:vAlign w:val="center"/>
          </w:tcPr>
          <w:p w14:paraId="5625C62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w:t>
            </w:r>
          </w:p>
        </w:tc>
        <w:tc>
          <w:tcPr>
            <w:tcW w:w="1609" w:type="dxa"/>
            <w:tcBorders>
              <w:top w:val="nil"/>
              <w:left w:val="nil"/>
              <w:bottom w:val="single" w:color="auto" w:sz="4" w:space="0"/>
              <w:right w:val="single" w:color="auto" w:sz="4" w:space="0"/>
            </w:tcBorders>
            <w:vAlign w:val="center"/>
          </w:tcPr>
          <w:p w14:paraId="744084A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20≤X＜100</w:t>
            </w:r>
          </w:p>
        </w:tc>
        <w:tc>
          <w:tcPr>
            <w:tcW w:w="1033" w:type="dxa"/>
            <w:tcBorders>
              <w:top w:val="nil"/>
              <w:left w:val="nil"/>
              <w:bottom w:val="single" w:color="auto" w:sz="4" w:space="0"/>
              <w:right w:val="single" w:color="auto" w:sz="4" w:space="0"/>
            </w:tcBorders>
            <w:vAlign w:val="center"/>
          </w:tcPr>
          <w:p w14:paraId="6D7F585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3FD8C3F0">
        <w:tblPrEx>
          <w:tblCellMar>
            <w:top w:w="0" w:type="dxa"/>
            <w:left w:w="108" w:type="dxa"/>
            <w:bottom w:w="0" w:type="dxa"/>
            <w:right w:w="108" w:type="dxa"/>
          </w:tblCellMar>
        </w:tblPrEx>
        <w:trPr>
          <w:trHeight w:val="225" w:hRule="atLeast"/>
          <w:jc w:val="center"/>
        </w:trPr>
        <w:tc>
          <w:tcPr>
            <w:tcW w:w="1900" w:type="dxa"/>
            <w:vMerge w:val="continue"/>
            <w:tcBorders>
              <w:top w:val="nil"/>
              <w:left w:val="single" w:color="auto" w:sz="4" w:space="0"/>
              <w:bottom w:val="single" w:color="auto" w:sz="4" w:space="0"/>
              <w:right w:val="single" w:color="auto" w:sz="4" w:space="0"/>
            </w:tcBorders>
            <w:vAlign w:val="center"/>
          </w:tcPr>
          <w:p w14:paraId="218B24B7">
            <w:pPr>
              <w:widowControl/>
              <w:jc w:val="left"/>
              <w:rPr>
                <w:rFonts w:ascii="仿宋_GB2312" w:hAnsi="仿宋" w:eastAsia="仿宋_GB2312" w:cs="宋体"/>
                <w:b/>
                <w:bCs/>
                <w:color w:val="auto"/>
                <w:kern w:val="0"/>
                <w:sz w:val="18"/>
                <w:szCs w:val="18"/>
              </w:rPr>
            </w:pPr>
          </w:p>
        </w:tc>
        <w:tc>
          <w:tcPr>
            <w:tcW w:w="1546" w:type="dxa"/>
            <w:tcBorders>
              <w:top w:val="nil"/>
              <w:left w:val="nil"/>
              <w:bottom w:val="single" w:color="auto" w:sz="4" w:space="0"/>
              <w:right w:val="single" w:color="auto" w:sz="4" w:space="0"/>
            </w:tcBorders>
            <w:vAlign w:val="center"/>
          </w:tcPr>
          <w:p w14:paraId="70F5B88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20" w:type="dxa"/>
            <w:tcBorders>
              <w:top w:val="nil"/>
              <w:left w:val="nil"/>
              <w:bottom w:val="single" w:color="auto" w:sz="4" w:space="0"/>
              <w:right w:val="single" w:color="auto" w:sz="4" w:space="0"/>
            </w:tcBorders>
            <w:vAlign w:val="center"/>
          </w:tcPr>
          <w:p w14:paraId="0C58B65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0" w:type="dxa"/>
            <w:tcBorders>
              <w:top w:val="nil"/>
              <w:left w:val="nil"/>
              <w:bottom w:val="single" w:color="auto" w:sz="4" w:space="0"/>
              <w:right w:val="single" w:color="auto" w:sz="4" w:space="0"/>
            </w:tcBorders>
            <w:vAlign w:val="center"/>
          </w:tcPr>
          <w:p w14:paraId="47C420A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1000≤Y＜30000</w:t>
            </w:r>
          </w:p>
        </w:tc>
        <w:tc>
          <w:tcPr>
            <w:tcW w:w="1609" w:type="dxa"/>
            <w:tcBorders>
              <w:top w:val="nil"/>
              <w:left w:val="nil"/>
              <w:bottom w:val="single" w:color="auto" w:sz="4" w:space="0"/>
              <w:right w:val="single" w:color="auto" w:sz="4" w:space="0"/>
            </w:tcBorders>
            <w:vAlign w:val="center"/>
          </w:tcPr>
          <w:p w14:paraId="70C297F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1033" w:type="dxa"/>
            <w:tcBorders>
              <w:top w:val="nil"/>
              <w:left w:val="nil"/>
              <w:bottom w:val="single" w:color="auto" w:sz="4" w:space="0"/>
              <w:right w:val="single" w:color="auto" w:sz="4" w:space="0"/>
            </w:tcBorders>
            <w:vAlign w:val="center"/>
          </w:tcPr>
          <w:p w14:paraId="15BDB81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31F29A8D">
        <w:tblPrEx>
          <w:tblCellMar>
            <w:top w:w="0" w:type="dxa"/>
            <w:left w:w="108" w:type="dxa"/>
            <w:bottom w:w="0" w:type="dxa"/>
            <w:right w:w="108" w:type="dxa"/>
          </w:tblCellMar>
        </w:tblPrEx>
        <w:trPr>
          <w:trHeight w:val="225" w:hRule="atLeast"/>
          <w:jc w:val="center"/>
        </w:trPr>
        <w:tc>
          <w:tcPr>
            <w:tcW w:w="1900" w:type="dxa"/>
            <w:vMerge w:val="restart"/>
            <w:tcBorders>
              <w:top w:val="nil"/>
              <w:left w:val="single" w:color="auto" w:sz="4" w:space="0"/>
              <w:bottom w:val="single" w:color="auto" w:sz="4" w:space="0"/>
              <w:right w:val="single" w:color="auto" w:sz="4" w:space="0"/>
            </w:tcBorders>
            <w:vAlign w:val="bottom"/>
          </w:tcPr>
          <w:p w14:paraId="3747B2ED">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邮政业</w:t>
            </w:r>
          </w:p>
        </w:tc>
        <w:tc>
          <w:tcPr>
            <w:tcW w:w="1546" w:type="dxa"/>
            <w:tcBorders>
              <w:top w:val="nil"/>
              <w:left w:val="nil"/>
              <w:bottom w:val="single" w:color="auto" w:sz="4" w:space="0"/>
              <w:right w:val="single" w:color="auto" w:sz="4" w:space="0"/>
            </w:tcBorders>
            <w:vAlign w:val="center"/>
          </w:tcPr>
          <w:p w14:paraId="6853CBF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20" w:type="dxa"/>
            <w:tcBorders>
              <w:top w:val="nil"/>
              <w:left w:val="nil"/>
              <w:bottom w:val="single" w:color="auto" w:sz="4" w:space="0"/>
              <w:right w:val="single" w:color="auto" w:sz="4" w:space="0"/>
            </w:tcBorders>
            <w:vAlign w:val="center"/>
          </w:tcPr>
          <w:p w14:paraId="15B4917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10" w:type="dxa"/>
            <w:tcBorders>
              <w:top w:val="nil"/>
              <w:left w:val="nil"/>
              <w:bottom w:val="single" w:color="auto" w:sz="4" w:space="0"/>
              <w:right w:val="single" w:color="auto" w:sz="4" w:space="0"/>
            </w:tcBorders>
            <w:vAlign w:val="center"/>
          </w:tcPr>
          <w:p w14:paraId="0531DF5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609" w:type="dxa"/>
            <w:tcBorders>
              <w:top w:val="nil"/>
              <w:left w:val="nil"/>
              <w:bottom w:val="single" w:color="auto" w:sz="4" w:space="0"/>
              <w:right w:val="single" w:color="auto" w:sz="4" w:space="0"/>
            </w:tcBorders>
            <w:vAlign w:val="center"/>
          </w:tcPr>
          <w:p w14:paraId="5F04E00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1033" w:type="dxa"/>
            <w:tcBorders>
              <w:top w:val="nil"/>
              <w:left w:val="nil"/>
              <w:bottom w:val="single" w:color="auto" w:sz="4" w:space="0"/>
              <w:right w:val="single" w:color="auto" w:sz="4" w:space="0"/>
            </w:tcBorders>
            <w:vAlign w:val="center"/>
          </w:tcPr>
          <w:p w14:paraId="73C9FB2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6D7A2765">
        <w:tblPrEx>
          <w:tblCellMar>
            <w:top w:w="0" w:type="dxa"/>
            <w:left w:w="108" w:type="dxa"/>
            <w:bottom w:w="0" w:type="dxa"/>
            <w:right w:w="108" w:type="dxa"/>
          </w:tblCellMar>
        </w:tblPrEx>
        <w:trPr>
          <w:trHeight w:val="225" w:hRule="atLeast"/>
          <w:jc w:val="center"/>
        </w:trPr>
        <w:tc>
          <w:tcPr>
            <w:tcW w:w="1900" w:type="dxa"/>
            <w:vMerge w:val="continue"/>
            <w:tcBorders>
              <w:top w:val="nil"/>
              <w:left w:val="single" w:color="auto" w:sz="4" w:space="0"/>
              <w:bottom w:val="single" w:color="auto" w:sz="4" w:space="0"/>
              <w:right w:val="single" w:color="auto" w:sz="4" w:space="0"/>
            </w:tcBorders>
            <w:vAlign w:val="center"/>
          </w:tcPr>
          <w:p w14:paraId="3DA8234F">
            <w:pPr>
              <w:widowControl/>
              <w:jc w:val="left"/>
              <w:rPr>
                <w:rFonts w:ascii="仿宋_GB2312" w:hAnsi="仿宋" w:eastAsia="仿宋_GB2312" w:cs="宋体"/>
                <w:b/>
                <w:bCs/>
                <w:color w:val="auto"/>
                <w:kern w:val="0"/>
                <w:sz w:val="18"/>
                <w:szCs w:val="18"/>
              </w:rPr>
            </w:pPr>
          </w:p>
        </w:tc>
        <w:tc>
          <w:tcPr>
            <w:tcW w:w="1546" w:type="dxa"/>
            <w:tcBorders>
              <w:top w:val="nil"/>
              <w:left w:val="nil"/>
              <w:bottom w:val="single" w:color="auto" w:sz="4" w:space="0"/>
              <w:right w:val="single" w:color="auto" w:sz="4" w:space="0"/>
            </w:tcBorders>
            <w:vAlign w:val="center"/>
          </w:tcPr>
          <w:p w14:paraId="60D1050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20" w:type="dxa"/>
            <w:tcBorders>
              <w:top w:val="nil"/>
              <w:left w:val="nil"/>
              <w:bottom w:val="single" w:color="auto" w:sz="4" w:space="0"/>
              <w:right w:val="single" w:color="auto" w:sz="4" w:space="0"/>
            </w:tcBorders>
            <w:vAlign w:val="center"/>
          </w:tcPr>
          <w:p w14:paraId="7B965D8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0" w:type="dxa"/>
            <w:tcBorders>
              <w:top w:val="nil"/>
              <w:left w:val="nil"/>
              <w:bottom w:val="single" w:color="auto" w:sz="4" w:space="0"/>
              <w:right w:val="single" w:color="auto" w:sz="4" w:space="0"/>
            </w:tcBorders>
            <w:vAlign w:val="center"/>
          </w:tcPr>
          <w:p w14:paraId="29F2CC1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2000≤Y＜30000</w:t>
            </w:r>
          </w:p>
        </w:tc>
        <w:tc>
          <w:tcPr>
            <w:tcW w:w="1609" w:type="dxa"/>
            <w:tcBorders>
              <w:top w:val="nil"/>
              <w:left w:val="nil"/>
              <w:bottom w:val="single" w:color="auto" w:sz="4" w:space="0"/>
              <w:right w:val="single" w:color="auto" w:sz="4" w:space="0"/>
            </w:tcBorders>
            <w:vAlign w:val="center"/>
          </w:tcPr>
          <w:p w14:paraId="5C3214F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1033" w:type="dxa"/>
            <w:tcBorders>
              <w:top w:val="nil"/>
              <w:left w:val="nil"/>
              <w:bottom w:val="single" w:color="auto" w:sz="4" w:space="0"/>
              <w:right w:val="single" w:color="auto" w:sz="4" w:space="0"/>
            </w:tcBorders>
            <w:vAlign w:val="center"/>
          </w:tcPr>
          <w:p w14:paraId="506BAC3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09605475">
        <w:tblPrEx>
          <w:tblCellMar>
            <w:top w:w="0" w:type="dxa"/>
            <w:left w:w="108" w:type="dxa"/>
            <w:bottom w:w="0" w:type="dxa"/>
            <w:right w:w="108" w:type="dxa"/>
          </w:tblCellMar>
        </w:tblPrEx>
        <w:trPr>
          <w:trHeight w:val="225" w:hRule="atLeast"/>
          <w:jc w:val="center"/>
        </w:trPr>
        <w:tc>
          <w:tcPr>
            <w:tcW w:w="1900" w:type="dxa"/>
            <w:vMerge w:val="restart"/>
            <w:tcBorders>
              <w:top w:val="nil"/>
              <w:left w:val="single" w:color="auto" w:sz="4" w:space="0"/>
              <w:bottom w:val="single" w:color="auto" w:sz="4" w:space="0"/>
              <w:right w:val="single" w:color="auto" w:sz="4" w:space="0"/>
            </w:tcBorders>
            <w:vAlign w:val="bottom"/>
          </w:tcPr>
          <w:p w14:paraId="3D09ED92">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住宿业</w:t>
            </w:r>
          </w:p>
        </w:tc>
        <w:tc>
          <w:tcPr>
            <w:tcW w:w="1546" w:type="dxa"/>
            <w:tcBorders>
              <w:top w:val="nil"/>
              <w:left w:val="nil"/>
              <w:bottom w:val="single" w:color="auto" w:sz="4" w:space="0"/>
              <w:right w:val="single" w:color="auto" w:sz="4" w:space="0"/>
            </w:tcBorders>
            <w:vAlign w:val="center"/>
          </w:tcPr>
          <w:p w14:paraId="71D2852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20" w:type="dxa"/>
            <w:tcBorders>
              <w:top w:val="nil"/>
              <w:left w:val="nil"/>
              <w:bottom w:val="single" w:color="auto" w:sz="4" w:space="0"/>
              <w:right w:val="single" w:color="auto" w:sz="4" w:space="0"/>
            </w:tcBorders>
            <w:vAlign w:val="center"/>
          </w:tcPr>
          <w:p w14:paraId="0D27411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10" w:type="dxa"/>
            <w:tcBorders>
              <w:top w:val="nil"/>
              <w:left w:val="nil"/>
              <w:bottom w:val="single" w:color="auto" w:sz="4" w:space="0"/>
              <w:right w:val="single" w:color="auto" w:sz="4" w:space="0"/>
            </w:tcBorders>
            <w:vAlign w:val="center"/>
          </w:tcPr>
          <w:p w14:paraId="67CEC5B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609" w:type="dxa"/>
            <w:tcBorders>
              <w:top w:val="nil"/>
              <w:left w:val="nil"/>
              <w:bottom w:val="single" w:color="auto" w:sz="4" w:space="0"/>
              <w:right w:val="single" w:color="auto" w:sz="4" w:space="0"/>
            </w:tcBorders>
            <w:vAlign w:val="center"/>
          </w:tcPr>
          <w:p w14:paraId="5E1701A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033" w:type="dxa"/>
            <w:tcBorders>
              <w:top w:val="nil"/>
              <w:left w:val="nil"/>
              <w:bottom w:val="single" w:color="auto" w:sz="4" w:space="0"/>
              <w:right w:val="single" w:color="auto" w:sz="4" w:space="0"/>
            </w:tcBorders>
            <w:vAlign w:val="center"/>
          </w:tcPr>
          <w:p w14:paraId="65A0E03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4142CD4F">
        <w:tblPrEx>
          <w:tblCellMar>
            <w:top w:w="0" w:type="dxa"/>
            <w:left w:w="108" w:type="dxa"/>
            <w:bottom w:w="0" w:type="dxa"/>
            <w:right w:w="108" w:type="dxa"/>
          </w:tblCellMar>
        </w:tblPrEx>
        <w:trPr>
          <w:trHeight w:val="225" w:hRule="atLeast"/>
          <w:jc w:val="center"/>
        </w:trPr>
        <w:tc>
          <w:tcPr>
            <w:tcW w:w="1900" w:type="dxa"/>
            <w:vMerge w:val="continue"/>
            <w:tcBorders>
              <w:top w:val="nil"/>
              <w:left w:val="single" w:color="auto" w:sz="4" w:space="0"/>
              <w:bottom w:val="single" w:color="auto" w:sz="4" w:space="0"/>
              <w:right w:val="single" w:color="auto" w:sz="4" w:space="0"/>
            </w:tcBorders>
            <w:vAlign w:val="center"/>
          </w:tcPr>
          <w:p w14:paraId="3E99764C">
            <w:pPr>
              <w:widowControl/>
              <w:jc w:val="left"/>
              <w:rPr>
                <w:rFonts w:ascii="仿宋_GB2312" w:hAnsi="仿宋" w:eastAsia="仿宋_GB2312" w:cs="宋体"/>
                <w:b/>
                <w:bCs/>
                <w:color w:val="auto"/>
                <w:kern w:val="0"/>
                <w:sz w:val="18"/>
                <w:szCs w:val="18"/>
              </w:rPr>
            </w:pPr>
          </w:p>
        </w:tc>
        <w:tc>
          <w:tcPr>
            <w:tcW w:w="1546" w:type="dxa"/>
            <w:tcBorders>
              <w:top w:val="nil"/>
              <w:left w:val="nil"/>
              <w:bottom w:val="single" w:color="auto" w:sz="4" w:space="0"/>
              <w:right w:val="single" w:color="auto" w:sz="4" w:space="0"/>
            </w:tcBorders>
            <w:vAlign w:val="center"/>
          </w:tcPr>
          <w:p w14:paraId="6FBFF49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20" w:type="dxa"/>
            <w:tcBorders>
              <w:top w:val="nil"/>
              <w:left w:val="nil"/>
              <w:bottom w:val="single" w:color="auto" w:sz="4" w:space="0"/>
              <w:right w:val="single" w:color="auto" w:sz="4" w:space="0"/>
            </w:tcBorders>
            <w:vAlign w:val="center"/>
          </w:tcPr>
          <w:p w14:paraId="7230447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0" w:type="dxa"/>
            <w:tcBorders>
              <w:top w:val="nil"/>
              <w:left w:val="nil"/>
              <w:bottom w:val="single" w:color="auto" w:sz="4" w:space="0"/>
              <w:right w:val="single" w:color="auto" w:sz="4" w:space="0"/>
            </w:tcBorders>
            <w:vAlign w:val="center"/>
          </w:tcPr>
          <w:p w14:paraId="0800F47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609" w:type="dxa"/>
            <w:tcBorders>
              <w:top w:val="nil"/>
              <w:left w:val="nil"/>
              <w:bottom w:val="single" w:color="auto" w:sz="4" w:space="0"/>
              <w:right w:val="single" w:color="auto" w:sz="4" w:space="0"/>
            </w:tcBorders>
            <w:vAlign w:val="center"/>
          </w:tcPr>
          <w:p w14:paraId="0932D6D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1033" w:type="dxa"/>
            <w:tcBorders>
              <w:top w:val="nil"/>
              <w:left w:val="nil"/>
              <w:bottom w:val="single" w:color="auto" w:sz="4" w:space="0"/>
              <w:right w:val="single" w:color="auto" w:sz="4" w:space="0"/>
            </w:tcBorders>
            <w:vAlign w:val="center"/>
          </w:tcPr>
          <w:p w14:paraId="6B54DEC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72150CA8">
        <w:tblPrEx>
          <w:tblCellMar>
            <w:top w:w="0" w:type="dxa"/>
            <w:left w:w="108" w:type="dxa"/>
            <w:bottom w:w="0" w:type="dxa"/>
            <w:right w:w="108" w:type="dxa"/>
          </w:tblCellMar>
        </w:tblPrEx>
        <w:trPr>
          <w:trHeight w:val="225" w:hRule="atLeast"/>
          <w:jc w:val="center"/>
        </w:trPr>
        <w:tc>
          <w:tcPr>
            <w:tcW w:w="1900" w:type="dxa"/>
            <w:vMerge w:val="restart"/>
            <w:tcBorders>
              <w:top w:val="nil"/>
              <w:left w:val="single" w:color="auto" w:sz="4" w:space="0"/>
              <w:bottom w:val="single" w:color="auto" w:sz="4" w:space="0"/>
              <w:right w:val="single" w:color="auto" w:sz="4" w:space="0"/>
            </w:tcBorders>
            <w:vAlign w:val="bottom"/>
          </w:tcPr>
          <w:p w14:paraId="44AB44A0">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餐饮业</w:t>
            </w:r>
          </w:p>
        </w:tc>
        <w:tc>
          <w:tcPr>
            <w:tcW w:w="1546" w:type="dxa"/>
            <w:tcBorders>
              <w:top w:val="nil"/>
              <w:left w:val="nil"/>
              <w:bottom w:val="single" w:color="auto" w:sz="4" w:space="0"/>
              <w:right w:val="single" w:color="auto" w:sz="4" w:space="0"/>
            </w:tcBorders>
            <w:vAlign w:val="center"/>
          </w:tcPr>
          <w:p w14:paraId="65B9FDB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20" w:type="dxa"/>
            <w:tcBorders>
              <w:top w:val="nil"/>
              <w:left w:val="nil"/>
              <w:bottom w:val="single" w:color="auto" w:sz="4" w:space="0"/>
              <w:right w:val="single" w:color="auto" w:sz="4" w:space="0"/>
            </w:tcBorders>
            <w:vAlign w:val="center"/>
          </w:tcPr>
          <w:p w14:paraId="7AA58BC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10" w:type="dxa"/>
            <w:tcBorders>
              <w:top w:val="nil"/>
              <w:left w:val="nil"/>
              <w:bottom w:val="single" w:color="auto" w:sz="4" w:space="0"/>
              <w:right w:val="single" w:color="auto" w:sz="4" w:space="0"/>
            </w:tcBorders>
            <w:vAlign w:val="center"/>
          </w:tcPr>
          <w:p w14:paraId="43EE370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609" w:type="dxa"/>
            <w:tcBorders>
              <w:top w:val="nil"/>
              <w:left w:val="nil"/>
              <w:bottom w:val="single" w:color="auto" w:sz="4" w:space="0"/>
              <w:right w:val="single" w:color="auto" w:sz="4" w:space="0"/>
            </w:tcBorders>
            <w:vAlign w:val="center"/>
          </w:tcPr>
          <w:p w14:paraId="1EEFA37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033" w:type="dxa"/>
            <w:tcBorders>
              <w:top w:val="nil"/>
              <w:left w:val="nil"/>
              <w:bottom w:val="single" w:color="auto" w:sz="4" w:space="0"/>
              <w:right w:val="single" w:color="auto" w:sz="4" w:space="0"/>
            </w:tcBorders>
            <w:vAlign w:val="center"/>
          </w:tcPr>
          <w:p w14:paraId="1476262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0195D29B">
        <w:tblPrEx>
          <w:tblCellMar>
            <w:top w:w="0" w:type="dxa"/>
            <w:left w:w="108" w:type="dxa"/>
            <w:bottom w:w="0" w:type="dxa"/>
            <w:right w:w="108" w:type="dxa"/>
          </w:tblCellMar>
        </w:tblPrEx>
        <w:trPr>
          <w:trHeight w:val="225" w:hRule="atLeast"/>
          <w:jc w:val="center"/>
        </w:trPr>
        <w:tc>
          <w:tcPr>
            <w:tcW w:w="1900" w:type="dxa"/>
            <w:vMerge w:val="continue"/>
            <w:tcBorders>
              <w:top w:val="nil"/>
              <w:left w:val="single" w:color="auto" w:sz="4" w:space="0"/>
              <w:bottom w:val="single" w:color="auto" w:sz="4" w:space="0"/>
              <w:right w:val="single" w:color="auto" w:sz="4" w:space="0"/>
            </w:tcBorders>
            <w:vAlign w:val="center"/>
          </w:tcPr>
          <w:p w14:paraId="03836897">
            <w:pPr>
              <w:widowControl/>
              <w:jc w:val="left"/>
              <w:rPr>
                <w:rFonts w:ascii="仿宋_GB2312" w:hAnsi="仿宋" w:eastAsia="仿宋_GB2312" w:cs="宋体"/>
                <w:b/>
                <w:bCs/>
                <w:color w:val="auto"/>
                <w:kern w:val="0"/>
                <w:sz w:val="18"/>
                <w:szCs w:val="18"/>
              </w:rPr>
            </w:pPr>
          </w:p>
        </w:tc>
        <w:tc>
          <w:tcPr>
            <w:tcW w:w="1546" w:type="dxa"/>
            <w:tcBorders>
              <w:top w:val="nil"/>
              <w:left w:val="nil"/>
              <w:bottom w:val="single" w:color="auto" w:sz="4" w:space="0"/>
              <w:right w:val="single" w:color="auto" w:sz="4" w:space="0"/>
            </w:tcBorders>
            <w:vAlign w:val="center"/>
          </w:tcPr>
          <w:p w14:paraId="5F14FE5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20" w:type="dxa"/>
            <w:tcBorders>
              <w:top w:val="nil"/>
              <w:left w:val="nil"/>
              <w:bottom w:val="single" w:color="auto" w:sz="4" w:space="0"/>
              <w:right w:val="single" w:color="auto" w:sz="4" w:space="0"/>
            </w:tcBorders>
            <w:vAlign w:val="center"/>
          </w:tcPr>
          <w:p w14:paraId="29A185C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0" w:type="dxa"/>
            <w:tcBorders>
              <w:top w:val="nil"/>
              <w:left w:val="nil"/>
              <w:bottom w:val="single" w:color="auto" w:sz="4" w:space="0"/>
              <w:right w:val="single" w:color="auto" w:sz="4" w:space="0"/>
            </w:tcBorders>
            <w:vAlign w:val="center"/>
          </w:tcPr>
          <w:p w14:paraId="220EA43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609" w:type="dxa"/>
            <w:tcBorders>
              <w:top w:val="nil"/>
              <w:left w:val="nil"/>
              <w:bottom w:val="single" w:color="auto" w:sz="4" w:space="0"/>
              <w:right w:val="single" w:color="auto" w:sz="4" w:space="0"/>
            </w:tcBorders>
            <w:vAlign w:val="center"/>
          </w:tcPr>
          <w:p w14:paraId="0217E4B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1033" w:type="dxa"/>
            <w:tcBorders>
              <w:top w:val="nil"/>
              <w:left w:val="nil"/>
              <w:bottom w:val="single" w:color="auto" w:sz="4" w:space="0"/>
              <w:right w:val="single" w:color="auto" w:sz="4" w:space="0"/>
            </w:tcBorders>
            <w:vAlign w:val="center"/>
          </w:tcPr>
          <w:p w14:paraId="08D52F4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0C6E0A03">
        <w:tblPrEx>
          <w:tblCellMar>
            <w:top w:w="0" w:type="dxa"/>
            <w:left w:w="108" w:type="dxa"/>
            <w:bottom w:w="0" w:type="dxa"/>
            <w:right w:w="108" w:type="dxa"/>
          </w:tblCellMar>
        </w:tblPrEx>
        <w:trPr>
          <w:trHeight w:val="225" w:hRule="atLeast"/>
          <w:jc w:val="center"/>
        </w:trPr>
        <w:tc>
          <w:tcPr>
            <w:tcW w:w="1900" w:type="dxa"/>
            <w:vMerge w:val="restart"/>
            <w:tcBorders>
              <w:top w:val="nil"/>
              <w:left w:val="single" w:color="auto" w:sz="4" w:space="0"/>
              <w:bottom w:val="single" w:color="auto" w:sz="4" w:space="0"/>
              <w:right w:val="single" w:color="auto" w:sz="4" w:space="0"/>
            </w:tcBorders>
            <w:vAlign w:val="bottom"/>
          </w:tcPr>
          <w:p w14:paraId="38EB3E31">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信息传输业</w:t>
            </w:r>
          </w:p>
        </w:tc>
        <w:tc>
          <w:tcPr>
            <w:tcW w:w="1546" w:type="dxa"/>
            <w:tcBorders>
              <w:top w:val="nil"/>
              <w:left w:val="nil"/>
              <w:bottom w:val="single" w:color="auto" w:sz="4" w:space="0"/>
              <w:right w:val="single" w:color="auto" w:sz="4" w:space="0"/>
            </w:tcBorders>
            <w:vAlign w:val="center"/>
          </w:tcPr>
          <w:p w14:paraId="446AC15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20" w:type="dxa"/>
            <w:tcBorders>
              <w:top w:val="nil"/>
              <w:left w:val="nil"/>
              <w:bottom w:val="single" w:color="auto" w:sz="4" w:space="0"/>
              <w:right w:val="single" w:color="auto" w:sz="4" w:space="0"/>
            </w:tcBorders>
            <w:vAlign w:val="center"/>
          </w:tcPr>
          <w:p w14:paraId="08C0104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10" w:type="dxa"/>
            <w:tcBorders>
              <w:top w:val="nil"/>
              <w:left w:val="nil"/>
              <w:bottom w:val="single" w:color="auto" w:sz="4" w:space="0"/>
              <w:right w:val="single" w:color="auto" w:sz="4" w:space="0"/>
            </w:tcBorders>
            <w:vAlign w:val="center"/>
          </w:tcPr>
          <w:p w14:paraId="120A940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100≤X＜2000</w:t>
            </w:r>
          </w:p>
        </w:tc>
        <w:tc>
          <w:tcPr>
            <w:tcW w:w="1609" w:type="dxa"/>
            <w:tcBorders>
              <w:top w:val="nil"/>
              <w:left w:val="nil"/>
              <w:bottom w:val="single" w:color="auto" w:sz="4" w:space="0"/>
              <w:right w:val="single" w:color="auto" w:sz="4" w:space="0"/>
            </w:tcBorders>
            <w:vAlign w:val="center"/>
          </w:tcPr>
          <w:p w14:paraId="076BD59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033" w:type="dxa"/>
            <w:tcBorders>
              <w:top w:val="nil"/>
              <w:left w:val="nil"/>
              <w:bottom w:val="single" w:color="auto" w:sz="4" w:space="0"/>
              <w:right w:val="single" w:color="auto" w:sz="4" w:space="0"/>
            </w:tcBorders>
            <w:vAlign w:val="center"/>
          </w:tcPr>
          <w:p w14:paraId="6B63550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34CF8E61">
        <w:tblPrEx>
          <w:tblCellMar>
            <w:top w:w="0" w:type="dxa"/>
            <w:left w:w="108" w:type="dxa"/>
            <w:bottom w:w="0" w:type="dxa"/>
            <w:right w:w="108" w:type="dxa"/>
          </w:tblCellMar>
        </w:tblPrEx>
        <w:trPr>
          <w:trHeight w:val="225" w:hRule="atLeast"/>
          <w:jc w:val="center"/>
        </w:trPr>
        <w:tc>
          <w:tcPr>
            <w:tcW w:w="1900" w:type="dxa"/>
            <w:vMerge w:val="continue"/>
            <w:tcBorders>
              <w:top w:val="nil"/>
              <w:left w:val="single" w:color="auto" w:sz="4" w:space="0"/>
              <w:bottom w:val="single" w:color="auto" w:sz="4" w:space="0"/>
              <w:right w:val="single" w:color="auto" w:sz="4" w:space="0"/>
            </w:tcBorders>
            <w:vAlign w:val="center"/>
          </w:tcPr>
          <w:p w14:paraId="10514AF9">
            <w:pPr>
              <w:widowControl/>
              <w:jc w:val="left"/>
              <w:rPr>
                <w:rFonts w:ascii="仿宋_GB2312" w:hAnsi="仿宋" w:eastAsia="仿宋_GB2312" w:cs="宋体"/>
                <w:b/>
                <w:bCs/>
                <w:color w:val="auto"/>
                <w:kern w:val="0"/>
                <w:sz w:val="18"/>
                <w:szCs w:val="18"/>
              </w:rPr>
            </w:pPr>
          </w:p>
        </w:tc>
        <w:tc>
          <w:tcPr>
            <w:tcW w:w="1546" w:type="dxa"/>
            <w:tcBorders>
              <w:top w:val="nil"/>
              <w:left w:val="nil"/>
              <w:bottom w:val="single" w:color="auto" w:sz="4" w:space="0"/>
              <w:right w:val="single" w:color="auto" w:sz="4" w:space="0"/>
            </w:tcBorders>
            <w:vAlign w:val="center"/>
          </w:tcPr>
          <w:p w14:paraId="4332D73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20" w:type="dxa"/>
            <w:tcBorders>
              <w:top w:val="nil"/>
              <w:left w:val="nil"/>
              <w:bottom w:val="single" w:color="auto" w:sz="4" w:space="0"/>
              <w:right w:val="single" w:color="auto" w:sz="4" w:space="0"/>
            </w:tcBorders>
            <w:vAlign w:val="center"/>
          </w:tcPr>
          <w:p w14:paraId="06612A9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0" w:type="dxa"/>
            <w:tcBorders>
              <w:top w:val="nil"/>
              <w:left w:val="nil"/>
              <w:bottom w:val="single" w:color="auto" w:sz="4" w:space="0"/>
              <w:right w:val="single" w:color="auto" w:sz="4" w:space="0"/>
            </w:tcBorders>
            <w:vAlign w:val="center"/>
          </w:tcPr>
          <w:p w14:paraId="3521D7F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1000≤Y＜100000</w:t>
            </w:r>
          </w:p>
        </w:tc>
        <w:tc>
          <w:tcPr>
            <w:tcW w:w="1609" w:type="dxa"/>
            <w:tcBorders>
              <w:top w:val="nil"/>
              <w:left w:val="nil"/>
              <w:bottom w:val="single" w:color="auto" w:sz="4" w:space="0"/>
              <w:right w:val="single" w:color="auto" w:sz="4" w:space="0"/>
            </w:tcBorders>
            <w:vAlign w:val="center"/>
          </w:tcPr>
          <w:p w14:paraId="170922E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1033" w:type="dxa"/>
            <w:tcBorders>
              <w:top w:val="nil"/>
              <w:left w:val="nil"/>
              <w:bottom w:val="single" w:color="auto" w:sz="4" w:space="0"/>
              <w:right w:val="single" w:color="auto" w:sz="4" w:space="0"/>
            </w:tcBorders>
            <w:vAlign w:val="center"/>
          </w:tcPr>
          <w:p w14:paraId="00CAC45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4F004945">
        <w:tblPrEx>
          <w:tblCellMar>
            <w:top w:w="0" w:type="dxa"/>
            <w:left w:w="108" w:type="dxa"/>
            <w:bottom w:w="0" w:type="dxa"/>
            <w:right w:w="108" w:type="dxa"/>
          </w:tblCellMar>
        </w:tblPrEx>
        <w:trPr>
          <w:trHeight w:val="225" w:hRule="atLeast"/>
          <w:jc w:val="center"/>
        </w:trPr>
        <w:tc>
          <w:tcPr>
            <w:tcW w:w="1900" w:type="dxa"/>
            <w:vMerge w:val="restart"/>
            <w:tcBorders>
              <w:top w:val="nil"/>
              <w:left w:val="single" w:color="auto" w:sz="4" w:space="0"/>
              <w:bottom w:val="single" w:color="auto" w:sz="4" w:space="0"/>
              <w:right w:val="single" w:color="auto" w:sz="4" w:space="0"/>
            </w:tcBorders>
            <w:vAlign w:val="bottom"/>
          </w:tcPr>
          <w:p w14:paraId="34E9BBCE">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软件和信息技术服务业</w:t>
            </w:r>
          </w:p>
        </w:tc>
        <w:tc>
          <w:tcPr>
            <w:tcW w:w="1546" w:type="dxa"/>
            <w:tcBorders>
              <w:top w:val="nil"/>
              <w:left w:val="nil"/>
              <w:bottom w:val="single" w:color="auto" w:sz="4" w:space="0"/>
              <w:right w:val="single" w:color="auto" w:sz="4" w:space="0"/>
            </w:tcBorders>
            <w:vAlign w:val="center"/>
          </w:tcPr>
          <w:p w14:paraId="521B59B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20" w:type="dxa"/>
            <w:tcBorders>
              <w:top w:val="nil"/>
              <w:left w:val="nil"/>
              <w:bottom w:val="single" w:color="auto" w:sz="4" w:space="0"/>
              <w:right w:val="single" w:color="auto" w:sz="4" w:space="0"/>
            </w:tcBorders>
            <w:vAlign w:val="center"/>
          </w:tcPr>
          <w:p w14:paraId="1F44E57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10" w:type="dxa"/>
            <w:tcBorders>
              <w:top w:val="nil"/>
              <w:left w:val="nil"/>
              <w:bottom w:val="single" w:color="auto" w:sz="4" w:space="0"/>
              <w:right w:val="single" w:color="auto" w:sz="4" w:space="0"/>
            </w:tcBorders>
            <w:vAlign w:val="center"/>
          </w:tcPr>
          <w:p w14:paraId="039EFF2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609" w:type="dxa"/>
            <w:tcBorders>
              <w:top w:val="nil"/>
              <w:left w:val="nil"/>
              <w:bottom w:val="single" w:color="auto" w:sz="4" w:space="0"/>
              <w:right w:val="single" w:color="auto" w:sz="4" w:space="0"/>
            </w:tcBorders>
            <w:vAlign w:val="center"/>
          </w:tcPr>
          <w:p w14:paraId="77EB9A0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033" w:type="dxa"/>
            <w:tcBorders>
              <w:top w:val="nil"/>
              <w:left w:val="nil"/>
              <w:bottom w:val="single" w:color="auto" w:sz="4" w:space="0"/>
              <w:right w:val="single" w:color="auto" w:sz="4" w:space="0"/>
            </w:tcBorders>
            <w:vAlign w:val="center"/>
          </w:tcPr>
          <w:p w14:paraId="0226A4A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353722AA">
        <w:tblPrEx>
          <w:tblCellMar>
            <w:top w:w="0" w:type="dxa"/>
            <w:left w:w="108" w:type="dxa"/>
            <w:bottom w:w="0" w:type="dxa"/>
            <w:right w:w="108" w:type="dxa"/>
          </w:tblCellMar>
        </w:tblPrEx>
        <w:trPr>
          <w:trHeight w:val="225" w:hRule="atLeast"/>
          <w:jc w:val="center"/>
        </w:trPr>
        <w:tc>
          <w:tcPr>
            <w:tcW w:w="1900" w:type="dxa"/>
            <w:vMerge w:val="continue"/>
            <w:tcBorders>
              <w:top w:val="nil"/>
              <w:left w:val="single" w:color="auto" w:sz="4" w:space="0"/>
              <w:bottom w:val="single" w:color="auto" w:sz="4" w:space="0"/>
              <w:right w:val="single" w:color="auto" w:sz="4" w:space="0"/>
            </w:tcBorders>
            <w:vAlign w:val="center"/>
          </w:tcPr>
          <w:p w14:paraId="2A98131B">
            <w:pPr>
              <w:widowControl/>
              <w:jc w:val="left"/>
              <w:rPr>
                <w:rFonts w:ascii="仿宋_GB2312" w:hAnsi="仿宋" w:eastAsia="仿宋_GB2312" w:cs="宋体"/>
                <w:b/>
                <w:bCs/>
                <w:color w:val="auto"/>
                <w:kern w:val="0"/>
                <w:sz w:val="18"/>
                <w:szCs w:val="18"/>
              </w:rPr>
            </w:pPr>
          </w:p>
        </w:tc>
        <w:tc>
          <w:tcPr>
            <w:tcW w:w="1546" w:type="dxa"/>
            <w:tcBorders>
              <w:top w:val="nil"/>
              <w:left w:val="nil"/>
              <w:bottom w:val="single" w:color="auto" w:sz="4" w:space="0"/>
              <w:right w:val="single" w:color="auto" w:sz="4" w:space="0"/>
            </w:tcBorders>
            <w:vAlign w:val="center"/>
          </w:tcPr>
          <w:p w14:paraId="6CDBC52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20" w:type="dxa"/>
            <w:tcBorders>
              <w:top w:val="nil"/>
              <w:left w:val="nil"/>
              <w:bottom w:val="single" w:color="auto" w:sz="4" w:space="0"/>
              <w:right w:val="single" w:color="auto" w:sz="4" w:space="0"/>
            </w:tcBorders>
            <w:vAlign w:val="center"/>
          </w:tcPr>
          <w:p w14:paraId="5A327DC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0" w:type="dxa"/>
            <w:tcBorders>
              <w:top w:val="nil"/>
              <w:left w:val="nil"/>
              <w:bottom w:val="single" w:color="auto" w:sz="4" w:space="0"/>
              <w:right w:val="single" w:color="auto" w:sz="4" w:space="0"/>
            </w:tcBorders>
            <w:vAlign w:val="center"/>
          </w:tcPr>
          <w:p w14:paraId="4D6AF98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w:t>
            </w:r>
          </w:p>
        </w:tc>
        <w:tc>
          <w:tcPr>
            <w:tcW w:w="1609" w:type="dxa"/>
            <w:tcBorders>
              <w:top w:val="nil"/>
              <w:left w:val="nil"/>
              <w:bottom w:val="single" w:color="auto" w:sz="4" w:space="0"/>
              <w:right w:val="single" w:color="auto" w:sz="4" w:space="0"/>
            </w:tcBorders>
            <w:vAlign w:val="center"/>
          </w:tcPr>
          <w:p w14:paraId="4AF2091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50≤Y＜1000</w:t>
            </w:r>
          </w:p>
        </w:tc>
        <w:tc>
          <w:tcPr>
            <w:tcW w:w="1033" w:type="dxa"/>
            <w:tcBorders>
              <w:top w:val="nil"/>
              <w:left w:val="nil"/>
              <w:bottom w:val="single" w:color="auto" w:sz="4" w:space="0"/>
              <w:right w:val="single" w:color="auto" w:sz="4" w:space="0"/>
            </w:tcBorders>
            <w:vAlign w:val="center"/>
          </w:tcPr>
          <w:p w14:paraId="20CCDF4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43687D8A">
        <w:tblPrEx>
          <w:tblCellMar>
            <w:top w:w="0" w:type="dxa"/>
            <w:left w:w="108" w:type="dxa"/>
            <w:bottom w:w="0" w:type="dxa"/>
            <w:right w:w="108" w:type="dxa"/>
          </w:tblCellMar>
        </w:tblPrEx>
        <w:trPr>
          <w:trHeight w:val="225" w:hRule="atLeast"/>
          <w:jc w:val="center"/>
        </w:trPr>
        <w:tc>
          <w:tcPr>
            <w:tcW w:w="1900" w:type="dxa"/>
            <w:vMerge w:val="restart"/>
            <w:tcBorders>
              <w:top w:val="nil"/>
              <w:left w:val="single" w:color="auto" w:sz="4" w:space="0"/>
              <w:bottom w:val="single" w:color="auto" w:sz="4" w:space="0"/>
              <w:right w:val="single" w:color="auto" w:sz="4" w:space="0"/>
            </w:tcBorders>
            <w:vAlign w:val="bottom"/>
          </w:tcPr>
          <w:p w14:paraId="1BE28C61">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房地产开发经营</w:t>
            </w:r>
          </w:p>
        </w:tc>
        <w:tc>
          <w:tcPr>
            <w:tcW w:w="1546" w:type="dxa"/>
            <w:tcBorders>
              <w:top w:val="nil"/>
              <w:left w:val="nil"/>
              <w:bottom w:val="single" w:color="auto" w:sz="4" w:space="0"/>
              <w:right w:val="single" w:color="auto" w:sz="4" w:space="0"/>
            </w:tcBorders>
            <w:vAlign w:val="center"/>
          </w:tcPr>
          <w:p w14:paraId="0FB7AD3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20" w:type="dxa"/>
            <w:tcBorders>
              <w:top w:val="nil"/>
              <w:left w:val="nil"/>
              <w:bottom w:val="single" w:color="auto" w:sz="4" w:space="0"/>
              <w:right w:val="single" w:color="auto" w:sz="4" w:space="0"/>
            </w:tcBorders>
            <w:vAlign w:val="center"/>
          </w:tcPr>
          <w:p w14:paraId="31000A7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0" w:type="dxa"/>
            <w:tcBorders>
              <w:top w:val="nil"/>
              <w:left w:val="nil"/>
              <w:bottom w:val="single" w:color="auto" w:sz="4" w:space="0"/>
              <w:right w:val="single" w:color="auto" w:sz="4" w:space="0"/>
            </w:tcBorders>
            <w:vAlign w:val="center"/>
          </w:tcPr>
          <w:p w14:paraId="40485D1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1000≤Y＜200000</w:t>
            </w:r>
          </w:p>
        </w:tc>
        <w:tc>
          <w:tcPr>
            <w:tcW w:w="1609" w:type="dxa"/>
            <w:tcBorders>
              <w:top w:val="nil"/>
              <w:left w:val="nil"/>
              <w:bottom w:val="single" w:color="auto" w:sz="4" w:space="0"/>
              <w:right w:val="single" w:color="auto" w:sz="4" w:space="0"/>
            </w:tcBorders>
            <w:vAlign w:val="center"/>
          </w:tcPr>
          <w:p w14:paraId="54DDF99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100≤X＜1000</w:t>
            </w:r>
          </w:p>
        </w:tc>
        <w:tc>
          <w:tcPr>
            <w:tcW w:w="1033" w:type="dxa"/>
            <w:tcBorders>
              <w:top w:val="nil"/>
              <w:left w:val="nil"/>
              <w:bottom w:val="single" w:color="auto" w:sz="4" w:space="0"/>
              <w:right w:val="single" w:color="auto" w:sz="4" w:space="0"/>
            </w:tcBorders>
            <w:vAlign w:val="center"/>
          </w:tcPr>
          <w:p w14:paraId="6A08CEE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2FB76754">
        <w:tblPrEx>
          <w:tblCellMar>
            <w:top w:w="0" w:type="dxa"/>
            <w:left w:w="108" w:type="dxa"/>
            <w:bottom w:w="0" w:type="dxa"/>
            <w:right w:w="108" w:type="dxa"/>
          </w:tblCellMar>
        </w:tblPrEx>
        <w:trPr>
          <w:trHeight w:val="225" w:hRule="atLeast"/>
          <w:jc w:val="center"/>
        </w:trPr>
        <w:tc>
          <w:tcPr>
            <w:tcW w:w="1900" w:type="dxa"/>
            <w:vMerge w:val="continue"/>
            <w:tcBorders>
              <w:top w:val="nil"/>
              <w:left w:val="single" w:color="auto" w:sz="4" w:space="0"/>
              <w:bottom w:val="single" w:color="auto" w:sz="4" w:space="0"/>
              <w:right w:val="single" w:color="auto" w:sz="4" w:space="0"/>
            </w:tcBorders>
            <w:vAlign w:val="center"/>
          </w:tcPr>
          <w:p w14:paraId="49409215">
            <w:pPr>
              <w:widowControl/>
              <w:jc w:val="left"/>
              <w:rPr>
                <w:rFonts w:ascii="仿宋_GB2312" w:hAnsi="仿宋" w:eastAsia="仿宋_GB2312" w:cs="宋体"/>
                <w:b/>
                <w:bCs/>
                <w:color w:val="auto"/>
                <w:kern w:val="0"/>
                <w:sz w:val="18"/>
                <w:szCs w:val="18"/>
              </w:rPr>
            </w:pPr>
          </w:p>
        </w:tc>
        <w:tc>
          <w:tcPr>
            <w:tcW w:w="1546" w:type="dxa"/>
            <w:tcBorders>
              <w:top w:val="nil"/>
              <w:left w:val="nil"/>
              <w:bottom w:val="single" w:color="auto" w:sz="4" w:space="0"/>
              <w:right w:val="single" w:color="auto" w:sz="4" w:space="0"/>
            </w:tcBorders>
            <w:vAlign w:val="center"/>
          </w:tcPr>
          <w:p w14:paraId="30E83EF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1020" w:type="dxa"/>
            <w:tcBorders>
              <w:top w:val="nil"/>
              <w:left w:val="nil"/>
              <w:bottom w:val="single" w:color="auto" w:sz="4" w:space="0"/>
              <w:right w:val="single" w:color="auto" w:sz="4" w:space="0"/>
            </w:tcBorders>
            <w:vAlign w:val="center"/>
          </w:tcPr>
          <w:p w14:paraId="51931F3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0" w:type="dxa"/>
            <w:tcBorders>
              <w:top w:val="nil"/>
              <w:left w:val="nil"/>
              <w:bottom w:val="single" w:color="auto" w:sz="4" w:space="0"/>
              <w:right w:val="single" w:color="auto" w:sz="4" w:space="0"/>
            </w:tcBorders>
            <w:vAlign w:val="center"/>
          </w:tcPr>
          <w:p w14:paraId="33107DF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5000≤Z＜10000</w:t>
            </w:r>
          </w:p>
        </w:tc>
        <w:tc>
          <w:tcPr>
            <w:tcW w:w="1609" w:type="dxa"/>
            <w:tcBorders>
              <w:top w:val="nil"/>
              <w:left w:val="nil"/>
              <w:bottom w:val="single" w:color="auto" w:sz="4" w:space="0"/>
              <w:right w:val="single" w:color="auto" w:sz="4" w:space="0"/>
            </w:tcBorders>
            <w:vAlign w:val="center"/>
          </w:tcPr>
          <w:p w14:paraId="755F6F8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2000≤Y＜5000</w:t>
            </w:r>
          </w:p>
        </w:tc>
        <w:tc>
          <w:tcPr>
            <w:tcW w:w="1033" w:type="dxa"/>
            <w:tcBorders>
              <w:top w:val="nil"/>
              <w:left w:val="nil"/>
              <w:bottom w:val="single" w:color="auto" w:sz="4" w:space="0"/>
              <w:right w:val="single" w:color="auto" w:sz="4" w:space="0"/>
            </w:tcBorders>
            <w:vAlign w:val="center"/>
          </w:tcPr>
          <w:p w14:paraId="35E80F5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Y＜2000</w:t>
            </w:r>
          </w:p>
        </w:tc>
      </w:tr>
      <w:tr w14:paraId="6B1230E1">
        <w:tblPrEx>
          <w:tblCellMar>
            <w:top w:w="0" w:type="dxa"/>
            <w:left w:w="108" w:type="dxa"/>
            <w:bottom w:w="0" w:type="dxa"/>
            <w:right w:w="108" w:type="dxa"/>
          </w:tblCellMar>
        </w:tblPrEx>
        <w:trPr>
          <w:trHeight w:val="225" w:hRule="atLeast"/>
          <w:jc w:val="center"/>
        </w:trPr>
        <w:tc>
          <w:tcPr>
            <w:tcW w:w="1900" w:type="dxa"/>
            <w:vMerge w:val="restart"/>
            <w:tcBorders>
              <w:top w:val="nil"/>
              <w:left w:val="single" w:color="auto" w:sz="4" w:space="0"/>
              <w:bottom w:val="single" w:color="auto" w:sz="4" w:space="0"/>
              <w:right w:val="single" w:color="auto" w:sz="4" w:space="0"/>
            </w:tcBorders>
            <w:vAlign w:val="bottom"/>
          </w:tcPr>
          <w:p w14:paraId="1A0F16AC">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物业管理</w:t>
            </w:r>
          </w:p>
        </w:tc>
        <w:tc>
          <w:tcPr>
            <w:tcW w:w="1546" w:type="dxa"/>
            <w:tcBorders>
              <w:top w:val="nil"/>
              <w:left w:val="nil"/>
              <w:bottom w:val="single" w:color="auto" w:sz="4" w:space="0"/>
              <w:right w:val="single" w:color="auto" w:sz="4" w:space="0"/>
            </w:tcBorders>
            <w:vAlign w:val="center"/>
          </w:tcPr>
          <w:p w14:paraId="6B40496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20" w:type="dxa"/>
            <w:tcBorders>
              <w:top w:val="nil"/>
              <w:left w:val="nil"/>
              <w:bottom w:val="single" w:color="auto" w:sz="4" w:space="0"/>
              <w:right w:val="single" w:color="auto" w:sz="4" w:space="0"/>
            </w:tcBorders>
            <w:vAlign w:val="center"/>
          </w:tcPr>
          <w:p w14:paraId="27B6F58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10" w:type="dxa"/>
            <w:tcBorders>
              <w:top w:val="nil"/>
              <w:left w:val="nil"/>
              <w:bottom w:val="single" w:color="auto" w:sz="4" w:space="0"/>
              <w:right w:val="single" w:color="auto" w:sz="4" w:space="0"/>
            </w:tcBorders>
            <w:vAlign w:val="center"/>
          </w:tcPr>
          <w:p w14:paraId="2F3EAF9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609" w:type="dxa"/>
            <w:tcBorders>
              <w:top w:val="nil"/>
              <w:left w:val="nil"/>
              <w:bottom w:val="single" w:color="auto" w:sz="4" w:space="0"/>
              <w:right w:val="single" w:color="auto" w:sz="4" w:space="0"/>
            </w:tcBorders>
            <w:vAlign w:val="center"/>
          </w:tcPr>
          <w:p w14:paraId="249AB97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033" w:type="dxa"/>
            <w:tcBorders>
              <w:top w:val="nil"/>
              <w:left w:val="nil"/>
              <w:bottom w:val="single" w:color="auto" w:sz="4" w:space="0"/>
              <w:right w:val="single" w:color="auto" w:sz="4" w:space="0"/>
            </w:tcBorders>
            <w:vAlign w:val="center"/>
          </w:tcPr>
          <w:p w14:paraId="65B7768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432345A4">
        <w:tblPrEx>
          <w:tblCellMar>
            <w:top w:w="0" w:type="dxa"/>
            <w:left w:w="108" w:type="dxa"/>
            <w:bottom w:w="0" w:type="dxa"/>
            <w:right w:w="108" w:type="dxa"/>
          </w:tblCellMar>
        </w:tblPrEx>
        <w:trPr>
          <w:trHeight w:val="225" w:hRule="atLeast"/>
          <w:jc w:val="center"/>
        </w:trPr>
        <w:tc>
          <w:tcPr>
            <w:tcW w:w="1900" w:type="dxa"/>
            <w:vMerge w:val="continue"/>
            <w:tcBorders>
              <w:top w:val="nil"/>
              <w:left w:val="single" w:color="auto" w:sz="4" w:space="0"/>
              <w:bottom w:val="single" w:color="auto" w:sz="4" w:space="0"/>
              <w:right w:val="single" w:color="auto" w:sz="4" w:space="0"/>
            </w:tcBorders>
            <w:vAlign w:val="center"/>
          </w:tcPr>
          <w:p w14:paraId="3D1D29F6">
            <w:pPr>
              <w:widowControl/>
              <w:jc w:val="left"/>
              <w:rPr>
                <w:rFonts w:ascii="仿宋_GB2312" w:hAnsi="仿宋" w:eastAsia="仿宋_GB2312" w:cs="宋体"/>
                <w:b/>
                <w:bCs/>
                <w:color w:val="auto"/>
                <w:kern w:val="0"/>
                <w:sz w:val="18"/>
                <w:szCs w:val="18"/>
              </w:rPr>
            </w:pPr>
          </w:p>
        </w:tc>
        <w:tc>
          <w:tcPr>
            <w:tcW w:w="1546" w:type="dxa"/>
            <w:tcBorders>
              <w:top w:val="nil"/>
              <w:left w:val="nil"/>
              <w:bottom w:val="single" w:color="auto" w:sz="4" w:space="0"/>
              <w:right w:val="single" w:color="auto" w:sz="4" w:space="0"/>
            </w:tcBorders>
            <w:vAlign w:val="center"/>
          </w:tcPr>
          <w:p w14:paraId="52C1BAB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20" w:type="dxa"/>
            <w:tcBorders>
              <w:top w:val="nil"/>
              <w:left w:val="nil"/>
              <w:bottom w:val="single" w:color="auto" w:sz="4" w:space="0"/>
              <w:right w:val="single" w:color="auto" w:sz="4" w:space="0"/>
            </w:tcBorders>
            <w:vAlign w:val="center"/>
          </w:tcPr>
          <w:p w14:paraId="4F78B7F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0" w:type="dxa"/>
            <w:tcBorders>
              <w:top w:val="nil"/>
              <w:left w:val="nil"/>
              <w:bottom w:val="single" w:color="auto" w:sz="4" w:space="0"/>
              <w:right w:val="single" w:color="auto" w:sz="4" w:space="0"/>
            </w:tcBorders>
            <w:vAlign w:val="center"/>
          </w:tcPr>
          <w:p w14:paraId="7BD928D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1609" w:type="dxa"/>
            <w:tcBorders>
              <w:top w:val="nil"/>
              <w:left w:val="nil"/>
              <w:bottom w:val="single" w:color="auto" w:sz="4" w:space="0"/>
              <w:right w:val="single" w:color="auto" w:sz="4" w:space="0"/>
            </w:tcBorders>
            <w:vAlign w:val="center"/>
          </w:tcPr>
          <w:p w14:paraId="3A0F3F9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500≤Y＜1000</w:t>
            </w:r>
          </w:p>
        </w:tc>
        <w:tc>
          <w:tcPr>
            <w:tcW w:w="1033" w:type="dxa"/>
            <w:tcBorders>
              <w:top w:val="nil"/>
              <w:left w:val="nil"/>
              <w:bottom w:val="single" w:color="auto" w:sz="4" w:space="0"/>
              <w:right w:val="single" w:color="auto" w:sz="4" w:space="0"/>
            </w:tcBorders>
            <w:vAlign w:val="center"/>
          </w:tcPr>
          <w:p w14:paraId="0DC2340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Y＜500</w:t>
            </w:r>
          </w:p>
        </w:tc>
      </w:tr>
      <w:tr w14:paraId="2A288D35">
        <w:tblPrEx>
          <w:tblCellMar>
            <w:top w:w="0" w:type="dxa"/>
            <w:left w:w="108" w:type="dxa"/>
            <w:bottom w:w="0" w:type="dxa"/>
            <w:right w:w="108" w:type="dxa"/>
          </w:tblCellMar>
        </w:tblPrEx>
        <w:trPr>
          <w:trHeight w:val="225" w:hRule="atLeast"/>
          <w:jc w:val="center"/>
        </w:trPr>
        <w:tc>
          <w:tcPr>
            <w:tcW w:w="1900" w:type="dxa"/>
            <w:vMerge w:val="restart"/>
            <w:tcBorders>
              <w:top w:val="nil"/>
              <w:left w:val="single" w:color="auto" w:sz="4" w:space="0"/>
              <w:bottom w:val="single" w:color="auto" w:sz="4" w:space="0"/>
              <w:right w:val="single" w:color="auto" w:sz="4" w:space="0"/>
            </w:tcBorders>
            <w:vAlign w:val="bottom"/>
          </w:tcPr>
          <w:p w14:paraId="5E1FC7A4">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租赁和商务服务业</w:t>
            </w:r>
          </w:p>
        </w:tc>
        <w:tc>
          <w:tcPr>
            <w:tcW w:w="1546" w:type="dxa"/>
            <w:tcBorders>
              <w:top w:val="nil"/>
              <w:left w:val="nil"/>
              <w:bottom w:val="single" w:color="auto" w:sz="4" w:space="0"/>
              <w:right w:val="single" w:color="auto" w:sz="4" w:space="0"/>
            </w:tcBorders>
            <w:vAlign w:val="center"/>
          </w:tcPr>
          <w:p w14:paraId="642E7AA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20" w:type="dxa"/>
            <w:tcBorders>
              <w:top w:val="nil"/>
              <w:left w:val="nil"/>
              <w:bottom w:val="single" w:color="auto" w:sz="4" w:space="0"/>
              <w:right w:val="single" w:color="auto" w:sz="4" w:space="0"/>
            </w:tcBorders>
            <w:vAlign w:val="center"/>
          </w:tcPr>
          <w:p w14:paraId="2411C9A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10" w:type="dxa"/>
            <w:tcBorders>
              <w:top w:val="nil"/>
              <w:left w:val="nil"/>
              <w:bottom w:val="single" w:color="auto" w:sz="4" w:space="0"/>
              <w:right w:val="single" w:color="auto" w:sz="4" w:space="0"/>
            </w:tcBorders>
            <w:vAlign w:val="center"/>
          </w:tcPr>
          <w:p w14:paraId="0F1BB55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609" w:type="dxa"/>
            <w:tcBorders>
              <w:top w:val="nil"/>
              <w:left w:val="nil"/>
              <w:bottom w:val="single" w:color="auto" w:sz="4" w:space="0"/>
              <w:right w:val="single" w:color="auto" w:sz="4" w:space="0"/>
            </w:tcBorders>
            <w:vAlign w:val="center"/>
          </w:tcPr>
          <w:p w14:paraId="400481A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033" w:type="dxa"/>
            <w:tcBorders>
              <w:top w:val="nil"/>
              <w:left w:val="nil"/>
              <w:bottom w:val="single" w:color="auto" w:sz="4" w:space="0"/>
              <w:right w:val="single" w:color="auto" w:sz="4" w:space="0"/>
            </w:tcBorders>
            <w:vAlign w:val="center"/>
          </w:tcPr>
          <w:p w14:paraId="42B8DBC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1FAB2885">
        <w:tblPrEx>
          <w:tblCellMar>
            <w:top w:w="0" w:type="dxa"/>
            <w:left w:w="108" w:type="dxa"/>
            <w:bottom w:w="0" w:type="dxa"/>
            <w:right w:w="108" w:type="dxa"/>
          </w:tblCellMar>
        </w:tblPrEx>
        <w:trPr>
          <w:trHeight w:val="225" w:hRule="atLeast"/>
          <w:jc w:val="center"/>
        </w:trPr>
        <w:tc>
          <w:tcPr>
            <w:tcW w:w="1900" w:type="dxa"/>
            <w:vMerge w:val="continue"/>
            <w:tcBorders>
              <w:top w:val="nil"/>
              <w:left w:val="single" w:color="auto" w:sz="4" w:space="0"/>
              <w:bottom w:val="single" w:color="auto" w:sz="4" w:space="0"/>
              <w:right w:val="single" w:color="auto" w:sz="4" w:space="0"/>
            </w:tcBorders>
            <w:vAlign w:val="center"/>
          </w:tcPr>
          <w:p w14:paraId="53C8BF13">
            <w:pPr>
              <w:widowControl/>
              <w:jc w:val="left"/>
              <w:rPr>
                <w:rFonts w:ascii="仿宋_GB2312" w:hAnsi="仿宋" w:eastAsia="仿宋_GB2312" w:cs="宋体"/>
                <w:b/>
                <w:bCs/>
                <w:color w:val="auto"/>
                <w:kern w:val="0"/>
                <w:sz w:val="18"/>
                <w:szCs w:val="18"/>
              </w:rPr>
            </w:pPr>
          </w:p>
        </w:tc>
        <w:tc>
          <w:tcPr>
            <w:tcW w:w="1546" w:type="dxa"/>
            <w:tcBorders>
              <w:top w:val="nil"/>
              <w:left w:val="nil"/>
              <w:bottom w:val="single" w:color="auto" w:sz="4" w:space="0"/>
              <w:right w:val="single" w:color="auto" w:sz="4" w:space="0"/>
            </w:tcBorders>
            <w:vAlign w:val="center"/>
          </w:tcPr>
          <w:p w14:paraId="3E3D6C7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1020" w:type="dxa"/>
            <w:tcBorders>
              <w:top w:val="nil"/>
              <w:left w:val="nil"/>
              <w:bottom w:val="single" w:color="auto" w:sz="4" w:space="0"/>
              <w:right w:val="single" w:color="auto" w:sz="4" w:space="0"/>
            </w:tcBorders>
            <w:vAlign w:val="center"/>
          </w:tcPr>
          <w:p w14:paraId="59AA46F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0" w:type="dxa"/>
            <w:tcBorders>
              <w:top w:val="nil"/>
              <w:left w:val="nil"/>
              <w:bottom w:val="single" w:color="auto" w:sz="4" w:space="0"/>
              <w:right w:val="single" w:color="auto" w:sz="4" w:space="0"/>
            </w:tcBorders>
            <w:vAlign w:val="center"/>
          </w:tcPr>
          <w:p w14:paraId="385A4D6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8000≤Z＜120000</w:t>
            </w:r>
          </w:p>
        </w:tc>
        <w:tc>
          <w:tcPr>
            <w:tcW w:w="1609" w:type="dxa"/>
            <w:tcBorders>
              <w:top w:val="nil"/>
              <w:left w:val="nil"/>
              <w:bottom w:val="single" w:color="auto" w:sz="4" w:space="0"/>
              <w:right w:val="single" w:color="auto" w:sz="4" w:space="0"/>
            </w:tcBorders>
            <w:vAlign w:val="center"/>
          </w:tcPr>
          <w:p w14:paraId="2F3A570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100≤Z＜8000</w:t>
            </w:r>
          </w:p>
        </w:tc>
        <w:tc>
          <w:tcPr>
            <w:tcW w:w="1033" w:type="dxa"/>
            <w:tcBorders>
              <w:top w:val="nil"/>
              <w:left w:val="nil"/>
              <w:bottom w:val="single" w:color="auto" w:sz="4" w:space="0"/>
              <w:right w:val="single" w:color="auto" w:sz="4" w:space="0"/>
            </w:tcBorders>
            <w:vAlign w:val="center"/>
          </w:tcPr>
          <w:p w14:paraId="442CB6E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3DC9B8EB">
        <w:tblPrEx>
          <w:tblCellMar>
            <w:top w:w="0" w:type="dxa"/>
            <w:left w:w="108" w:type="dxa"/>
            <w:bottom w:w="0" w:type="dxa"/>
            <w:right w:w="108" w:type="dxa"/>
          </w:tblCellMar>
        </w:tblPrEx>
        <w:trPr>
          <w:trHeight w:val="225" w:hRule="atLeast"/>
          <w:jc w:val="center"/>
        </w:trPr>
        <w:tc>
          <w:tcPr>
            <w:tcW w:w="1900" w:type="dxa"/>
            <w:tcBorders>
              <w:top w:val="nil"/>
              <w:left w:val="single" w:color="auto" w:sz="4" w:space="0"/>
              <w:bottom w:val="single" w:color="auto" w:sz="4" w:space="0"/>
              <w:right w:val="single" w:color="auto" w:sz="4" w:space="0"/>
            </w:tcBorders>
            <w:vAlign w:val="bottom"/>
          </w:tcPr>
          <w:p w14:paraId="008FE65E">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其他未列明行业</w:t>
            </w:r>
          </w:p>
        </w:tc>
        <w:tc>
          <w:tcPr>
            <w:tcW w:w="1546" w:type="dxa"/>
            <w:tcBorders>
              <w:top w:val="nil"/>
              <w:left w:val="nil"/>
              <w:bottom w:val="single" w:color="auto" w:sz="4" w:space="0"/>
              <w:right w:val="single" w:color="auto" w:sz="4" w:space="0"/>
            </w:tcBorders>
            <w:vAlign w:val="center"/>
          </w:tcPr>
          <w:p w14:paraId="5557A7A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20" w:type="dxa"/>
            <w:tcBorders>
              <w:top w:val="nil"/>
              <w:left w:val="nil"/>
              <w:bottom w:val="single" w:color="auto" w:sz="4" w:space="0"/>
              <w:right w:val="single" w:color="auto" w:sz="4" w:space="0"/>
            </w:tcBorders>
            <w:vAlign w:val="center"/>
          </w:tcPr>
          <w:p w14:paraId="5D5993A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10" w:type="dxa"/>
            <w:tcBorders>
              <w:top w:val="nil"/>
              <w:left w:val="nil"/>
              <w:bottom w:val="single" w:color="auto" w:sz="4" w:space="0"/>
              <w:right w:val="single" w:color="auto" w:sz="4" w:space="0"/>
            </w:tcBorders>
            <w:vAlign w:val="center"/>
          </w:tcPr>
          <w:p w14:paraId="542A955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609" w:type="dxa"/>
            <w:tcBorders>
              <w:top w:val="nil"/>
              <w:left w:val="nil"/>
              <w:bottom w:val="single" w:color="auto" w:sz="4" w:space="0"/>
              <w:right w:val="single" w:color="auto" w:sz="4" w:space="0"/>
            </w:tcBorders>
            <w:vAlign w:val="center"/>
          </w:tcPr>
          <w:p w14:paraId="23476B7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033" w:type="dxa"/>
            <w:tcBorders>
              <w:top w:val="nil"/>
              <w:left w:val="nil"/>
              <w:bottom w:val="single" w:color="auto" w:sz="4" w:space="0"/>
              <w:right w:val="single" w:color="auto" w:sz="4" w:space="0"/>
            </w:tcBorders>
            <w:vAlign w:val="center"/>
          </w:tcPr>
          <w:p w14:paraId="24930CA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bl>
    <w:p w14:paraId="651097FE">
      <w:pPr>
        <w:spacing w:line="360" w:lineRule="auto"/>
        <w:ind w:firstLine="525" w:firstLineChars="250"/>
        <w:rPr>
          <w:rFonts w:ascii="仿宋_GB2312" w:hAnsi="仿宋" w:eastAsia="仿宋_GB2312"/>
          <w:color w:val="auto"/>
          <w:szCs w:val="21"/>
        </w:rPr>
      </w:pPr>
    </w:p>
    <w:p w14:paraId="46064E86">
      <w:pPr>
        <w:spacing w:line="360" w:lineRule="auto"/>
        <w:ind w:firstLine="525" w:firstLineChars="250"/>
        <w:rPr>
          <w:rFonts w:ascii="仿宋_GB2312" w:hAnsi="仿宋" w:eastAsia="仿宋_GB2312"/>
          <w:color w:val="auto"/>
          <w:szCs w:val="21"/>
        </w:rPr>
      </w:pPr>
      <w:r>
        <w:rPr>
          <w:rFonts w:hint="eastAsia" w:ascii="仿宋_GB2312" w:hAnsi="仿宋" w:eastAsia="仿宋_GB2312"/>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7C98ECE5">
      <w:pPr>
        <w:spacing w:line="360" w:lineRule="auto"/>
        <w:contextualSpacing/>
        <w:jc w:val="center"/>
        <w:rPr>
          <w:rFonts w:ascii="仿宋_GB2312" w:hAnsi="仿宋_GB2312" w:eastAsia="仿宋_GB2312" w:cs="仿宋_GB2312"/>
          <w:color w:val="auto"/>
          <w:sz w:val="32"/>
          <w:szCs w:val="32"/>
        </w:rPr>
      </w:pPr>
      <w:r>
        <w:rPr>
          <w:rFonts w:ascii="宋体" w:hAnsi="宋体"/>
          <w:color w:val="auto"/>
          <w:sz w:val="24"/>
        </w:rPr>
        <w:br w:type="page"/>
      </w:r>
      <w:r>
        <w:rPr>
          <w:rFonts w:hint="eastAsia" w:ascii="方正小标宋简体" w:hAnsi="方正小标宋简体" w:eastAsia="方正小标宋简体" w:cs="方正小标宋简体"/>
          <w:color w:val="auto"/>
          <w:sz w:val="44"/>
          <w:szCs w:val="44"/>
        </w:rPr>
        <w:t>残疾人福利性单位声明函</w:t>
      </w:r>
    </w:p>
    <w:p w14:paraId="12026184">
      <w:pPr>
        <w:spacing w:line="520" w:lineRule="exact"/>
        <w:rPr>
          <w:rFonts w:ascii="仿宋_GB2312" w:hAnsi="仿宋_GB2312" w:eastAsia="仿宋_GB2312" w:cs="仿宋_GB2312"/>
          <w:color w:val="auto"/>
          <w:sz w:val="32"/>
          <w:szCs w:val="32"/>
        </w:rPr>
      </w:pPr>
    </w:p>
    <w:p w14:paraId="5AAE9F48">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u w:val="single"/>
        </w:rPr>
        <w:t xml:space="preserve">       </w:t>
      </w:r>
      <w:r>
        <w:rPr>
          <w:rFonts w:hint="eastAsia" w:ascii="宋体" w:hAnsi="宋体" w:cs="仿宋_GB2312"/>
          <w:color w:val="auto"/>
          <w:sz w:val="24"/>
        </w:rPr>
        <w:t>单位的</w:t>
      </w:r>
      <w:r>
        <w:rPr>
          <w:rFonts w:hint="eastAsia" w:ascii="宋体" w:hAnsi="宋体" w:cs="仿宋_GB2312"/>
          <w:color w:val="auto"/>
          <w:sz w:val="24"/>
          <w:u w:val="single"/>
        </w:rPr>
        <w:t xml:space="preserve">        </w:t>
      </w:r>
      <w:r>
        <w:rPr>
          <w:rFonts w:hint="eastAsia" w:ascii="宋体" w:hAnsi="宋体" w:cs="仿宋_GB2312"/>
          <w:color w:val="auto"/>
          <w:sz w:val="24"/>
        </w:rPr>
        <w:t>项目采购活动提供本单位制造的货物（由本单位承担工程/提供服务），或者提供其他残疾人福利性单位制造的货物（不包括使用非残疾人福利性单位注册商标的货物）。</w:t>
      </w:r>
    </w:p>
    <w:p w14:paraId="496F8523">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本单位对上述声明的真实性负责。如有虚假，将依法承担相应责任。</w:t>
      </w:r>
    </w:p>
    <w:p w14:paraId="353D7810">
      <w:pPr>
        <w:spacing w:line="360" w:lineRule="auto"/>
        <w:contextualSpacing/>
        <w:rPr>
          <w:rFonts w:ascii="宋体" w:hAnsi="宋体" w:cs="仿宋_GB2312"/>
          <w:color w:val="auto"/>
          <w:sz w:val="24"/>
        </w:rPr>
      </w:pPr>
    </w:p>
    <w:p w14:paraId="2D17B4B1">
      <w:pPr>
        <w:spacing w:line="360" w:lineRule="auto"/>
        <w:contextualSpacing/>
        <w:rPr>
          <w:rFonts w:ascii="宋体" w:hAnsi="宋体" w:cs="仿宋_GB2312"/>
          <w:color w:val="auto"/>
          <w:sz w:val="24"/>
        </w:rPr>
      </w:pPr>
    </w:p>
    <w:p w14:paraId="2FCB80BC">
      <w:pPr>
        <w:spacing w:line="360" w:lineRule="auto"/>
        <w:contextualSpacing/>
        <w:rPr>
          <w:rFonts w:ascii="宋体" w:hAnsi="宋体" w:cs="仿宋_GB2312"/>
          <w:color w:val="auto"/>
          <w:sz w:val="24"/>
        </w:rPr>
      </w:pPr>
    </w:p>
    <w:p w14:paraId="005FF4F1">
      <w:pPr>
        <w:spacing w:line="360" w:lineRule="auto"/>
        <w:ind w:firstLine="2400" w:firstLineChars="1000"/>
        <w:contextualSpacing/>
        <w:rPr>
          <w:rFonts w:ascii="宋体" w:hAnsi="宋体" w:cs="仿宋_GB2312"/>
          <w:color w:val="auto"/>
          <w:sz w:val="24"/>
        </w:rPr>
      </w:pPr>
      <w:r>
        <w:rPr>
          <w:rFonts w:hint="eastAsia" w:ascii="宋体" w:hAnsi="宋体" w:cs="仿宋_GB2312"/>
          <w:color w:val="auto"/>
          <w:sz w:val="24"/>
        </w:rPr>
        <w:t>单位名称（盖章）：</w:t>
      </w:r>
    </w:p>
    <w:p w14:paraId="3690F0A8">
      <w:pPr>
        <w:spacing w:line="360" w:lineRule="auto"/>
        <w:ind w:firstLine="3600" w:firstLineChars="1500"/>
        <w:contextualSpacing/>
        <w:rPr>
          <w:rFonts w:ascii="宋体" w:hAnsi="宋体" w:cs="仿宋_GB2312"/>
          <w:color w:val="auto"/>
          <w:sz w:val="24"/>
        </w:rPr>
      </w:pPr>
      <w:r>
        <w:rPr>
          <w:rFonts w:hint="eastAsia" w:ascii="宋体" w:hAnsi="宋体" w:cs="仿宋_GB2312"/>
          <w:color w:val="auto"/>
          <w:sz w:val="24"/>
        </w:rPr>
        <w:t>日  期：</w:t>
      </w:r>
    </w:p>
    <w:p w14:paraId="1AEEFB6B">
      <w:pPr>
        <w:spacing w:line="360" w:lineRule="auto"/>
        <w:contextualSpacing/>
        <w:rPr>
          <w:rFonts w:ascii="宋体" w:hAnsi="宋体" w:cs="仿宋_GB2312"/>
          <w:color w:val="auto"/>
          <w:sz w:val="24"/>
        </w:rPr>
      </w:pPr>
    </w:p>
    <w:p w14:paraId="2200F2F9">
      <w:pPr>
        <w:spacing w:line="360" w:lineRule="auto"/>
        <w:contextualSpacing/>
        <w:rPr>
          <w:rFonts w:ascii="宋体" w:hAnsi="宋体" w:cs="仿宋_GB2312"/>
          <w:color w:val="auto"/>
          <w:sz w:val="24"/>
        </w:rPr>
      </w:pPr>
    </w:p>
    <w:p w14:paraId="06896D4D">
      <w:pPr>
        <w:spacing w:line="360" w:lineRule="auto"/>
        <w:contextualSpacing/>
        <w:rPr>
          <w:rFonts w:ascii="宋体" w:hAnsi="宋体" w:cs="仿宋_GB2312"/>
          <w:color w:val="auto"/>
          <w:sz w:val="24"/>
        </w:rPr>
      </w:pPr>
    </w:p>
    <w:p w14:paraId="21BA934D">
      <w:pPr>
        <w:spacing w:line="360" w:lineRule="auto"/>
        <w:contextualSpacing/>
        <w:rPr>
          <w:rFonts w:ascii="宋体" w:hAnsi="宋体" w:cs="仿宋_GB2312"/>
          <w:color w:val="auto"/>
          <w:sz w:val="24"/>
        </w:rPr>
      </w:pPr>
      <w:r>
        <w:rPr>
          <w:rFonts w:hint="eastAsia" w:ascii="宋体" w:hAnsi="宋体" w:cs="仿宋_GB2312"/>
          <w:color w:val="auto"/>
          <w:sz w:val="24"/>
        </w:rPr>
        <w:t>注：请根据自己的真实情况出具《残疾人福利性单位声明函》。依法享受中小企业优惠政策的，采购人或者采购代理机构在公告成交结果时，同时公告其《残疾人福利性单位声明函》，接受社会监督。</w:t>
      </w:r>
    </w:p>
    <w:p w14:paraId="73ED1794">
      <w:pPr>
        <w:spacing w:line="360" w:lineRule="auto"/>
        <w:jc w:val="center"/>
        <w:rPr>
          <w:rFonts w:ascii="宋体" w:hAnsi="宋体"/>
          <w:b/>
          <w:bCs/>
          <w:color w:val="auto"/>
          <w:sz w:val="32"/>
          <w:szCs w:val="32"/>
        </w:rPr>
      </w:pPr>
      <w:r>
        <w:rPr>
          <w:rFonts w:ascii="宋体" w:hAnsi="宋体" w:cs="仿宋_GB2312"/>
          <w:color w:val="auto"/>
          <w:sz w:val="24"/>
        </w:rPr>
        <w:br w:type="page"/>
      </w:r>
      <w:r>
        <w:rPr>
          <w:rFonts w:hint="eastAsia" w:ascii="方正小标宋简体" w:hAnsi="方正小标宋简体" w:eastAsia="方正小标宋简体" w:cs="方正小标宋简体"/>
          <w:color w:val="auto"/>
          <w:sz w:val="44"/>
          <w:szCs w:val="44"/>
        </w:rPr>
        <w:t>质疑函</w:t>
      </w:r>
      <w:r>
        <w:rPr>
          <w:rFonts w:hint="eastAsia" w:ascii="方正小标宋简体" w:hAnsi="方正小标宋简体" w:eastAsia="方正小标宋简体" w:cs="方正小标宋简体"/>
          <w:color w:val="auto"/>
          <w:sz w:val="28"/>
          <w:szCs w:val="28"/>
        </w:rPr>
        <w:t>（格式）</w:t>
      </w:r>
    </w:p>
    <w:p w14:paraId="28601B1F">
      <w:pPr>
        <w:spacing w:line="360" w:lineRule="auto"/>
        <w:jc w:val="center"/>
        <w:rPr>
          <w:rFonts w:ascii="宋体" w:hAnsi="宋体"/>
          <w:b/>
          <w:bCs/>
          <w:color w:val="auto"/>
          <w:sz w:val="32"/>
          <w:szCs w:val="32"/>
        </w:rPr>
      </w:pPr>
    </w:p>
    <w:p w14:paraId="0EAF2B9A">
      <w:pPr>
        <w:pStyle w:val="15"/>
        <w:spacing w:line="360" w:lineRule="auto"/>
        <w:ind w:firstLine="482" w:firstLineChars="200"/>
        <w:contextualSpacing/>
        <w:rPr>
          <w:rFonts w:hAnsi="宋体"/>
          <w:b/>
          <w:bCs/>
          <w:color w:val="auto"/>
          <w:sz w:val="24"/>
          <w:szCs w:val="24"/>
        </w:rPr>
      </w:pPr>
      <w:r>
        <w:rPr>
          <w:rFonts w:hint="eastAsia" w:hAnsi="宋体"/>
          <w:b/>
          <w:bCs/>
          <w:color w:val="auto"/>
          <w:sz w:val="24"/>
          <w:szCs w:val="24"/>
        </w:rPr>
        <w:t>一、质疑供应商基本信息：</w:t>
      </w:r>
    </w:p>
    <w:p w14:paraId="0409626A">
      <w:pPr>
        <w:pStyle w:val="15"/>
        <w:spacing w:line="360" w:lineRule="auto"/>
        <w:ind w:firstLine="480" w:firstLineChars="200"/>
        <w:contextualSpacing/>
        <w:rPr>
          <w:rFonts w:hAnsi="宋体"/>
          <w:bCs/>
          <w:color w:val="auto"/>
          <w:sz w:val="24"/>
          <w:szCs w:val="24"/>
          <w:u w:val="single"/>
        </w:rPr>
      </w:pPr>
      <w:r>
        <w:rPr>
          <w:rFonts w:hint="eastAsia" w:hAnsi="宋体"/>
          <w:bCs/>
          <w:color w:val="auto"/>
          <w:sz w:val="24"/>
          <w:szCs w:val="24"/>
        </w:rPr>
        <w:t>质疑供应商：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7089731C">
      <w:pPr>
        <w:pStyle w:val="15"/>
        <w:spacing w:line="360" w:lineRule="auto"/>
        <w:ind w:firstLine="480" w:firstLineChars="200"/>
        <w:contextualSpacing/>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7447DFC3">
      <w:pPr>
        <w:pStyle w:val="15"/>
        <w:spacing w:line="360" w:lineRule="auto"/>
        <w:ind w:firstLine="480" w:firstLineChars="200"/>
        <w:contextualSpacing/>
        <w:rPr>
          <w:rFonts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2D338F58">
      <w:pPr>
        <w:pStyle w:val="15"/>
        <w:spacing w:line="360" w:lineRule="auto"/>
        <w:ind w:firstLine="480" w:firstLineChars="200"/>
        <w:contextualSpacing/>
        <w:rPr>
          <w:rFonts w:hAnsi="宋体"/>
          <w:bCs/>
          <w:color w:val="auto"/>
          <w:sz w:val="24"/>
          <w:szCs w:val="24"/>
        </w:rPr>
      </w:pPr>
      <w:r>
        <w:rPr>
          <w:rFonts w:hint="eastAsia" w:hAnsi="宋体"/>
          <w:bCs/>
          <w:color w:val="auto"/>
          <w:sz w:val="24"/>
          <w:szCs w:val="24"/>
        </w:rPr>
        <w:t>授权代表：</w:t>
      </w:r>
      <w:r>
        <w:rPr>
          <w:rFonts w:hint="eastAsia" w:hAnsi="宋体"/>
          <w:bCs/>
          <w:color w:val="auto"/>
          <w:sz w:val="24"/>
          <w:szCs w:val="24"/>
          <w:u w:val="single"/>
        </w:rPr>
        <w:t xml:space="preserve">                      </w:t>
      </w:r>
    </w:p>
    <w:p w14:paraId="5718F2B6">
      <w:pPr>
        <w:pStyle w:val="15"/>
        <w:spacing w:line="360" w:lineRule="auto"/>
        <w:ind w:firstLine="480" w:firstLineChars="200"/>
        <w:contextualSpacing/>
        <w:rPr>
          <w:rFonts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0B7E0E12">
      <w:pPr>
        <w:pStyle w:val="15"/>
        <w:spacing w:line="360" w:lineRule="auto"/>
        <w:ind w:firstLine="480" w:firstLineChars="200"/>
        <w:contextualSpacing/>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5BBBD13A">
      <w:pPr>
        <w:pStyle w:val="15"/>
        <w:spacing w:line="360" w:lineRule="auto"/>
        <w:ind w:firstLine="482" w:firstLineChars="200"/>
        <w:contextualSpacing/>
        <w:rPr>
          <w:rFonts w:hAnsi="宋体"/>
          <w:b/>
          <w:bCs/>
          <w:color w:val="auto"/>
          <w:sz w:val="24"/>
          <w:szCs w:val="24"/>
        </w:rPr>
      </w:pPr>
      <w:r>
        <w:rPr>
          <w:rFonts w:hint="eastAsia" w:hAnsi="宋体"/>
          <w:b/>
          <w:bCs/>
          <w:color w:val="auto"/>
          <w:sz w:val="24"/>
          <w:szCs w:val="24"/>
        </w:rPr>
        <w:t>二、质疑项目基本情况：</w:t>
      </w:r>
    </w:p>
    <w:p w14:paraId="2E5D85A1">
      <w:pPr>
        <w:pStyle w:val="15"/>
        <w:spacing w:line="360" w:lineRule="auto"/>
        <w:ind w:left="25" w:leftChars="12" w:firstLine="472" w:firstLineChars="197"/>
        <w:contextualSpacing/>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r>
        <w:rPr>
          <w:rFonts w:hint="eastAsia" w:hAnsi="宋体"/>
          <w:bCs/>
          <w:color w:val="auto"/>
          <w:sz w:val="24"/>
          <w:szCs w:val="24"/>
          <w:u w:val="single"/>
        </w:rPr>
        <w:t xml:space="preserve">                                     </w:t>
      </w:r>
    </w:p>
    <w:p w14:paraId="5CCF9051">
      <w:pPr>
        <w:pStyle w:val="15"/>
        <w:spacing w:line="360" w:lineRule="auto"/>
        <w:ind w:left="25" w:leftChars="12" w:firstLine="472" w:firstLineChars="197"/>
        <w:contextualSpacing/>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r>
        <w:rPr>
          <w:rFonts w:hint="eastAsia" w:hAnsi="宋体"/>
          <w:bCs/>
          <w:color w:val="auto"/>
          <w:sz w:val="24"/>
          <w:szCs w:val="24"/>
          <w:u w:val="single"/>
        </w:rPr>
        <w:t xml:space="preserve">                                     </w:t>
      </w:r>
    </w:p>
    <w:p w14:paraId="19FD6A7B">
      <w:pPr>
        <w:pStyle w:val="15"/>
        <w:spacing w:line="360" w:lineRule="auto"/>
        <w:ind w:left="25" w:leftChars="12" w:firstLine="472" w:firstLineChars="197"/>
        <w:contextualSpacing/>
        <w:rPr>
          <w:rFonts w:hAnsi="宋体"/>
          <w:color w:val="auto"/>
          <w:sz w:val="24"/>
          <w:szCs w:val="24"/>
        </w:rPr>
      </w:pPr>
      <w:r>
        <w:rPr>
          <w:rFonts w:hint="eastAsia" w:hAnsi="宋体"/>
          <w:color w:val="auto"/>
          <w:sz w:val="24"/>
          <w:szCs w:val="24"/>
        </w:rPr>
        <w:t>采购人名称：</w:t>
      </w:r>
      <w:r>
        <w:rPr>
          <w:rFonts w:hint="eastAsia" w:hAnsi="宋体"/>
          <w:bCs/>
          <w:color w:val="auto"/>
          <w:sz w:val="24"/>
          <w:szCs w:val="24"/>
          <w:u w:val="single"/>
        </w:rPr>
        <w:t xml:space="preserve">                                         </w:t>
      </w:r>
    </w:p>
    <w:p w14:paraId="66B25A40">
      <w:pPr>
        <w:pStyle w:val="15"/>
        <w:spacing w:line="360" w:lineRule="auto"/>
        <w:ind w:left="25" w:leftChars="12" w:firstLine="472" w:firstLineChars="197"/>
        <w:contextualSpacing/>
        <w:rPr>
          <w:rFonts w:hAnsi="宋体"/>
          <w:color w:val="auto"/>
          <w:sz w:val="24"/>
          <w:szCs w:val="24"/>
        </w:rPr>
      </w:pPr>
      <w:r>
        <w:rPr>
          <w:rFonts w:hint="eastAsia" w:hAnsi="宋体"/>
          <w:color w:val="auto"/>
          <w:sz w:val="24"/>
          <w:szCs w:val="24"/>
        </w:rPr>
        <w:t>质疑事项：</w:t>
      </w:r>
    </w:p>
    <w:p w14:paraId="4FC38DDF">
      <w:pPr>
        <w:pStyle w:val="15"/>
        <w:spacing w:line="360" w:lineRule="auto"/>
        <w:ind w:left="25" w:leftChars="12" w:firstLine="352" w:firstLineChars="147"/>
        <w:contextualSpacing/>
        <w:rPr>
          <w:rFonts w:hAnsi="宋体"/>
          <w:color w:val="auto"/>
          <w:sz w:val="24"/>
          <w:szCs w:val="24"/>
        </w:rPr>
      </w:pPr>
      <w:r>
        <w:rPr>
          <w:rFonts w:hint="eastAsia" w:hAnsi="宋体"/>
          <w:color w:val="auto"/>
          <w:sz w:val="24"/>
          <w:szCs w:val="24"/>
        </w:rPr>
        <w:t>□采购文件   采购文件获取日期：</w:t>
      </w:r>
      <w:r>
        <w:rPr>
          <w:rFonts w:hint="eastAsia" w:hAnsi="宋体"/>
          <w:bCs/>
          <w:color w:val="auto"/>
          <w:sz w:val="24"/>
          <w:szCs w:val="24"/>
          <w:u w:val="single"/>
        </w:rPr>
        <w:t xml:space="preserve">                                   </w:t>
      </w:r>
    </w:p>
    <w:p w14:paraId="5926D699">
      <w:pPr>
        <w:pStyle w:val="15"/>
        <w:spacing w:line="360" w:lineRule="auto"/>
        <w:ind w:left="25" w:leftChars="12" w:firstLine="352" w:firstLineChars="147"/>
        <w:contextualSpacing/>
        <w:rPr>
          <w:rFonts w:hAnsi="宋体"/>
          <w:color w:val="auto"/>
          <w:sz w:val="24"/>
          <w:szCs w:val="24"/>
        </w:rPr>
      </w:pPr>
      <w:r>
        <w:rPr>
          <w:rFonts w:hint="eastAsia" w:hAnsi="宋体"/>
          <w:color w:val="auto"/>
          <w:sz w:val="24"/>
          <w:szCs w:val="24"/>
        </w:rPr>
        <w:t xml:space="preserve">□采购过程   </w:t>
      </w:r>
    </w:p>
    <w:p w14:paraId="203C0537">
      <w:pPr>
        <w:pStyle w:val="15"/>
        <w:spacing w:line="360" w:lineRule="auto"/>
        <w:ind w:left="25" w:leftChars="12" w:firstLine="352" w:firstLineChars="147"/>
        <w:contextualSpacing/>
        <w:rPr>
          <w:rFonts w:hAnsi="宋体"/>
          <w:bCs/>
          <w:color w:val="auto"/>
          <w:sz w:val="24"/>
          <w:szCs w:val="24"/>
          <w:u w:val="single"/>
        </w:rPr>
      </w:pPr>
      <w:r>
        <w:rPr>
          <w:rFonts w:hint="eastAsia" w:hAnsi="宋体"/>
          <w:color w:val="auto"/>
          <w:sz w:val="24"/>
          <w:szCs w:val="24"/>
        </w:rPr>
        <w:t xml:space="preserve">□成交结果   </w:t>
      </w:r>
    </w:p>
    <w:p w14:paraId="380ECEEA">
      <w:pPr>
        <w:pStyle w:val="15"/>
        <w:spacing w:line="360" w:lineRule="auto"/>
        <w:ind w:left="25" w:leftChars="12" w:firstLine="472" w:firstLineChars="196"/>
        <w:contextualSpacing/>
        <w:rPr>
          <w:rFonts w:hAnsi="宋体"/>
          <w:b/>
          <w:color w:val="auto"/>
          <w:sz w:val="24"/>
          <w:szCs w:val="24"/>
        </w:rPr>
      </w:pPr>
      <w:r>
        <w:rPr>
          <w:rFonts w:hint="eastAsia" w:hAnsi="宋体"/>
          <w:b/>
          <w:color w:val="auto"/>
          <w:sz w:val="24"/>
          <w:szCs w:val="24"/>
        </w:rPr>
        <w:t>三、质疑事项具体内容</w:t>
      </w:r>
    </w:p>
    <w:p w14:paraId="434496BC">
      <w:pPr>
        <w:pStyle w:val="15"/>
        <w:spacing w:line="360" w:lineRule="auto"/>
        <w:ind w:left="25" w:leftChars="12" w:firstLine="472" w:firstLineChars="197"/>
        <w:contextualSpacing/>
        <w:rPr>
          <w:rFonts w:hAnsi="宋体"/>
          <w:color w:val="auto"/>
          <w:sz w:val="24"/>
          <w:szCs w:val="24"/>
        </w:rPr>
      </w:pPr>
      <w:r>
        <w:rPr>
          <w:rFonts w:hint="eastAsia" w:hAnsi="宋体"/>
          <w:color w:val="auto"/>
          <w:sz w:val="24"/>
          <w:szCs w:val="24"/>
        </w:rPr>
        <w:t>质疑事项1：</w:t>
      </w:r>
      <w:r>
        <w:rPr>
          <w:rFonts w:hint="eastAsia" w:hAnsi="宋体"/>
          <w:bCs/>
          <w:color w:val="auto"/>
          <w:sz w:val="24"/>
          <w:szCs w:val="24"/>
          <w:u w:val="single"/>
        </w:rPr>
        <w:t xml:space="preserve">                                                                    </w:t>
      </w:r>
    </w:p>
    <w:p w14:paraId="21D461DC">
      <w:pPr>
        <w:pStyle w:val="15"/>
        <w:spacing w:line="360" w:lineRule="auto"/>
        <w:ind w:left="25" w:leftChars="12" w:firstLine="472" w:firstLineChars="197"/>
        <w:contextualSpacing/>
        <w:rPr>
          <w:rFonts w:hAnsi="宋体"/>
          <w:color w:val="auto"/>
          <w:sz w:val="24"/>
          <w:szCs w:val="24"/>
        </w:rPr>
      </w:pPr>
      <w:r>
        <w:rPr>
          <w:rFonts w:hint="eastAsia" w:hAnsi="宋体"/>
          <w:color w:val="auto"/>
          <w:sz w:val="24"/>
          <w:szCs w:val="24"/>
        </w:rPr>
        <w:t>事实依据：</w:t>
      </w:r>
      <w:r>
        <w:rPr>
          <w:rFonts w:hint="eastAsia" w:hAnsi="宋体"/>
          <w:bCs/>
          <w:color w:val="auto"/>
          <w:sz w:val="24"/>
          <w:szCs w:val="24"/>
          <w:u w:val="single"/>
        </w:rPr>
        <w:t xml:space="preserve">                                                                      </w:t>
      </w:r>
    </w:p>
    <w:p w14:paraId="06D153C4">
      <w:pPr>
        <w:pStyle w:val="15"/>
        <w:spacing w:line="360" w:lineRule="auto"/>
        <w:ind w:left="25" w:leftChars="12" w:firstLine="472" w:firstLineChars="197"/>
        <w:contextualSpacing/>
        <w:rPr>
          <w:rFonts w:hAnsi="宋体"/>
          <w:color w:val="auto"/>
          <w:sz w:val="24"/>
          <w:szCs w:val="24"/>
        </w:rPr>
      </w:pPr>
      <w:r>
        <w:rPr>
          <w:rFonts w:hint="eastAsia" w:hAnsi="宋体"/>
          <w:color w:val="auto"/>
          <w:sz w:val="24"/>
          <w:szCs w:val="24"/>
        </w:rPr>
        <w:t>法律依据：</w:t>
      </w:r>
      <w:r>
        <w:rPr>
          <w:rFonts w:hint="eastAsia" w:hAnsi="宋体"/>
          <w:color w:val="auto"/>
          <w:sz w:val="24"/>
          <w:szCs w:val="24"/>
          <w:u w:val="single"/>
        </w:rPr>
        <w:t xml:space="preserve">                                                        </w:t>
      </w:r>
      <w:r>
        <w:rPr>
          <w:rFonts w:hint="eastAsia" w:hAnsi="宋体"/>
          <w:bCs/>
          <w:color w:val="auto"/>
          <w:sz w:val="24"/>
          <w:szCs w:val="24"/>
          <w:u w:val="single"/>
        </w:rPr>
        <w:t xml:space="preserve">               </w:t>
      </w:r>
    </w:p>
    <w:p w14:paraId="38ED4665">
      <w:pPr>
        <w:pStyle w:val="15"/>
        <w:spacing w:line="360" w:lineRule="auto"/>
        <w:ind w:left="25" w:leftChars="12" w:firstLine="472" w:firstLineChars="197"/>
        <w:contextualSpacing/>
        <w:rPr>
          <w:rFonts w:hAnsi="宋体"/>
          <w:color w:val="auto"/>
          <w:sz w:val="24"/>
          <w:szCs w:val="24"/>
        </w:rPr>
      </w:pPr>
      <w:r>
        <w:rPr>
          <w:rFonts w:hint="eastAsia" w:hAnsi="宋体"/>
          <w:color w:val="auto"/>
          <w:sz w:val="24"/>
          <w:szCs w:val="24"/>
        </w:rPr>
        <w:t>质疑事项2</w:t>
      </w:r>
    </w:p>
    <w:p w14:paraId="1B0A6A62">
      <w:pPr>
        <w:pStyle w:val="15"/>
        <w:spacing w:line="360" w:lineRule="auto"/>
        <w:ind w:left="25" w:leftChars="12" w:firstLine="472" w:firstLineChars="197"/>
        <w:contextualSpacing/>
        <w:rPr>
          <w:rFonts w:hAnsi="宋体"/>
          <w:color w:val="auto"/>
          <w:sz w:val="24"/>
          <w:szCs w:val="24"/>
        </w:rPr>
      </w:pPr>
      <w:r>
        <w:rPr>
          <w:rFonts w:hAnsi="宋体"/>
          <w:color w:val="auto"/>
          <w:sz w:val="24"/>
          <w:szCs w:val="24"/>
        </w:rPr>
        <w:t>……</w:t>
      </w:r>
    </w:p>
    <w:p w14:paraId="0B2D031D">
      <w:pPr>
        <w:pStyle w:val="15"/>
        <w:spacing w:line="360" w:lineRule="auto"/>
        <w:ind w:left="25" w:leftChars="12" w:firstLine="472" w:firstLineChars="197"/>
        <w:contextualSpacing/>
        <w:rPr>
          <w:rFonts w:hAnsi="宋体"/>
          <w:color w:val="auto"/>
          <w:sz w:val="24"/>
          <w:szCs w:val="24"/>
        </w:rPr>
      </w:pPr>
      <w:r>
        <w:rPr>
          <w:rFonts w:hint="eastAsia" w:hAnsi="宋体"/>
          <w:color w:val="auto"/>
          <w:sz w:val="24"/>
          <w:szCs w:val="24"/>
        </w:rPr>
        <w:t>四、与质疑事项相关的质疑请求：</w:t>
      </w:r>
    </w:p>
    <w:p w14:paraId="0DA9FE61">
      <w:pPr>
        <w:pStyle w:val="15"/>
        <w:spacing w:line="360" w:lineRule="auto"/>
        <w:ind w:left="25" w:leftChars="12" w:firstLine="472" w:firstLineChars="197"/>
        <w:contextualSpacing/>
        <w:rPr>
          <w:rFonts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424F5887">
      <w:pPr>
        <w:pStyle w:val="15"/>
        <w:spacing w:line="360" w:lineRule="auto"/>
        <w:ind w:left="25" w:leftChars="12" w:firstLine="352" w:firstLineChars="147"/>
        <w:contextualSpacing/>
        <w:rPr>
          <w:rFonts w:hAnsi="宋体"/>
          <w:color w:val="auto"/>
          <w:sz w:val="24"/>
          <w:szCs w:val="24"/>
        </w:rPr>
      </w:pPr>
    </w:p>
    <w:p w14:paraId="658441E6">
      <w:pPr>
        <w:pStyle w:val="15"/>
        <w:spacing w:line="360" w:lineRule="auto"/>
        <w:ind w:left="25" w:leftChars="12" w:firstLine="472" w:firstLineChars="197"/>
        <w:contextualSpacing/>
        <w:rPr>
          <w:rFonts w:hAnsi="宋体"/>
          <w:color w:val="auto"/>
          <w:sz w:val="24"/>
          <w:szCs w:val="24"/>
        </w:rPr>
      </w:pPr>
      <w:r>
        <w:rPr>
          <w:rFonts w:hint="eastAsia" w:hAnsi="宋体"/>
          <w:color w:val="auto"/>
          <w:sz w:val="24"/>
          <w:szCs w:val="24"/>
        </w:rPr>
        <w:t>签字（签章）：                                       公章：</w:t>
      </w:r>
    </w:p>
    <w:p w14:paraId="0A67586F">
      <w:pPr>
        <w:pStyle w:val="15"/>
        <w:spacing w:line="360" w:lineRule="auto"/>
        <w:ind w:left="25" w:leftChars="12" w:firstLine="352" w:firstLineChars="147"/>
        <w:contextualSpacing/>
        <w:rPr>
          <w:rFonts w:hAnsi="宋体"/>
          <w:color w:val="auto"/>
          <w:sz w:val="24"/>
          <w:szCs w:val="24"/>
        </w:rPr>
      </w:pPr>
    </w:p>
    <w:p w14:paraId="6E473AA4">
      <w:pPr>
        <w:pStyle w:val="15"/>
        <w:spacing w:line="360" w:lineRule="auto"/>
        <w:ind w:left="25" w:leftChars="12" w:firstLine="472" w:firstLineChars="197"/>
        <w:contextualSpacing/>
        <w:rPr>
          <w:rFonts w:hAnsi="宋体"/>
          <w:color w:val="auto"/>
          <w:sz w:val="24"/>
          <w:szCs w:val="24"/>
        </w:rPr>
      </w:pPr>
      <w:r>
        <w:rPr>
          <w:rFonts w:hint="eastAsia" w:hAnsi="宋体"/>
          <w:color w:val="auto"/>
          <w:sz w:val="24"/>
          <w:szCs w:val="24"/>
        </w:rPr>
        <w:t>日期：</w:t>
      </w:r>
    </w:p>
    <w:p w14:paraId="3335F4C2">
      <w:pPr>
        <w:pStyle w:val="15"/>
        <w:spacing w:line="360" w:lineRule="auto"/>
        <w:contextualSpacing/>
        <w:rPr>
          <w:rFonts w:hAnsi="宋体"/>
          <w:b/>
          <w:color w:val="auto"/>
          <w:sz w:val="24"/>
          <w:szCs w:val="24"/>
        </w:rPr>
      </w:pPr>
    </w:p>
    <w:p w14:paraId="7123CA7A">
      <w:pPr>
        <w:pStyle w:val="15"/>
        <w:spacing w:line="360" w:lineRule="auto"/>
        <w:contextualSpacing/>
        <w:rPr>
          <w:rFonts w:hAnsi="宋体"/>
          <w:b/>
          <w:color w:val="auto"/>
          <w:sz w:val="24"/>
          <w:szCs w:val="24"/>
        </w:rPr>
      </w:pPr>
      <w:r>
        <w:rPr>
          <w:rFonts w:hint="eastAsia" w:hAnsi="宋体"/>
          <w:b/>
          <w:color w:val="auto"/>
          <w:sz w:val="24"/>
          <w:szCs w:val="24"/>
        </w:rPr>
        <w:t>说明：</w:t>
      </w:r>
    </w:p>
    <w:p w14:paraId="609AC022">
      <w:pPr>
        <w:pStyle w:val="15"/>
        <w:spacing w:line="360" w:lineRule="auto"/>
        <w:ind w:left="25" w:leftChars="12" w:firstLine="354" w:firstLineChars="147"/>
        <w:contextualSpacing/>
        <w:rPr>
          <w:rFonts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126DDEB0">
      <w:pPr>
        <w:pStyle w:val="15"/>
        <w:spacing w:line="360" w:lineRule="auto"/>
        <w:ind w:left="25" w:leftChars="12" w:firstLine="354" w:firstLineChars="147"/>
        <w:contextualSpacing/>
        <w:rPr>
          <w:rFonts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E6FD416">
      <w:pPr>
        <w:pStyle w:val="15"/>
        <w:spacing w:line="360" w:lineRule="auto"/>
        <w:ind w:left="25" w:leftChars="12" w:firstLine="354" w:firstLineChars="147"/>
        <w:contextualSpacing/>
        <w:rPr>
          <w:rFonts w:hAnsi="宋体"/>
          <w:b/>
          <w:color w:val="auto"/>
          <w:sz w:val="24"/>
          <w:szCs w:val="24"/>
        </w:rPr>
      </w:pPr>
      <w:r>
        <w:rPr>
          <w:rFonts w:hint="eastAsia" w:hAnsi="宋体"/>
          <w:b/>
          <w:color w:val="auto"/>
          <w:sz w:val="24"/>
          <w:szCs w:val="24"/>
        </w:rPr>
        <w:t>3.质疑函的质疑事项应具体、明确，并有必要的事实依据和法律依据。</w:t>
      </w:r>
    </w:p>
    <w:p w14:paraId="3996A1D9">
      <w:pPr>
        <w:pStyle w:val="15"/>
        <w:spacing w:line="360" w:lineRule="auto"/>
        <w:ind w:left="25" w:leftChars="12" w:firstLine="354" w:firstLineChars="147"/>
        <w:contextualSpacing/>
        <w:rPr>
          <w:rFonts w:hAnsi="宋体"/>
          <w:b/>
          <w:color w:val="auto"/>
          <w:sz w:val="24"/>
          <w:szCs w:val="24"/>
        </w:rPr>
      </w:pPr>
      <w:r>
        <w:rPr>
          <w:rFonts w:hint="eastAsia" w:hAnsi="宋体"/>
          <w:b/>
          <w:color w:val="auto"/>
          <w:sz w:val="24"/>
          <w:szCs w:val="24"/>
        </w:rPr>
        <w:t>4.质疑函的质疑请求应与质疑事项相关。</w:t>
      </w:r>
    </w:p>
    <w:p w14:paraId="3BB46F7A">
      <w:pPr>
        <w:pStyle w:val="15"/>
        <w:spacing w:line="360" w:lineRule="auto"/>
        <w:ind w:left="25" w:leftChars="12" w:firstLine="354" w:firstLineChars="147"/>
        <w:contextualSpacing/>
        <w:rPr>
          <w:rFonts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14:paraId="17DF84C2">
      <w:pPr>
        <w:pStyle w:val="15"/>
        <w:snapToGrid w:val="0"/>
        <w:rPr>
          <w:b/>
          <w:color w:val="auto"/>
          <w:sz w:val="24"/>
          <w:szCs w:val="24"/>
        </w:rPr>
      </w:pPr>
    </w:p>
    <w:p w14:paraId="74B2F249">
      <w:pPr>
        <w:rPr>
          <w:color w:val="auto"/>
        </w:rPr>
      </w:pPr>
      <w:r>
        <w:rPr>
          <w:color w:val="auto"/>
        </w:rPr>
        <w:br w:type="page"/>
      </w:r>
    </w:p>
    <w:p w14:paraId="499A7BAA">
      <w:pPr>
        <w:spacing w:line="360" w:lineRule="auto"/>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投诉书</w:t>
      </w:r>
      <w:r>
        <w:rPr>
          <w:rFonts w:hint="eastAsia" w:ascii="方正小标宋简体" w:hAnsi="方正小标宋简体" w:eastAsia="方正小标宋简体" w:cs="方正小标宋简体"/>
          <w:color w:val="auto"/>
          <w:sz w:val="28"/>
          <w:szCs w:val="28"/>
        </w:rPr>
        <w:t>（格式）</w:t>
      </w:r>
    </w:p>
    <w:p w14:paraId="7E5E3C82">
      <w:pPr>
        <w:pStyle w:val="15"/>
        <w:snapToGrid w:val="0"/>
        <w:spacing w:line="360" w:lineRule="auto"/>
        <w:ind w:firstLine="482" w:firstLineChars="200"/>
        <w:rPr>
          <w:rFonts w:hAnsi="宋体"/>
          <w:b/>
          <w:bCs/>
          <w:color w:val="auto"/>
          <w:sz w:val="24"/>
          <w:szCs w:val="24"/>
        </w:rPr>
      </w:pPr>
      <w:r>
        <w:rPr>
          <w:rFonts w:hint="eastAsia" w:hAnsi="宋体"/>
          <w:b/>
          <w:bCs/>
          <w:color w:val="auto"/>
          <w:sz w:val="24"/>
          <w:szCs w:val="24"/>
        </w:rPr>
        <w:t>一、投诉相关主体基本情况：</w:t>
      </w:r>
    </w:p>
    <w:p w14:paraId="084BE85B">
      <w:pPr>
        <w:pStyle w:val="15"/>
        <w:snapToGrid w:val="0"/>
        <w:spacing w:line="360" w:lineRule="auto"/>
        <w:ind w:firstLine="480" w:firstLineChars="200"/>
        <w:rPr>
          <w:rFonts w:hAnsi="宋体"/>
          <w:bCs/>
          <w:color w:val="auto"/>
          <w:sz w:val="24"/>
          <w:szCs w:val="24"/>
          <w:u w:val="single"/>
        </w:rPr>
      </w:pPr>
      <w:r>
        <w:rPr>
          <w:rFonts w:hint="eastAsia" w:hAnsi="宋体"/>
          <w:bCs/>
          <w:color w:val="auto"/>
          <w:sz w:val="24"/>
          <w:szCs w:val="24"/>
        </w:rPr>
        <w:t>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475FAB50">
      <w:pPr>
        <w:pStyle w:val="15"/>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3024854C">
      <w:pPr>
        <w:pStyle w:val="15"/>
        <w:snapToGrid w:val="0"/>
        <w:spacing w:line="360" w:lineRule="auto"/>
        <w:ind w:firstLine="480" w:firstLineChars="200"/>
        <w:rPr>
          <w:rFonts w:hAnsi="宋体"/>
          <w:bCs/>
          <w:color w:val="auto"/>
          <w:sz w:val="24"/>
          <w:szCs w:val="24"/>
          <w:u w:val="single"/>
        </w:rPr>
      </w:pPr>
      <w:r>
        <w:rPr>
          <w:rFonts w:hint="eastAsia" w:hAnsi="宋体"/>
          <w:bCs/>
          <w:color w:val="auto"/>
          <w:sz w:val="24"/>
          <w:szCs w:val="24"/>
        </w:rPr>
        <w:t>法定代表人/主要负责人：</w:t>
      </w:r>
      <w:r>
        <w:rPr>
          <w:rFonts w:hint="eastAsia" w:hAnsi="宋体"/>
          <w:bCs/>
          <w:color w:val="auto"/>
          <w:sz w:val="24"/>
          <w:szCs w:val="24"/>
          <w:u w:val="single"/>
        </w:rPr>
        <w:t xml:space="preserve">                                                         </w:t>
      </w:r>
    </w:p>
    <w:p w14:paraId="2318B39C">
      <w:pPr>
        <w:pStyle w:val="15"/>
        <w:snapToGrid w:val="0"/>
        <w:spacing w:line="360" w:lineRule="auto"/>
        <w:ind w:firstLine="480" w:firstLineChars="200"/>
        <w:rPr>
          <w:rFonts w:hAnsi="宋体"/>
          <w:bCs/>
          <w:color w:val="auto"/>
          <w:sz w:val="24"/>
          <w:szCs w:val="24"/>
        </w:rPr>
      </w:pP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7CDF07F5">
      <w:pPr>
        <w:pStyle w:val="15"/>
        <w:snapToGrid w:val="0"/>
        <w:spacing w:line="360" w:lineRule="auto"/>
        <w:ind w:firstLine="480" w:firstLineChars="200"/>
        <w:rPr>
          <w:rFonts w:hAnsi="宋体"/>
          <w:bCs/>
          <w:color w:val="auto"/>
          <w:sz w:val="24"/>
          <w:szCs w:val="24"/>
          <w:u w:val="single"/>
        </w:rPr>
      </w:pPr>
      <w:r>
        <w:rPr>
          <w:rFonts w:hint="eastAsia" w:hAnsi="宋体"/>
          <w:bCs/>
          <w:color w:val="auto"/>
          <w:sz w:val="24"/>
          <w:szCs w:val="24"/>
        </w:rPr>
        <w:t>授权代表：</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70DEA183">
      <w:pPr>
        <w:pStyle w:val="15"/>
        <w:snapToGrid w:val="0"/>
        <w:spacing w:line="360" w:lineRule="auto"/>
        <w:ind w:firstLine="480" w:firstLineChars="200"/>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p>
    <w:p w14:paraId="37A55C38">
      <w:pPr>
        <w:pStyle w:val="15"/>
        <w:snapToGrid w:val="0"/>
        <w:spacing w:line="360" w:lineRule="auto"/>
        <w:ind w:firstLine="480" w:firstLineChars="200"/>
        <w:rPr>
          <w:rFonts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6FF6F166">
      <w:pPr>
        <w:pStyle w:val="15"/>
        <w:snapToGrid w:val="0"/>
        <w:spacing w:line="360" w:lineRule="auto"/>
        <w:ind w:firstLine="480" w:firstLineChars="200"/>
        <w:rPr>
          <w:rFonts w:hAnsi="宋体"/>
          <w:bCs/>
          <w:color w:val="auto"/>
          <w:sz w:val="24"/>
          <w:szCs w:val="24"/>
        </w:rPr>
      </w:pPr>
      <w:r>
        <w:rPr>
          <w:rFonts w:hint="eastAsia" w:hAnsi="宋体"/>
          <w:bCs/>
          <w:color w:val="auto"/>
          <w:sz w:val="24"/>
          <w:szCs w:val="24"/>
        </w:rPr>
        <w:t>被投诉人1：</w:t>
      </w:r>
    </w:p>
    <w:p w14:paraId="3E75D91F">
      <w:pPr>
        <w:pStyle w:val="15"/>
        <w:snapToGrid w:val="0"/>
        <w:spacing w:line="360" w:lineRule="auto"/>
        <w:ind w:firstLine="480" w:firstLineChars="200"/>
        <w:rPr>
          <w:rFonts w:hAnsi="宋体"/>
          <w:bCs/>
          <w:color w:val="auto"/>
          <w:sz w:val="24"/>
          <w:szCs w:val="24"/>
          <w:u w:val="single"/>
        </w:rPr>
      </w:pPr>
      <w:r>
        <w:rPr>
          <w:rFonts w:hint="eastAsia" w:hAnsi="宋体"/>
          <w:bCs/>
          <w:color w:val="auto"/>
          <w:sz w:val="24"/>
          <w:szCs w:val="24"/>
        </w:rPr>
        <w:t>地址：</w:t>
      </w:r>
      <w:r>
        <w:rPr>
          <w:rFonts w:hint="eastAsia" w:hAnsi="宋体"/>
          <w:bCs/>
          <w:color w:val="auto"/>
          <w:sz w:val="24"/>
          <w:szCs w:val="24"/>
          <w:u w:val="single"/>
        </w:rPr>
        <w:t xml:space="preserve">                                                            </w:t>
      </w:r>
    </w:p>
    <w:p w14:paraId="169FE11C">
      <w:pPr>
        <w:pStyle w:val="15"/>
        <w:snapToGrid w:val="0"/>
        <w:spacing w:line="360" w:lineRule="auto"/>
        <w:ind w:firstLine="480" w:firstLineChars="200"/>
        <w:rPr>
          <w:rFonts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1AA25AC4">
      <w:pPr>
        <w:pStyle w:val="15"/>
        <w:snapToGrid w:val="0"/>
        <w:spacing w:line="360" w:lineRule="auto"/>
        <w:ind w:firstLine="480" w:firstLineChars="200"/>
        <w:rPr>
          <w:rFonts w:hAnsi="宋体"/>
          <w:bCs/>
          <w:color w:val="auto"/>
          <w:sz w:val="24"/>
          <w:szCs w:val="24"/>
          <w:u w:val="single"/>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2C3069AF">
      <w:pPr>
        <w:pStyle w:val="15"/>
        <w:snapToGrid w:val="0"/>
        <w:spacing w:line="360" w:lineRule="auto"/>
        <w:ind w:firstLine="480" w:firstLineChars="200"/>
        <w:rPr>
          <w:rFonts w:hAnsi="宋体"/>
          <w:bCs/>
          <w:color w:val="auto"/>
          <w:sz w:val="24"/>
          <w:szCs w:val="24"/>
        </w:rPr>
      </w:pPr>
      <w:r>
        <w:rPr>
          <w:rFonts w:hint="eastAsia" w:hAnsi="宋体"/>
          <w:bCs/>
          <w:color w:val="auto"/>
          <w:sz w:val="24"/>
          <w:szCs w:val="24"/>
        </w:rPr>
        <w:t>被投诉人2：</w:t>
      </w:r>
    </w:p>
    <w:p w14:paraId="31EE7A22">
      <w:pPr>
        <w:pStyle w:val="15"/>
        <w:snapToGrid w:val="0"/>
        <w:spacing w:line="360" w:lineRule="auto"/>
        <w:ind w:firstLine="480" w:firstLineChars="200"/>
        <w:rPr>
          <w:rFonts w:hAnsi="宋体"/>
          <w:bCs/>
          <w:color w:val="auto"/>
          <w:sz w:val="24"/>
          <w:szCs w:val="24"/>
        </w:rPr>
      </w:pPr>
      <w:r>
        <w:rPr>
          <w:rFonts w:hAnsi="宋体"/>
          <w:bCs/>
          <w:color w:val="auto"/>
          <w:sz w:val="24"/>
          <w:szCs w:val="24"/>
        </w:rPr>
        <w:t>……</w:t>
      </w:r>
    </w:p>
    <w:p w14:paraId="2049DE4C">
      <w:pPr>
        <w:pStyle w:val="15"/>
        <w:snapToGrid w:val="0"/>
        <w:spacing w:line="360" w:lineRule="auto"/>
        <w:ind w:firstLine="480" w:firstLineChars="200"/>
        <w:rPr>
          <w:rFonts w:hAnsi="宋体"/>
          <w:bCs/>
          <w:color w:val="auto"/>
          <w:sz w:val="24"/>
          <w:szCs w:val="24"/>
          <w:u w:val="single"/>
        </w:rPr>
      </w:pPr>
      <w:r>
        <w:rPr>
          <w:rFonts w:hint="eastAsia" w:hAnsi="宋体"/>
          <w:bCs/>
          <w:color w:val="auto"/>
          <w:sz w:val="24"/>
          <w:szCs w:val="24"/>
        </w:rPr>
        <w:t>相关供应商：</w:t>
      </w:r>
      <w:r>
        <w:rPr>
          <w:rFonts w:hint="eastAsia" w:hAnsi="宋体"/>
          <w:bCs/>
          <w:color w:val="auto"/>
          <w:sz w:val="24"/>
          <w:szCs w:val="24"/>
          <w:u w:val="single"/>
        </w:rPr>
        <w:t xml:space="preserve">                                                                       </w:t>
      </w:r>
    </w:p>
    <w:p w14:paraId="60BC1E84">
      <w:pPr>
        <w:pStyle w:val="15"/>
        <w:snapToGrid w:val="0"/>
        <w:spacing w:line="360" w:lineRule="auto"/>
        <w:ind w:firstLine="480" w:firstLineChars="200"/>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43351ED1">
      <w:pPr>
        <w:pStyle w:val="15"/>
        <w:snapToGrid w:val="0"/>
        <w:spacing w:line="360" w:lineRule="auto"/>
        <w:ind w:firstLine="480" w:firstLineChars="200"/>
        <w:rPr>
          <w:rFonts w:hAnsi="宋体"/>
          <w:bCs/>
          <w:color w:val="auto"/>
          <w:sz w:val="24"/>
          <w:szCs w:val="24"/>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r>
        <w:rPr>
          <w:rFonts w:hint="eastAsia" w:hAnsi="宋体"/>
          <w:bCs/>
          <w:color w:val="auto"/>
          <w:sz w:val="24"/>
          <w:szCs w:val="24"/>
        </w:rPr>
        <w:t xml:space="preserve">                </w:t>
      </w:r>
    </w:p>
    <w:p w14:paraId="720B4D68">
      <w:pPr>
        <w:pStyle w:val="15"/>
        <w:snapToGrid w:val="0"/>
        <w:spacing w:line="360" w:lineRule="auto"/>
        <w:ind w:firstLine="482" w:firstLineChars="200"/>
        <w:rPr>
          <w:rFonts w:hAnsi="宋体"/>
          <w:b/>
          <w:bCs/>
          <w:color w:val="auto"/>
          <w:sz w:val="24"/>
          <w:szCs w:val="24"/>
        </w:rPr>
      </w:pPr>
      <w:r>
        <w:rPr>
          <w:rFonts w:hint="eastAsia" w:hAnsi="宋体"/>
          <w:b/>
          <w:bCs/>
          <w:color w:val="auto"/>
          <w:sz w:val="24"/>
          <w:szCs w:val="24"/>
        </w:rPr>
        <w:t>二、投诉项目基本情况：</w:t>
      </w:r>
    </w:p>
    <w:p w14:paraId="4CBBD668">
      <w:pPr>
        <w:pStyle w:val="15"/>
        <w:spacing w:line="360" w:lineRule="auto"/>
        <w:ind w:left="25" w:leftChars="12" w:firstLine="472" w:firstLineChars="197"/>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项目的名称：</w:t>
      </w:r>
      <w:r>
        <w:rPr>
          <w:rFonts w:hint="eastAsia" w:hAnsi="宋体"/>
          <w:bCs/>
          <w:color w:val="auto"/>
          <w:sz w:val="24"/>
          <w:szCs w:val="24"/>
          <w:u w:val="single"/>
        </w:rPr>
        <w:t xml:space="preserve">                                                                   </w:t>
      </w:r>
    </w:p>
    <w:p w14:paraId="7E84B07D">
      <w:pPr>
        <w:pStyle w:val="15"/>
        <w:spacing w:line="360" w:lineRule="auto"/>
        <w:ind w:left="25" w:leftChars="12" w:firstLine="472" w:firstLineChars="197"/>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项目的编号：</w:t>
      </w:r>
      <w:r>
        <w:rPr>
          <w:rFonts w:hint="eastAsia" w:hAnsi="宋体"/>
          <w:bCs/>
          <w:color w:val="auto"/>
          <w:sz w:val="24"/>
          <w:szCs w:val="24"/>
          <w:u w:val="single"/>
        </w:rPr>
        <w:t xml:space="preserve">                                          </w:t>
      </w:r>
    </w:p>
    <w:p w14:paraId="3370E942">
      <w:pPr>
        <w:pStyle w:val="15"/>
        <w:spacing w:line="360" w:lineRule="auto"/>
        <w:ind w:left="25" w:leftChars="12" w:firstLine="472" w:firstLineChars="197"/>
        <w:rPr>
          <w:rFonts w:hAnsi="宋体"/>
          <w:bCs/>
          <w:color w:val="auto"/>
          <w:sz w:val="24"/>
          <w:szCs w:val="24"/>
          <w:u w:val="single"/>
        </w:rPr>
      </w:pPr>
      <w:r>
        <w:rPr>
          <w:rFonts w:hint="eastAsia" w:hAnsi="宋体"/>
          <w:color w:val="auto"/>
          <w:sz w:val="24"/>
          <w:szCs w:val="24"/>
        </w:rPr>
        <w:t>采购人名称：</w:t>
      </w:r>
      <w:r>
        <w:rPr>
          <w:rFonts w:hint="eastAsia" w:hAnsi="宋体"/>
          <w:bCs/>
          <w:color w:val="auto"/>
          <w:sz w:val="24"/>
          <w:szCs w:val="24"/>
          <w:u w:val="single"/>
        </w:rPr>
        <w:t xml:space="preserve">                                                                        </w:t>
      </w:r>
    </w:p>
    <w:p w14:paraId="211AB34F">
      <w:pPr>
        <w:pStyle w:val="15"/>
        <w:spacing w:line="360" w:lineRule="auto"/>
        <w:ind w:left="25" w:leftChars="12" w:firstLine="472" w:firstLineChars="197"/>
        <w:rPr>
          <w:rFonts w:hAnsi="宋体"/>
          <w:bCs/>
          <w:color w:val="auto"/>
          <w:sz w:val="24"/>
          <w:szCs w:val="24"/>
          <w:u w:val="single"/>
        </w:rPr>
      </w:pPr>
      <w:r>
        <w:rPr>
          <w:rFonts w:hint="eastAsia" w:hAnsi="宋体"/>
          <w:color w:val="auto"/>
          <w:sz w:val="24"/>
          <w:szCs w:val="24"/>
        </w:rPr>
        <w:t>代理机构名称：</w:t>
      </w:r>
      <w:r>
        <w:rPr>
          <w:rFonts w:hint="eastAsia" w:hAnsi="宋体"/>
          <w:bCs/>
          <w:color w:val="auto"/>
          <w:sz w:val="24"/>
          <w:szCs w:val="24"/>
          <w:u w:val="single"/>
        </w:rPr>
        <w:t xml:space="preserve">                                                                      </w:t>
      </w:r>
    </w:p>
    <w:p w14:paraId="428D77D5">
      <w:pPr>
        <w:pStyle w:val="15"/>
        <w:spacing w:line="360" w:lineRule="auto"/>
        <w:ind w:left="25" w:leftChars="12" w:firstLine="472" w:firstLineChars="197"/>
        <w:rPr>
          <w:rFonts w:hAnsi="宋体"/>
          <w:bCs/>
          <w:color w:val="auto"/>
          <w:sz w:val="24"/>
          <w:szCs w:val="24"/>
          <w:u w:val="single"/>
        </w:rPr>
      </w:pPr>
      <w:r>
        <w:rPr>
          <w:rFonts w:hint="eastAsia" w:hAnsi="宋体"/>
          <w:bCs/>
          <w:color w:val="auto"/>
          <w:sz w:val="24"/>
          <w:szCs w:val="24"/>
        </w:rPr>
        <w:t>采购文件公告：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2E7E337C">
      <w:pPr>
        <w:pStyle w:val="15"/>
        <w:spacing w:line="360" w:lineRule="auto"/>
        <w:ind w:left="25" w:leftChars="12" w:firstLine="472" w:firstLineChars="197"/>
        <w:rPr>
          <w:rFonts w:hAnsi="宋体"/>
          <w:b/>
          <w:color w:val="auto"/>
          <w:sz w:val="24"/>
          <w:szCs w:val="24"/>
        </w:rPr>
      </w:pPr>
      <w:r>
        <w:rPr>
          <w:rFonts w:hint="eastAsia" w:hAnsi="宋体"/>
          <w:bCs/>
          <w:color w:val="auto"/>
          <w:sz w:val="24"/>
          <w:szCs w:val="24"/>
        </w:rPr>
        <w:t>采购结果公告：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7C615323">
      <w:pPr>
        <w:pStyle w:val="15"/>
        <w:spacing w:line="360" w:lineRule="auto"/>
        <w:ind w:left="25" w:leftChars="12" w:firstLine="472" w:firstLineChars="196"/>
        <w:rPr>
          <w:rFonts w:hAnsi="宋体"/>
          <w:b/>
          <w:color w:val="auto"/>
          <w:sz w:val="24"/>
          <w:szCs w:val="24"/>
        </w:rPr>
      </w:pPr>
      <w:r>
        <w:rPr>
          <w:rFonts w:hint="eastAsia" w:hAnsi="宋体"/>
          <w:b/>
          <w:color w:val="auto"/>
          <w:sz w:val="24"/>
          <w:szCs w:val="24"/>
        </w:rPr>
        <w:t>三、质疑基本情况</w:t>
      </w:r>
    </w:p>
    <w:p w14:paraId="4E043472">
      <w:pPr>
        <w:pStyle w:val="15"/>
        <w:spacing w:line="360" w:lineRule="auto"/>
        <w:ind w:left="23" w:leftChars="11" w:firstLine="540" w:firstLineChars="225"/>
        <w:rPr>
          <w:rFonts w:hAnsi="宋体"/>
          <w:color w:val="auto"/>
          <w:sz w:val="24"/>
          <w:szCs w:val="24"/>
        </w:rPr>
      </w:pPr>
      <w:r>
        <w:rPr>
          <w:rFonts w:hint="eastAsia" w:hAnsi="宋体"/>
          <w:color w:val="auto"/>
          <w:sz w:val="24"/>
          <w:szCs w:val="24"/>
        </w:rPr>
        <w:t>投诉人于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日，向</w:t>
      </w:r>
      <w:r>
        <w:rPr>
          <w:rFonts w:hint="eastAsia" w:hAnsi="宋体"/>
          <w:color w:val="auto"/>
          <w:sz w:val="24"/>
          <w:szCs w:val="24"/>
          <w:u w:val="single"/>
        </w:rPr>
        <w:t xml:space="preserve">                                </w:t>
      </w:r>
      <w:r>
        <w:rPr>
          <w:rFonts w:hint="eastAsia" w:hAnsi="宋体"/>
          <w:color w:val="auto"/>
          <w:sz w:val="24"/>
          <w:szCs w:val="24"/>
        </w:rPr>
        <w:t>提出质疑，质疑事项为：</w:t>
      </w:r>
    </w:p>
    <w:p w14:paraId="024F0880">
      <w:pPr>
        <w:pStyle w:val="15"/>
        <w:spacing w:line="360" w:lineRule="auto"/>
        <w:ind w:left="23" w:leftChars="11" w:firstLine="540" w:firstLineChars="225"/>
        <w:rPr>
          <w:rFonts w:hAnsi="宋体"/>
          <w:bCs/>
          <w:color w:val="auto"/>
          <w:sz w:val="24"/>
          <w:szCs w:val="24"/>
          <w:u w:val="single"/>
        </w:rPr>
      </w:pPr>
      <w:r>
        <w:rPr>
          <w:rFonts w:hint="eastAsia" w:hAnsi="宋体"/>
          <w:color w:val="auto"/>
          <w:sz w:val="24"/>
          <w:szCs w:val="24"/>
        </w:rPr>
        <w:t xml:space="preserve">    </w:t>
      </w:r>
      <w:r>
        <w:rPr>
          <w:rFonts w:hint="eastAsia" w:hAnsi="宋体"/>
          <w:bCs/>
          <w:color w:val="auto"/>
          <w:sz w:val="24"/>
          <w:szCs w:val="24"/>
          <w:u w:val="single"/>
        </w:rPr>
        <w:t xml:space="preserve">                                                                                      </w:t>
      </w:r>
    </w:p>
    <w:p w14:paraId="3A6189E9">
      <w:pPr>
        <w:pStyle w:val="15"/>
        <w:spacing w:line="360" w:lineRule="auto"/>
        <w:ind w:left="23" w:leftChars="11" w:firstLine="540" w:firstLineChars="225"/>
        <w:rPr>
          <w:rFonts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5170AC26">
      <w:pPr>
        <w:pStyle w:val="15"/>
        <w:spacing w:line="360" w:lineRule="auto"/>
        <w:ind w:left="23" w:leftChars="11" w:firstLine="540" w:firstLineChars="225"/>
        <w:rPr>
          <w:rFonts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r>
        <w:rPr>
          <w:rFonts w:hint="eastAsia" w:hAnsi="宋体"/>
          <w:bCs/>
          <w:color w:val="auto"/>
          <w:sz w:val="24"/>
          <w:szCs w:val="24"/>
        </w:rPr>
        <w:t xml:space="preserve">就质疑事项作出了答复/没有在法定期限内作出答复。                                                                                             </w:t>
      </w:r>
    </w:p>
    <w:p w14:paraId="26091649">
      <w:pPr>
        <w:pStyle w:val="15"/>
        <w:spacing w:line="360" w:lineRule="auto"/>
        <w:ind w:left="25" w:leftChars="12" w:firstLine="472" w:firstLineChars="196"/>
        <w:rPr>
          <w:rFonts w:hAnsi="宋体"/>
          <w:b/>
          <w:color w:val="auto"/>
          <w:sz w:val="24"/>
          <w:szCs w:val="24"/>
        </w:rPr>
      </w:pPr>
      <w:r>
        <w:rPr>
          <w:rFonts w:hint="eastAsia" w:hAnsi="宋体"/>
          <w:b/>
          <w:color w:val="auto"/>
          <w:sz w:val="24"/>
          <w:szCs w:val="24"/>
        </w:rPr>
        <w:t>四、投诉事项具体内容</w:t>
      </w:r>
    </w:p>
    <w:p w14:paraId="49E9A09E">
      <w:pPr>
        <w:pStyle w:val="15"/>
        <w:spacing w:line="360" w:lineRule="auto"/>
        <w:ind w:left="25" w:leftChars="12" w:firstLine="472" w:firstLineChars="197"/>
        <w:rPr>
          <w:rFonts w:hAnsi="宋体"/>
          <w:bCs/>
          <w:color w:val="auto"/>
          <w:sz w:val="24"/>
          <w:szCs w:val="24"/>
          <w:u w:val="single"/>
        </w:rPr>
      </w:pPr>
      <w:r>
        <w:rPr>
          <w:rFonts w:hint="eastAsia" w:hAnsi="宋体"/>
          <w:color w:val="auto"/>
          <w:sz w:val="24"/>
          <w:szCs w:val="24"/>
        </w:rPr>
        <w:t>投诉事项1：</w:t>
      </w:r>
      <w:r>
        <w:rPr>
          <w:rFonts w:hint="eastAsia" w:hAnsi="宋体"/>
          <w:bCs/>
          <w:color w:val="auto"/>
          <w:sz w:val="24"/>
          <w:szCs w:val="24"/>
          <w:u w:val="single"/>
        </w:rPr>
        <w:t xml:space="preserve">                                                                           </w:t>
      </w:r>
    </w:p>
    <w:p w14:paraId="6BECC803">
      <w:pPr>
        <w:pStyle w:val="15"/>
        <w:spacing w:line="360" w:lineRule="auto"/>
        <w:ind w:firstLine="480" w:firstLineChars="200"/>
        <w:rPr>
          <w:rFonts w:hAnsi="宋体"/>
          <w:bCs/>
          <w:color w:val="auto"/>
          <w:sz w:val="24"/>
          <w:szCs w:val="24"/>
          <w:u w:val="single"/>
        </w:rPr>
      </w:pPr>
      <w:r>
        <w:rPr>
          <w:rFonts w:hint="eastAsia" w:hAnsi="宋体"/>
          <w:bCs/>
          <w:color w:val="auto"/>
          <w:sz w:val="24"/>
          <w:szCs w:val="24"/>
        </w:rPr>
        <w:t>事实依据：</w:t>
      </w:r>
      <w:r>
        <w:rPr>
          <w:rFonts w:hint="eastAsia" w:hAnsi="宋体"/>
          <w:color w:val="auto"/>
          <w:sz w:val="24"/>
          <w:szCs w:val="24"/>
        </w:rPr>
        <w:t xml:space="preserve"> </w:t>
      </w:r>
      <w:r>
        <w:rPr>
          <w:rFonts w:hint="eastAsia" w:hAnsi="宋体"/>
          <w:bCs/>
          <w:color w:val="auto"/>
          <w:sz w:val="24"/>
          <w:szCs w:val="24"/>
          <w:u w:val="single"/>
        </w:rPr>
        <w:t xml:space="preserve">                                                                                      </w:t>
      </w:r>
    </w:p>
    <w:p w14:paraId="4462E437">
      <w:pPr>
        <w:pStyle w:val="15"/>
        <w:spacing w:line="360" w:lineRule="auto"/>
        <w:ind w:left="25" w:leftChars="12" w:firstLine="472" w:firstLineChars="197"/>
        <w:rPr>
          <w:rFonts w:hAnsi="宋体"/>
          <w:color w:val="auto"/>
          <w:sz w:val="24"/>
          <w:szCs w:val="24"/>
        </w:rPr>
      </w:pPr>
      <w:r>
        <w:rPr>
          <w:rFonts w:hint="eastAsia" w:hAnsi="宋体"/>
          <w:bCs/>
          <w:color w:val="auto"/>
          <w:sz w:val="24"/>
          <w:szCs w:val="24"/>
          <w:u w:val="single"/>
        </w:rPr>
        <w:t xml:space="preserve">                                                                                        </w:t>
      </w:r>
    </w:p>
    <w:p w14:paraId="5BA8AAC9">
      <w:pPr>
        <w:pStyle w:val="15"/>
        <w:spacing w:line="360" w:lineRule="auto"/>
        <w:ind w:firstLine="480" w:firstLineChars="200"/>
        <w:rPr>
          <w:rFonts w:hAnsi="宋体"/>
          <w:bCs/>
          <w:color w:val="auto"/>
          <w:sz w:val="24"/>
          <w:szCs w:val="24"/>
          <w:u w:val="single"/>
        </w:rPr>
      </w:pPr>
      <w:r>
        <w:rPr>
          <w:rFonts w:hint="eastAsia" w:hAnsi="宋体"/>
          <w:bCs/>
          <w:color w:val="auto"/>
          <w:sz w:val="24"/>
          <w:szCs w:val="24"/>
        </w:rPr>
        <w:t>法律依据：</w:t>
      </w:r>
      <w:r>
        <w:rPr>
          <w:rFonts w:hint="eastAsia" w:hAnsi="宋体"/>
          <w:color w:val="auto"/>
          <w:sz w:val="24"/>
          <w:szCs w:val="24"/>
        </w:rPr>
        <w:t xml:space="preserve"> </w:t>
      </w:r>
      <w:r>
        <w:rPr>
          <w:rFonts w:hint="eastAsia" w:hAnsi="宋体"/>
          <w:bCs/>
          <w:color w:val="auto"/>
          <w:sz w:val="24"/>
          <w:szCs w:val="24"/>
          <w:u w:val="single"/>
        </w:rPr>
        <w:t xml:space="preserve">                                                                                      </w:t>
      </w:r>
    </w:p>
    <w:p w14:paraId="5F0909C0">
      <w:pPr>
        <w:pStyle w:val="15"/>
        <w:spacing w:line="360" w:lineRule="auto"/>
        <w:ind w:left="25" w:leftChars="12" w:firstLine="352" w:firstLineChars="147"/>
        <w:rPr>
          <w:rFonts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7EAD27D9">
      <w:pPr>
        <w:pStyle w:val="15"/>
        <w:spacing w:line="360" w:lineRule="auto"/>
        <w:ind w:left="25" w:leftChars="12" w:firstLine="472" w:firstLineChars="197"/>
        <w:rPr>
          <w:rFonts w:hAnsi="宋体"/>
          <w:bCs/>
          <w:color w:val="auto"/>
          <w:sz w:val="24"/>
          <w:szCs w:val="24"/>
        </w:rPr>
      </w:pPr>
      <w:r>
        <w:rPr>
          <w:rFonts w:hint="eastAsia" w:hAnsi="宋体"/>
          <w:color w:val="auto"/>
          <w:sz w:val="24"/>
          <w:szCs w:val="24"/>
        </w:rPr>
        <w:t xml:space="preserve">投诉事项2  </w:t>
      </w:r>
      <w:r>
        <w:rPr>
          <w:rFonts w:hint="eastAsia" w:hAnsi="宋体"/>
          <w:bCs/>
          <w:color w:val="auto"/>
          <w:sz w:val="24"/>
          <w:szCs w:val="24"/>
        </w:rPr>
        <w:t xml:space="preserve">   </w:t>
      </w:r>
    </w:p>
    <w:p w14:paraId="4B3147D1">
      <w:pPr>
        <w:pStyle w:val="15"/>
        <w:spacing w:line="360" w:lineRule="auto"/>
        <w:ind w:left="25" w:leftChars="12" w:firstLine="472" w:firstLineChars="197"/>
        <w:rPr>
          <w:rFonts w:hAnsi="宋体"/>
          <w:bCs/>
          <w:color w:val="auto"/>
          <w:sz w:val="24"/>
          <w:szCs w:val="24"/>
        </w:rPr>
      </w:pPr>
      <w:r>
        <w:rPr>
          <w:rFonts w:hAnsi="宋体"/>
          <w:bCs/>
          <w:color w:val="auto"/>
          <w:sz w:val="24"/>
          <w:szCs w:val="24"/>
        </w:rPr>
        <w:t>……</w:t>
      </w:r>
    </w:p>
    <w:p w14:paraId="1BB02521">
      <w:pPr>
        <w:pStyle w:val="15"/>
        <w:spacing w:line="360" w:lineRule="auto"/>
        <w:ind w:left="25" w:leftChars="12" w:firstLine="472" w:firstLineChars="196"/>
        <w:rPr>
          <w:rFonts w:hAnsi="宋体"/>
          <w:b/>
          <w:color w:val="auto"/>
          <w:sz w:val="24"/>
          <w:szCs w:val="24"/>
        </w:rPr>
      </w:pPr>
      <w:r>
        <w:rPr>
          <w:rFonts w:hint="eastAsia" w:hAnsi="宋体"/>
          <w:b/>
          <w:color w:val="auto"/>
          <w:sz w:val="24"/>
          <w:szCs w:val="24"/>
        </w:rPr>
        <w:t>五、与投诉事项相关的投诉请求：</w:t>
      </w:r>
    </w:p>
    <w:p w14:paraId="59E698E6">
      <w:pPr>
        <w:pStyle w:val="15"/>
        <w:spacing w:line="360" w:lineRule="auto"/>
        <w:ind w:left="25" w:leftChars="12" w:firstLine="472" w:firstLineChars="197"/>
        <w:rPr>
          <w:rFonts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516D9A1A">
      <w:pPr>
        <w:pStyle w:val="15"/>
        <w:spacing w:line="360" w:lineRule="auto"/>
        <w:ind w:left="25" w:leftChars="12" w:firstLine="352" w:firstLineChars="147"/>
        <w:rPr>
          <w:rFonts w:hAnsi="宋体"/>
          <w:color w:val="auto"/>
          <w:sz w:val="24"/>
          <w:szCs w:val="24"/>
        </w:rPr>
      </w:pPr>
    </w:p>
    <w:p w14:paraId="41B1EB98">
      <w:pPr>
        <w:pStyle w:val="15"/>
        <w:spacing w:line="360" w:lineRule="auto"/>
        <w:ind w:left="25" w:leftChars="12" w:firstLine="472" w:firstLineChars="197"/>
        <w:rPr>
          <w:rFonts w:hAnsi="宋体"/>
          <w:color w:val="auto"/>
          <w:sz w:val="24"/>
          <w:szCs w:val="24"/>
        </w:rPr>
      </w:pPr>
      <w:r>
        <w:rPr>
          <w:rFonts w:hint="eastAsia" w:hAnsi="宋体"/>
          <w:color w:val="auto"/>
          <w:sz w:val="24"/>
          <w:szCs w:val="24"/>
        </w:rPr>
        <w:t>签字（签章）：                                       公章：</w:t>
      </w:r>
    </w:p>
    <w:p w14:paraId="29471D42">
      <w:pPr>
        <w:pStyle w:val="15"/>
        <w:spacing w:line="360" w:lineRule="auto"/>
        <w:ind w:left="25" w:leftChars="12" w:firstLine="352" w:firstLineChars="147"/>
        <w:rPr>
          <w:rFonts w:hAnsi="宋体"/>
          <w:color w:val="auto"/>
          <w:sz w:val="24"/>
          <w:szCs w:val="24"/>
        </w:rPr>
      </w:pPr>
    </w:p>
    <w:p w14:paraId="1B37FE83">
      <w:pPr>
        <w:pStyle w:val="15"/>
        <w:spacing w:line="360" w:lineRule="auto"/>
        <w:ind w:left="25" w:leftChars="12" w:firstLine="472" w:firstLineChars="197"/>
        <w:rPr>
          <w:rFonts w:hAnsi="宋体"/>
          <w:color w:val="auto"/>
          <w:sz w:val="24"/>
          <w:szCs w:val="24"/>
        </w:rPr>
      </w:pPr>
      <w:r>
        <w:rPr>
          <w:rFonts w:hint="eastAsia" w:hAnsi="宋体"/>
          <w:color w:val="auto"/>
          <w:sz w:val="24"/>
          <w:szCs w:val="24"/>
        </w:rPr>
        <w:t>日期：</w:t>
      </w:r>
    </w:p>
    <w:p w14:paraId="21674B58">
      <w:pPr>
        <w:pStyle w:val="15"/>
        <w:spacing w:line="360" w:lineRule="auto"/>
        <w:ind w:left="25" w:leftChars="12" w:firstLine="472" w:firstLineChars="197"/>
        <w:rPr>
          <w:rFonts w:hAnsi="宋体"/>
          <w:color w:val="auto"/>
          <w:sz w:val="24"/>
          <w:szCs w:val="24"/>
        </w:rPr>
      </w:pPr>
      <w:r>
        <w:rPr>
          <w:rFonts w:hint="eastAsia" w:hAnsi="宋体"/>
          <w:bCs/>
          <w:color w:val="auto"/>
          <w:sz w:val="24"/>
          <w:szCs w:val="24"/>
        </w:rPr>
        <w:t xml:space="preserve">                                                                                 </w:t>
      </w:r>
    </w:p>
    <w:p w14:paraId="6425C23F">
      <w:pPr>
        <w:pStyle w:val="15"/>
        <w:snapToGrid w:val="0"/>
        <w:spacing w:line="360" w:lineRule="auto"/>
        <w:rPr>
          <w:rFonts w:hAnsi="宋体"/>
          <w:b/>
          <w:color w:val="auto"/>
          <w:sz w:val="24"/>
          <w:szCs w:val="24"/>
        </w:rPr>
      </w:pPr>
    </w:p>
    <w:p w14:paraId="7C5CF7E6">
      <w:pPr>
        <w:pStyle w:val="15"/>
        <w:snapToGrid w:val="0"/>
        <w:spacing w:line="360" w:lineRule="auto"/>
        <w:rPr>
          <w:rFonts w:hAnsi="宋体"/>
          <w:b/>
          <w:color w:val="auto"/>
          <w:sz w:val="24"/>
          <w:szCs w:val="24"/>
        </w:rPr>
      </w:pPr>
      <w:r>
        <w:rPr>
          <w:rFonts w:hint="eastAsia" w:hAnsi="宋体"/>
          <w:b/>
          <w:color w:val="auto"/>
          <w:sz w:val="24"/>
          <w:szCs w:val="24"/>
        </w:rPr>
        <w:t>说明：</w:t>
      </w:r>
    </w:p>
    <w:p w14:paraId="08463830">
      <w:pPr>
        <w:pStyle w:val="15"/>
        <w:spacing w:line="360" w:lineRule="auto"/>
        <w:ind w:left="25" w:leftChars="12" w:firstLine="354" w:firstLineChars="147"/>
        <w:rPr>
          <w:rFonts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2F95C3F5">
      <w:pPr>
        <w:pStyle w:val="15"/>
        <w:spacing w:line="360" w:lineRule="auto"/>
        <w:ind w:left="25" w:leftChars="12" w:firstLine="354" w:firstLineChars="147"/>
        <w:rPr>
          <w:rFonts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84B98C4">
      <w:pPr>
        <w:pStyle w:val="15"/>
        <w:spacing w:line="360" w:lineRule="auto"/>
        <w:ind w:left="25" w:leftChars="12" w:firstLine="354" w:firstLineChars="147"/>
        <w:rPr>
          <w:rFonts w:hAnsi="宋体"/>
          <w:b/>
          <w:color w:val="auto"/>
          <w:sz w:val="24"/>
          <w:szCs w:val="24"/>
        </w:rPr>
      </w:pPr>
      <w:r>
        <w:rPr>
          <w:rFonts w:hint="eastAsia" w:hAnsi="宋体"/>
          <w:b/>
          <w:color w:val="auto"/>
          <w:sz w:val="24"/>
          <w:szCs w:val="24"/>
        </w:rPr>
        <w:t>3.投诉书应简要列明质疑事项，质疑函、质疑答复等作为附件材料提供。</w:t>
      </w:r>
    </w:p>
    <w:p w14:paraId="694D4BCE">
      <w:pPr>
        <w:pStyle w:val="15"/>
        <w:spacing w:line="360" w:lineRule="auto"/>
        <w:ind w:left="25" w:leftChars="12" w:firstLine="354" w:firstLineChars="147"/>
        <w:rPr>
          <w:rFonts w:hAnsi="宋体"/>
          <w:b/>
          <w:color w:val="auto"/>
          <w:sz w:val="24"/>
          <w:szCs w:val="24"/>
        </w:rPr>
      </w:pPr>
      <w:r>
        <w:rPr>
          <w:rFonts w:hint="eastAsia" w:hAnsi="宋体"/>
          <w:b/>
          <w:color w:val="auto"/>
          <w:sz w:val="24"/>
          <w:szCs w:val="24"/>
        </w:rPr>
        <w:t>4.投诉书的投诉事项应具体、明确，并有必要的事实依据和法律依据。</w:t>
      </w:r>
    </w:p>
    <w:p w14:paraId="340523D4">
      <w:pPr>
        <w:pStyle w:val="15"/>
        <w:spacing w:line="360" w:lineRule="auto"/>
        <w:ind w:left="25" w:leftChars="12" w:firstLine="354" w:firstLineChars="147"/>
        <w:rPr>
          <w:rFonts w:hAnsi="宋体"/>
          <w:b/>
          <w:color w:val="auto"/>
          <w:sz w:val="24"/>
          <w:szCs w:val="24"/>
        </w:rPr>
      </w:pPr>
      <w:r>
        <w:rPr>
          <w:rFonts w:hint="eastAsia" w:hAnsi="宋体"/>
          <w:b/>
          <w:color w:val="auto"/>
          <w:sz w:val="24"/>
          <w:szCs w:val="24"/>
        </w:rPr>
        <w:t>5.投诉书的投诉请求应与投诉事项相关。</w:t>
      </w:r>
    </w:p>
    <w:p w14:paraId="7E1918E8">
      <w:pPr>
        <w:pStyle w:val="15"/>
        <w:spacing w:line="360" w:lineRule="auto"/>
        <w:ind w:left="25" w:leftChars="12" w:firstLine="354" w:firstLineChars="147"/>
        <w:rPr>
          <w:rFonts w:hAnsi="宋体"/>
          <w:b/>
          <w:color w:val="auto"/>
          <w:sz w:val="24"/>
          <w:szCs w:val="24"/>
        </w:rPr>
      </w:pPr>
      <w:r>
        <w:rPr>
          <w:rFonts w:hint="eastAsia" w:hAnsi="宋体"/>
          <w:b/>
          <w:color w:val="auto"/>
          <w:sz w:val="24"/>
          <w:szCs w:val="24"/>
        </w:rPr>
        <w:t>6.投诉人为法人或者其他组织的，投诉书应由法定代表人、主要负责人，或者其授权代表签字或者盖章，并加盖公章。</w:t>
      </w:r>
    </w:p>
    <w:p w14:paraId="2A73AA9D">
      <w:pPr>
        <w:pStyle w:val="2"/>
        <w:spacing w:line="320" w:lineRule="atLeast"/>
        <w:jc w:val="center"/>
        <w:rPr>
          <w:color w:val="auto"/>
        </w:rPr>
      </w:pPr>
      <w:r>
        <w:rPr>
          <w:color w:val="auto"/>
        </w:rPr>
        <w:br w:type="page"/>
      </w:r>
      <w:bookmarkStart w:id="36" w:name="_Toc74322013"/>
      <w:r>
        <w:rPr>
          <w:rFonts w:hint="eastAsia"/>
          <w:color w:val="auto"/>
        </w:rPr>
        <w:t>第六章 合同文本</w:t>
      </w:r>
      <w:bookmarkEnd w:id="36"/>
    </w:p>
    <w:p w14:paraId="2A9A6931">
      <w:pPr>
        <w:snapToGrid w:val="0"/>
        <w:jc w:val="center"/>
        <w:rPr>
          <w:rFonts w:hint="eastAsia" w:ascii="宋体" w:hAnsi="宋体"/>
          <w:color w:val="auto"/>
          <w:szCs w:val="21"/>
          <w:highlight w:val="none"/>
        </w:rPr>
      </w:pPr>
      <w:r>
        <w:rPr>
          <w:rFonts w:hint="eastAsia" w:ascii="宋体" w:hAnsi="宋体"/>
          <w:b/>
          <w:color w:val="auto"/>
          <w:sz w:val="32"/>
          <w:szCs w:val="32"/>
          <w:highlight w:val="none"/>
        </w:rPr>
        <w:t>广西壮族自治区政府采购合同使用说明</w:t>
      </w:r>
    </w:p>
    <w:p w14:paraId="0C1086B3">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（一般货物类）</w:t>
      </w:r>
    </w:p>
    <w:p w14:paraId="591BB4DE">
      <w:pPr>
        <w:snapToGrid w:val="0"/>
        <w:spacing w:line="360" w:lineRule="auto"/>
        <w:jc w:val="center"/>
        <w:rPr>
          <w:rFonts w:hint="eastAsia" w:ascii="宋体" w:hAnsi="宋体"/>
          <w:color w:val="auto"/>
          <w:szCs w:val="21"/>
          <w:highlight w:val="none"/>
        </w:rPr>
      </w:pPr>
    </w:p>
    <w:p w14:paraId="6891D752">
      <w:pPr>
        <w:snapToGrid w:val="0"/>
        <w:spacing w:line="360" w:lineRule="auto"/>
        <w:ind w:firstLine="630"/>
        <w:rPr>
          <w:rFonts w:hint="eastAsia" w:ascii="宋体" w:hAnsi="宋体"/>
          <w:color w:val="auto"/>
          <w:szCs w:val="21"/>
          <w:highlight w:val="none"/>
        </w:rPr>
      </w:pPr>
      <w:r>
        <w:rPr>
          <w:rFonts w:hint="eastAsia" w:ascii="宋体" w:hAnsi="宋体"/>
          <w:color w:val="auto"/>
          <w:szCs w:val="21"/>
          <w:highlight w:val="none"/>
        </w:rPr>
        <w:t>《政府采购合同》是对招标文件规定或者投标文件承诺的中货物和服务要约事项的细化和补充，所签订的合同不得对招标文件和中标人投标文件作实质性修改；招标过程中有关项目标的性状的重要澄清和承诺事项必须在合同相应条款中予以明确表达。采购人和中标人不得提出任何不合理的要求作为签订合同的条件；不得私下订立背离招标文件实质性内容的协议。</w:t>
      </w:r>
    </w:p>
    <w:p w14:paraId="23822CED">
      <w:pPr>
        <w:snapToGrid w:val="0"/>
        <w:spacing w:line="360" w:lineRule="auto"/>
        <w:ind w:firstLine="413" w:firstLineChars="196"/>
        <w:rPr>
          <w:rFonts w:hint="eastAsia" w:ascii="宋体" w:hAnsi="宋体"/>
          <w:b/>
          <w:color w:val="auto"/>
          <w:szCs w:val="21"/>
          <w:highlight w:val="none"/>
        </w:rPr>
      </w:pPr>
      <w:r>
        <w:rPr>
          <w:rFonts w:hint="eastAsia" w:ascii="宋体" w:hAnsi="宋体"/>
          <w:b/>
          <w:color w:val="auto"/>
          <w:szCs w:val="21"/>
          <w:highlight w:val="none"/>
        </w:rPr>
        <w:t>一、本合同适用范围</w:t>
      </w:r>
    </w:p>
    <w:p w14:paraId="7322219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家用电器、电子产品、教学仪器设备、医疗仪器设备、广播电视仪器设备、体育器材、音响乐器、药品、服装、印刷设备和印刷品等政府采购项目（协议供货除外）适用于本合同。</w:t>
      </w:r>
    </w:p>
    <w:p w14:paraId="5D641432">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二、填写说明</w:t>
      </w:r>
    </w:p>
    <w:p w14:paraId="4607E9C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（一）合同标题：地市县使用时可在“广西壮族自治区”后再加所在地名称或者将“广西壮族自治区”删除加所在地名称。</w:t>
      </w:r>
    </w:p>
    <w:p w14:paraId="6613620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（二）本合同划线部分所需填写内容，除以下条款特殊要求外，按招标文件规定或者投标文件承诺的要求填写，如招标文件规定或者投标文件承诺的没有明确，按甲乙双方商定意见填写。</w:t>
      </w:r>
    </w:p>
    <w:p w14:paraId="1A32397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（三）第一条合同标的：按表中各项目要求填写，内容填写不下时可另加附页。</w:t>
      </w:r>
    </w:p>
    <w:p w14:paraId="1E688DB1">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（四）第四条包装和运输：货物运输方式包括；汽车、火车、轮船等。</w:t>
      </w:r>
    </w:p>
    <w:p w14:paraId="63D0F13E">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（五）货物交付和验收：时间按合同签订（或者生效）后多少日（或者工作日）或者直接填X年X月X日前交货。</w:t>
      </w:r>
    </w:p>
    <w:p w14:paraId="5B6D4F71">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（六）第八条付款方式：资金性质按一般预算拨款、财政性基金拨款、纳入财政专户管理的收入安排的资金、未纳入财政专户管理的收入安排的资金、上年结余填写。</w:t>
      </w:r>
    </w:p>
    <w:p w14:paraId="0FBDDD32">
      <w:pPr>
        <w:adjustRightInd w:val="0"/>
        <w:snapToGrid w:val="0"/>
        <w:spacing w:line="360" w:lineRule="auto"/>
        <w:ind w:firstLine="413" w:firstLineChars="196"/>
        <w:rPr>
          <w:rFonts w:hint="eastAsia" w:ascii="宋体" w:hAnsi="宋体"/>
          <w:b/>
          <w:color w:val="auto"/>
          <w:szCs w:val="21"/>
          <w:highlight w:val="none"/>
        </w:rPr>
      </w:pPr>
      <w:r>
        <w:rPr>
          <w:rFonts w:hint="eastAsia" w:ascii="宋体" w:hAnsi="宋体"/>
          <w:b/>
          <w:color w:val="auto"/>
          <w:szCs w:val="21"/>
          <w:highlight w:val="none"/>
        </w:rPr>
        <w:t>三、有关要求</w:t>
      </w:r>
    </w:p>
    <w:p w14:paraId="77166DFA">
      <w:pPr>
        <w:adjustRightInd w:val="0"/>
        <w:snapToGrid w:val="0"/>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（一）各单位现使用的专业合同可作为本合同附件，但专业合同各条款必须符合招标文件规定或者投标文件承诺的和本合同各条款要求，如发生矛盾以本合同为准。</w:t>
      </w:r>
    </w:p>
    <w:p w14:paraId="6671FD84">
      <w:pPr>
        <w:adjustRightInd w:val="0"/>
        <w:snapToGrid w:val="0"/>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（二）协议供货合同应使用原文本。</w:t>
      </w:r>
    </w:p>
    <w:p w14:paraId="7BDE14BB">
      <w:pPr>
        <w:adjustRightInd w:val="0"/>
        <w:snapToGrid w:val="0"/>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（三）甲乙双方对本合同各条款均不能改动，只能在划线位置填写，如有改动视同无效合同。</w:t>
      </w:r>
    </w:p>
    <w:p w14:paraId="5E60A3B8">
      <w:pPr>
        <w:adjustRightInd w:val="0"/>
        <w:snapToGrid w:val="0"/>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（四）本合同统一用</w:t>
      </w:r>
      <w:r>
        <w:rPr>
          <w:rFonts w:hint="eastAsia" w:ascii="宋体" w:hAnsi="宋体"/>
          <w:caps/>
          <w:color w:val="auto"/>
          <w:szCs w:val="21"/>
          <w:highlight w:val="none"/>
        </w:rPr>
        <w:t>A</w:t>
      </w:r>
      <w:r>
        <w:rPr>
          <w:rFonts w:hint="eastAsia" w:ascii="宋体" w:hAnsi="宋体"/>
          <w:color w:val="auto"/>
          <w:szCs w:val="21"/>
          <w:highlight w:val="none"/>
        </w:rPr>
        <w:t>4纸打印。</w:t>
      </w:r>
    </w:p>
    <w:p w14:paraId="5272A592">
      <w:pPr>
        <w:adjustRightInd w:val="0"/>
        <w:snapToGrid w:val="0"/>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（五）本合同为试行文本，采购人和中标人在使用过程中如发现不当之处，请及时提出建议，以便修正。</w:t>
      </w:r>
    </w:p>
    <w:p w14:paraId="5BEC2695">
      <w:pPr>
        <w:snapToGrid w:val="0"/>
        <w:spacing w:line="360" w:lineRule="auto"/>
        <w:ind w:firstLine="420" w:firstLineChars="200"/>
        <w:rPr>
          <w:rFonts w:hint="eastAsia" w:ascii="仿宋_GB2312" w:hAnsi="华文中宋" w:eastAsia="仿宋_GB2312"/>
          <w:b/>
          <w:bCs/>
          <w:color w:val="auto"/>
          <w:sz w:val="32"/>
          <w:szCs w:val="32"/>
          <w:highlight w:val="none"/>
        </w:rPr>
      </w:pPr>
      <w:r>
        <w:rPr>
          <w:rFonts w:hint="eastAsia" w:ascii="宋体" w:hAnsi="宋体"/>
          <w:color w:val="auto"/>
          <w:szCs w:val="21"/>
          <w:highlight w:val="none"/>
        </w:rPr>
        <w:t>本合同各条款由广西壮族自治区财政厅政府采购监督管理处负责解释。</w:t>
      </w:r>
      <w:r>
        <w:rPr>
          <w:rFonts w:ascii="宋体" w:hAnsi="宋体"/>
          <w:bCs/>
          <w:color w:val="auto"/>
          <w:sz w:val="32"/>
          <w:szCs w:val="32"/>
          <w:highlight w:val="none"/>
        </w:rPr>
        <w:br w:type="page"/>
      </w:r>
      <w:r>
        <w:rPr>
          <w:rFonts w:hint="eastAsia" w:ascii="宋体" w:hAnsi="宋体"/>
          <w:b/>
          <w:color w:val="auto"/>
          <w:sz w:val="32"/>
          <w:szCs w:val="32"/>
          <w:highlight w:val="none"/>
        </w:rPr>
        <w:t xml:space="preserve">一般货物类（参考）： </w:t>
      </w:r>
    </w:p>
    <w:p w14:paraId="4AFE89BA">
      <w:pPr>
        <w:snapToGrid w:val="0"/>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p>
    <w:p w14:paraId="4B123137">
      <w:pPr>
        <w:snapToGrid w:val="0"/>
        <w:spacing w:line="400" w:lineRule="exact"/>
        <w:jc w:val="center"/>
        <w:rPr>
          <w:rFonts w:hint="eastAsia" w:ascii="宋体" w:hAnsi="宋体"/>
          <w:b/>
          <w:bCs/>
          <w:color w:val="auto"/>
          <w:sz w:val="32"/>
          <w:szCs w:val="32"/>
          <w:highlight w:val="none"/>
        </w:rPr>
      </w:pPr>
      <w:r>
        <w:rPr>
          <w:rFonts w:hint="eastAsia" w:ascii="宋体" w:hAnsi="宋体"/>
          <w:b/>
          <w:color w:val="auto"/>
          <w:sz w:val="32"/>
          <w:szCs w:val="32"/>
          <w:highlight w:val="none"/>
        </w:rPr>
        <w:t>文本</w:t>
      </w:r>
    </w:p>
    <w:p w14:paraId="4AF1CF8B">
      <w:pPr>
        <w:snapToGrid w:val="0"/>
        <w:spacing w:line="400" w:lineRule="exact"/>
        <w:ind w:right="480" w:firstLine="5250" w:firstLineChars="2500"/>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2CFE865D">
      <w:pPr>
        <w:snapToGrid w:val="0"/>
        <w:spacing w:line="360" w:lineRule="exact"/>
        <w:rPr>
          <w:rFonts w:hint="eastAsia" w:ascii="宋体" w:hAnsi="宋体"/>
          <w:color w:val="auto"/>
          <w:szCs w:val="21"/>
          <w:highlight w:val="none"/>
        </w:rPr>
      </w:pPr>
    </w:p>
    <w:p w14:paraId="2F55D875">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采购人（甲方）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7FD62A76">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pacing w:val="-20"/>
          <w:szCs w:val="21"/>
          <w:highlight w:val="none"/>
        </w:rPr>
        <w:t>招  标  编  号</w:t>
      </w:r>
      <w:r>
        <w:rPr>
          <w:rFonts w:hint="eastAsia" w:ascii="宋体" w:hAnsi="宋体"/>
          <w:color w:val="auto"/>
          <w:szCs w:val="21"/>
          <w:highlight w:val="none"/>
          <w:u w:val="single"/>
        </w:rPr>
        <w:t xml:space="preserve">             </w:t>
      </w:r>
    </w:p>
    <w:p w14:paraId="4132CE42">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 xml:space="preserve">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7822C59D">
      <w:pPr>
        <w:spacing w:line="360" w:lineRule="auto"/>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7522F8B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根据《中华人民共和国政府采购法》、《中华人民共和国民法典》等法律、法规规定，按照招标文件（采购文件）规定条款和中标（成交）供应商承诺，甲乙双方签订本合同。</w:t>
      </w:r>
    </w:p>
    <w:p w14:paraId="562B47DA">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第一条　合同标的</w:t>
      </w:r>
    </w:p>
    <w:p w14:paraId="35C1E2E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1.供货一览表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908"/>
        <w:gridCol w:w="668"/>
        <w:gridCol w:w="947"/>
        <w:gridCol w:w="1189"/>
      </w:tblGrid>
      <w:tr w14:paraId="1A82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noWrap w:val="0"/>
            <w:vAlign w:val="center"/>
          </w:tcPr>
          <w:p w14:paraId="35E3D9DF">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1233" w:type="dxa"/>
            <w:noWrap w:val="0"/>
            <w:vAlign w:val="center"/>
          </w:tcPr>
          <w:p w14:paraId="780FC2DD">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产品名称</w:t>
            </w:r>
          </w:p>
        </w:tc>
        <w:tc>
          <w:tcPr>
            <w:tcW w:w="1059" w:type="dxa"/>
            <w:noWrap w:val="0"/>
            <w:vAlign w:val="center"/>
          </w:tcPr>
          <w:p w14:paraId="0BC12E76">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商标品牌</w:t>
            </w:r>
          </w:p>
        </w:tc>
        <w:tc>
          <w:tcPr>
            <w:tcW w:w="1233" w:type="dxa"/>
            <w:noWrap w:val="0"/>
            <w:vAlign w:val="center"/>
          </w:tcPr>
          <w:p w14:paraId="47CB1734">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规格型号</w:t>
            </w:r>
          </w:p>
        </w:tc>
        <w:tc>
          <w:tcPr>
            <w:tcW w:w="1210" w:type="dxa"/>
            <w:noWrap w:val="0"/>
            <w:vAlign w:val="center"/>
          </w:tcPr>
          <w:p w14:paraId="49F32AE3">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生产厂家</w:t>
            </w:r>
          </w:p>
        </w:tc>
        <w:tc>
          <w:tcPr>
            <w:tcW w:w="908" w:type="dxa"/>
            <w:noWrap w:val="0"/>
            <w:vAlign w:val="center"/>
          </w:tcPr>
          <w:p w14:paraId="67678432">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数  量</w:t>
            </w:r>
          </w:p>
        </w:tc>
        <w:tc>
          <w:tcPr>
            <w:tcW w:w="668" w:type="dxa"/>
            <w:noWrap w:val="0"/>
            <w:vAlign w:val="center"/>
          </w:tcPr>
          <w:p w14:paraId="36E0835D">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单位</w:t>
            </w:r>
          </w:p>
        </w:tc>
        <w:tc>
          <w:tcPr>
            <w:tcW w:w="947" w:type="dxa"/>
            <w:noWrap w:val="0"/>
            <w:vAlign w:val="center"/>
          </w:tcPr>
          <w:p w14:paraId="4D068137">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单  价</w:t>
            </w:r>
          </w:p>
          <w:p w14:paraId="7007A702">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（元）</w:t>
            </w:r>
          </w:p>
        </w:tc>
        <w:tc>
          <w:tcPr>
            <w:tcW w:w="1189" w:type="dxa"/>
            <w:noWrap w:val="0"/>
            <w:vAlign w:val="center"/>
          </w:tcPr>
          <w:p w14:paraId="44534259">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金  额</w:t>
            </w:r>
          </w:p>
          <w:p w14:paraId="75B54364">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（元）</w:t>
            </w:r>
          </w:p>
        </w:tc>
      </w:tr>
      <w:tr w14:paraId="0AE8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0"/>
            <w:vAlign w:val="center"/>
          </w:tcPr>
          <w:p w14:paraId="7A571B01">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1233" w:type="dxa"/>
            <w:noWrap w:val="0"/>
            <w:vAlign w:val="center"/>
          </w:tcPr>
          <w:p w14:paraId="5237CF75">
            <w:pPr>
              <w:snapToGrid w:val="0"/>
              <w:spacing w:line="360" w:lineRule="auto"/>
              <w:jc w:val="center"/>
              <w:rPr>
                <w:rFonts w:hint="eastAsia" w:ascii="宋体" w:hAnsi="宋体"/>
                <w:color w:val="auto"/>
                <w:szCs w:val="21"/>
                <w:highlight w:val="none"/>
              </w:rPr>
            </w:pPr>
          </w:p>
        </w:tc>
        <w:tc>
          <w:tcPr>
            <w:tcW w:w="1059" w:type="dxa"/>
            <w:noWrap w:val="0"/>
            <w:vAlign w:val="center"/>
          </w:tcPr>
          <w:p w14:paraId="15F03F58">
            <w:pPr>
              <w:snapToGrid w:val="0"/>
              <w:spacing w:line="360" w:lineRule="auto"/>
              <w:jc w:val="center"/>
              <w:rPr>
                <w:rFonts w:hint="eastAsia" w:ascii="宋体" w:hAnsi="宋体"/>
                <w:color w:val="auto"/>
                <w:szCs w:val="21"/>
                <w:highlight w:val="none"/>
              </w:rPr>
            </w:pPr>
          </w:p>
        </w:tc>
        <w:tc>
          <w:tcPr>
            <w:tcW w:w="1233" w:type="dxa"/>
            <w:noWrap w:val="0"/>
            <w:vAlign w:val="center"/>
          </w:tcPr>
          <w:p w14:paraId="4389E587">
            <w:pPr>
              <w:snapToGrid w:val="0"/>
              <w:spacing w:line="360" w:lineRule="auto"/>
              <w:jc w:val="center"/>
              <w:rPr>
                <w:rFonts w:hint="eastAsia" w:ascii="宋体" w:hAnsi="宋体"/>
                <w:color w:val="auto"/>
                <w:szCs w:val="21"/>
                <w:highlight w:val="none"/>
              </w:rPr>
            </w:pPr>
          </w:p>
        </w:tc>
        <w:tc>
          <w:tcPr>
            <w:tcW w:w="1210" w:type="dxa"/>
            <w:noWrap w:val="0"/>
            <w:vAlign w:val="top"/>
          </w:tcPr>
          <w:p w14:paraId="2175C14C">
            <w:pPr>
              <w:snapToGrid w:val="0"/>
              <w:spacing w:line="360" w:lineRule="auto"/>
              <w:jc w:val="center"/>
              <w:rPr>
                <w:rFonts w:hint="eastAsia" w:ascii="宋体" w:hAnsi="宋体"/>
                <w:color w:val="auto"/>
                <w:szCs w:val="21"/>
                <w:highlight w:val="none"/>
              </w:rPr>
            </w:pPr>
          </w:p>
        </w:tc>
        <w:tc>
          <w:tcPr>
            <w:tcW w:w="908" w:type="dxa"/>
            <w:noWrap w:val="0"/>
            <w:vAlign w:val="top"/>
          </w:tcPr>
          <w:p w14:paraId="43F8CE4E">
            <w:pPr>
              <w:snapToGrid w:val="0"/>
              <w:spacing w:line="360" w:lineRule="auto"/>
              <w:jc w:val="center"/>
              <w:rPr>
                <w:rFonts w:hint="eastAsia" w:ascii="宋体" w:hAnsi="宋体"/>
                <w:color w:val="auto"/>
                <w:szCs w:val="21"/>
                <w:highlight w:val="none"/>
              </w:rPr>
            </w:pPr>
          </w:p>
        </w:tc>
        <w:tc>
          <w:tcPr>
            <w:tcW w:w="668" w:type="dxa"/>
            <w:noWrap w:val="0"/>
            <w:vAlign w:val="top"/>
          </w:tcPr>
          <w:p w14:paraId="690AD9C1">
            <w:pPr>
              <w:snapToGrid w:val="0"/>
              <w:spacing w:line="360" w:lineRule="auto"/>
              <w:jc w:val="center"/>
              <w:rPr>
                <w:rFonts w:hint="eastAsia" w:ascii="宋体" w:hAnsi="宋体"/>
                <w:color w:val="auto"/>
                <w:szCs w:val="21"/>
                <w:highlight w:val="none"/>
              </w:rPr>
            </w:pPr>
          </w:p>
        </w:tc>
        <w:tc>
          <w:tcPr>
            <w:tcW w:w="947" w:type="dxa"/>
            <w:noWrap w:val="0"/>
            <w:vAlign w:val="center"/>
          </w:tcPr>
          <w:p w14:paraId="378B16DC">
            <w:pPr>
              <w:snapToGrid w:val="0"/>
              <w:spacing w:line="360" w:lineRule="auto"/>
              <w:jc w:val="center"/>
              <w:rPr>
                <w:rFonts w:hint="eastAsia" w:ascii="宋体" w:hAnsi="宋体"/>
                <w:color w:val="auto"/>
                <w:szCs w:val="21"/>
                <w:highlight w:val="none"/>
              </w:rPr>
            </w:pPr>
          </w:p>
        </w:tc>
        <w:tc>
          <w:tcPr>
            <w:tcW w:w="1189" w:type="dxa"/>
            <w:noWrap w:val="0"/>
            <w:vAlign w:val="center"/>
          </w:tcPr>
          <w:p w14:paraId="7D65D606">
            <w:pPr>
              <w:snapToGrid w:val="0"/>
              <w:spacing w:line="360" w:lineRule="auto"/>
              <w:jc w:val="center"/>
              <w:rPr>
                <w:rFonts w:hint="eastAsia" w:ascii="宋体" w:hAnsi="宋体"/>
                <w:color w:val="auto"/>
                <w:szCs w:val="21"/>
                <w:highlight w:val="none"/>
              </w:rPr>
            </w:pPr>
          </w:p>
        </w:tc>
      </w:tr>
      <w:tr w14:paraId="1357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0"/>
            <w:vAlign w:val="center"/>
          </w:tcPr>
          <w:p w14:paraId="33B9EE00">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1233" w:type="dxa"/>
            <w:noWrap w:val="0"/>
            <w:vAlign w:val="center"/>
          </w:tcPr>
          <w:p w14:paraId="2642C3C9">
            <w:pPr>
              <w:snapToGrid w:val="0"/>
              <w:spacing w:line="360" w:lineRule="auto"/>
              <w:jc w:val="center"/>
              <w:rPr>
                <w:rFonts w:hint="eastAsia" w:ascii="宋体" w:hAnsi="宋体"/>
                <w:color w:val="auto"/>
                <w:szCs w:val="21"/>
                <w:highlight w:val="none"/>
              </w:rPr>
            </w:pPr>
          </w:p>
        </w:tc>
        <w:tc>
          <w:tcPr>
            <w:tcW w:w="1059" w:type="dxa"/>
            <w:noWrap w:val="0"/>
            <w:vAlign w:val="center"/>
          </w:tcPr>
          <w:p w14:paraId="7CBC44F5">
            <w:pPr>
              <w:snapToGrid w:val="0"/>
              <w:spacing w:line="360" w:lineRule="auto"/>
              <w:jc w:val="center"/>
              <w:rPr>
                <w:rFonts w:hint="eastAsia" w:ascii="宋体" w:hAnsi="宋体"/>
                <w:color w:val="auto"/>
                <w:szCs w:val="21"/>
                <w:highlight w:val="none"/>
              </w:rPr>
            </w:pPr>
          </w:p>
        </w:tc>
        <w:tc>
          <w:tcPr>
            <w:tcW w:w="1233" w:type="dxa"/>
            <w:noWrap w:val="0"/>
            <w:vAlign w:val="center"/>
          </w:tcPr>
          <w:p w14:paraId="7665E249">
            <w:pPr>
              <w:snapToGrid w:val="0"/>
              <w:spacing w:line="360" w:lineRule="auto"/>
              <w:jc w:val="center"/>
              <w:rPr>
                <w:rFonts w:hint="eastAsia" w:ascii="宋体" w:hAnsi="宋体"/>
                <w:color w:val="auto"/>
                <w:szCs w:val="21"/>
                <w:highlight w:val="none"/>
              </w:rPr>
            </w:pPr>
          </w:p>
        </w:tc>
        <w:tc>
          <w:tcPr>
            <w:tcW w:w="1210" w:type="dxa"/>
            <w:noWrap w:val="0"/>
            <w:vAlign w:val="top"/>
          </w:tcPr>
          <w:p w14:paraId="78632172">
            <w:pPr>
              <w:snapToGrid w:val="0"/>
              <w:spacing w:line="360" w:lineRule="auto"/>
              <w:jc w:val="center"/>
              <w:rPr>
                <w:rFonts w:hint="eastAsia" w:ascii="宋体" w:hAnsi="宋体"/>
                <w:color w:val="auto"/>
                <w:szCs w:val="21"/>
                <w:highlight w:val="none"/>
              </w:rPr>
            </w:pPr>
          </w:p>
        </w:tc>
        <w:tc>
          <w:tcPr>
            <w:tcW w:w="908" w:type="dxa"/>
            <w:noWrap w:val="0"/>
            <w:vAlign w:val="top"/>
          </w:tcPr>
          <w:p w14:paraId="5B197E98">
            <w:pPr>
              <w:snapToGrid w:val="0"/>
              <w:spacing w:line="360" w:lineRule="auto"/>
              <w:jc w:val="center"/>
              <w:rPr>
                <w:rFonts w:hint="eastAsia" w:ascii="宋体" w:hAnsi="宋体"/>
                <w:color w:val="auto"/>
                <w:szCs w:val="21"/>
                <w:highlight w:val="none"/>
              </w:rPr>
            </w:pPr>
          </w:p>
        </w:tc>
        <w:tc>
          <w:tcPr>
            <w:tcW w:w="668" w:type="dxa"/>
            <w:noWrap w:val="0"/>
            <w:vAlign w:val="top"/>
          </w:tcPr>
          <w:p w14:paraId="1CAAC6A6">
            <w:pPr>
              <w:snapToGrid w:val="0"/>
              <w:spacing w:line="360" w:lineRule="auto"/>
              <w:jc w:val="center"/>
              <w:rPr>
                <w:rFonts w:hint="eastAsia" w:ascii="宋体" w:hAnsi="宋体"/>
                <w:color w:val="auto"/>
                <w:szCs w:val="21"/>
                <w:highlight w:val="none"/>
              </w:rPr>
            </w:pPr>
          </w:p>
        </w:tc>
        <w:tc>
          <w:tcPr>
            <w:tcW w:w="947" w:type="dxa"/>
            <w:noWrap w:val="0"/>
            <w:vAlign w:val="center"/>
          </w:tcPr>
          <w:p w14:paraId="10FA8B53">
            <w:pPr>
              <w:snapToGrid w:val="0"/>
              <w:spacing w:line="360" w:lineRule="auto"/>
              <w:jc w:val="center"/>
              <w:rPr>
                <w:rFonts w:hint="eastAsia" w:ascii="宋体" w:hAnsi="宋体"/>
                <w:color w:val="auto"/>
                <w:szCs w:val="21"/>
                <w:highlight w:val="none"/>
              </w:rPr>
            </w:pPr>
          </w:p>
        </w:tc>
        <w:tc>
          <w:tcPr>
            <w:tcW w:w="1189" w:type="dxa"/>
            <w:noWrap w:val="0"/>
            <w:vAlign w:val="center"/>
          </w:tcPr>
          <w:p w14:paraId="0C6413F2">
            <w:pPr>
              <w:snapToGrid w:val="0"/>
              <w:spacing w:line="360" w:lineRule="auto"/>
              <w:jc w:val="center"/>
              <w:rPr>
                <w:rFonts w:hint="eastAsia" w:ascii="宋体" w:hAnsi="宋体"/>
                <w:color w:val="auto"/>
                <w:szCs w:val="21"/>
                <w:highlight w:val="none"/>
              </w:rPr>
            </w:pPr>
          </w:p>
        </w:tc>
      </w:tr>
      <w:tr w14:paraId="00AD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0"/>
            <w:vAlign w:val="center"/>
          </w:tcPr>
          <w:p w14:paraId="235D8581">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1233" w:type="dxa"/>
            <w:noWrap w:val="0"/>
            <w:vAlign w:val="center"/>
          </w:tcPr>
          <w:p w14:paraId="4E91C6A4">
            <w:pPr>
              <w:snapToGrid w:val="0"/>
              <w:spacing w:line="360" w:lineRule="auto"/>
              <w:jc w:val="center"/>
              <w:rPr>
                <w:rFonts w:hint="eastAsia" w:ascii="宋体" w:hAnsi="宋体"/>
                <w:color w:val="auto"/>
                <w:szCs w:val="21"/>
                <w:highlight w:val="none"/>
              </w:rPr>
            </w:pPr>
          </w:p>
        </w:tc>
        <w:tc>
          <w:tcPr>
            <w:tcW w:w="1059" w:type="dxa"/>
            <w:noWrap w:val="0"/>
            <w:vAlign w:val="center"/>
          </w:tcPr>
          <w:p w14:paraId="41F10627">
            <w:pPr>
              <w:snapToGrid w:val="0"/>
              <w:spacing w:line="360" w:lineRule="auto"/>
              <w:jc w:val="center"/>
              <w:rPr>
                <w:rFonts w:hint="eastAsia" w:ascii="宋体" w:hAnsi="宋体"/>
                <w:color w:val="auto"/>
                <w:szCs w:val="21"/>
                <w:highlight w:val="none"/>
              </w:rPr>
            </w:pPr>
          </w:p>
        </w:tc>
        <w:tc>
          <w:tcPr>
            <w:tcW w:w="1233" w:type="dxa"/>
            <w:noWrap w:val="0"/>
            <w:vAlign w:val="center"/>
          </w:tcPr>
          <w:p w14:paraId="7E7EC4F8">
            <w:pPr>
              <w:snapToGrid w:val="0"/>
              <w:spacing w:line="360" w:lineRule="auto"/>
              <w:jc w:val="center"/>
              <w:rPr>
                <w:rFonts w:hint="eastAsia" w:ascii="宋体" w:hAnsi="宋体"/>
                <w:color w:val="auto"/>
                <w:szCs w:val="21"/>
                <w:highlight w:val="none"/>
              </w:rPr>
            </w:pPr>
          </w:p>
        </w:tc>
        <w:tc>
          <w:tcPr>
            <w:tcW w:w="1210" w:type="dxa"/>
            <w:noWrap w:val="0"/>
            <w:vAlign w:val="top"/>
          </w:tcPr>
          <w:p w14:paraId="44177D37">
            <w:pPr>
              <w:snapToGrid w:val="0"/>
              <w:spacing w:line="360" w:lineRule="auto"/>
              <w:jc w:val="center"/>
              <w:rPr>
                <w:rFonts w:hint="eastAsia" w:ascii="宋体" w:hAnsi="宋体"/>
                <w:color w:val="auto"/>
                <w:szCs w:val="21"/>
                <w:highlight w:val="none"/>
              </w:rPr>
            </w:pPr>
          </w:p>
        </w:tc>
        <w:tc>
          <w:tcPr>
            <w:tcW w:w="908" w:type="dxa"/>
            <w:noWrap w:val="0"/>
            <w:vAlign w:val="top"/>
          </w:tcPr>
          <w:p w14:paraId="52AD1C24">
            <w:pPr>
              <w:snapToGrid w:val="0"/>
              <w:spacing w:line="360" w:lineRule="auto"/>
              <w:jc w:val="center"/>
              <w:rPr>
                <w:rFonts w:hint="eastAsia" w:ascii="宋体" w:hAnsi="宋体"/>
                <w:color w:val="auto"/>
                <w:szCs w:val="21"/>
                <w:highlight w:val="none"/>
              </w:rPr>
            </w:pPr>
          </w:p>
        </w:tc>
        <w:tc>
          <w:tcPr>
            <w:tcW w:w="668" w:type="dxa"/>
            <w:noWrap w:val="0"/>
            <w:vAlign w:val="top"/>
          </w:tcPr>
          <w:p w14:paraId="29212943">
            <w:pPr>
              <w:snapToGrid w:val="0"/>
              <w:spacing w:line="360" w:lineRule="auto"/>
              <w:jc w:val="center"/>
              <w:rPr>
                <w:rFonts w:hint="eastAsia" w:ascii="宋体" w:hAnsi="宋体"/>
                <w:color w:val="auto"/>
                <w:szCs w:val="21"/>
                <w:highlight w:val="none"/>
              </w:rPr>
            </w:pPr>
          </w:p>
        </w:tc>
        <w:tc>
          <w:tcPr>
            <w:tcW w:w="947" w:type="dxa"/>
            <w:noWrap w:val="0"/>
            <w:vAlign w:val="center"/>
          </w:tcPr>
          <w:p w14:paraId="0C5EC63A">
            <w:pPr>
              <w:snapToGrid w:val="0"/>
              <w:spacing w:line="360" w:lineRule="auto"/>
              <w:jc w:val="center"/>
              <w:rPr>
                <w:rFonts w:hint="eastAsia" w:ascii="宋体" w:hAnsi="宋体"/>
                <w:color w:val="auto"/>
                <w:szCs w:val="21"/>
                <w:highlight w:val="none"/>
              </w:rPr>
            </w:pPr>
          </w:p>
        </w:tc>
        <w:tc>
          <w:tcPr>
            <w:tcW w:w="1189" w:type="dxa"/>
            <w:noWrap w:val="0"/>
            <w:vAlign w:val="center"/>
          </w:tcPr>
          <w:p w14:paraId="35361FC1">
            <w:pPr>
              <w:snapToGrid w:val="0"/>
              <w:spacing w:line="360" w:lineRule="auto"/>
              <w:jc w:val="center"/>
              <w:rPr>
                <w:rFonts w:hint="eastAsia" w:ascii="宋体" w:hAnsi="宋体"/>
                <w:color w:val="auto"/>
                <w:szCs w:val="21"/>
                <w:highlight w:val="none"/>
              </w:rPr>
            </w:pPr>
          </w:p>
        </w:tc>
      </w:tr>
      <w:tr w14:paraId="791B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156" w:type="dxa"/>
            <w:gridSpan w:val="9"/>
            <w:noWrap w:val="0"/>
            <w:vAlign w:val="center"/>
          </w:tcPr>
          <w:p w14:paraId="2EBEA557">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人民币合计金额（大写）                          （小写）                 </w:t>
            </w:r>
          </w:p>
        </w:tc>
      </w:tr>
    </w:tbl>
    <w:p w14:paraId="5BD5B6BD">
      <w:pPr>
        <w:keepNext w:val="0"/>
        <w:keepLines w:val="0"/>
        <w:pageBreakBefore w:val="0"/>
        <w:widowControl w:val="0"/>
        <w:kinsoku/>
        <w:wordWrap/>
        <w:overflowPunct/>
        <w:topLinePunct w:val="0"/>
        <w:bidi w:val="0"/>
        <w:adjustRightInd/>
        <w:snapToGrid w:val="0"/>
        <w:spacing w:line="400" w:lineRule="exact"/>
        <w:ind w:right="420" w:firstLine="420" w:firstLineChars="200"/>
        <w:rPr>
          <w:rFonts w:hint="eastAsia" w:ascii="宋体" w:hAnsi="宋体"/>
          <w:color w:val="auto"/>
          <w:szCs w:val="21"/>
          <w:highlight w:val="none"/>
        </w:rPr>
      </w:pPr>
      <w:r>
        <w:rPr>
          <w:rFonts w:hint="eastAsia" w:ascii="宋体" w:hAnsi="宋体"/>
          <w:color w:val="auto"/>
          <w:szCs w:val="21"/>
          <w:highlight w:val="none"/>
        </w:rPr>
        <w:t>2.合同合计金额包括</w:t>
      </w:r>
      <w:r>
        <w:rPr>
          <w:rFonts w:hint="eastAsia" w:ascii="宋体" w:hAnsi="宋体" w:eastAsia="宋体" w:cs="Times New Roman"/>
          <w:color w:val="auto"/>
          <w:szCs w:val="21"/>
          <w:highlight w:val="none"/>
          <w:lang w:val="en-US" w:eastAsia="zh-CN"/>
        </w:rPr>
        <w:t xml:space="preserve">货物、货物标准附件、备品备件、专用工具、设备安装辅材、施工辅材、包装、运输、装卸、保险、货到就位的各种费用以及安装、调试等本招标文件所列设备材料、功能配置需进行补充完善才能完成本项目的或实际采购中产品材料、功能配置有任何遗漏的费用（含本项目需要但本文件中未列出的设备材料、功能配置）、税金、售后服务、技术培训及其他所有成本费用，以及合同明示或暗示的所有责任、义务和一般风险等一切费用。 </w:t>
      </w:r>
    </w:p>
    <w:p w14:paraId="3620F857">
      <w:pPr>
        <w:keepNext w:val="0"/>
        <w:keepLines w:val="0"/>
        <w:pageBreakBefore w:val="0"/>
        <w:widowControl w:val="0"/>
        <w:kinsoku/>
        <w:wordWrap/>
        <w:overflowPunct/>
        <w:topLinePunct w:val="0"/>
        <w:bidi w:val="0"/>
        <w:adjustRightInd/>
        <w:snapToGrid w:val="0"/>
        <w:spacing w:line="4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第二条　质量要求</w:t>
      </w:r>
    </w:p>
    <w:p w14:paraId="690B0D97">
      <w:pPr>
        <w:keepNext w:val="0"/>
        <w:keepLines w:val="0"/>
        <w:pageBreakBefore w:val="0"/>
        <w:widowControl w:val="0"/>
        <w:kinsoku/>
        <w:wordWrap/>
        <w:overflowPunct/>
        <w:topLinePunct w:val="0"/>
        <w:bidi w:val="0"/>
        <w:adjustRightInd/>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1.乙方所提供的产品名称、商标品牌、生产厂家、规格型号、技术参数等质量必须与招标文件规定及投标文件承诺相一致。乙方提供的节能和环保产品必须是列入政府采购品目清单的产品。</w:t>
      </w:r>
    </w:p>
    <w:p w14:paraId="15F9717D">
      <w:pPr>
        <w:keepNext w:val="0"/>
        <w:keepLines w:val="0"/>
        <w:pageBreakBefore w:val="0"/>
        <w:widowControl w:val="0"/>
        <w:kinsoku/>
        <w:wordWrap/>
        <w:overflowPunct/>
        <w:topLinePunct w:val="0"/>
        <w:bidi w:val="0"/>
        <w:adjustRightInd/>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2.乙方所提供的货物必须是全新、未使用的原装产品</w:t>
      </w:r>
      <w:r>
        <w:rPr>
          <w:rFonts w:hint="eastAsia" w:ascii="宋体" w:hAnsi="宋体"/>
          <w:color w:val="auto"/>
          <w:szCs w:val="21"/>
          <w:highlight w:val="none"/>
          <w:lang w:eastAsia="zh-CN"/>
        </w:rPr>
        <w:t>且生产时限均不超过一年</w:t>
      </w:r>
      <w:r>
        <w:rPr>
          <w:rFonts w:hint="eastAsia" w:ascii="宋体" w:hAnsi="宋体"/>
          <w:color w:val="auto"/>
          <w:szCs w:val="21"/>
          <w:highlight w:val="none"/>
        </w:rPr>
        <w:t>，在正常安装、使用和保养条件下，其使用寿命期内各项指标均达到招标文件规定或者投标文件承诺的质量要求</w:t>
      </w:r>
      <w:r>
        <w:rPr>
          <w:rFonts w:hint="eastAsia" w:ascii="宋体" w:hAnsi="宋体"/>
          <w:color w:val="auto"/>
          <w:szCs w:val="21"/>
          <w:highlight w:val="none"/>
          <w:lang w:eastAsia="zh-CN"/>
        </w:rPr>
        <w:t>，提供</w:t>
      </w:r>
      <w:r>
        <w:rPr>
          <w:rFonts w:hint="eastAsia" w:ascii="宋体" w:hAnsi="宋体"/>
          <w:color w:val="auto"/>
          <w:szCs w:val="21"/>
          <w:highlight w:val="none"/>
        </w:rPr>
        <w:t>。</w:t>
      </w:r>
    </w:p>
    <w:p w14:paraId="325F480A">
      <w:pPr>
        <w:keepNext w:val="0"/>
        <w:keepLines w:val="0"/>
        <w:pageBreakBefore w:val="0"/>
        <w:widowControl w:val="0"/>
        <w:kinsoku/>
        <w:wordWrap/>
        <w:overflowPunct/>
        <w:topLinePunct w:val="0"/>
        <w:bidi w:val="0"/>
        <w:adjustRightInd/>
        <w:snapToGrid w:val="0"/>
        <w:spacing w:line="4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第三条　权利保证</w:t>
      </w:r>
    </w:p>
    <w:p w14:paraId="2791D142">
      <w:pPr>
        <w:keepNext w:val="0"/>
        <w:keepLines w:val="0"/>
        <w:pageBreakBefore w:val="0"/>
        <w:widowControl w:val="0"/>
        <w:kinsoku/>
        <w:wordWrap/>
        <w:overflowPunct/>
        <w:topLinePunct w:val="0"/>
        <w:bidi w:val="0"/>
        <w:adjustRightInd/>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1.乙方应保证所提供货物在使用时不会侵犯任何第三方的专利权、商标权、工业设计权或者其他权利。</w:t>
      </w:r>
    </w:p>
    <w:p w14:paraId="003A22B7">
      <w:pPr>
        <w:keepNext w:val="0"/>
        <w:keepLines w:val="0"/>
        <w:pageBreakBefore w:val="0"/>
        <w:widowControl w:val="0"/>
        <w:kinsoku/>
        <w:wordWrap/>
        <w:overflowPunct/>
        <w:topLinePunct w:val="0"/>
        <w:bidi w:val="0"/>
        <w:adjustRightInd/>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2.乙方应按招标文件规定或者投标文件承诺的时间向甲方提供使用货物的有关技术资料。</w:t>
      </w:r>
    </w:p>
    <w:p w14:paraId="0DF3CDC6">
      <w:pPr>
        <w:keepNext w:val="0"/>
        <w:keepLines w:val="0"/>
        <w:pageBreakBefore w:val="0"/>
        <w:widowControl w:val="0"/>
        <w:kinsoku/>
        <w:wordWrap/>
        <w:overflowPunct/>
        <w:topLinePunct w:val="0"/>
        <w:bidi w:val="0"/>
        <w:adjustRightInd/>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60ADD51A">
      <w:pPr>
        <w:keepNext w:val="0"/>
        <w:keepLines w:val="0"/>
        <w:pageBreakBefore w:val="0"/>
        <w:widowControl w:val="0"/>
        <w:kinsoku/>
        <w:wordWrap/>
        <w:overflowPunct/>
        <w:topLinePunct w:val="0"/>
        <w:bidi w:val="0"/>
        <w:adjustRightInd/>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4.乙方保证将要交付的货物的所有权完全属于乙方且无任何抵押、质押、查封等产权瑕疵。</w:t>
      </w:r>
    </w:p>
    <w:p w14:paraId="586D84CC">
      <w:pPr>
        <w:keepNext w:val="0"/>
        <w:keepLines w:val="0"/>
        <w:pageBreakBefore w:val="0"/>
        <w:widowControl w:val="0"/>
        <w:kinsoku/>
        <w:wordWrap/>
        <w:overflowPunct/>
        <w:topLinePunct w:val="0"/>
        <w:bidi w:val="0"/>
        <w:adjustRightInd/>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第四条　包装和运输</w:t>
      </w:r>
    </w:p>
    <w:p w14:paraId="482FA5C2">
      <w:pPr>
        <w:keepNext w:val="0"/>
        <w:keepLines w:val="0"/>
        <w:pageBreakBefore w:val="0"/>
        <w:widowControl w:val="0"/>
        <w:kinsoku/>
        <w:wordWrap/>
        <w:overflowPunct/>
        <w:topLinePunct w:val="0"/>
        <w:bidi w:val="0"/>
        <w:adjustRightInd/>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1.乙方提供的货物均应按招标文件规定或者投标文件承诺的要求的包装材料、包装标准、包装方式进行包装，每一包装单元内应附详细的装箱单和质量合格证。</w:t>
      </w:r>
    </w:p>
    <w:p w14:paraId="3D22E143">
      <w:pPr>
        <w:keepNext w:val="0"/>
        <w:keepLines w:val="0"/>
        <w:pageBreakBefore w:val="0"/>
        <w:widowControl w:val="0"/>
        <w:kinsoku/>
        <w:wordWrap/>
        <w:overflowPunct/>
        <w:topLinePunct w:val="0"/>
        <w:bidi w:val="0"/>
        <w:adjustRightInd/>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2.货物的运输方式：</w:t>
      </w:r>
      <w:r>
        <w:rPr>
          <w:rFonts w:hint="eastAsia" w:ascii="宋体" w:hAnsi="宋体"/>
          <w:color w:val="auto"/>
          <w:szCs w:val="21"/>
          <w:highlight w:val="none"/>
          <w:u w:val="single"/>
        </w:rPr>
        <w:t xml:space="preserve">             </w:t>
      </w:r>
      <w:r>
        <w:rPr>
          <w:rFonts w:hint="eastAsia" w:ascii="宋体" w:hAnsi="宋体"/>
          <w:color w:val="auto"/>
          <w:szCs w:val="21"/>
          <w:highlight w:val="none"/>
          <w:u w:val="none"/>
        </w:rPr>
        <w:t>。</w:t>
      </w:r>
    </w:p>
    <w:p w14:paraId="06FC3D54">
      <w:pPr>
        <w:keepNext w:val="0"/>
        <w:keepLines w:val="0"/>
        <w:pageBreakBefore w:val="0"/>
        <w:widowControl w:val="0"/>
        <w:kinsoku/>
        <w:wordWrap/>
        <w:overflowPunct/>
        <w:topLinePunct w:val="0"/>
        <w:bidi w:val="0"/>
        <w:adjustRightInd/>
        <w:snapToGrid w:val="0"/>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3.乙方负责货物运输，货物运输合理损耗及计算方法：</w:t>
      </w:r>
      <w:r>
        <w:rPr>
          <w:rFonts w:hint="eastAsia" w:ascii="宋体" w:hAnsi="宋体"/>
          <w:color w:val="auto"/>
          <w:szCs w:val="21"/>
          <w:highlight w:val="none"/>
          <w:u w:val="single"/>
        </w:rPr>
        <w:t xml:space="preserve">                 </w:t>
      </w:r>
      <w:r>
        <w:rPr>
          <w:rFonts w:hint="eastAsia" w:ascii="宋体" w:hAnsi="宋体"/>
          <w:color w:val="auto"/>
          <w:szCs w:val="21"/>
          <w:highlight w:val="none"/>
          <w:u w:val="none"/>
        </w:rPr>
        <w:t>。</w:t>
      </w:r>
    </w:p>
    <w:p w14:paraId="4257EC70">
      <w:pPr>
        <w:keepNext w:val="0"/>
        <w:keepLines w:val="0"/>
        <w:pageBreakBefore w:val="0"/>
        <w:widowControl w:val="0"/>
        <w:kinsoku/>
        <w:wordWrap/>
        <w:overflowPunct/>
        <w:topLinePunct w:val="0"/>
        <w:bidi w:val="0"/>
        <w:adjustRightInd/>
        <w:snapToGrid w:val="0"/>
        <w:spacing w:line="4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第五条　交付和验收</w:t>
      </w:r>
    </w:p>
    <w:p w14:paraId="2EC78FF4">
      <w:pPr>
        <w:keepNext w:val="0"/>
        <w:keepLines w:val="0"/>
        <w:pageBreakBefore w:val="0"/>
        <w:widowControl w:val="0"/>
        <w:kinsoku/>
        <w:wordWrap/>
        <w:overflowPunct/>
        <w:topLinePunct w:val="0"/>
        <w:bidi w:val="0"/>
        <w:adjustRightInd/>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1.交付时间：</w:t>
      </w:r>
      <w:r>
        <w:rPr>
          <w:rFonts w:hint="eastAsia" w:ascii="宋体" w:hAnsi="宋体"/>
          <w:color w:val="auto"/>
          <w:szCs w:val="21"/>
          <w:highlight w:val="none"/>
          <w:u w:val="single"/>
        </w:rPr>
        <w:t xml:space="preserve">                 </w:t>
      </w:r>
      <w:r>
        <w:rPr>
          <w:rFonts w:hint="eastAsia" w:ascii="宋体" w:hAnsi="宋体"/>
          <w:color w:val="auto"/>
          <w:szCs w:val="21"/>
          <w:highlight w:val="none"/>
        </w:rPr>
        <w:t>；交付地点：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FF8BC19">
      <w:pPr>
        <w:keepNext w:val="0"/>
        <w:keepLines w:val="0"/>
        <w:pageBreakBefore w:val="0"/>
        <w:widowControl w:val="0"/>
        <w:kinsoku/>
        <w:wordWrap/>
        <w:overflowPunct/>
        <w:topLinePunct w:val="0"/>
        <w:bidi w:val="0"/>
        <w:adjustRightInd/>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2.乙方提供不符合招标文件规定或者投标文件承诺的和本合同规定的货物，甲方有权拒绝接受。</w:t>
      </w:r>
    </w:p>
    <w:p w14:paraId="3AC727C1">
      <w:pPr>
        <w:keepNext w:val="0"/>
        <w:keepLines w:val="0"/>
        <w:pageBreakBefore w:val="0"/>
        <w:widowControl w:val="0"/>
        <w:kinsoku/>
        <w:wordWrap/>
        <w:overflowPunct/>
        <w:topLinePunct w:val="0"/>
        <w:bidi w:val="0"/>
        <w:adjustRightInd/>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1368ECD3">
      <w:pPr>
        <w:keepNext w:val="0"/>
        <w:keepLines w:val="0"/>
        <w:pageBreakBefore w:val="0"/>
        <w:widowControl w:val="0"/>
        <w:kinsoku/>
        <w:wordWrap/>
        <w:overflowPunct/>
        <w:topLinePunct w:val="0"/>
        <w:bidi w:val="0"/>
        <w:adjustRightInd/>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4.甲方应当在到货（安装、调试完）后七个工作日内进行验收，逾期不验收的，乙方可视同验收合格。验收合格后由甲乙双方签署货物验收单并加盖采购人公章，甲乙双方各执一份。</w:t>
      </w:r>
    </w:p>
    <w:p w14:paraId="23CF409B">
      <w:pPr>
        <w:keepNext w:val="0"/>
        <w:keepLines w:val="0"/>
        <w:pageBreakBefore w:val="0"/>
        <w:widowControl w:val="0"/>
        <w:kinsoku/>
        <w:wordWrap/>
        <w:overflowPunct/>
        <w:topLinePunct w:val="0"/>
        <w:bidi w:val="0"/>
        <w:adjustRightInd/>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068ADE2A">
      <w:pPr>
        <w:keepNext w:val="0"/>
        <w:keepLines w:val="0"/>
        <w:pageBreakBefore w:val="0"/>
        <w:widowControl w:val="0"/>
        <w:kinsoku/>
        <w:wordWrap/>
        <w:overflowPunct/>
        <w:topLinePunct w:val="0"/>
        <w:bidi w:val="0"/>
        <w:adjustRightInd/>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6.甲方对验收有异议的，在验收后五个工作日内以书面形式向乙方提出，乙方应自收到甲方书面异议后</w:t>
      </w:r>
      <w:r>
        <w:rPr>
          <w:rFonts w:hint="eastAsia" w:ascii="宋体" w:hAnsi="宋体"/>
          <w:color w:val="auto"/>
          <w:szCs w:val="21"/>
          <w:highlight w:val="none"/>
          <w:u w:val="single"/>
        </w:rPr>
        <w:t xml:space="preserve">    </w:t>
      </w:r>
      <w:r>
        <w:rPr>
          <w:rFonts w:hint="eastAsia" w:ascii="宋体" w:hAnsi="宋体"/>
          <w:color w:val="auto"/>
          <w:szCs w:val="21"/>
          <w:highlight w:val="none"/>
        </w:rPr>
        <w:t>日内及时予以解决。</w:t>
      </w:r>
    </w:p>
    <w:p w14:paraId="23F50F40">
      <w:pPr>
        <w:keepNext w:val="0"/>
        <w:keepLines w:val="0"/>
        <w:pageBreakBefore w:val="0"/>
        <w:widowControl w:val="0"/>
        <w:kinsoku/>
        <w:wordWrap/>
        <w:overflowPunct/>
        <w:topLinePunct w:val="0"/>
        <w:bidi w:val="0"/>
        <w:adjustRightInd/>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第六条　安装和培训</w:t>
      </w:r>
    </w:p>
    <w:p w14:paraId="04C9C61F">
      <w:pPr>
        <w:keepNext w:val="0"/>
        <w:keepLines w:val="0"/>
        <w:pageBreakBefore w:val="0"/>
        <w:widowControl w:val="0"/>
        <w:kinsoku/>
        <w:wordWrap/>
        <w:overflowPunct/>
        <w:topLinePunct w:val="0"/>
        <w:bidi w:val="0"/>
        <w:adjustRightInd/>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1.甲方应提供必要安装条件（如场地、电源、水源等）。</w:t>
      </w:r>
    </w:p>
    <w:p w14:paraId="51751CCE">
      <w:pPr>
        <w:keepNext w:val="0"/>
        <w:keepLines w:val="0"/>
        <w:pageBreakBefore w:val="0"/>
        <w:widowControl w:val="0"/>
        <w:kinsoku/>
        <w:wordWrap/>
        <w:overflowPunct/>
        <w:topLinePunct w:val="0"/>
        <w:bidi w:val="0"/>
        <w:adjustRightInd/>
        <w:snapToGrid w:val="0"/>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2.乙方投标文件承诺负责甲方有关人员的培训。培训时间、地点：</w:t>
      </w:r>
      <w:r>
        <w:rPr>
          <w:rFonts w:hint="eastAsia" w:ascii="宋体" w:hAnsi="宋体"/>
          <w:color w:val="auto"/>
          <w:szCs w:val="21"/>
          <w:highlight w:val="none"/>
          <w:u w:val="single"/>
        </w:rPr>
        <w:t xml:space="preserve">                   </w:t>
      </w:r>
      <w:r>
        <w:rPr>
          <w:rFonts w:hint="eastAsia" w:ascii="宋体" w:hAnsi="宋体"/>
          <w:color w:val="auto"/>
          <w:szCs w:val="21"/>
          <w:highlight w:val="none"/>
          <w:u w:val="none"/>
        </w:rPr>
        <w:t>。</w:t>
      </w:r>
    </w:p>
    <w:p w14:paraId="3D98E226">
      <w:pPr>
        <w:keepNext w:val="0"/>
        <w:keepLines w:val="0"/>
        <w:pageBreakBefore w:val="0"/>
        <w:widowControl w:val="0"/>
        <w:kinsoku/>
        <w:wordWrap/>
        <w:overflowPunct/>
        <w:topLinePunct w:val="0"/>
        <w:bidi w:val="0"/>
        <w:adjustRightInd/>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第七条  售后服务、保修期</w:t>
      </w:r>
    </w:p>
    <w:p w14:paraId="4E23C205">
      <w:pPr>
        <w:keepNext w:val="0"/>
        <w:keepLines w:val="0"/>
        <w:pageBreakBefore w:val="0"/>
        <w:widowControl w:val="0"/>
        <w:kinsoku/>
        <w:wordWrap/>
        <w:overflowPunct/>
        <w:topLinePunct w:val="0"/>
        <w:bidi w:val="0"/>
        <w:adjustRightInd/>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1.乙方应按照国家有关法律法规和“三包”规定以及本合同所附的《服务承诺》，为甲方提供售后服务。</w:t>
      </w:r>
    </w:p>
    <w:p w14:paraId="55F32C18">
      <w:pPr>
        <w:keepNext w:val="0"/>
        <w:keepLines w:val="0"/>
        <w:pageBreakBefore w:val="0"/>
        <w:widowControl w:val="0"/>
        <w:kinsoku/>
        <w:wordWrap/>
        <w:overflowPunct/>
        <w:topLinePunct w:val="0"/>
        <w:bidi w:val="0"/>
        <w:adjustRightInd/>
        <w:snapToGrid w:val="0"/>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2.货物保修期：</w:t>
      </w:r>
      <w:r>
        <w:rPr>
          <w:rFonts w:hint="eastAsia" w:ascii="宋体" w:hAnsi="宋体"/>
          <w:color w:val="auto"/>
          <w:szCs w:val="21"/>
          <w:highlight w:val="none"/>
          <w:u w:val="single"/>
        </w:rPr>
        <w:t xml:space="preserve">                                          </w:t>
      </w:r>
      <w:r>
        <w:rPr>
          <w:rFonts w:hint="eastAsia" w:ascii="宋体" w:hAnsi="宋体"/>
          <w:color w:val="auto"/>
          <w:szCs w:val="21"/>
          <w:highlight w:val="none"/>
          <w:u w:val="none"/>
        </w:rPr>
        <w:t>。</w:t>
      </w:r>
    </w:p>
    <w:p w14:paraId="0C200AEE">
      <w:pPr>
        <w:keepNext w:val="0"/>
        <w:keepLines w:val="0"/>
        <w:pageBreakBefore w:val="0"/>
        <w:widowControl w:val="0"/>
        <w:kinsoku/>
        <w:wordWrap/>
        <w:overflowPunct/>
        <w:topLinePunct w:val="0"/>
        <w:bidi w:val="0"/>
        <w:adjustRightInd/>
        <w:snapToGrid w:val="0"/>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3.乙方提供的服务承诺和售后服务及保修期责任等其它具体约定事项。（见合同附件）</w:t>
      </w:r>
    </w:p>
    <w:p w14:paraId="2AEDBAA9">
      <w:pPr>
        <w:keepNext w:val="0"/>
        <w:keepLines w:val="0"/>
        <w:pageBreakBefore w:val="0"/>
        <w:widowControl w:val="0"/>
        <w:kinsoku/>
        <w:wordWrap/>
        <w:overflowPunct/>
        <w:topLinePunct w:val="0"/>
        <w:bidi w:val="0"/>
        <w:adjustRightInd/>
        <w:snapToGrid w:val="0"/>
        <w:spacing w:line="4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第八条　付款方式</w:t>
      </w:r>
    </w:p>
    <w:p w14:paraId="4D04FB2C">
      <w:pPr>
        <w:keepNext w:val="0"/>
        <w:keepLines w:val="0"/>
        <w:pageBreakBefore w:val="0"/>
        <w:widowControl w:val="0"/>
        <w:kinsoku/>
        <w:wordWrap/>
        <w:overflowPunct/>
        <w:topLinePunct w:val="0"/>
        <w:bidi w:val="0"/>
        <w:adjustRightInd/>
        <w:snapToGrid w:val="0"/>
        <w:spacing w:line="400" w:lineRule="exact"/>
        <w:ind w:left="-61" w:leftChars="-29" w:firstLine="514" w:firstLineChars="245"/>
        <w:rPr>
          <w:rFonts w:hint="eastAsia" w:ascii="宋体" w:hAnsi="宋体"/>
          <w:b w:val="0"/>
          <w:bCs w:val="0"/>
          <w:color w:val="auto"/>
          <w:szCs w:val="21"/>
          <w:lang w:eastAsia="zh-CN"/>
        </w:rPr>
      </w:pPr>
      <w:r>
        <w:rPr>
          <w:rFonts w:hint="eastAsia" w:ascii="宋体" w:hAnsi="宋体"/>
          <w:b w:val="0"/>
          <w:bCs w:val="0"/>
          <w:color w:val="auto"/>
          <w:szCs w:val="21"/>
          <w:lang w:eastAsia="zh-CN"/>
        </w:rPr>
        <w:t>交货完毕验收合格之日起</w:t>
      </w:r>
      <w:r>
        <w:rPr>
          <w:rFonts w:hint="eastAsia" w:ascii="宋体" w:hAnsi="宋体"/>
          <w:b w:val="0"/>
          <w:bCs w:val="0"/>
          <w:color w:val="auto"/>
          <w:szCs w:val="21"/>
          <w:lang w:val="en-US" w:eastAsia="zh-CN"/>
        </w:rPr>
        <w:t>1</w:t>
      </w:r>
      <w:r>
        <w:rPr>
          <w:rFonts w:hint="eastAsia" w:ascii="宋体" w:hAnsi="宋体"/>
          <w:b w:val="0"/>
          <w:bCs w:val="0"/>
          <w:color w:val="auto"/>
          <w:szCs w:val="21"/>
          <w:lang w:eastAsia="zh-CN"/>
        </w:rPr>
        <w:t>个月内支付</w:t>
      </w:r>
      <w:r>
        <w:rPr>
          <w:rFonts w:hint="eastAsia" w:ascii="宋体" w:hAnsi="宋体"/>
          <w:b w:val="0"/>
          <w:bCs w:val="0"/>
          <w:color w:val="auto"/>
          <w:szCs w:val="21"/>
          <w:lang w:val="en-US" w:eastAsia="zh-CN"/>
        </w:rPr>
        <w:t>合同款30%；</w:t>
      </w:r>
      <w:r>
        <w:rPr>
          <w:rFonts w:hint="eastAsia" w:ascii="宋体" w:hAnsi="宋体"/>
          <w:b w:val="0"/>
          <w:bCs w:val="0"/>
          <w:color w:val="auto"/>
          <w:szCs w:val="21"/>
          <w:lang w:eastAsia="zh-CN"/>
        </w:rPr>
        <w:t>交货完毕验收合格之日起6个月内支付合同65%，交货完毕验收合格之日起满1年后，剩余5%合同款自验收合格之日起满一年后支付。</w:t>
      </w:r>
    </w:p>
    <w:p w14:paraId="60ABCA28">
      <w:pPr>
        <w:keepNext w:val="0"/>
        <w:keepLines w:val="0"/>
        <w:pageBreakBefore w:val="0"/>
        <w:widowControl w:val="0"/>
        <w:kinsoku/>
        <w:wordWrap/>
        <w:overflowPunct/>
        <w:topLinePunct w:val="0"/>
        <w:bidi w:val="0"/>
        <w:adjustRightInd/>
        <w:snapToGrid w:val="0"/>
        <w:spacing w:line="400" w:lineRule="exact"/>
        <w:ind w:left="-61" w:leftChars="-29" w:firstLine="517" w:firstLineChars="245"/>
        <w:rPr>
          <w:rFonts w:hint="eastAsia" w:ascii="宋体" w:hAnsi="宋体"/>
          <w:b/>
          <w:color w:val="auto"/>
          <w:szCs w:val="21"/>
          <w:highlight w:val="none"/>
        </w:rPr>
      </w:pPr>
      <w:r>
        <w:rPr>
          <w:rFonts w:hint="eastAsia" w:ascii="宋体" w:hAnsi="宋体"/>
          <w:b/>
          <w:color w:val="auto"/>
          <w:szCs w:val="21"/>
          <w:highlight w:val="none"/>
        </w:rPr>
        <w:t>第九条　履约保证金</w:t>
      </w:r>
    </w:p>
    <w:p w14:paraId="3BF06EC7">
      <w:pPr>
        <w:keepNext w:val="0"/>
        <w:keepLines w:val="0"/>
        <w:pageBreakBefore w:val="0"/>
        <w:widowControl w:val="0"/>
        <w:kinsoku/>
        <w:wordWrap/>
        <w:overflowPunct/>
        <w:topLinePunct w:val="0"/>
        <w:autoSpaceDE w:val="0"/>
        <w:autoSpaceDN w:val="0"/>
        <w:bidi w:val="0"/>
        <w:adjustRightInd/>
        <w:snapToGrid w:val="0"/>
        <w:spacing w:line="400" w:lineRule="exact"/>
        <w:ind w:firstLine="424" w:firstLineChars="202"/>
        <w:textAlignment w:val="bottom"/>
        <w:rPr>
          <w:rFonts w:hint="eastAsia" w:ascii="宋体" w:hAnsi="宋体" w:cs="宋体"/>
          <w:color w:val="auto"/>
          <w:szCs w:val="21"/>
          <w:highlight w:val="none"/>
        </w:rPr>
      </w:pPr>
      <w:r>
        <w:rPr>
          <w:rFonts w:hint="eastAsia" w:ascii="宋体" w:hAnsi="宋体" w:cs="宋体"/>
          <w:color w:val="auto"/>
          <w:szCs w:val="21"/>
          <w:highlight w:val="none"/>
        </w:rPr>
        <w:t>履约保证金金额：每分标按中标金额的</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%（注：履约保证金不超过</w:t>
      </w:r>
      <w:r>
        <w:rPr>
          <w:rFonts w:ascii="宋体" w:hAnsi="宋体" w:cs="宋体"/>
          <w:color w:val="auto"/>
          <w:szCs w:val="21"/>
          <w:highlight w:val="none"/>
        </w:rPr>
        <w:t>5</w:t>
      </w:r>
      <w:r>
        <w:rPr>
          <w:rFonts w:hint="eastAsia" w:ascii="宋体" w:hAnsi="宋体" w:cs="宋体"/>
          <w:color w:val="auto"/>
          <w:szCs w:val="21"/>
          <w:highlight w:val="none"/>
        </w:rPr>
        <w:t>%）。</w:t>
      </w:r>
    </w:p>
    <w:p w14:paraId="51A4019B">
      <w:pPr>
        <w:keepNext w:val="0"/>
        <w:keepLines w:val="0"/>
        <w:pageBreakBefore w:val="0"/>
        <w:widowControl w:val="0"/>
        <w:kinsoku/>
        <w:wordWrap/>
        <w:overflowPunct/>
        <w:topLinePunct w:val="0"/>
        <w:autoSpaceDE w:val="0"/>
        <w:autoSpaceDN w:val="0"/>
        <w:bidi w:val="0"/>
        <w:adjustRightInd/>
        <w:snapToGrid w:val="0"/>
        <w:spacing w:line="400" w:lineRule="exact"/>
        <w:ind w:firstLine="424" w:firstLineChars="202"/>
        <w:textAlignment w:val="bottom"/>
        <w:rPr>
          <w:rFonts w:hint="eastAsia" w:ascii="宋体" w:hAnsi="宋体" w:cs="宋体"/>
          <w:color w:val="auto"/>
          <w:szCs w:val="21"/>
          <w:highlight w:val="none"/>
        </w:rPr>
      </w:pPr>
      <w:r>
        <w:rPr>
          <w:rFonts w:hint="eastAsia" w:ascii="宋体" w:hAnsi="宋体" w:cs="宋体"/>
          <w:color w:val="auto"/>
          <w:szCs w:val="21"/>
          <w:highlight w:val="none"/>
        </w:rPr>
        <w:t>履约保证金递交方式：支票、汇票、本票或者金融、担保机构出具的保函等非现金方式（参照投标保证金）。</w:t>
      </w:r>
    </w:p>
    <w:p w14:paraId="5B86FA41">
      <w:pPr>
        <w:keepNext w:val="0"/>
        <w:keepLines w:val="0"/>
        <w:pageBreakBefore w:val="0"/>
        <w:widowControl w:val="0"/>
        <w:kinsoku/>
        <w:wordWrap/>
        <w:overflowPunct/>
        <w:topLinePunct w:val="0"/>
        <w:autoSpaceDE w:val="0"/>
        <w:autoSpaceDN w:val="0"/>
        <w:bidi w:val="0"/>
        <w:adjustRightInd/>
        <w:snapToGrid w:val="0"/>
        <w:spacing w:line="400" w:lineRule="exact"/>
        <w:ind w:firstLine="424" w:firstLineChars="202"/>
        <w:textAlignment w:val="bottom"/>
        <w:rPr>
          <w:rFonts w:hint="eastAsia" w:ascii="宋体" w:hAnsi="宋体" w:cs="宋体"/>
          <w:color w:val="auto"/>
          <w:szCs w:val="21"/>
          <w:highlight w:val="none"/>
        </w:rPr>
      </w:pPr>
      <w:r>
        <w:rPr>
          <w:rFonts w:hint="eastAsia" w:ascii="宋体" w:hAnsi="宋体" w:cs="宋体"/>
          <w:color w:val="auto"/>
          <w:szCs w:val="21"/>
          <w:highlight w:val="none"/>
        </w:rPr>
        <w:t>履约保证金退付方式、时间及条件：由中标人向履约保证金收取单位提供《广西壮族自治区政府采购项目合同验收书》（详见桂财采〔2015〕22号），保证金收取单位在收到合格材料后5个工作日内办理退还手续（不计利息）。</w:t>
      </w:r>
    </w:p>
    <w:p w14:paraId="0B5EF537">
      <w:pPr>
        <w:keepNext w:val="0"/>
        <w:keepLines w:val="0"/>
        <w:pageBreakBefore w:val="0"/>
        <w:widowControl w:val="0"/>
        <w:kinsoku/>
        <w:wordWrap/>
        <w:overflowPunct/>
        <w:topLinePunct w:val="0"/>
        <w:autoSpaceDE w:val="0"/>
        <w:autoSpaceDN w:val="0"/>
        <w:bidi w:val="0"/>
        <w:adjustRightInd/>
        <w:snapToGrid w:val="0"/>
        <w:spacing w:line="400" w:lineRule="exact"/>
        <w:ind w:firstLine="424" w:firstLineChars="202"/>
        <w:textAlignment w:val="bottom"/>
        <w:rPr>
          <w:rFonts w:hint="eastAsia" w:ascii="宋体" w:hAnsi="宋体" w:cs="宋体"/>
          <w:color w:val="auto"/>
          <w:szCs w:val="21"/>
          <w:highlight w:val="none"/>
        </w:rPr>
      </w:pPr>
      <w:r>
        <w:rPr>
          <w:rFonts w:hint="eastAsia" w:ascii="宋体" w:hAnsi="宋体" w:cs="宋体"/>
          <w:color w:val="auto"/>
          <w:szCs w:val="21"/>
          <w:highlight w:val="none"/>
        </w:rPr>
        <w:t>签订合同后，如中标人不按双方签订的合同规定履约，则没收其全部履约保证金，履约保证金不足以赔偿损失的，按实际损失赔偿。</w:t>
      </w:r>
    </w:p>
    <w:p w14:paraId="5534660C">
      <w:pPr>
        <w:keepNext w:val="0"/>
        <w:keepLines w:val="0"/>
        <w:pageBreakBefore w:val="0"/>
        <w:widowControl w:val="0"/>
        <w:kinsoku/>
        <w:wordWrap/>
        <w:overflowPunct/>
        <w:topLinePunct w:val="0"/>
        <w:bidi w:val="0"/>
        <w:adjustRightInd/>
        <w:snapToGrid w:val="0"/>
        <w:spacing w:line="400" w:lineRule="exact"/>
        <w:ind w:left="-61" w:firstLine="514"/>
        <w:rPr>
          <w:rFonts w:hint="eastAsia" w:ascii="宋体" w:hAnsi="宋体"/>
          <w:b/>
          <w:color w:val="auto"/>
          <w:szCs w:val="21"/>
          <w:highlight w:val="none"/>
        </w:rPr>
      </w:pPr>
      <w:r>
        <w:rPr>
          <w:rFonts w:hint="eastAsia" w:ascii="宋体" w:hAnsi="宋体"/>
          <w:b/>
          <w:color w:val="auto"/>
          <w:szCs w:val="21"/>
          <w:highlight w:val="none"/>
        </w:rPr>
        <w:t>第十条  税费</w:t>
      </w:r>
    </w:p>
    <w:p w14:paraId="659C8047">
      <w:pPr>
        <w:keepNext w:val="0"/>
        <w:keepLines w:val="0"/>
        <w:pageBreakBefore w:val="0"/>
        <w:widowControl w:val="0"/>
        <w:kinsoku/>
        <w:wordWrap/>
        <w:overflowPunct/>
        <w:topLinePunct w:val="0"/>
        <w:bidi w:val="0"/>
        <w:adjustRightInd/>
        <w:snapToGrid w:val="0"/>
        <w:spacing w:line="400" w:lineRule="exact"/>
        <w:ind w:left="-61" w:firstLine="514"/>
        <w:rPr>
          <w:rFonts w:hint="eastAsia" w:ascii="宋体" w:hAnsi="宋体"/>
          <w:color w:val="auto"/>
          <w:szCs w:val="21"/>
          <w:highlight w:val="none"/>
        </w:rPr>
      </w:pPr>
      <w:r>
        <w:rPr>
          <w:rFonts w:hint="eastAsia" w:ascii="宋体" w:hAnsi="宋体"/>
          <w:color w:val="auto"/>
          <w:szCs w:val="21"/>
          <w:highlight w:val="none"/>
        </w:rPr>
        <w:t>本合同执行中相关的一切税费均由乙方负担，合同另有约定的除外。</w:t>
      </w:r>
    </w:p>
    <w:p w14:paraId="37BC89C0">
      <w:pPr>
        <w:keepNext w:val="0"/>
        <w:keepLines w:val="0"/>
        <w:pageBreakBefore w:val="0"/>
        <w:widowControl w:val="0"/>
        <w:kinsoku/>
        <w:wordWrap/>
        <w:overflowPunct/>
        <w:topLinePunct w:val="0"/>
        <w:bidi w:val="0"/>
        <w:adjustRightInd/>
        <w:snapToGrid w:val="0"/>
        <w:spacing w:line="400" w:lineRule="exact"/>
        <w:ind w:left="-61" w:firstLine="514"/>
        <w:rPr>
          <w:rFonts w:hint="eastAsia" w:ascii="宋体" w:hAnsi="宋体"/>
          <w:color w:val="auto"/>
          <w:szCs w:val="21"/>
          <w:highlight w:val="none"/>
        </w:rPr>
      </w:pPr>
      <w:r>
        <w:rPr>
          <w:rFonts w:hint="eastAsia" w:ascii="宋体" w:hAnsi="宋体"/>
          <w:b/>
          <w:color w:val="auto"/>
          <w:szCs w:val="21"/>
          <w:highlight w:val="none"/>
        </w:rPr>
        <w:t>第十一条  质量保证及售后服务</w:t>
      </w:r>
    </w:p>
    <w:p w14:paraId="0C3CFF59">
      <w:pPr>
        <w:pStyle w:val="15"/>
        <w:keepNext w:val="0"/>
        <w:keepLines w:val="0"/>
        <w:pageBreakBefore w:val="0"/>
        <w:widowControl w:val="0"/>
        <w:kinsoku/>
        <w:wordWrap/>
        <w:overflowPunct/>
        <w:topLinePunct w:val="0"/>
        <w:bidi w:val="0"/>
        <w:adjustRightInd/>
        <w:snapToGrid w:val="0"/>
        <w:spacing w:line="400" w:lineRule="exact"/>
        <w:ind w:firstLine="420" w:firstLineChars="200"/>
        <w:rPr>
          <w:rFonts w:hint="eastAsia" w:hAnsi="宋体"/>
          <w:color w:val="auto"/>
          <w:sz w:val="21"/>
          <w:highlight w:val="none"/>
        </w:rPr>
      </w:pPr>
      <w:r>
        <w:rPr>
          <w:rFonts w:hint="eastAsia" w:hAnsi="宋体"/>
          <w:bCs/>
          <w:color w:val="auto"/>
          <w:sz w:val="21"/>
          <w:highlight w:val="none"/>
        </w:rPr>
        <w:t>1.</w:t>
      </w:r>
      <w:r>
        <w:rPr>
          <w:rFonts w:hint="eastAsia" w:hAnsi="宋体"/>
          <w:color w:val="auto"/>
          <w:sz w:val="21"/>
          <w:highlight w:val="none"/>
        </w:rPr>
        <w:t>乙方应按招标文件规定的产品名称、商标品牌、生产厂家、规格型号、技术参数、质量标准向甲方提供未经使用的全新产品。不符合要求的，根据实际情况，经双方协商，可按以下办法处理：</w:t>
      </w:r>
    </w:p>
    <w:p w14:paraId="3A402B84">
      <w:pPr>
        <w:pStyle w:val="15"/>
        <w:keepNext w:val="0"/>
        <w:keepLines w:val="0"/>
        <w:pageBreakBefore w:val="0"/>
        <w:widowControl w:val="0"/>
        <w:kinsoku/>
        <w:wordWrap/>
        <w:overflowPunct/>
        <w:topLinePunct w:val="0"/>
        <w:bidi w:val="0"/>
        <w:adjustRightInd/>
        <w:snapToGrid w:val="0"/>
        <w:spacing w:line="400" w:lineRule="exact"/>
        <w:ind w:firstLine="420" w:firstLineChars="200"/>
        <w:rPr>
          <w:rFonts w:hint="eastAsia" w:hAnsi="宋体"/>
          <w:color w:val="auto"/>
          <w:sz w:val="21"/>
          <w:highlight w:val="none"/>
        </w:rPr>
      </w:pPr>
      <w:r>
        <w:rPr>
          <w:rFonts w:hint="eastAsia" w:hAnsi="宋体"/>
          <w:color w:val="auto"/>
          <w:sz w:val="21"/>
          <w:highlight w:val="none"/>
        </w:rPr>
        <w:t>⑴更换：由乙方承担所发生的全部费用。</w:t>
      </w:r>
    </w:p>
    <w:p w14:paraId="5621303C">
      <w:pPr>
        <w:pStyle w:val="15"/>
        <w:keepNext w:val="0"/>
        <w:keepLines w:val="0"/>
        <w:pageBreakBefore w:val="0"/>
        <w:widowControl w:val="0"/>
        <w:kinsoku/>
        <w:wordWrap/>
        <w:overflowPunct/>
        <w:topLinePunct w:val="0"/>
        <w:bidi w:val="0"/>
        <w:adjustRightInd/>
        <w:snapToGrid w:val="0"/>
        <w:spacing w:line="400" w:lineRule="exact"/>
        <w:ind w:firstLine="420"/>
        <w:rPr>
          <w:rFonts w:hint="eastAsia" w:hAnsi="宋体"/>
          <w:color w:val="auto"/>
          <w:sz w:val="21"/>
          <w:highlight w:val="none"/>
        </w:rPr>
      </w:pPr>
      <w:r>
        <w:rPr>
          <w:rFonts w:hint="eastAsia" w:hAnsi="宋体"/>
          <w:color w:val="auto"/>
          <w:sz w:val="21"/>
          <w:highlight w:val="none"/>
        </w:rPr>
        <w:t>⑵贬值处理：由甲乙双方合议定价。</w:t>
      </w:r>
    </w:p>
    <w:p w14:paraId="2F925D26">
      <w:pPr>
        <w:pStyle w:val="15"/>
        <w:keepNext w:val="0"/>
        <w:keepLines w:val="0"/>
        <w:pageBreakBefore w:val="0"/>
        <w:widowControl w:val="0"/>
        <w:kinsoku/>
        <w:wordWrap/>
        <w:overflowPunct/>
        <w:topLinePunct w:val="0"/>
        <w:bidi w:val="0"/>
        <w:adjustRightInd/>
        <w:snapToGrid w:val="0"/>
        <w:spacing w:line="400" w:lineRule="exact"/>
        <w:ind w:firstLine="420"/>
        <w:rPr>
          <w:rFonts w:hint="eastAsia" w:hAnsi="宋体"/>
          <w:color w:val="auto"/>
          <w:sz w:val="21"/>
          <w:highlight w:val="none"/>
        </w:rPr>
      </w:pPr>
      <w:r>
        <w:rPr>
          <w:rFonts w:hint="eastAsia" w:hAnsi="宋体"/>
          <w:color w:val="auto"/>
          <w:sz w:val="21"/>
          <w:highlight w:val="none"/>
        </w:rPr>
        <w:t>⑶退货处理：乙方应退还甲方支付的合同款，同时应承担该货物的直接费用（运输、保险、检验、货款利息及银行手续费等）。</w:t>
      </w:r>
    </w:p>
    <w:p w14:paraId="56EEB5BD">
      <w:pPr>
        <w:pStyle w:val="15"/>
        <w:keepNext w:val="0"/>
        <w:keepLines w:val="0"/>
        <w:pageBreakBefore w:val="0"/>
        <w:widowControl w:val="0"/>
        <w:kinsoku/>
        <w:wordWrap/>
        <w:overflowPunct/>
        <w:topLinePunct w:val="0"/>
        <w:bidi w:val="0"/>
        <w:adjustRightInd/>
        <w:snapToGrid w:val="0"/>
        <w:spacing w:line="400" w:lineRule="exact"/>
        <w:ind w:firstLine="420" w:firstLineChars="200"/>
        <w:rPr>
          <w:rFonts w:hint="eastAsia" w:hAnsi="宋体"/>
          <w:color w:val="auto"/>
          <w:sz w:val="21"/>
          <w:highlight w:val="none"/>
        </w:rPr>
      </w:pPr>
      <w:r>
        <w:rPr>
          <w:rFonts w:hint="eastAsia" w:hAnsi="宋体"/>
          <w:color w:val="auto"/>
          <w:sz w:val="21"/>
          <w:highlight w:val="none"/>
        </w:rPr>
        <w:t>2.如在使用过程中发生质量问题，乙方在接到甲方通知后到达甲方现场处理的时间（</w:t>
      </w:r>
      <w:r>
        <w:rPr>
          <w:rFonts w:hint="eastAsia" w:hAnsi="宋体"/>
          <w:color w:val="auto"/>
          <w:sz w:val="21"/>
          <w:highlight w:val="none"/>
          <w:u w:val="single"/>
        </w:rPr>
        <w:t>按投标文件承诺的数据填写</w:t>
      </w:r>
      <w:r>
        <w:rPr>
          <w:rFonts w:hint="eastAsia" w:hAnsi="宋体"/>
          <w:color w:val="auto"/>
          <w:sz w:val="21"/>
          <w:highlight w:val="none"/>
        </w:rPr>
        <w:t>）小时内。</w:t>
      </w:r>
    </w:p>
    <w:p w14:paraId="652331CA">
      <w:pPr>
        <w:pStyle w:val="15"/>
        <w:keepNext w:val="0"/>
        <w:keepLines w:val="0"/>
        <w:pageBreakBefore w:val="0"/>
        <w:widowControl w:val="0"/>
        <w:kinsoku/>
        <w:wordWrap/>
        <w:overflowPunct/>
        <w:topLinePunct w:val="0"/>
        <w:bidi w:val="0"/>
        <w:adjustRightInd/>
        <w:snapToGrid w:val="0"/>
        <w:spacing w:line="400" w:lineRule="exact"/>
        <w:ind w:firstLine="420" w:firstLineChars="200"/>
        <w:rPr>
          <w:rFonts w:hint="eastAsia" w:hAnsi="宋体"/>
          <w:color w:val="auto"/>
          <w:sz w:val="21"/>
          <w:highlight w:val="none"/>
        </w:rPr>
      </w:pPr>
      <w:r>
        <w:rPr>
          <w:rFonts w:hint="eastAsia" w:hAnsi="宋体"/>
          <w:color w:val="auto"/>
          <w:sz w:val="21"/>
          <w:highlight w:val="none"/>
        </w:rPr>
        <w:t>3.在保修期内，乙方应对货物出现的质量及安全问题负责处理解决并承担一切费用。</w:t>
      </w:r>
    </w:p>
    <w:p w14:paraId="32137E99">
      <w:pPr>
        <w:keepNext w:val="0"/>
        <w:keepLines w:val="0"/>
        <w:pageBreakBefore w:val="0"/>
        <w:widowControl w:val="0"/>
        <w:kinsoku/>
        <w:wordWrap/>
        <w:overflowPunct/>
        <w:topLinePunct w:val="0"/>
        <w:bidi w:val="0"/>
        <w:adjustRightInd/>
        <w:snapToGrid w:val="0"/>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4.上述的货物保修期为</w:t>
      </w:r>
      <w:r>
        <w:rPr>
          <w:rFonts w:hint="eastAsia" w:ascii="宋体" w:hAnsi="宋体"/>
          <w:color w:val="auto"/>
          <w:szCs w:val="21"/>
          <w:highlight w:val="none"/>
          <w:u w:val="single"/>
        </w:rPr>
        <w:t xml:space="preserve">     </w:t>
      </w:r>
      <w:r>
        <w:rPr>
          <w:rFonts w:hint="eastAsia" w:ascii="宋体" w:hAnsi="宋体"/>
          <w:color w:val="auto"/>
          <w:szCs w:val="21"/>
          <w:highlight w:val="none"/>
        </w:rPr>
        <w:t>年，因人为因素出现的故障不在免费保修范围内。超过保修期的机器设备，终生维修，</w:t>
      </w:r>
      <w:r>
        <w:rPr>
          <w:rFonts w:hint="eastAsia" w:ascii="宋体" w:hAnsi="宋体"/>
          <w:color w:val="auto"/>
          <w:szCs w:val="21"/>
          <w:highlight w:val="none"/>
          <w:lang w:eastAsia="zh-CN"/>
        </w:rPr>
        <w:t>以优惠价格提供维修和备件更换，且免除一切手续费。</w:t>
      </w:r>
    </w:p>
    <w:p w14:paraId="3ADA3194">
      <w:pPr>
        <w:keepNext w:val="0"/>
        <w:keepLines w:val="0"/>
        <w:pageBreakBefore w:val="0"/>
        <w:widowControl w:val="0"/>
        <w:kinsoku/>
        <w:wordWrap/>
        <w:overflowPunct/>
        <w:topLinePunct w:val="0"/>
        <w:bidi w:val="0"/>
        <w:adjustRightInd/>
        <w:snapToGrid w:val="0"/>
        <w:spacing w:line="400" w:lineRule="exact"/>
        <w:ind w:left="-61" w:firstLine="514"/>
        <w:rPr>
          <w:rFonts w:hint="eastAsia" w:ascii="宋体" w:hAnsi="宋体"/>
          <w:color w:val="auto"/>
          <w:szCs w:val="21"/>
          <w:highlight w:val="none"/>
        </w:rPr>
      </w:pPr>
      <w:r>
        <w:rPr>
          <w:rFonts w:hint="eastAsia" w:ascii="宋体" w:hAnsi="宋体"/>
          <w:b/>
          <w:color w:val="auto"/>
          <w:szCs w:val="21"/>
          <w:highlight w:val="none"/>
        </w:rPr>
        <w:t>第十二条  调试和验收（本条款适用于甲方自行验收，委托第三方验收的另行规定）</w:t>
      </w:r>
    </w:p>
    <w:p w14:paraId="2312E7F3">
      <w:pPr>
        <w:pStyle w:val="15"/>
        <w:keepNext w:val="0"/>
        <w:keepLines w:val="0"/>
        <w:pageBreakBefore w:val="0"/>
        <w:widowControl w:val="0"/>
        <w:kinsoku/>
        <w:wordWrap/>
        <w:overflowPunct/>
        <w:topLinePunct w:val="0"/>
        <w:bidi w:val="0"/>
        <w:adjustRightInd/>
        <w:snapToGrid w:val="0"/>
        <w:spacing w:line="400" w:lineRule="exact"/>
        <w:ind w:firstLine="420" w:firstLineChars="200"/>
        <w:rPr>
          <w:rFonts w:hint="eastAsia" w:ascii="宋体" w:hAnsi="宋体" w:eastAsia="宋体" w:cs="Times New Roman"/>
          <w:color w:val="auto"/>
          <w:sz w:val="21"/>
          <w:highlight w:val="none"/>
        </w:rPr>
      </w:pPr>
      <w:r>
        <w:rPr>
          <w:rFonts w:hint="eastAsia" w:hAnsi="宋体"/>
          <w:color w:val="auto"/>
          <w:sz w:val="21"/>
          <w:highlight w:val="none"/>
        </w:rPr>
        <w:t>1</w:t>
      </w:r>
      <w:r>
        <w:rPr>
          <w:rFonts w:hint="eastAsia" w:ascii="宋体" w:hAnsi="宋体" w:eastAsia="宋体" w:cs="Times New Roman"/>
          <w:color w:val="auto"/>
          <w:sz w:val="21"/>
          <w:highlight w:val="none"/>
        </w:rPr>
        <w:t>.合同设备安装、调试、培训完成，乙方完善验收所需材料后 10 个工作日内由甲乙双方共同按国家有关的规定、规范进行最终验收。验收完毕做出验收结果报告并加盖采购单位公章，甲乙双方各执一份。如果中标货物属国家相关法律规定的法定检验设备，检定费用由乙方负责。验收时间应在相关专业机构检验并出具合格证明后进行。</w:t>
      </w:r>
    </w:p>
    <w:p w14:paraId="57CD3132">
      <w:pPr>
        <w:pStyle w:val="15"/>
        <w:keepNext w:val="0"/>
        <w:keepLines w:val="0"/>
        <w:pageBreakBefore w:val="0"/>
        <w:widowControl w:val="0"/>
        <w:kinsoku/>
        <w:wordWrap/>
        <w:overflowPunct/>
        <w:topLinePunct w:val="0"/>
        <w:bidi w:val="0"/>
        <w:adjustRightInd/>
        <w:snapToGrid w:val="0"/>
        <w:spacing w:line="400" w:lineRule="exact"/>
        <w:ind w:firstLine="420" w:firstLineChars="200"/>
        <w:rPr>
          <w:rFonts w:hint="eastAsia" w:hAnsi="宋体"/>
          <w:color w:val="auto"/>
          <w:sz w:val="21"/>
          <w:highlight w:val="none"/>
        </w:rPr>
      </w:pPr>
      <w:r>
        <w:rPr>
          <w:rFonts w:hint="eastAsia" w:hAnsi="宋体"/>
          <w:color w:val="auto"/>
          <w:sz w:val="21"/>
          <w:highlight w:val="none"/>
        </w:rPr>
        <w:t>2.乙方交货前应对产品作出全面检查和对验收文件进行整理，并列出清单，作为甲方收货验收和使用的技术条件依据，检验的结果应随货物交甲方。</w:t>
      </w:r>
    </w:p>
    <w:p w14:paraId="11B60340">
      <w:pPr>
        <w:pStyle w:val="15"/>
        <w:keepNext w:val="0"/>
        <w:keepLines w:val="0"/>
        <w:pageBreakBefore w:val="0"/>
        <w:widowControl w:val="0"/>
        <w:kinsoku/>
        <w:wordWrap/>
        <w:overflowPunct/>
        <w:topLinePunct w:val="0"/>
        <w:bidi w:val="0"/>
        <w:adjustRightInd/>
        <w:snapToGrid w:val="0"/>
        <w:spacing w:line="400" w:lineRule="exact"/>
        <w:ind w:firstLine="420" w:firstLineChars="200"/>
        <w:rPr>
          <w:rFonts w:hint="eastAsia" w:hAnsi="宋体"/>
          <w:color w:val="auto"/>
          <w:sz w:val="21"/>
          <w:highlight w:val="none"/>
        </w:rPr>
      </w:pPr>
      <w:r>
        <w:rPr>
          <w:rFonts w:hint="eastAsia" w:hAnsi="宋体"/>
          <w:color w:val="auto"/>
          <w:sz w:val="21"/>
          <w:highlight w:val="none"/>
        </w:rPr>
        <w:t>3.甲方对乙方提供的货物在使用前进行调试时，乙方需负责安装并培训甲方的使用操作人员，并协助甲方一起调试，直到符合技术要求，甲方才做最终验收。</w:t>
      </w:r>
    </w:p>
    <w:p w14:paraId="2F179615">
      <w:pPr>
        <w:pStyle w:val="15"/>
        <w:keepNext w:val="0"/>
        <w:keepLines w:val="0"/>
        <w:pageBreakBefore w:val="0"/>
        <w:widowControl w:val="0"/>
        <w:kinsoku/>
        <w:wordWrap/>
        <w:overflowPunct/>
        <w:topLinePunct w:val="0"/>
        <w:bidi w:val="0"/>
        <w:adjustRightInd/>
        <w:snapToGrid w:val="0"/>
        <w:spacing w:line="400" w:lineRule="exact"/>
        <w:ind w:firstLine="420" w:firstLineChars="200"/>
        <w:rPr>
          <w:rFonts w:hint="eastAsia" w:hAnsi="宋体"/>
          <w:color w:val="auto"/>
          <w:sz w:val="21"/>
          <w:highlight w:val="none"/>
        </w:rPr>
      </w:pPr>
      <w:r>
        <w:rPr>
          <w:rFonts w:hint="eastAsia" w:hAnsi="宋体"/>
          <w:color w:val="auto"/>
          <w:sz w:val="21"/>
          <w:highlight w:val="none"/>
        </w:rPr>
        <w:t>4.对技术复杂的货物，甲方应请国家认可的专业检测机构参与初步验收及最终验收，并由其出具质量检测报告。</w:t>
      </w:r>
    </w:p>
    <w:p w14:paraId="3052EE26">
      <w:pPr>
        <w:keepNext w:val="0"/>
        <w:keepLines w:val="0"/>
        <w:pageBreakBefore w:val="0"/>
        <w:widowControl w:val="0"/>
        <w:kinsoku/>
        <w:wordWrap/>
        <w:overflowPunct/>
        <w:topLinePunct w:val="0"/>
        <w:bidi w:val="0"/>
        <w:adjustRightInd/>
        <w:snapToGrid w:val="0"/>
        <w:spacing w:line="400" w:lineRule="exact"/>
        <w:ind w:left="-61" w:firstLine="514"/>
        <w:rPr>
          <w:rFonts w:hint="eastAsia" w:ascii="宋体" w:hAnsi="宋体"/>
          <w:color w:val="auto"/>
          <w:szCs w:val="21"/>
          <w:highlight w:val="none"/>
        </w:rPr>
      </w:pPr>
      <w:r>
        <w:rPr>
          <w:rFonts w:hint="eastAsia" w:ascii="宋体" w:hAnsi="宋体"/>
          <w:color w:val="auto"/>
          <w:szCs w:val="21"/>
          <w:highlight w:val="none"/>
        </w:rPr>
        <w:t>5. 验收时乙方必须在现场，验收完毕后作出验收结果报告；验收费用按招标文件约定承担方负责。</w:t>
      </w:r>
    </w:p>
    <w:p w14:paraId="4E0FD1AB">
      <w:pPr>
        <w:pStyle w:val="15"/>
        <w:keepNext w:val="0"/>
        <w:keepLines w:val="0"/>
        <w:pageBreakBefore w:val="0"/>
        <w:widowControl w:val="0"/>
        <w:kinsoku/>
        <w:wordWrap/>
        <w:overflowPunct/>
        <w:topLinePunct w:val="0"/>
        <w:bidi w:val="0"/>
        <w:adjustRightInd/>
        <w:snapToGrid w:val="0"/>
        <w:spacing w:line="400" w:lineRule="exact"/>
        <w:ind w:firstLine="413" w:firstLineChars="196"/>
        <w:rPr>
          <w:rFonts w:hint="eastAsia" w:hAnsi="宋体"/>
          <w:b/>
          <w:color w:val="auto"/>
          <w:sz w:val="21"/>
          <w:highlight w:val="none"/>
        </w:rPr>
      </w:pPr>
      <w:r>
        <w:rPr>
          <w:rFonts w:hint="eastAsia" w:hAnsi="宋体"/>
          <w:b/>
          <w:color w:val="auto"/>
          <w:sz w:val="21"/>
          <w:highlight w:val="none"/>
        </w:rPr>
        <w:t>第十三条  货物包装、发运及运输</w:t>
      </w:r>
    </w:p>
    <w:p w14:paraId="05A3F68B">
      <w:pPr>
        <w:pStyle w:val="15"/>
        <w:keepNext w:val="0"/>
        <w:keepLines w:val="0"/>
        <w:pageBreakBefore w:val="0"/>
        <w:widowControl w:val="0"/>
        <w:kinsoku/>
        <w:wordWrap/>
        <w:overflowPunct/>
        <w:topLinePunct w:val="0"/>
        <w:bidi w:val="0"/>
        <w:adjustRightInd/>
        <w:snapToGrid w:val="0"/>
        <w:spacing w:line="400" w:lineRule="exact"/>
        <w:ind w:firstLine="420" w:firstLineChars="200"/>
        <w:rPr>
          <w:rFonts w:hint="eastAsia" w:hAnsi="宋体"/>
          <w:color w:val="auto"/>
          <w:sz w:val="21"/>
          <w:highlight w:val="none"/>
        </w:rPr>
      </w:pPr>
      <w:r>
        <w:rPr>
          <w:rFonts w:hint="eastAsia" w:hAnsi="宋体"/>
          <w:color w:val="auto"/>
          <w:sz w:val="21"/>
          <w:highlight w:val="none"/>
        </w:rPr>
        <w:t>1.乙方应在货物发运前对其进行满足运输距离、防潮、防震、防锈和防破损装卸等要求包装，以保证货物安全运达甲方指定地点。</w:t>
      </w:r>
    </w:p>
    <w:p w14:paraId="43187923">
      <w:pPr>
        <w:pStyle w:val="15"/>
        <w:keepNext w:val="0"/>
        <w:keepLines w:val="0"/>
        <w:pageBreakBefore w:val="0"/>
        <w:widowControl w:val="0"/>
        <w:kinsoku/>
        <w:wordWrap/>
        <w:overflowPunct/>
        <w:topLinePunct w:val="0"/>
        <w:bidi w:val="0"/>
        <w:adjustRightInd/>
        <w:snapToGrid w:val="0"/>
        <w:spacing w:line="400" w:lineRule="exact"/>
        <w:ind w:firstLine="420" w:firstLineChars="200"/>
        <w:rPr>
          <w:rFonts w:hint="eastAsia" w:hAnsi="宋体"/>
          <w:color w:val="auto"/>
          <w:sz w:val="21"/>
          <w:highlight w:val="none"/>
        </w:rPr>
      </w:pPr>
      <w:r>
        <w:rPr>
          <w:rFonts w:hint="eastAsia" w:hAnsi="宋体"/>
          <w:color w:val="auto"/>
          <w:sz w:val="21"/>
          <w:highlight w:val="none"/>
        </w:rPr>
        <w:t>2. 使用说明书（货物属于进口产品的，供货时应同时附上中文使用说明书）、质量检验证明书、随配附件和工具以及清单一并附于货物内。</w:t>
      </w:r>
    </w:p>
    <w:p w14:paraId="28AF849C">
      <w:pPr>
        <w:pStyle w:val="15"/>
        <w:keepNext w:val="0"/>
        <w:keepLines w:val="0"/>
        <w:pageBreakBefore w:val="0"/>
        <w:widowControl w:val="0"/>
        <w:kinsoku/>
        <w:wordWrap/>
        <w:overflowPunct/>
        <w:topLinePunct w:val="0"/>
        <w:bidi w:val="0"/>
        <w:adjustRightInd/>
        <w:snapToGrid w:val="0"/>
        <w:spacing w:line="400" w:lineRule="exact"/>
        <w:ind w:firstLine="420" w:firstLineChars="200"/>
        <w:rPr>
          <w:rFonts w:hint="eastAsia" w:hAnsi="宋体"/>
          <w:color w:val="auto"/>
          <w:sz w:val="21"/>
          <w:highlight w:val="none"/>
        </w:rPr>
      </w:pPr>
      <w:r>
        <w:rPr>
          <w:rFonts w:hint="eastAsia" w:hAnsi="宋体"/>
          <w:color w:val="auto"/>
          <w:sz w:val="21"/>
          <w:highlight w:val="none"/>
        </w:rPr>
        <w:t>3.乙方在货物发运手续办理完毕后二十四小时内或者货到甲方四十八小时前通知甲方，以准备接货。</w:t>
      </w:r>
    </w:p>
    <w:p w14:paraId="14BAC07C">
      <w:pPr>
        <w:pStyle w:val="15"/>
        <w:keepNext w:val="0"/>
        <w:keepLines w:val="0"/>
        <w:pageBreakBefore w:val="0"/>
        <w:widowControl w:val="0"/>
        <w:kinsoku/>
        <w:wordWrap/>
        <w:overflowPunct/>
        <w:topLinePunct w:val="0"/>
        <w:bidi w:val="0"/>
        <w:adjustRightInd/>
        <w:snapToGrid w:val="0"/>
        <w:spacing w:line="400" w:lineRule="exact"/>
        <w:ind w:firstLine="420" w:firstLineChars="200"/>
        <w:rPr>
          <w:rFonts w:hint="eastAsia" w:hAnsi="宋体"/>
          <w:color w:val="auto"/>
          <w:sz w:val="21"/>
          <w:highlight w:val="none"/>
        </w:rPr>
      </w:pPr>
      <w:r>
        <w:rPr>
          <w:rFonts w:hint="eastAsia" w:hAnsi="宋体"/>
          <w:color w:val="auto"/>
          <w:sz w:val="21"/>
          <w:highlight w:val="none"/>
        </w:rPr>
        <w:t>4.货物在交付甲方前发生的风险均由乙方负责。</w:t>
      </w:r>
    </w:p>
    <w:p w14:paraId="26F86FE9">
      <w:pPr>
        <w:pStyle w:val="15"/>
        <w:keepNext w:val="0"/>
        <w:keepLines w:val="0"/>
        <w:pageBreakBefore w:val="0"/>
        <w:widowControl w:val="0"/>
        <w:kinsoku/>
        <w:wordWrap/>
        <w:overflowPunct/>
        <w:topLinePunct w:val="0"/>
        <w:bidi w:val="0"/>
        <w:adjustRightInd/>
        <w:snapToGrid w:val="0"/>
        <w:spacing w:line="400" w:lineRule="exact"/>
        <w:ind w:firstLine="420" w:firstLineChars="200"/>
        <w:rPr>
          <w:rFonts w:hint="eastAsia" w:hAnsi="宋体"/>
          <w:color w:val="auto"/>
          <w:sz w:val="21"/>
          <w:highlight w:val="none"/>
        </w:rPr>
      </w:pPr>
      <w:r>
        <w:rPr>
          <w:rFonts w:hint="eastAsia" w:hAnsi="宋体"/>
          <w:color w:val="auto"/>
          <w:sz w:val="21"/>
          <w:highlight w:val="none"/>
        </w:rPr>
        <w:t>5.货物在规</w:t>
      </w:r>
      <w:r>
        <w:rPr>
          <w:rFonts w:hint="eastAsia" w:hAnsi="宋体"/>
          <w:color w:val="auto"/>
          <w:spacing w:val="-8"/>
          <w:sz w:val="21"/>
          <w:highlight w:val="none"/>
        </w:rPr>
        <w:t>定的交付期限内由乙方送达甲方指定的地点视为交付，乙方同时需通知甲方货物已送达。</w:t>
      </w:r>
    </w:p>
    <w:p w14:paraId="5070D227">
      <w:pPr>
        <w:keepNext w:val="0"/>
        <w:keepLines w:val="0"/>
        <w:pageBreakBefore w:val="0"/>
        <w:widowControl w:val="0"/>
        <w:kinsoku/>
        <w:wordWrap/>
        <w:overflowPunct/>
        <w:topLinePunct w:val="0"/>
        <w:bidi w:val="0"/>
        <w:adjustRightInd/>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第十四条　违约责任</w:t>
      </w:r>
    </w:p>
    <w:p w14:paraId="6F9F0D2C">
      <w:pPr>
        <w:pStyle w:val="15"/>
        <w:keepNext w:val="0"/>
        <w:keepLines w:val="0"/>
        <w:pageBreakBefore w:val="0"/>
        <w:widowControl w:val="0"/>
        <w:kinsoku/>
        <w:wordWrap/>
        <w:overflowPunct/>
        <w:topLinePunct w:val="0"/>
        <w:bidi w:val="0"/>
        <w:adjustRightInd/>
        <w:snapToGrid w:val="0"/>
        <w:spacing w:line="400" w:lineRule="exact"/>
        <w:ind w:firstLine="420" w:firstLineChars="200"/>
        <w:rPr>
          <w:rFonts w:hint="eastAsia" w:hAnsi="宋体"/>
          <w:color w:val="auto"/>
          <w:sz w:val="21"/>
          <w:highlight w:val="none"/>
        </w:rPr>
      </w:pPr>
      <w:r>
        <w:rPr>
          <w:rFonts w:hint="eastAsia" w:hAnsi="宋体"/>
          <w:color w:val="auto"/>
          <w:sz w:val="21"/>
          <w:highlight w:val="none"/>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2DB88160">
      <w:pPr>
        <w:pStyle w:val="15"/>
        <w:keepNext w:val="0"/>
        <w:keepLines w:val="0"/>
        <w:pageBreakBefore w:val="0"/>
        <w:widowControl w:val="0"/>
        <w:kinsoku/>
        <w:wordWrap/>
        <w:overflowPunct/>
        <w:topLinePunct w:val="0"/>
        <w:bidi w:val="0"/>
        <w:adjustRightInd/>
        <w:snapToGrid w:val="0"/>
        <w:spacing w:line="400" w:lineRule="exact"/>
        <w:ind w:firstLine="420" w:firstLineChars="200"/>
        <w:rPr>
          <w:rFonts w:hint="eastAsia" w:hAnsi="宋体"/>
          <w:color w:val="auto"/>
          <w:sz w:val="21"/>
          <w:highlight w:val="none"/>
        </w:rPr>
      </w:pPr>
      <w:r>
        <w:rPr>
          <w:rFonts w:hint="eastAsia" w:hAnsi="宋体"/>
          <w:color w:val="auto"/>
          <w:sz w:val="21"/>
          <w:highlight w:val="none"/>
        </w:rPr>
        <w:t>2.乙方提供的货物如侵犯了第三方合法权益而引发的任何纠纷或者诉讼，均由乙方负责交涉并承担全部责任。</w:t>
      </w:r>
    </w:p>
    <w:p w14:paraId="513860AC">
      <w:pPr>
        <w:pStyle w:val="15"/>
        <w:keepNext w:val="0"/>
        <w:keepLines w:val="0"/>
        <w:pageBreakBefore w:val="0"/>
        <w:widowControl w:val="0"/>
        <w:kinsoku/>
        <w:wordWrap/>
        <w:overflowPunct/>
        <w:topLinePunct w:val="0"/>
        <w:bidi w:val="0"/>
        <w:adjustRightInd/>
        <w:snapToGrid w:val="0"/>
        <w:spacing w:line="400" w:lineRule="exact"/>
        <w:ind w:firstLine="420" w:firstLineChars="200"/>
        <w:rPr>
          <w:rFonts w:hint="eastAsia" w:hAnsi="宋体"/>
          <w:color w:val="auto"/>
          <w:sz w:val="21"/>
          <w:highlight w:val="none"/>
        </w:rPr>
      </w:pPr>
      <w:r>
        <w:rPr>
          <w:rFonts w:hint="eastAsia" w:hAnsi="宋体"/>
          <w:color w:val="auto"/>
          <w:sz w:val="21"/>
          <w:highlight w:val="none"/>
        </w:rPr>
        <w:t>3.因包装、运输引起的货物损坏，按质量不合格处罚。</w:t>
      </w:r>
    </w:p>
    <w:p w14:paraId="76475BC2">
      <w:pPr>
        <w:pStyle w:val="15"/>
        <w:keepNext w:val="0"/>
        <w:keepLines w:val="0"/>
        <w:pageBreakBefore w:val="0"/>
        <w:widowControl w:val="0"/>
        <w:kinsoku/>
        <w:wordWrap/>
        <w:overflowPunct/>
        <w:topLinePunct w:val="0"/>
        <w:bidi w:val="0"/>
        <w:adjustRightInd/>
        <w:snapToGrid w:val="0"/>
        <w:spacing w:line="400" w:lineRule="exact"/>
        <w:ind w:firstLine="420" w:firstLineChars="200"/>
        <w:rPr>
          <w:rFonts w:hint="eastAsia" w:hAnsi="宋体"/>
          <w:color w:val="auto"/>
          <w:sz w:val="21"/>
          <w:highlight w:val="none"/>
        </w:rPr>
      </w:pPr>
      <w:r>
        <w:rPr>
          <w:rFonts w:hint="eastAsia" w:hAnsi="宋体"/>
          <w:color w:val="auto"/>
          <w:sz w:val="21"/>
          <w:highlight w:val="none"/>
        </w:rPr>
        <w:t>4.甲方无故延期接收货物、乙方逾期交货的，每天向对方偿付违约货款额3‰违约金，但违约金累计不得超过违约货款额5%，超过</w:t>
      </w:r>
      <w:r>
        <w:rPr>
          <w:rFonts w:hint="eastAsia" w:hAnsi="宋体"/>
          <w:color w:val="auto"/>
          <w:sz w:val="21"/>
          <w:highlight w:val="none"/>
          <w:u w:val="single"/>
          <w:lang w:val="en-US" w:eastAsia="zh-CN"/>
        </w:rPr>
        <w:t>30</w:t>
      </w:r>
      <w:r>
        <w:rPr>
          <w:rFonts w:hint="eastAsia" w:hAnsi="宋体"/>
          <w:color w:val="auto"/>
          <w:sz w:val="21"/>
          <w:highlight w:val="none"/>
        </w:rPr>
        <w:t>天对方有权解除合同，违约方承担因此给对方造成经济损失；</w:t>
      </w:r>
    </w:p>
    <w:p w14:paraId="20113E90">
      <w:pPr>
        <w:pStyle w:val="15"/>
        <w:keepNext w:val="0"/>
        <w:keepLines w:val="0"/>
        <w:pageBreakBefore w:val="0"/>
        <w:widowControl w:val="0"/>
        <w:kinsoku/>
        <w:wordWrap/>
        <w:overflowPunct/>
        <w:topLinePunct w:val="0"/>
        <w:bidi w:val="0"/>
        <w:adjustRightInd/>
        <w:snapToGrid w:val="0"/>
        <w:spacing w:line="400" w:lineRule="exact"/>
        <w:ind w:firstLine="420" w:firstLineChars="200"/>
        <w:rPr>
          <w:rFonts w:hint="eastAsia" w:hAnsi="宋体"/>
          <w:color w:val="auto"/>
          <w:sz w:val="21"/>
          <w:highlight w:val="none"/>
        </w:rPr>
      </w:pPr>
      <w:r>
        <w:rPr>
          <w:rFonts w:hint="eastAsia" w:hAnsi="宋体"/>
          <w:color w:val="auto"/>
          <w:sz w:val="21"/>
          <w:highlight w:val="none"/>
        </w:rPr>
        <w:t>5. 乙方未按本合同和投标文件中规定的服务承诺提供售后服务的，乙方应按本合同合计金额 5%向甲方支付违约金。</w:t>
      </w:r>
    </w:p>
    <w:p w14:paraId="2BCE90C3">
      <w:pPr>
        <w:pStyle w:val="15"/>
        <w:keepNext w:val="0"/>
        <w:keepLines w:val="0"/>
        <w:pageBreakBefore w:val="0"/>
        <w:widowControl w:val="0"/>
        <w:kinsoku/>
        <w:wordWrap/>
        <w:overflowPunct/>
        <w:topLinePunct w:val="0"/>
        <w:bidi w:val="0"/>
        <w:adjustRightInd/>
        <w:snapToGrid w:val="0"/>
        <w:spacing w:line="400" w:lineRule="exact"/>
        <w:ind w:firstLine="420" w:firstLineChars="200"/>
        <w:rPr>
          <w:rFonts w:hint="eastAsia" w:hAnsi="宋体"/>
          <w:color w:val="auto"/>
          <w:sz w:val="21"/>
          <w:highlight w:val="none"/>
        </w:rPr>
      </w:pPr>
      <w:r>
        <w:rPr>
          <w:rFonts w:hint="eastAsia" w:hAnsi="宋体"/>
          <w:color w:val="auto"/>
          <w:sz w:val="21"/>
          <w:highlight w:val="none"/>
        </w:rPr>
        <w:t>6. 乙方提供的货物在质量保证期内，因设计、工艺或者材料的缺陷和其它质量原因造成的问题，由乙方负责，费用从余款或者履约保证金中扣除，不足另补。</w:t>
      </w:r>
    </w:p>
    <w:p w14:paraId="5B6BFC4A">
      <w:pPr>
        <w:pStyle w:val="15"/>
        <w:keepNext w:val="0"/>
        <w:keepLines w:val="0"/>
        <w:pageBreakBefore w:val="0"/>
        <w:widowControl w:val="0"/>
        <w:kinsoku/>
        <w:wordWrap/>
        <w:overflowPunct/>
        <w:topLinePunct w:val="0"/>
        <w:bidi w:val="0"/>
        <w:adjustRightInd/>
        <w:snapToGrid w:val="0"/>
        <w:spacing w:line="400" w:lineRule="exact"/>
        <w:ind w:firstLine="420" w:firstLineChars="200"/>
        <w:rPr>
          <w:rFonts w:hint="eastAsia" w:hAnsi="宋体"/>
          <w:color w:val="auto"/>
          <w:sz w:val="21"/>
          <w:highlight w:val="none"/>
        </w:rPr>
      </w:pPr>
      <w:r>
        <w:rPr>
          <w:rFonts w:hint="eastAsia" w:hAnsi="宋体"/>
          <w:color w:val="auto"/>
          <w:sz w:val="21"/>
          <w:highlight w:val="none"/>
        </w:rPr>
        <w:t>7. 甲乙双方有其它违约行为的，由违约方向对方支付违约内容涉及货款额的5%，违约内容涉及货款额的5%不足以赔偿经济损失的按实际赔偿。</w:t>
      </w:r>
    </w:p>
    <w:p w14:paraId="52B228BC">
      <w:pPr>
        <w:pStyle w:val="15"/>
        <w:keepNext w:val="0"/>
        <w:keepLines w:val="0"/>
        <w:pageBreakBefore w:val="0"/>
        <w:widowControl w:val="0"/>
        <w:kinsoku/>
        <w:wordWrap/>
        <w:overflowPunct/>
        <w:topLinePunct w:val="0"/>
        <w:bidi w:val="0"/>
        <w:adjustRightInd/>
        <w:snapToGrid w:val="0"/>
        <w:spacing w:line="400" w:lineRule="exact"/>
        <w:ind w:firstLine="413" w:firstLineChars="196"/>
        <w:rPr>
          <w:rFonts w:hint="eastAsia" w:hAnsi="宋体"/>
          <w:b/>
          <w:color w:val="auto"/>
          <w:sz w:val="21"/>
          <w:highlight w:val="none"/>
        </w:rPr>
      </w:pPr>
      <w:r>
        <w:rPr>
          <w:rFonts w:hint="eastAsia" w:hAnsi="宋体"/>
          <w:b/>
          <w:color w:val="auto"/>
          <w:sz w:val="21"/>
          <w:highlight w:val="none"/>
        </w:rPr>
        <w:t>第十五条  不可抗力事件处理</w:t>
      </w:r>
    </w:p>
    <w:p w14:paraId="34BA9EE7">
      <w:pPr>
        <w:pStyle w:val="15"/>
        <w:keepNext w:val="0"/>
        <w:keepLines w:val="0"/>
        <w:pageBreakBefore w:val="0"/>
        <w:widowControl w:val="0"/>
        <w:kinsoku/>
        <w:wordWrap/>
        <w:overflowPunct/>
        <w:topLinePunct w:val="0"/>
        <w:bidi w:val="0"/>
        <w:adjustRightInd/>
        <w:snapToGrid w:val="0"/>
        <w:spacing w:line="400" w:lineRule="exact"/>
        <w:ind w:firstLine="420" w:firstLineChars="200"/>
        <w:rPr>
          <w:rFonts w:hint="eastAsia" w:hAnsi="宋体"/>
          <w:color w:val="auto"/>
          <w:sz w:val="21"/>
          <w:highlight w:val="none"/>
        </w:rPr>
      </w:pPr>
      <w:r>
        <w:rPr>
          <w:rFonts w:hint="eastAsia" w:hAnsi="宋体"/>
          <w:color w:val="auto"/>
          <w:sz w:val="21"/>
          <w:highlight w:val="none"/>
        </w:rPr>
        <w:t>1.在合同有效期内，任何一方因不可抗力事件导致不能履行合同，则合同履行期可延长，其延长期与不可抗力影响期相同。</w:t>
      </w:r>
    </w:p>
    <w:p w14:paraId="544D5EC4">
      <w:pPr>
        <w:pStyle w:val="15"/>
        <w:keepNext w:val="0"/>
        <w:keepLines w:val="0"/>
        <w:pageBreakBefore w:val="0"/>
        <w:widowControl w:val="0"/>
        <w:kinsoku/>
        <w:wordWrap/>
        <w:overflowPunct/>
        <w:topLinePunct w:val="0"/>
        <w:bidi w:val="0"/>
        <w:adjustRightInd/>
        <w:snapToGrid w:val="0"/>
        <w:spacing w:line="400" w:lineRule="exact"/>
        <w:ind w:firstLine="420" w:firstLineChars="200"/>
        <w:rPr>
          <w:rFonts w:hint="eastAsia" w:hAnsi="宋体"/>
          <w:color w:val="auto"/>
          <w:sz w:val="21"/>
          <w:highlight w:val="none"/>
        </w:rPr>
      </w:pPr>
      <w:r>
        <w:rPr>
          <w:rFonts w:hint="eastAsia" w:hAnsi="宋体"/>
          <w:color w:val="auto"/>
          <w:sz w:val="21"/>
          <w:highlight w:val="none"/>
        </w:rPr>
        <w:t>2.不可抗力事件发生后，应立即通知对方，并寄送有关权威机构出具的证明。</w:t>
      </w:r>
    </w:p>
    <w:p w14:paraId="19B8F08A">
      <w:pPr>
        <w:keepNext w:val="0"/>
        <w:keepLines w:val="0"/>
        <w:pageBreakBefore w:val="0"/>
        <w:widowControl w:val="0"/>
        <w:kinsoku/>
        <w:wordWrap/>
        <w:overflowPunct/>
        <w:topLinePunct w:val="0"/>
        <w:bidi w:val="0"/>
        <w:adjustRightInd/>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14:paraId="06A67484">
      <w:pPr>
        <w:keepNext w:val="0"/>
        <w:keepLines w:val="0"/>
        <w:pageBreakBefore w:val="0"/>
        <w:widowControl w:val="0"/>
        <w:kinsoku/>
        <w:wordWrap/>
        <w:overflowPunct/>
        <w:topLinePunct w:val="0"/>
        <w:bidi w:val="0"/>
        <w:adjustRightInd/>
        <w:snapToGrid w:val="0"/>
        <w:spacing w:line="4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第十六条  合同争议解决</w:t>
      </w:r>
    </w:p>
    <w:p w14:paraId="53677EEA">
      <w:pPr>
        <w:keepNext w:val="0"/>
        <w:keepLines w:val="0"/>
        <w:pageBreakBefore w:val="0"/>
        <w:widowControl w:val="0"/>
        <w:kinsoku/>
        <w:wordWrap/>
        <w:overflowPunct/>
        <w:topLinePunct w:val="0"/>
        <w:bidi w:val="0"/>
        <w:adjustRightInd/>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因货物质量问题发生争议的，应邀请国家认可的质量检测机构对货物质量进行鉴定。货物符合标准的，鉴定费由甲方承担；货物不符合标准的，鉴定费由乙方承担。</w:t>
      </w:r>
    </w:p>
    <w:p w14:paraId="1A55F184">
      <w:pPr>
        <w:keepNext w:val="0"/>
        <w:keepLines w:val="0"/>
        <w:pageBreakBefore w:val="0"/>
        <w:widowControl w:val="0"/>
        <w:kinsoku/>
        <w:wordWrap/>
        <w:overflowPunct/>
        <w:topLinePunct w:val="0"/>
        <w:bidi w:val="0"/>
        <w:adjustRightInd/>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 因履行本合同引起的或者与本合同有关的争议，甲乙双方应首先通过友好协商解决，如果协商不能解决，可向甲方所在地</w:t>
      </w:r>
      <w:r>
        <w:rPr>
          <w:rFonts w:hint="eastAsia" w:ascii="宋体" w:hAnsi="宋体" w:cs="宋体"/>
          <w:color w:val="auto"/>
          <w:szCs w:val="21"/>
          <w:highlight w:val="none"/>
        </w:rPr>
        <w:t>有管辖权的</w:t>
      </w:r>
      <w:r>
        <w:rPr>
          <w:rFonts w:hint="eastAsia" w:ascii="宋体" w:hAnsi="宋体"/>
          <w:color w:val="auto"/>
          <w:szCs w:val="21"/>
          <w:highlight w:val="none"/>
        </w:rPr>
        <w:t>人民法院提起诉讼。</w:t>
      </w:r>
    </w:p>
    <w:p w14:paraId="58DB172A">
      <w:pPr>
        <w:keepNext w:val="0"/>
        <w:keepLines w:val="0"/>
        <w:pageBreakBefore w:val="0"/>
        <w:widowControl w:val="0"/>
        <w:kinsoku/>
        <w:wordWrap/>
        <w:overflowPunct/>
        <w:topLinePunct w:val="0"/>
        <w:bidi w:val="0"/>
        <w:adjustRightInd/>
        <w:snapToGrid w:val="0"/>
        <w:spacing w:line="400" w:lineRule="exact"/>
        <w:ind w:left="-61" w:firstLine="514"/>
        <w:rPr>
          <w:rFonts w:hint="eastAsia" w:ascii="宋体" w:hAnsi="宋体"/>
          <w:color w:val="auto"/>
          <w:szCs w:val="21"/>
          <w:highlight w:val="none"/>
        </w:rPr>
      </w:pPr>
      <w:r>
        <w:rPr>
          <w:rFonts w:hint="eastAsia" w:ascii="宋体" w:hAnsi="宋体"/>
          <w:color w:val="auto"/>
          <w:szCs w:val="21"/>
          <w:highlight w:val="none"/>
        </w:rPr>
        <w:t>3.诉讼期间，本合同继续履行。</w:t>
      </w:r>
    </w:p>
    <w:p w14:paraId="2D6CF470">
      <w:pPr>
        <w:pStyle w:val="15"/>
        <w:keepNext w:val="0"/>
        <w:keepLines w:val="0"/>
        <w:pageBreakBefore w:val="0"/>
        <w:widowControl w:val="0"/>
        <w:kinsoku/>
        <w:wordWrap/>
        <w:overflowPunct/>
        <w:topLinePunct w:val="0"/>
        <w:bidi w:val="0"/>
        <w:adjustRightInd/>
        <w:snapToGrid w:val="0"/>
        <w:spacing w:line="400" w:lineRule="exact"/>
        <w:ind w:firstLine="413" w:firstLineChars="196"/>
        <w:rPr>
          <w:rFonts w:hint="eastAsia" w:hAnsi="宋体"/>
          <w:b/>
          <w:color w:val="auto"/>
          <w:sz w:val="21"/>
          <w:highlight w:val="none"/>
        </w:rPr>
      </w:pPr>
      <w:r>
        <w:rPr>
          <w:rFonts w:hint="eastAsia" w:hAnsi="宋体"/>
          <w:b/>
          <w:color w:val="auto"/>
          <w:sz w:val="21"/>
          <w:highlight w:val="none"/>
        </w:rPr>
        <w:t>第十七条  合同生效及其它</w:t>
      </w:r>
    </w:p>
    <w:p w14:paraId="2A2E8C5A">
      <w:pPr>
        <w:pStyle w:val="15"/>
        <w:keepNext w:val="0"/>
        <w:keepLines w:val="0"/>
        <w:pageBreakBefore w:val="0"/>
        <w:widowControl w:val="0"/>
        <w:kinsoku/>
        <w:wordWrap/>
        <w:overflowPunct/>
        <w:topLinePunct w:val="0"/>
        <w:bidi w:val="0"/>
        <w:adjustRightInd/>
        <w:snapToGrid w:val="0"/>
        <w:spacing w:line="400" w:lineRule="exact"/>
        <w:ind w:firstLine="422" w:firstLineChars="200"/>
        <w:rPr>
          <w:rFonts w:hint="eastAsia" w:hAnsi="宋体"/>
          <w:b/>
          <w:color w:val="auto"/>
          <w:sz w:val="21"/>
          <w:highlight w:val="none"/>
        </w:rPr>
      </w:pPr>
      <w:r>
        <w:rPr>
          <w:rFonts w:hint="eastAsia" w:hAnsi="宋体"/>
          <w:b/>
          <w:color w:val="auto"/>
          <w:sz w:val="21"/>
          <w:highlight w:val="none"/>
        </w:rPr>
        <w:t>1. 合同经双方法定代表人或者委托代理人签字并加盖单位公章后生效（委托代理人签字的需后附授权委托书，格式自拟）。</w:t>
      </w:r>
    </w:p>
    <w:p w14:paraId="68DBA8F3">
      <w:pPr>
        <w:pStyle w:val="15"/>
        <w:keepNext w:val="0"/>
        <w:keepLines w:val="0"/>
        <w:pageBreakBefore w:val="0"/>
        <w:widowControl w:val="0"/>
        <w:kinsoku/>
        <w:wordWrap/>
        <w:overflowPunct/>
        <w:topLinePunct w:val="0"/>
        <w:bidi w:val="0"/>
        <w:adjustRightInd/>
        <w:snapToGrid w:val="0"/>
        <w:spacing w:line="400" w:lineRule="exact"/>
        <w:ind w:firstLine="422" w:firstLineChars="200"/>
        <w:rPr>
          <w:rFonts w:hint="eastAsia" w:hAnsi="宋体"/>
          <w:b/>
          <w:color w:val="auto"/>
          <w:sz w:val="21"/>
          <w:highlight w:val="none"/>
        </w:rPr>
      </w:pPr>
      <w:r>
        <w:rPr>
          <w:rFonts w:hint="eastAsia" w:hAnsi="宋体"/>
          <w:b/>
          <w:color w:val="auto"/>
          <w:sz w:val="21"/>
          <w:highlight w:val="none"/>
        </w:rPr>
        <w:t>2.合同执行中涉及采购资金和采购内容修改或者补充的，须经财政部门审批，并签书面补充协议报财政部门备案，方可作为主合同不可分割的一部分。</w:t>
      </w:r>
    </w:p>
    <w:p w14:paraId="5BBDD1D3">
      <w:pPr>
        <w:pStyle w:val="15"/>
        <w:keepNext w:val="0"/>
        <w:keepLines w:val="0"/>
        <w:pageBreakBefore w:val="0"/>
        <w:widowControl w:val="0"/>
        <w:kinsoku/>
        <w:wordWrap/>
        <w:overflowPunct/>
        <w:topLinePunct w:val="0"/>
        <w:bidi w:val="0"/>
        <w:adjustRightInd/>
        <w:snapToGrid w:val="0"/>
        <w:spacing w:line="400" w:lineRule="exact"/>
        <w:ind w:left="420" w:leftChars="200"/>
        <w:rPr>
          <w:rFonts w:hint="eastAsia" w:hAnsi="宋体"/>
          <w:b/>
          <w:color w:val="auto"/>
          <w:sz w:val="21"/>
          <w:highlight w:val="none"/>
        </w:rPr>
      </w:pPr>
      <w:r>
        <w:rPr>
          <w:rFonts w:hint="eastAsia" w:hAnsi="宋体"/>
          <w:b/>
          <w:color w:val="auto"/>
          <w:sz w:val="21"/>
          <w:highlight w:val="none"/>
        </w:rPr>
        <w:t>3.本合同未尽事宜，遵照《中华人民共和国民法典》有关条文执行。</w:t>
      </w:r>
    </w:p>
    <w:p w14:paraId="5D830AEE">
      <w:pPr>
        <w:keepNext w:val="0"/>
        <w:keepLines w:val="0"/>
        <w:pageBreakBefore w:val="0"/>
        <w:widowControl w:val="0"/>
        <w:kinsoku/>
        <w:wordWrap/>
        <w:overflowPunct/>
        <w:topLinePunct w:val="0"/>
        <w:bidi w:val="0"/>
        <w:adjustRightInd/>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第十八条　合同的变更、终止与转让</w:t>
      </w:r>
    </w:p>
    <w:p w14:paraId="47260B60">
      <w:pPr>
        <w:keepNext w:val="0"/>
        <w:keepLines w:val="0"/>
        <w:pageBreakBefore w:val="0"/>
        <w:widowControl w:val="0"/>
        <w:kinsoku/>
        <w:wordWrap/>
        <w:overflowPunct/>
        <w:topLinePunct w:val="0"/>
        <w:bidi w:val="0"/>
        <w:adjustRightInd/>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1.除《中华人民共和国政府采购法》第五十条规定的情形外，本合同一经签订，甲乙双方不得擅自变更、中止或者终止。</w:t>
      </w:r>
    </w:p>
    <w:p w14:paraId="30BBC71B">
      <w:pPr>
        <w:keepNext w:val="0"/>
        <w:keepLines w:val="0"/>
        <w:pageBreakBefore w:val="0"/>
        <w:widowControl w:val="0"/>
        <w:kinsoku/>
        <w:wordWrap/>
        <w:overflowPunct/>
        <w:topLinePunct w:val="0"/>
        <w:bidi w:val="0"/>
        <w:adjustRightInd/>
        <w:snapToGrid w:val="0"/>
        <w:spacing w:line="400" w:lineRule="exact"/>
        <w:ind w:left="-61" w:firstLine="514"/>
        <w:rPr>
          <w:rFonts w:hint="eastAsia" w:ascii="宋体" w:hAnsi="宋体"/>
          <w:color w:val="auto"/>
          <w:szCs w:val="21"/>
          <w:highlight w:val="none"/>
        </w:rPr>
      </w:pPr>
      <w:r>
        <w:rPr>
          <w:rFonts w:hint="eastAsia" w:ascii="宋体" w:hAnsi="宋体"/>
          <w:color w:val="auto"/>
          <w:szCs w:val="21"/>
          <w:highlight w:val="none"/>
        </w:rPr>
        <w:t>2.乙方不得擅自转让（无进口资格的供应商委托进口货物除外）其应履行的合同义务。</w:t>
      </w:r>
    </w:p>
    <w:p w14:paraId="04831AB7">
      <w:pPr>
        <w:keepNext w:val="0"/>
        <w:keepLines w:val="0"/>
        <w:pageBreakBefore w:val="0"/>
        <w:widowControl w:val="0"/>
        <w:kinsoku/>
        <w:wordWrap/>
        <w:overflowPunct/>
        <w:topLinePunct w:val="0"/>
        <w:bidi w:val="0"/>
        <w:adjustRightInd/>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第十九条　</w:t>
      </w:r>
      <w:r>
        <w:rPr>
          <w:rFonts w:hint="eastAsia" w:ascii="宋体" w:hAnsi="宋体" w:cs="微软雅黑"/>
          <w:color w:val="auto"/>
          <w:spacing w:val="-2"/>
          <w:kern w:val="0"/>
          <w:szCs w:val="21"/>
          <w:highlight w:val="none"/>
        </w:rPr>
        <w:t>本</w:t>
      </w:r>
      <w:r>
        <w:rPr>
          <w:rFonts w:hint="eastAsia" w:ascii="宋体" w:hAnsi="宋体" w:cs="微软雅黑"/>
          <w:color w:val="auto"/>
          <w:kern w:val="0"/>
          <w:szCs w:val="21"/>
          <w:highlight w:val="none"/>
        </w:rPr>
        <w:t>合同书</w:t>
      </w:r>
      <w:r>
        <w:rPr>
          <w:rFonts w:hint="eastAsia" w:ascii="宋体" w:hAnsi="宋体" w:cs="微软雅黑"/>
          <w:color w:val="auto"/>
          <w:spacing w:val="-2"/>
          <w:kern w:val="0"/>
          <w:szCs w:val="21"/>
          <w:highlight w:val="none"/>
        </w:rPr>
        <w:t>与</w:t>
      </w:r>
      <w:r>
        <w:rPr>
          <w:rFonts w:hint="eastAsia" w:ascii="宋体" w:hAnsi="宋体" w:cs="微软雅黑"/>
          <w:color w:val="auto"/>
          <w:kern w:val="0"/>
          <w:szCs w:val="21"/>
          <w:highlight w:val="none"/>
        </w:rPr>
        <w:t>下</w:t>
      </w:r>
      <w:r>
        <w:rPr>
          <w:rFonts w:hint="eastAsia" w:ascii="宋体" w:hAnsi="宋体" w:cs="微软雅黑"/>
          <w:color w:val="auto"/>
          <w:spacing w:val="-2"/>
          <w:kern w:val="0"/>
          <w:szCs w:val="21"/>
          <w:highlight w:val="none"/>
        </w:rPr>
        <w:t>列</w:t>
      </w:r>
      <w:r>
        <w:rPr>
          <w:rFonts w:hint="eastAsia" w:ascii="宋体" w:hAnsi="宋体" w:cs="微软雅黑"/>
          <w:color w:val="auto"/>
          <w:kern w:val="0"/>
          <w:szCs w:val="21"/>
          <w:highlight w:val="none"/>
        </w:rPr>
        <w:t>文</w:t>
      </w:r>
      <w:r>
        <w:rPr>
          <w:rFonts w:hint="eastAsia" w:ascii="宋体" w:hAnsi="宋体" w:cs="微软雅黑"/>
          <w:color w:val="auto"/>
          <w:spacing w:val="-2"/>
          <w:kern w:val="0"/>
          <w:szCs w:val="21"/>
          <w:highlight w:val="none"/>
        </w:rPr>
        <w:t>件一</w:t>
      </w:r>
      <w:r>
        <w:rPr>
          <w:rFonts w:hint="eastAsia" w:ascii="宋体" w:hAnsi="宋体" w:cs="微软雅黑"/>
          <w:color w:val="auto"/>
          <w:kern w:val="0"/>
          <w:szCs w:val="21"/>
          <w:highlight w:val="none"/>
        </w:rPr>
        <w:t>起构</w:t>
      </w:r>
      <w:r>
        <w:rPr>
          <w:rFonts w:hint="eastAsia" w:ascii="宋体" w:hAnsi="宋体" w:cs="微软雅黑"/>
          <w:color w:val="auto"/>
          <w:spacing w:val="-2"/>
          <w:kern w:val="0"/>
          <w:szCs w:val="21"/>
          <w:highlight w:val="none"/>
        </w:rPr>
        <w:t>成</w:t>
      </w:r>
      <w:r>
        <w:rPr>
          <w:rFonts w:hint="eastAsia" w:ascii="宋体" w:hAnsi="宋体" w:cs="微软雅黑"/>
          <w:color w:val="auto"/>
          <w:kern w:val="0"/>
          <w:szCs w:val="21"/>
          <w:highlight w:val="none"/>
        </w:rPr>
        <w:t>合</w:t>
      </w:r>
      <w:r>
        <w:rPr>
          <w:rFonts w:hint="eastAsia" w:ascii="宋体" w:hAnsi="宋体" w:cs="微软雅黑"/>
          <w:color w:val="auto"/>
          <w:spacing w:val="-2"/>
          <w:kern w:val="0"/>
          <w:szCs w:val="21"/>
          <w:highlight w:val="none"/>
        </w:rPr>
        <w:t>同</w:t>
      </w:r>
      <w:r>
        <w:rPr>
          <w:rFonts w:hint="eastAsia" w:ascii="宋体" w:hAnsi="宋体" w:cs="微软雅黑"/>
          <w:color w:val="auto"/>
          <w:kern w:val="0"/>
          <w:szCs w:val="21"/>
          <w:highlight w:val="none"/>
        </w:rPr>
        <w:t>文</w:t>
      </w:r>
      <w:r>
        <w:rPr>
          <w:rFonts w:hint="eastAsia" w:ascii="宋体" w:hAnsi="宋体" w:cs="微软雅黑"/>
          <w:color w:val="auto"/>
          <w:spacing w:val="-2"/>
          <w:kern w:val="0"/>
          <w:szCs w:val="21"/>
          <w:highlight w:val="none"/>
        </w:rPr>
        <w:t>件</w:t>
      </w:r>
    </w:p>
    <w:p w14:paraId="137D43B7">
      <w:pPr>
        <w:pStyle w:val="15"/>
        <w:keepNext w:val="0"/>
        <w:keepLines w:val="0"/>
        <w:pageBreakBefore w:val="0"/>
        <w:widowControl w:val="0"/>
        <w:kinsoku/>
        <w:wordWrap/>
        <w:overflowPunct/>
        <w:topLinePunct w:val="0"/>
        <w:bidi w:val="0"/>
        <w:adjustRightInd/>
        <w:snapToGrid w:val="0"/>
        <w:spacing w:line="400" w:lineRule="exact"/>
        <w:ind w:left="420" w:leftChars="200"/>
        <w:rPr>
          <w:rFonts w:hint="eastAsia" w:hAnsi="宋体"/>
          <w:color w:val="auto"/>
          <w:sz w:val="21"/>
          <w:highlight w:val="none"/>
        </w:rPr>
      </w:pPr>
      <w:r>
        <w:rPr>
          <w:rFonts w:hint="eastAsia" w:hAnsi="宋体"/>
          <w:color w:val="auto"/>
          <w:sz w:val="21"/>
          <w:highlight w:val="none"/>
        </w:rPr>
        <w:t>1.</w:t>
      </w:r>
      <w:r>
        <w:rPr>
          <w:rFonts w:hint="eastAsia" w:hAnsi="宋体"/>
          <w:color w:val="auto"/>
          <w:sz w:val="21"/>
          <w:highlight w:val="none"/>
          <w:lang w:eastAsia="zh-CN"/>
        </w:rPr>
        <w:t>成交</w:t>
      </w:r>
      <w:r>
        <w:rPr>
          <w:rFonts w:hint="eastAsia" w:hAnsi="宋体"/>
          <w:color w:val="auto"/>
          <w:sz w:val="21"/>
          <w:highlight w:val="none"/>
        </w:rPr>
        <w:t>通知书；</w:t>
      </w:r>
    </w:p>
    <w:p w14:paraId="72CE802F">
      <w:pPr>
        <w:pStyle w:val="15"/>
        <w:keepNext w:val="0"/>
        <w:keepLines w:val="0"/>
        <w:pageBreakBefore w:val="0"/>
        <w:widowControl w:val="0"/>
        <w:kinsoku/>
        <w:wordWrap/>
        <w:overflowPunct/>
        <w:topLinePunct w:val="0"/>
        <w:bidi w:val="0"/>
        <w:adjustRightInd/>
        <w:snapToGrid w:val="0"/>
        <w:spacing w:line="400" w:lineRule="exact"/>
        <w:ind w:left="420" w:leftChars="200"/>
        <w:rPr>
          <w:rFonts w:hint="eastAsia" w:hAnsi="宋体"/>
          <w:color w:val="auto"/>
          <w:sz w:val="21"/>
          <w:highlight w:val="none"/>
        </w:rPr>
      </w:pPr>
      <w:r>
        <w:rPr>
          <w:rFonts w:hint="eastAsia" w:hAnsi="宋体"/>
          <w:color w:val="auto"/>
          <w:sz w:val="21"/>
          <w:highlight w:val="none"/>
        </w:rPr>
        <w:t>2.商务要求偏离表和技术要求偏离表；</w:t>
      </w:r>
    </w:p>
    <w:p w14:paraId="47EB4918">
      <w:pPr>
        <w:pStyle w:val="15"/>
        <w:keepNext w:val="0"/>
        <w:keepLines w:val="0"/>
        <w:pageBreakBefore w:val="0"/>
        <w:widowControl w:val="0"/>
        <w:kinsoku/>
        <w:wordWrap/>
        <w:overflowPunct/>
        <w:topLinePunct w:val="0"/>
        <w:bidi w:val="0"/>
        <w:adjustRightInd/>
        <w:snapToGrid w:val="0"/>
        <w:spacing w:line="400" w:lineRule="exact"/>
        <w:ind w:left="420" w:leftChars="200"/>
        <w:rPr>
          <w:rFonts w:hint="eastAsia" w:hAnsi="宋体"/>
          <w:color w:val="auto"/>
          <w:sz w:val="21"/>
          <w:highlight w:val="none"/>
        </w:rPr>
      </w:pPr>
      <w:r>
        <w:rPr>
          <w:rFonts w:hint="eastAsia" w:hAnsi="宋体"/>
          <w:color w:val="auto"/>
          <w:sz w:val="21"/>
          <w:highlight w:val="none"/>
          <w:lang w:val="en-US" w:eastAsia="zh-CN"/>
        </w:rPr>
        <w:t>3</w:t>
      </w:r>
      <w:r>
        <w:rPr>
          <w:rFonts w:hint="eastAsia" w:hAnsi="宋体"/>
          <w:color w:val="auto"/>
          <w:sz w:val="21"/>
          <w:highlight w:val="none"/>
        </w:rPr>
        <w:t>.其他合同文件。</w:t>
      </w:r>
    </w:p>
    <w:p w14:paraId="6F9C4536">
      <w:pPr>
        <w:pStyle w:val="15"/>
        <w:keepNext w:val="0"/>
        <w:keepLines w:val="0"/>
        <w:pageBreakBefore w:val="0"/>
        <w:widowControl w:val="0"/>
        <w:kinsoku/>
        <w:wordWrap/>
        <w:overflowPunct/>
        <w:topLinePunct w:val="0"/>
        <w:bidi w:val="0"/>
        <w:adjustRightInd/>
        <w:snapToGrid w:val="0"/>
        <w:spacing w:line="400" w:lineRule="exact"/>
        <w:ind w:left="420" w:leftChars="200"/>
        <w:rPr>
          <w:rFonts w:hint="eastAsia" w:hAnsi="宋体"/>
          <w:color w:val="auto"/>
          <w:sz w:val="21"/>
          <w:highlight w:val="none"/>
        </w:rPr>
      </w:pPr>
      <w:r>
        <w:rPr>
          <w:rFonts w:hint="eastAsia" w:hAnsi="宋体"/>
          <w:color w:val="auto"/>
          <w:sz w:val="21"/>
          <w:highlight w:val="none"/>
          <w:lang w:val="en-US" w:eastAsia="zh-CN"/>
        </w:rPr>
        <w:t>4</w:t>
      </w:r>
      <w:r>
        <w:rPr>
          <w:rFonts w:hint="eastAsia" w:hAnsi="宋体"/>
          <w:color w:val="auto"/>
          <w:sz w:val="21"/>
          <w:highlight w:val="none"/>
        </w:rPr>
        <w:t>.上述合同文件互相补充和解释。如果合同文件之间存在矛盾或者不一致之处，以上述文件的排列顺</w:t>
      </w:r>
    </w:p>
    <w:p w14:paraId="13ECC03D">
      <w:pPr>
        <w:pStyle w:val="15"/>
        <w:keepNext w:val="0"/>
        <w:keepLines w:val="0"/>
        <w:pageBreakBefore w:val="0"/>
        <w:widowControl w:val="0"/>
        <w:kinsoku/>
        <w:wordWrap/>
        <w:overflowPunct/>
        <w:topLinePunct w:val="0"/>
        <w:bidi w:val="0"/>
        <w:adjustRightInd/>
        <w:snapToGrid w:val="0"/>
        <w:spacing w:line="400" w:lineRule="exact"/>
        <w:rPr>
          <w:rFonts w:hint="eastAsia" w:hAnsi="宋体"/>
          <w:b/>
          <w:color w:val="auto"/>
          <w:sz w:val="21"/>
          <w:highlight w:val="none"/>
        </w:rPr>
      </w:pPr>
      <w:r>
        <w:rPr>
          <w:rFonts w:hint="eastAsia" w:hAnsi="宋体"/>
          <w:color w:val="auto"/>
          <w:sz w:val="21"/>
          <w:highlight w:val="none"/>
        </w:rPr>
        <w:t>序在先者为准。</w:t>
      </w:r>
    </w:p>
    <w:p w14:paraId="142FD534">
      <w:pPr>
        <w:keepNext w:val="0"/>
        <w:keepLines w:val="0"/>
        <w:pageBreakBefore w:val="0"/>
        <w:widowControl w:val="0"/>
        <w:kinsoku/>
        <w:wordWrap/>
        <w:overflowPunct/>
        <w:topLinePunct w:val="0"/>
        <w:bidi w:val="0"/>
        <w:adjustRightInd/>
        <w:snapToGrid w:val="0"/>
        <w:spacing w:line="4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第二十条　</w:t>
      </w:r>
      <w:r>
        <w:rPr>
          <w:rFonts w:hint="eastAsia" w:ascii="宋体" w:hAnsi="宋体"/>
          <w:color w:val="auto"/>
          <w:szCs w:val="21"/>
          <w:highlight w:val="none"/>
        </w:rPr>
        <w:t>本合同一式</w:t>
      </w:r>
      <w:r>
        <w:rPr>
          <w:rFonts w:hint="eastAsia" w:ascii="宋体" w:hAnsi="宋体"/>
          <w:color w:val="auto"/>
          <w:szCs w:val="21"/>
          <w:highlight w:val="none"/>
          <w:lang w:eastAsia="zh-CN"/>
        </w:rPr>
        <w:t>柒</w:t>
      </w:r>
      <w:r>
        <w:rPr>
          <w:rFonts w:hint="eastAsia" w:ascii="宋体" w:hAnsi="宋体"/>
          <w:color w:val="auto"/>
          <w:szCs w:val="21"/>
          <w:highlight w:val="none"/>
        </w:rPr>
        <w:t>份，具有同等法律效力，</w:t>
      </w:r>
      <w:r>
        <w:rPr>
          <w:rFonts w:hint="eastAsia" w:ascii="宋体" w:hAnsi="宋体"/>
          <w:color w:val="auto"/>
          <w:szCs w:val="21"/>
          <w:highlight w:val="none"/>
          <w:lang w:eastAsia="zh-CN"/>
        </w:rPr>
        <w:t>招标</w:t>
      </w:r>
      <w:r>
        <w:rPr>
          <w:rFonts w:hint="eastAsia" w:ascii="宋体" w:hAnsi="宋体"/>
          <w:color w:val="auto"/>
          <w:szCs w:val="21"/>
          <w:highlight w:val="none"/>
        </w:rPr>
        <w:t>代理机构</w:t>
      </w:r>
      <w:r>
        <w:rPr>
          <w:rFonts w:hint="eastAsia" w:ascii="宋体" w:hAnsi="宋体"/>
          <w:color w:val="auto"/>
          <w:szCs w:val="21"/>
          <w:highlight w:val="none"/>
          <w:lang w:eastAsia="zh-CN"/>
        </w:rPr>
        <w:t>壹</w:t>
      </w:r>
      <w:r>
        <w:rPr>
          <w:rFonts w:hint="eastAsia" w:ascii="宋体" w:hAnsi="宋体"/>
          <w:color w:val="auto"/>
          <w:szCs w:val="21"/>
          <w:highlight w:val="none"/>
        </w:rPr>
        <w:t>份，甲乙双方各</w:t>
      </w:r>
      <w:r>
        <w:rPr>
          <w:rFonts w:hint="eastAsia" w:ascii="宋体" w:hAnsi="宋体"/>
          <w:color w:val="auto"/>
          <w:szCs w:val="21"/>
          <w:highlight w:val="none"/>
          <w:lang w:eastAsia="zh-CN"/>
        </w:rPr>
        <w:t>叁</w:t>
      </w:r>
      <w:r>
        <w:rPr>
          <w:rFonts w:hint="eastAsia" w:ascii="宋体" w:hAnsi="宋体"/>
          <w:color w:val="auto"/>
          <w:szCs w:val="21"/>
          <w:highlight w:val="none"/>
        </w:rPr>
        <w:t>份（可根据需要另增加）。</w:t>
      </w:r>
    </w:p>
    <w:p w14:paraId="0F8CC5FB">
      <w:pPr>
        <w:keepNext w:val="0"/>
        <w:keepLines w:val="0"/>
        <w:pageBreakBefore w:val="0"/>
        <w:widowControl w:val="0"/>
        <w:kinsoku/>
        <w:wordWrap/>
        <w:overflowPunct/>
        <w:topLinePunct w:val="0"/>
        <w:bidi w:val="0"/>
        <w:adjustRightInd/>
        <w:spacing w:line="4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33B3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14:paraId="5CC9A7D9">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甲方（章）           </w:t>
            </w:r>
          </w:p>
          <w:p w14:paraId="535D7C31">
            <w:pPr>
              <w:snapToGrid w:val="0"/>
              <w:spacing w:line="360" w:lineRule="auto"/>
              <w:rPr>
                <w:rFonts w:hint="eastAsia" w:ascii="宋体" w:hAnsi="宋体"/>
                <w:color w:val="auto"/>
                <w:szCs w:val="21"/>
                <w:highlight w:val="none"/>
              </w:rPr>
            </w:pPr>
          </w:p>
          <w:p w14:paraId="55648CED">
            <w:pPr>
              <w:snapToGrid w:val="0"/>
              <w:spacing w:line="360" w:lineRule="auto"/>
              <w:ind w:firstLine="945" w:firstLineChars="450"/>
              <w:jc w:val="right"/>
              <w:rPr>
                <w:rFonts w:hint="eastAsia" w:ascii="宋体" w:hAnsi="宋体"/>
                <w:color w:val="auto"/>
                <w:szCs w:val="21"/>
                <w:highlight w:val="none"/>
              </w:rPr>
            </w:pPr>
            <w:r>
              <w:rPr>
                <w:rFonts w:hint="eastAsia" w:ascii="宋体" w:hAnsi="宋体"/>
                <w:color w:val="auto"/>
                <w:szCs w:val="21"/>
                <w:highlight w:val="none"/>
              </w:rPr>
              <w:t>年   月   日</w:t>
            </w:r>
          </w:p>
        </w:tc>
        <w:tc>
          <w:tcPr>
            <w:tcW w:w="4517" w:type="dxa"/>
            <w:noWrap w:val="0"/>
            <w:vAlign w:val="center"/>
          </w:tcPr>
          <w:p w14:paraId="53FE5917">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乙方（章）              </w:t>
            </w:r>
          </w:p>
          <w:p w14:paraId="2E9BFF49">
            <w:pPr>
              <w:snapToGrid w:val="0"/>
              <w:spacing w:line="360" w:lineRule="auto"/>
              <w:rPr>
                <w:rFonts w:hint="eastAsia" w:ascii="宋体" w:hAnsi="宋体"/>
                <w:color w:val="auto"/>
                <w:szCs w:val="21"/>
                <w:highlight w:val="none"/>
              </w:rPr>
            </w:pPr>
          </w:p>
          <w:p w14:paraId="3D1DB2B9">
            <w:pPr>
              <w:snapToGrid w:val="0"/>
              <w:spacing w:line="360" w:lineRule="auto"/>
              <w:jc w:val="right"/>
              <w:rPr>
                <w:rFonts w:hint="eastAsia" w:ascii="宋体" w:hAnsi="宋体"/>
                <w:color w:val="auto"/>
                <w:szCs w:val="21"/>
                <w:highlight w:val="none"/>
              </w:rPr>
            </w:pPr>
            <w:r>
              <w:rPr>
                <w:rFonts w:hint="eastAsia" w:ascii="宋体" w:hAnsi="宋体"/>
                <w:color w:val="auto"/>
                <w:szCs w:val="21"/>
                <w:highlight w:val="none"/>
              </w:rPr>
              <w:t xml:space="preserve"> 年   月   日</w:t>
            </w:r>
          </w:p>
        </w:tc>
      </w:tr>
      <w:tr w14:paraId="00D2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noWrap w:val="0"/>
            <w:vAlign w:val="center"/>
          </w:tcPr>
          <w:p w14:paraId="1D6496EE">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单位地址：</w:t>
            </w:r>
          </w:p>
        </w:tc>
        <w:tc>
          <w:tcPr>
            <w:tcW w:w="4517" w:type="dxa"/>
            <w:noWrap w:val="0"/>
            <w:vAlign w:val="center"/>
          </w:tcPr>
          <w:p w14:paraId="1340EE4E">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单位地址：</w:t>
            </w:r>
          </w:p>
        </w:tc>
      </w:tr>
      <w:tr w14:paraId="3AB0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noWrap w:val="0"/>
            <w:vAlign w:val="top"/>
          </w:tcPr>
          <w:p w14:paraId="278FF333">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法定代表人或者委托代理人：</w:t>
            </w:r>
          </w:p>
        </w:tc>
        <w:tc>
          <w:tcPr>
            <w:tcW w:w="4517" w:type="dxa"/>
            <w:noWrap w:val="0"/>
            <w:vAlign w:val="top"/>
          </w:tcPr>
          <w:p w14:paraId="31ADDE1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法定代表人或者委托代理人：</w:t>
            </w:r>
          </w:p>
        </w:tc>
      </w:tr>
      <w:tr w14:paraId="0E7F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0"/>
            <w:vAlign w:val="center"/>
          </w:tcPr>
          <w:p w14:paraId="3B64F24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电话：</w:t>
            </w:r>
          </w:p>
        </w:tc>
        <w:tc>
          <w:tcPr>
            <w:tcW w:w="4517" w:type="dxa"/>
            <w:noWrap w:val="0"/>
            <w:vAlign w:val="center"/>
          </w:tcPr>
          <w:p w14:paraId="60C38C91">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电话：</w:t>
            </w:r>
          </w:p>
        </w:tc>
      </w:tr>
      <w:tr w14:paraId="450C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52816950">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电子邮箱：</w:t>
            </w:r>
          </w:p>
        </w:tc>
        <w:tc>
          <w:tcPr>
            <w:tcW w:w="4517" w:type="dxa"/>
            <w:noWrap w:val="0"/>
            <w:vAlign w:val="center"/>
          </w:tcPr>
          <w:p w14:paraId="7C335EFE">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电子邮箱：</w:t>
            </w:r>
          </w:p>
        </w:tc>
      </w:tr>
      <w:tr w14:paraId="6781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14:paraId="1F9CEA20">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开户银行：</w:t>
            </w:r>
          </w:p>
        </w:tc>
        <w:tc>
          <w:tcPr>
            <w:tcW w:w="4517" w:type="dxa"/>
            <w:noWrap w:val="0"/>
            <w:vAlign w:val="center"/>
          </w:tcPr>
          <w:p w14:paraId="1ACE8109">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开户银行：</w:t>
            </w:r>
          </w:p>
        </w:tc>
      </w:tr>
      <w:tr w14:paraId="1DEC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14:paraId="123FBE12">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账号：</w:t>
            </w:r>
          </w:p>
        </w:tc>
        <w:tc>
          <w:tcPr>
            <w:tcW w:w="4517" w:type="dxa"/>
            <w:noWrap w:val="0"/>
            <w:vAlign w:val="center"/>
          </w:tcPr>
          <w:p w14:paraId="1AEA3E98">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账号：</w:t>
            </w:r>
          </w:p>
        </w:tc>
      </w:tr>
      <w:tr w14:paraId="42F2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22522F28">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邮政编码：</w:t>
            </w:r>
          </w:p>
        </w:tc>
        <w:tc>
          <w:tcPr>
            <w:tcW w:w="4517" w:type="dxa"/>
            <w:noWrap w:val="0"/>
            <w:vAlign w:val="center"/>
          </w:tcPr>
          <w:p w14:paraId="016440AF">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邮政编码：</w:t>
            </w:r>
          </w:p>
        </w:tc>
      </w:tr>
    </w:tbl>
    <w:p w14:paraId="395FFFA4">
      <w:pPr>
        <w:spacing w:line="560" w:lineRule="exact"/>
        <w:jc w:val="both"/>
        <w:rPr>
          <w:rFonts w:hint="eastAsia" w:ascii="方正小标宋简体" w:hAnsi="??" w:eastAsia="方正小标宋简体"/>
          <w:color w:val="auto"/>
          <w:sz w:val="44"/>
          <w:szCs w:val="44"/>
        </w:rPr>
      </w:pPr>
    </w:p>
    <w:p w14:paraId="2C9BCC37">
      <w:pPr>
        <w:spacing w:line="560" w:lineRule="exact"/>
        <w:jc w:val="both"/>
        <w:rPr>
          <w:rFonts w:hint="eastAsia" w:ascii="方正小标宋简体" w:hAnsi="??" w:eastAsia="方正小标宋简体"/>
          <w:color w:val="auto"/>
          <w:sz w:val="44"/>
          <w:szCs w:val="44"/>
        </w:rPr>
      </w:pPr>
    </w:p>
    <w:p w14:paraId="71E16382">
      <w:pPr>
        <w:spacing w:line="560" w:lineRule="exact"/>
        <w:jc w:val="both"/>
        <w:rPr>
          <w:rFonts w:hint="eastAsia" w:ascii="方正小标宋简体" w:hAnsi="??" w:eastAsia="方正小标宋简体"/>
          <w:color w:val="auto"/>
          <w:sz w:val="44"/>
          <w:szCs w:val="44"/>
        </w:rPr>
      </w:pPr>
    </w:p>
    <w:p w14:paraId="2125BBFF">
      <w:pPr>
        <w:spacing w:line="560" w:lineRule="exact"/>
        <w:jc w:val="both"/>
        <w:rPr>
          <w:rFonts w:hint="eastAsia" w:ascii="方正小标宋简体" w:hAnsi="??" w:eastAsia="方正小标宋简体"/>
          <w:color w:val="auto"/>
          <w:sz w:val="44"/>
          <w:szCs w:val="44"/>
        </w:rPr>
      </w:pPr>
    </w:p>
    <w:p w14:paraId="56EFDABE">
      <w:pPr>
        <w:spacing w:line="560" w:lineRule="exact"/>
        <w:jc w:val="both"/>
        <w:rPr>
          <w:rFonts w:hint="eastAsia" w:ascii="方正小标宋简体" w:hAnsi="??" w:eastAsia="方正小标宋简体"/>
          <w:color w:val="auto"/>
          <w:sz w:val="44"/>
          <w:szCs w:val="44"/>
        </w:rPr>
      </w:pPr>
    </w:p>
    <w:p w14:paraId="1F875629">
      <w:pPr>
        <w:spacing w:line="560" w:lineRule="exact"/>
        <w:jc w:val="both"/>
        <w:rPr>
          <w:rFonts w:hint="eastAsia" w:ascii="方正小标宋简体" w:hAnsi="??" w:eastAsia="方正小标宋简体"/>
          <w:color w:val="auto"/>
          <w:sz w:val="44"/>
          <w:szCs w:val="44"/>
        </w:rPr>
      </w:pPr>
    </w:p>
    <w:p w14:paraId="4287FC45">
      <w:pPr>
        <w:spacing w:line="560" w:lineRule="exact"/>
        <w:jc w:val="both"/>
        <w:rPr>
          <w:rFonts w:hint="eastAsia" w:ascii="方正小标宋简体" w:hAnsi="??" w:eastAsia="方正小标宋简体"/>
          <w:color w:val="auto"/>
          <w:sz w:val="44"/>
          <w:szCs w:val="44"/>
        </w:rPr>
      </w:pPr>
    </w:p>
    <w:p w14:paraId="12A64768">
      <w:pPr>
        <w:spacing w:line="560" w:lineRule="exact"/>
        <w:jc w:val="center"/>
        <w:rPr>
          <w:rFonts w:hint="eastAsia" w:ascii="方正小标宋简体" w:hAnsi="??" w:eastAsia="方正小标宋简体"/>
          <w:color w:val="auto"/>
          <w:sz w:val="44"/>
          <w:szCs w:val="44"/>
        </w:rPr>
      </w:pPr>
    </w:p>
    <w:p w14:paraId="51E54A56">
      <w:pPr>
        <w:spacing w:line="560" w:lineRule="exact"/>
        <w:jc w:val="center"/>
        <w:rPr>
          <w:rFonts w:ascii="方正小标宋简体" w:hAnsi="??" w:eastAsia="方正小标宋简体"/>
          <w:color w:val="auto"/>
          <w:sz w:val="44"/>
          <w:szCs w:val="44"/>
        </w:rPr>
      </w:pPr>
      <w:r>
        <w:rPr>
          <w:rFonts w:hint="eastAsia" w:ascii="方正小标宋简体" w:hAnsi="??" w:eastAsia="方正小标宋简体"/>
          <w:color w:val="auto"/>
          <w:sz w:val="44"/>
          <w:szCs w:val="44"/>
        </w:rPr>
        <w:t>购销廉洁协议</w:t>
      </w:r>
    </w:p>
    <w:p w14:paraId="47CB40F5">
      <w:pPr>
        <w:pStyle w:val="64"/>
        <w:rPr>
          <w:color w:val="auto"/>
        </w:rPr>
      </w:pPr>
    </w:p>
    <w:p w14:paraId="535C7586">
      <w:pPr>
        <w:spacing w:line="400" w:lineRule="exact"/>
        <w:ind w:firstLine="422" w:firstLineChars="200"/>
        <w:rPr>
          <w:rFonts w:hint="eastAsia" w:hAnsi="宋体" w:eastAsia="宋体" w:cs="宋体"/>
          <w:color w:val="auto"/>
          <w:szCs w:val="21"/>
          <w:u w:val="single"/>
          <w:lang w:eastAsia="zh-CN"/>
        </w:rPr>
      </w:pPr>
      <w:r>
        <w:rPr>
          <w:rFonts w:hint="eastAsia" w:hAnsi="宋体" w:cs="宋体"/>
          <w:b/>
          <w:color w:val="auto"/>
          <w:szCs w:val="21"/>
        </w:rPr>
        <w:t>甲方：</w:t>
      </w:r>
    </w:p>
    <w:p w14:paraId="2358048B">
      <w:pPr>
        <w:spacing w:line="400" w:lineRule="exact"/>
        <w:ind w:firstLine="422" w:firstLineChars="200"/>
        <w:rPr>
          <w:rFonts w:hAnsi="宋体" w:cs="宋体"/>
          <w:color w:val="auto"/>
          <w:szCs w:val="21"/>
        </w:rPr>
      </w:pPr>
      <w:r>
        <w:rPr>
          <w:rFonts w:hint="eastAsia" w:hAnsi="宋体" w:cs="宋体"/>
          <w:b/>
          <w:color w:val="auto"/>
          <w:szCs w:val="21"/>
        </w:rPr>
        <w:t>乙方：</w:t>
      </w:r>
    </w:p>
    <w:p w14:paraId="4E00B4CE">
      <w:pPr>
        <w:spacing w:line="400" w:lineRule="exact"/>
        <w:ind w:firstLine="420" w:firstLineChars="200"/>
        <w:rPr>
          <w:rFonts w:hAnsi="宋体" w:cs="宋体"/>
          <w:color w:val="auto"/>
          <w:szCs w:val="21"/>
        </w:rPr>
      </w:pPr>
      <w:r>
        <w:rPr>
          <w:rFonts w:hint="eastAsia" w:hAnsi="宋体" w:cs="宋体"/>
          <w:color w:val="auto"/>
          <w:szCs w:val="21"/>
        </w:rPr>
        <w:t>为进一步加强医疗卫生行风建设，规范医疗机构购销行为，有效防范商业贿赂行为，营造公平交易、诚实守信的购销环境，经甲、乙双方协商，同意签订本协议，并共同遵守：</w:t>
      </w:r>
    </w:p>
    <w:p w14:paraId="583A4447">
      <w:pPr>
        <w:spacing w:line="400" w:lineRule="exact"/>
        <w:ind w:firstLine="420" w:firstLineChars="200"/>
        <w:rPr>
          <w:rFonts w:hAnsi="宋体" w:cs="宋体"/>
          <w:color w:val="auto"/>
          <w:szCs w:val="21"/>
        </w:rPr>
      </w:pPr>
      <w:r>
        <w:rPr>
          <w:rFonts w:hint="eastAsia" w:hAnsi="宋体" w:cs="宋体"/>
          <w:color w:val="auto"/>
          <w:szCs w:val="21"/>
        </w:rPr>
        <w:t>一、甲乙双方按照《中华人民共和国政府采购法》、《中华人民共和国民法典》及购销合同约定购销相关产品及服务。</w:t>
      </w:r>
    </w:p>
    <w:p w14:paraId="7A807A9A">
      <w:pPr>
        <w:spacing w:line="400" w:lineRule="exact"/>
        <w:ind w:firstLine="420" w:firstLineChars="200"/>
        <w:rPr>
          <w:rFonts w:hAnsi="宋体" w:cs="宋体"/>
          <w:color w:val="auto"/>
          <w:szCs w:val="21"/>
        </w:rPr>
      </w:pPr>
      <w:r>
        <w:rPr>
          <w:rFonts w:hint="eastAsia" w:hAnsi="宋体" w:cs="宋体"/>
          <w:color w:val="auto"/>
          <w:szCs w:val="21"/>
        </w:rPr>
        <w:t>二、甲方严禁接受乙方以任何名义、形式给予的回扣，不得将接受捐赠、资助与采购挂钩。甲方工作人员不得参加乙方安排并支付费用的营业性娱乐场所的娱乐活动，不得以任何形式向乙方索要和收受现金、有价证券、支付凭证和贵重礼品等。被迫接受乙方给予的钱物，应予退还。无法退还的，有责任如实向有关纪检监察部门反映情况。</w:t>
      </w:r>
    </w:p>
    <w:p w14:paraId="249F3504">
      <w:pPr>
        <w:spacing w:line="400" w:lineRule="exact"/>
        <w:ind w:firstLine="420" w:firstLineChars="200"/>
        <w:rPr>
          <w:rFonts w:hAnsi="宋体" w:cs="宋体"/>
          <w:color w:val="auto"/>
          <w:szCs w:val="21"/>
        </w:rPr>
      </w:pPr>
      <w:r>
        <w:rPr>
          <w:rFonts w:hint="eastAsia" w:hAnsi="宋体" w:cs="宋体"/>
          <w:color w:val="auto"/>
          <w:szCs w:val="21"/>
        </w:rPr>
        <w:t>三、严禁甲方工作人员利用任何途径和方式，为乙方统计医师个人及临床科室有关医用耗材用量信息，或为乙方统计提供便利。</w:t>
      </w:r>
    </w:p>
    <w:p w14:paraId="7C64979F">
      <w:pPr>
        <w:spacing w:line="400" w:lineRule="exact"/>
        <w:ind w:firstLine="420" w:firstLineChars="200"/>
        <w:rPr>
          <w:rFonts w:hAnsi="宋体" w:cs="宋体"/>
          <w:color w:val="auto"/>
          <w:szCs w:val="21"/>
        </w:rPr>
      </w:pPr>
      <w:r>
        <w:rPr>
          <w:rFonts w:hint="eastAsia" w:hAnsi="宋体" w:cs="宋体"/>
          <w:color w:val="auto"/>
          <w:szCs w:val="21"/>
        </w:rPr>
        <w:t>四、乙方不得以回扣、宴请等方式影响甲方工作人员采购或使用医用耗材的选择权，不得在学术活动中提供旅游、超标准支付食宿费用。</w:t>
      </w:r>
    </w:p>
    <w:p w14:paraId="0E44EFCE">
      <w:pPr>
        <w:spacing w:line="400" w:lineRule="exact"/>
        <w:ind w:firstLine="420" w:firstLineChars="200"/>
        <w:rPr>
          <w:rFonts w:hAnsi="宋体" w:cs="宋体"/>
          <w:color w:val="auto"/>
          <w:szCs w:val="21"/>
        </w:rPr>
      </w:pPr>
      <w:r>
        <w:rPr>
          <w:rFonts w:hint="eastAsia" w:hAnsi="宋体" w:cs="宋体"/>
          <w:color w:val="auto"/>
          <w:szCs w:val="21"/>
        </w:rPr>
        <w:t>五、乙方指定</w:t>
      </w:r>
      <w:r>
        <w:rPr>
          <w:rFonts w:hint="eastAsia" w:hAnsi="宋体" w:cs="宋体"/>
          <w:color w:val="auto"/>
          <w:szCs w:val="21"/>
          <w:u w:val="single"/>
        </w:rPr>
        <w:t xml:space="preserve">  </w:t>
      </w:r>
      <w:r>
        <w:rPr>
          <w:rFonts w:hint="eastAsia" w:hAnsi="宋体" w:cs="宋体"/>
          <w:color w:val="auto"/>
          <w:szCs w:val="21"/>
          <w:u w:val="single"/>
          <w:lang w:val="en-US" w:eastAsia="zh-CN"/>
        </w:rPr>
        <w:t xml:space="preserve">     </w:t>
      </w:r>
      <w:r>
        <w:rPr>
          <w:rFonts w:hint="eastAsia" w:hAnsi="宋体" w:cs="宋体"/>
          <w:color w:val="auto"/>
          <w:szCs w:val="21"/>
          <w:u w:val="single"/>
        </w:rPr>
        <w:t xml:space="preserve"> </w:t>
      </w:r>
      <w:r>
        <w:rPr>
          <w:rFonts w:hint="eastAsia" w:hAnsi="宋体" w:cs="宋体"/>
          <w:color w:val="auto"/>
          <w:szCs w:val="21"/>
        </w:rPr>
        <w:t>作为销售代表洽谈业务。销售代表必须在工作时间到甲方指定地点联系商谈，不得到住院部、门诊部、医技科室等推销医用耗材，不得借故到甲方相关领导、部门负责人及相关工作人员家中访谈并提供任何好处费。</w:t>
      </w:r>
    </w:p>
    <w:p w14:paraId="21B0B8C1">
      <w:pPr>
        <w:spacing w:line="400" w:lineRule="exact"/>
        <w:ind w:firstLine="420" w:firstLineChars="200"/>
        <w:rPr>
          <w:rFonts w:hAnsi="宋体" w:cs="宋体"/>
          <w:color w:val="auto"/>
          <w:szCs w:val="21"/>
        </w:rPr>
      </w:pPr>
      <w:r>
        <w:rPr>
          <w:rFonts w:hint="eastAsia" w:hAnsi="宋体" w:cs="宋体"/>
          <w:color w:val="auto"/>
          <w:szCs w:val="21"/>
        </w:rPr>
        <w:t>六、乙方如违反本协议，一经发现，甲方有权终止购销合同，并向有关卫生健康行政部门报告。如乙方被列入商业贿赂不良记录，则严格按照《国家卫生计生委关于建立医药购销领域商业贿赂不良记录的规定》（国卫法制发〔2013〕50号）、《广西壮族自治区医药购销领域商业贿赂不良记录实施办法》（桂卫药政发〔2014〕2号）相关规定处理。</w:t>
      </w:r>
    </w:p>
    <w:p w14:paraId="1A1607C0">
      <w:pPr>
        <w:spacing w:line="400" w:lineRule="exact"/>
        <w:ind w:firstLine="420" w:firstLineChars="200"/>
        <w:rPr>
          <w:rFonts w:hAnsi="宋体" w:cs="宋体"/>
          <w:color w:val="auto"/>
          <w:szCs w:val="21"/>
        </w:rPr>
      </w:pPr>
      <w:r>
        <w:rPr>
          <w:rFonts w:hint="eastAsia" w:hAnsi="宋体" w:cs="宋体"/>
          <w:color w:val="auto"/>
          <w:szCs w:val="21"/>
        </w:rPr>
        <w:t>七、本协议作为购销合同的重要组成部分，与购销合同一并执行，具有同等的法律效力。</w:t>
      </w:r>
    </w:p>
    <w:p w14:paraId="4F0E9B3D">
      <w:pPr>
        <w:spacing w:line="400" w:lineRule="exact"/>
        <w:ind w:left="105" w:leftChars="50" w:firstLine="315" w:firstLineChars="150"/>
        <w:rPr>
          <w:rFonts w:hAnsi="宋体" w:cs="宋体"/>
          <w:color w:val="auto"/>
          <w:szCs w:val="21"/>
        </w:rPr>
      </w:pPr>
      <w:r>
        <w:rPr>
          <w:rFonts w:hint="eastAsia" w:hAnsi="宋体" w:cs="宋体"/>
          <w:color w:val="auto"/>
          <w:szCs w:val="21"/>
        </w:rPr>
        <w:t>八、本协议一式</w:t>
      </w:r>
      <w:r>
        <w:rPr>
          <w:rFonts w:hint="eastAsia" w:hAnsi="宋体" w:cs="宋体"/>
          <w:color w:val="auto"/>
          <w:szCs w:val="21"/>
          <w:u w:val="single"/>
          <w:lang w:eastAsia="zh-CN"/>
        </w:rPr>
        <w:t>叁</w:t>
      </w:r>
      <w:r>
        <w:rPr>
          <w:rFonts w:hint="eastAsia" w:hAnsi="宋体" w:cs="宋体"/>
          <w:color w:val="auto"/>
          <w:szCs w:val="21"/>
        </w:rPr>
        <w:t>份，甲方执</w:t>
      </w:r>
      <w:r>
        <w:rPr>
          <w:rFonts w:hint="eastAsia" w:hAnsi="宋体" w:cs="宋体"/>
          <w:color w:val="auto"/>
          <w:szCs w:val="21"/>
          <w:lang w:eastAsia="zh-CN"/>
        </w:rPr>
        <w:t>壹</w:t>
      </w:r>
      <w:r>
        <w:rPr>
          <w:rFonts w:hint="eastAsia" w:hAnsi="宋体" w:cs="宋体"/>
          <w:color w:val="auto"/>
          <w:szCs w:val="21"/>
        </w:rPr>
        <w:t>份，乙方执</w:t>
      </w:r>
      <w:r>
        <w:rPr>
          <w:rFonts w:hint="eastAsia" w:hAnsi="宋体" w:cs="宋体"/>
          <w:color w:val="auto"/>
          <w:szCs w:val="21"/>
          <w:u w:val="single"/>
        </w:rPr>
        <w:t>壹</w:t>
      </w:r>
      <w:r>
        <w:rPr>
          <w:rFonts w:hint="eastAsia" w:hAnsi="宋体" w:cs="宋体"/>
          <w:color w:val="auto"/>
          <w:szCs w:val="21"/>
        </w:rPr>
        <w:t>份，招标代理机构</w:t>
      </w:r>
      <w:r>
        <w:rPr>
          <w:rFonts w:hint="eastAsia" w:hAnsi="宋体" w:cs="宋体"/>
          <w:color w:val="auto"/>
          <w:szCs w:val="21"/>
          <w:u w:val="single"/>
        </w:rPr>
        <w:t>壹</w:t>
      </w:r>
      <w:r>
        <w:rPr>
          <w:rFonts w:hint="eastAsia" w:hAnsi="宋体" w:cs="宋体"/>
          <w:color w:val="auto"/>
          <w:szCs w:val="21"/>
        </w:rPr>
        <w:t>份，从签订之日起生效。</w:t>
      </w:r>
    </w:p>
    <w:p w14:paraId="584CE948">
      <w:pPr>
        <w:spacing w:line="400" w:lineRule="exact"/>
        <w:ind w:firstLine="420" w:firstLineChars="200"/>
        <w:rPr>
          <w:rFonts w:hAnsi="宋体" w:cs="宋体"/>
          <w:color w:val="auto"/>
          <w:szCs w:val="21"/>
        </w:rPr>
      </w:pPr>
    </w:p>
    <w:p w14:paraId="2227BE39">
      <w:pPr>
        <w:spacing w:line="480" w:lineRule="auto"/>
        <w:ind w:firstLine="422" w:firstLineChars="200"/>
        <w:rPr>
          <w:rFonts w:hAnsi="宋体" w:cs="宋体"/>
          <w:b/>
          <w:color w:val="auto"/>
          <w:szCs w:val="21"/>
        </w:rPr>
      </w:pPr>
      <w:r>
        <w:rPr>
          <w:rFonts w:hint="eastAsia" w:hAnsi="宋体" w:cs="宋体"/>
          <w:b/>
          <w:color w:val="auto"/>
          <w:szCs w:val="21"/>
        </w:rPr>
        <w:t>甲方（盖章）：                                乙方（盖章）：</w:t>
      </w:r>
    </w:p>
    <w:p w14:paraId="61F36D5A">
      <w:pPr>
        <w:spacing w:line="480" w:lineRule="auto"/>
        <w:ind w:firstLine="422" w:firstLineChars="200"/>
        <w:rPr>
          <w:rFonts w:hAnsi="宋体" w:cs="宋体"/>
          <w:b/>
          <w:color w:val="auto"/>
          <w:szCs w:val="21"/>
        </w:rPr>
      </w:pPr>
      <w:r>
        <w:rPr>
          <w:rFonts w:hint="eastAsia" w:hAnsi="宋体" w:cs="宋体"/>
          <w:b/>
          <w:color w:val="auto"/>
          <w:szCs w:val="21"/>
        </w:rPr>
        <w:t>法定代表人（负责人）：                        法定代表人（负责人）：</w:t>
      </w:r>
    </w:p>
    <w:p w14:paraId="04DAED51">
      <w:pPr>
        <w:spacing w:line="480" w:lineRule="auto"/>
        <w:ind w:firstLine="422" w:firstLineChars="200"/>
        <w:rPr>
          <w:rFonts w:hAnsi="宋体" w:cs="宋体"/>
          <w:b/>
          <w:color w:val="auto"/>
          <w:szCs w:val="21"/>
        </w:rPr>
      </w:pPr>
      <w:r>
        <w:rPr>
          <w:rFonts w:hint="eastAsia" w:hAnsi="宋体" w:cs="宋体"/>
          <w:b/>
          <w:color w:val="auto"/>
          <w:szCs w:val="21"/>
        </w:rPr>
        <w:t xml:space="preserve">经办人签名：                                </w:t>
      </w:r>
      <w:r>
        <w:rPr>
          <w:rFonts w:hint="eastAsia" w:hAnsi="宋体" w:cs="宋体"/>
          <w:b/>
          <w:color w:val="auto"/>
          <w:szCs w:val="21"/>
          <w:lang w:val="en-US" w:eastAsia="zh-CN"/>
        </w:rPr>
        <w:t xml:space="preserve"> </w:t>
      </w:r>
      <w:r>
        <w:rPr>
          <w:rFonts w:hint="eastAsia" w:hAnsi="宋体" w:cs="宋体"/>
          <w:b/>
          <w:color w:val="auto"/>
          <w:szCs w:val="21"/>
        </w:rPr>
        <w:t xml:space="preserve"> 经办人签名：</w:t>
      </w:r>
    </w:p>
    <w:p w14:paraId="2BC8232E">
      <w:pPr>
        <w:pStyle w:val="20"/>
        <w:tabs>
          <w:tab w:val="left" w:pos="540"/>
          <w:tab w:val="right" w:leader="dot" w:pos="9742"/>
        </w:tabs>
        <w:spacing w:line="480" w:lineRule="auto"/>
        <w:ind w:firstLine="1160" w:firstLineChars="550"/>
        <w:rPr>
          <w:rFonts w:ascii="宋体" w:hAnsi="宋体" w:cs="宋体"/>
          <w:b/>
          <w:color w:val="auto"/>
          <w:sz w:val="21"/>
          <w:szCs w:val="21"/>
        </w:rPr>
      </w:pPr>
      <w:r>
        <w:rPr>
          <w:rFonts w:hint="eastAsia" w:ascii="宋体" w:hAnsi="宋体" w:cs="宋体"/>
          <w:b/>
          <w:color w:val="auto"/>
          <w:sz w:val="21"/>
          <w:szCs w:val="21"/>
          <w:lang w:val="en-US" w:eastAsia="zh-CN"/>
        </w:rPr>
        <w:t xml:space="preserve"> </w:t>
      </w:r>
      <w:r>
        <w:rPr>
          <w:rFonts w:hint="eastAsia" w:ascii="宋体" w:hAnsi="宋体" w:cs="宋体"/>
          <w:b/>
          <w:color w:val="auto"/>
          <w:sz w:val="21"/>
          <w:szCs w:val="21"/>
        </w:rPr>
        <w:t xml:space="preserve">年    月   日                            </w:t>
      </w:r>
      <w:r>
        <w:rPr>
          <w:rFonts w:hint="eastAsia" w:ascii="宋体" w:hAnsi="宋体" w:cs="宋体"/>
          <w:b/>
          <w:color w:val="auto"/>
          <w:sz w:val="21"/>
          <w:szCs w:val="21"/>
          <w:lang w:val="en-US" w:eastAsia="zh-CN"/>
        </w:rPr>
        <w:t xml:space="preserve"> </w:t>
      </w:r>
      <w:r>
        <w:rPr>
          <w:rFonts w:hint="eastAsia" w:ascii="宋体" w:hAnsi="宋体" w:cs="宋体"/>
          <w:b/>
          <w:color w:val="auto"/>
          <w:sz w:val="21"/>
          <w:szCs w:val="21"/>
        </w:rPr>
        <w:t>年    月   日</w:t>
      </w:r>
    </w:p>
    <w:p w14:paraId="06E1C024">
      <w:pPr>
        <w:snapToGrid w:val="0"/>
        <w:jc w:val="both"/>
        <w:rPr>
          <w:rFonts w:hint="eastAsia" w:ascii="宋体" w:hAnsi="宋体"/>
          <w:bCs/>
          <w:color w:val="auto"/>
          <w:sz w:val="32"/>
          <w:szCs w:val="32"/>
          <w:highlight w:val="none"/>
        </w:rPr>
      </w:pPr>
    </w:p>
    <w:p w14:paraId="6E07BF08">
      <w:pPr>
        <w:snapToGrid w:val="0"/>
        <w:spacing w:line="400" w:lineRule="exact"/>
        <w:rPr>
          <w:rFonts w:ascii="宋体" w:hAnsi="宋体"/>
          <w:color w:val="auto"/>
          <w:sz w:val="24"/>
        </w:rPr>
      </w:pPr>
    </w:p>
    <w:sectPr>
      <w:footerReference r:id="rId5" w:type="first"/>
      <w:pgSz w:w="11910" w:h="16840"/>
      <w:pgMar w:top="1134" w:right="1134" w:bottom="1134" w:left="1134" w:header="850" w:footer="567"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华文新魏">
    <w:panose1 w:val="02010800040101010101"/>
    <w:charset w:val="86"/>
    <w:family w:val="auto"/>
    <w:pitch w:val="default"/>
    <w:sig w:usb0="00000001" w:usb1="080F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72018">
    <w:pPr>
      <w:pStyle w:val="18"/>
      <w:jc w:val="center"/>
    </w:pPr>
    <w:r>
      <w:fldChar w:fldCharType="begin"/>
    </w:r>
    <w:r>
      <w:instrText xml:space="preserve"> PAGE   \* MERGEFORMAT </w:instrText>
    </w:r>
    <w:r>
      <w:fldChar w:fldCharType="separate"/>
    </w:r>
    <w:r>
      <w:rPr>
        <w:lang w:val="zh-CN"/>
      </w:rPr>
      <w:t>40</w:t>
    </w:r>
    <w:r>
      <w:fldChar w:fldCharType="end"/>
    </w:r>
  </w:p>
  <w:p w14:paraId="6D6F4223">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6102A">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280D8AD">
                          <w:pPr>
                            <w:pStyle w:val="1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OqXm5zwAAAAUBAAAPAAAAAAAAAAEAIAAAACIAAABkcnMvZG93bnJl&#10;di54bWxQSwECFAAUAAAACACHTuJAiJMJjQYCAAAHBAAADgAAAAAAAAABACAAAAAeAQAAZHJzL2Uy&#10;b0RvYy54bWxQSwUGAAAAAAYABgBZAQAAlgUAAAAA&#10;">
              <v:fill on="f" focussize="0,0"/>
              <v:stroke on="f"/>
              <v:imagedata o:title=""/>
              <o:lock v:ext="edit" aspectratio="f"/>
              <v:textbox inset="0mm,0mm,0mm,0mm" style="mso-fit-shape-to-text:t;">
                <w:txbxContent>
                  <w:p w14:paraId="6280D8AD">
                    <w:pPr>
                      <w:pStyle w:val="1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D7CAA">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EC82D"/>
    <w:multiLevelType w:val="singleLevel"/>
    <w:tmpl w:val="824EC82D"/>
    <w:lvl w:ilvl="0" w:tentative="0">
      <w:start w:val="3"/>
      <w:numFmt w:val="decimal"/>
      <w:lvlText w:val="%1."/>
      <w:lvlJc w:val="left"/>
      <w:pPr>
        <w:tabs>
          <w:tab w:val="left" w:pos="312"/>
        </w:tabs>
      </w:pPr>
    </w:lvl>
  </w:abstractNum>
  <w:abstractNum w:abstractNumId="1">
    <w:nsid w:val="2A646790"/>
    <w:multiLevelType w:val="multilevel"/>
    <w:tmpl w:val="2A646790"/>
    <w:lvl w:ilvl="0" w:tentative="0">
      <w:start w:val="1"/>
      <w:numFmt w:val="decimal"/>
      <w:pStyle w:val="69"/>
      <w:lvlText w:val="%1."/>
      <w:lvlJc w:val="left"/>
      <w:pPr>
        <w:tabs>
          <w:tab w:val="left" w:pos="1224"/>
        </w:tabs>
        <w:ind w:left="1224" w:hanging="1224"/>
      </w:pPr>
    </w:lvl>
    <w:lvl w:ilvl="1" w:tentative="0">
      <w:start w:val="1"/>
      <w:numFmt w:val="decimal"/>
      <w:pStyle w:val="67"/>
      <w:lvlText w:val="%1.%2"/>
      <w:lvlJc w:val="left"/>
      <w:pPr>
        <w:tabs>
          <w:tab w:val="left" w:pos="1224"/>
        </w:tabs>
        <w:ind w:left="1224" w:hanging="1224"/>
      </w:pPr>
      <w:rPr>
        <w:sz w:val="24"/>
        <w:szCs w:val="24"/>
      </w:rPr>
    </w:lvl>
    <w:lvl w:ilvl="2" w:tentative="0">
      <w:start w:val="1"/>
      <w:numFmt w:val="decimal"/>
      <w:pStyle w:val="68"/>
      <w:lvlText w:val="%1.%2.%3"/>
      <w:lvlJc w:val="left"/>
      <w:pPr>
        <w:tabs>
          <w:tab w:val="left" w:pos="1224"/>
        </w:tabs>
        <w:ind w:left="1224" w:hanging="1224"/>
      </w:pPr>
      <w:rPr>
        <w:rFonts w:hint="default" w:ascii="Arial Narrow" w:hAnsi="Arial Narrow" w:eastAsia="仿宋_GB2312"/>
        <w:sz w:val="24"/>
        <w:szCs w:val="24"/>
      </w:rPr>
    </w:lvl>
    <w:lvl w:ilvl="3" w:tentative="0">
      <w:start w:val="1"/>
      <w:numFmt w:val="decimal"/>
      <w:lvlText w:val="%1.%2.%3.%4."/>
      <w:lvlJc w:val="left"/>
      <w:pPr>
        <w:tabs>
          <w:tab w:val="left" w:pos="1225"/>
        </w:tabs>
        <w:ind w:left="1225" w:hanging="1225"/>
      </w:pPr>
      <w:rPr>
        <w:sz w:val="24"/>
        <w:szCs w:val="24"/>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6362018"/>
    <w:multiLevelType w:val="singleLevel"/>
    <w:tmpl w:val="46362018"/>
    <w:lvl w:ilvl="0" w:tentative="0">
      <w:start w:val="2"/>
      <w:numFmt w:val="decimal"/>
      <w:lvlText w:val="%1."/>
      <w:lvlJc w:val="left"/>
      <w:pPr>
        <w:tabs>
          <w:tab w:val="left" w:pos="312"/>
        </w:tabs>
        <w:ind w:left="42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T1EgjZ6J/MPziOboKunhusDuj2M=" w:salt="EL+dWi909DrOqhhwmzeZpg=="/>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xZDBhNDk4YWQ4MzFjN2Q1NGQxYjU1MGRkYjRjNTQifQ=="/>
  </w:docVars>
  <w:rsids>
    <w:rsidRoot w:val="00F34B14"/>
    <w:rsid w:val="00000672"/>
    <w:rsid w:val="00001799"/>
    <w:rsid w:val="000022D9"/>
    <w:rsid w:val="00002D29"/>
    <w:rsid w:val="000040C5"/>
    <w:rsid w:val="00004A8A"/>
    <w:rsid w:val="0000574C"/>
    <w:rsid w:val="00005E55"/>
    <w:rsid w:val="00005FDF"/>
    <w:rsid w:val="00006586"/>
    <w:rsid w:val="000065BA"/>
    <w:rsid w:val="0001045D"/>
    <w:rsid w:val="00010D39"/>
    <w:rsid w:val="000112BB"/>
    <w:rsid w:val="0001149B"/>
    <w:rsid w:val="0001172C"/>
    <w:rsid w:val="00012854"/>
    <w:rsid w:val="00012EA6"/>
    <w:rsid w:val="000139DC"/>
    <w:rsid w:val="00013D8C"/>
    <w:rsid w:val="00013DFE"/>
    <w:rsid w:val="00013F03"/>
    <w:rsid w:val="000141EA"/>
    <w:rsid w:val="00014385"/>
    <w:rsid w:val="000159F6"/>
    <w:rsid w:val="00016960"/>
    <w:rsid w:val="00017396"/>
    <w:rsid w:val="000177DB"/>
    <w:rsid w:val="00020227"/>
    <w:rsid w:val="000203E4"/>
    <w:rsid w:val="00020455"/>
    <w:rsid w:val="00022731"/>
    <w:rsid w:val="00022792"/>
    <w:rsid w:val="000242CE"/>
    <w:rsid w:val="00025382"/>
    <w:rsid w:val="00025636"/>
    <w:rsid w:val="00025E36"/>
    <w:rsid w:val="00026627"/>
    <w:rsid w:val="00026886"/>
    <w:rsid w:val="00030496"/>
    <w:rsid w:val="000329E0"/>
    <w:rsid w:val="000333A0"/>
    <w:rsid w:val="000352E9"/>
    <w:rsid w:val="00036A07"/>
    <w:rsid w:val="00036E33"/>
    <w:rsid w:val="00037E2D"/>
    <w:rsid w:val="00040571"/>
    <w:rsid w:val="0004156E"/>
    <w:rsid w:val="00041597"/>
    <w:rsid w:val="0004440C"/>
    <w:rsid w:val="00045880"/>
    <w:rsid w:val="000462CB"/>
    <w:rsid w:val="00046B5E"/>
    <w:rsid w:val="0004783A"/>
    <w:rsid w:val="000509D9"/>
    <w:rsid w:val="0005398D"/>
    <w:rsid w:val="000552A6"/>
    <w:rsid w:val="00055D41"/>
    <w:rsid w:val="00057CEC"/>
    <w:rsid w:val="00060DCE"/>
    <w:rsid w:val="000623B4"/>
    <w:rsid w:val="000634A7"/>
    <w:rsid w:val="00063E85"/>
    <w:rsid w:val="00063F81"/>
    <w:rsid w:val="00064847"/>
    <w:rsid w:val="0006484B"/>
    <w:rsid w:val="000673E2"/>
    <w:rsid w:val="000703B6"/>
    <w:rsid w:val="000711E4"/>
    <w:rsid w:val="000719F9"/>
    <w:rsid w:val="00072AED"/>
    <w:rsid w:val="00073F47"/>
    <w:rsid w:val="00075B7E"/>
    <w:rsid w:val="00077C70"/>
    <w:rsid w:val="00080B57"/>
    <w:rsid w:val="00081BA3"/>
    <w:rsid w:val="00081D2E"/>
    <w:rsid w:val="0008267B"/>
    <w:rsid w:val="00082D02"/>
    <w:rsid w:val="00083B91"/>
    <w:rsid w:val="0008520B"/>
    <w:rsid w:val="000871B8"/>
    <w:rsid w:val="00087DB6"/>
    <w:rsid w:val="000913BE"/>
    <w:rsid w:val="000918F8"/>
    <w:rsid w:val="00092442"/>
    <w:rsid w:val="0009588E"/>
    <w:rsid w:val="000959EE"/>
    <w:rsid w:val="00095B51"/>
    <w:rsid w:val="00097DA0"/>
    <w:rsid w:val="000A0D6B"/>
    <w:rsid w:val="000A1389"/>
    <w:rsid w:val="000A166E"/>
    <w:rsid w:val="000A2B0E"/>
    <w:rsid w:val="000A398F"/>
    <w:rsid w:val="000A509C"/>
    <w:rsid w:val="000A6007"/>
    <w:rsid w:val="000A65A6"/>
    <w:rsid w:val="000A7275"/>
    <w:rsid w:val="000A7A12"/>
    <w:rsid w:val="000A7CA5"/>
    <w:rsid w:val="000B039A"/>
    <w:rsid w:val="000B1801"/>
    <w:rsid w:val="000B1D0C"/>
    <w:rsid w:val="000B2D03"/>
    <w:rsid w:val="000B3815"/>
    <w:rsid w:val="000B3C7B"/>
    <w:rsid w:val="000B6C95"/>
    <w:rsid w:val="000C0C58"/>
    <w:rsid w:val="000C1679"/>
    <w:rsid w:val="000C2F89"/>
    <w:rsid w:val="000C30BB"/>
    <w:rsid w:val="000C366E"/>
    <w:rsid w:val="000C4635"/>
    <w:rsid w:val="000C548E"/>
    <w:rsid w:val="000C5698"/>
    <w:rsid w:val="000C6DE4"/>
    <w:rsid w:val="000C716B"/>
    <w:rsid w:val="000D01EB"/>
    <w:rsid w:val="000D056E"/>
    <w:rsid w:val="000D0675"/>
    <w:rsid w:val="000D0A89"/>
    <w:rsid w:val="000D1389"/>
    <w:rsid w:val="000D1798"/>
    <w:rsid w:val="000D1A2A"/>
    <w:rsid w:val="000D2626"/>
    <w:rsid w:val="000D2B7D"/>
    <w:rsid w:val="000D4A06"/>
    <w:rsid w:val="000D73DD"/>
    <w:rsid w:val="000D7D9B"/>
    <w:rsid w:val="000E18E2"/>
    <w:rsid w:val="000E28AB"/>
    <w:rsid w:val="000E28C1"/>
    <w:rsid w:val="000E2E3E"/>
    <w:rsid w:val="000E33C5"/>
    <w:rsid w:val="000E3583"/>
    <w:rsid w:val="000E3AF0"/>
    <w:rsid w:val="000E3D53"/>
    <w:rsid w:val="000E4E04"/>
    <w:rsid w:val="000E684C"/>
    <w:rsid w:val="000E6EC9"/>
    <w:rsid w:val="000E70B4"/>
    <w:rsid w:val="000F3281"/>
    <w:rsid w:val="000F3733"/>
    <w:rsid w:val="000F4D88"/>
    <w:rsid w:val="000F64AA"/>
    <w:rsid w:val="000F7AF4"/>
    <w:rsid w:val="000F7C33"/>
    <w:rsid w:val="000F7F0C"/>
    <w:rsid w:val="00100246"/>
    <w:rsid w:val="001004D6"/>
    <w:rsid w:val="00100D90"/>
    <w:rsid w:val="00101A74"/>
    <w:rsid w:val="00103918"/>
    <w:rsid w:val="00104889"/>
    <w:rsid w:val="00104897"/>
    <w:rsid w:val="00104D7E"/>
    <w:rsid w:val="00104EDE"/>
    <w:rsid w:val="00105AA1"/>
    <w:rsid w:val="00106BEE"/>
    <w:rsid w:val="00110339"/>
    <w:rsid w:val="00110C92"/>
    <w:rsid w:val="00113134"/>
    <w:rsid w:val="00113AC0"/>
    <w:rsid w:val="00114851"/>
    <w:rsid w:val="00115E11"/>
    <w:rsid w:val="00115F56"/>
    <w:rsid w:val="001171C9"/>
    <w:rsid w:val="00117CBD"/>
    <w:rsid w:val="0012006A"/>
    <w:rsid w:val="00120990"/>
    <w:rsid w:val="001217B5"/>
    <w:rsid w:val="00121979"/>
    <w:rsid w:val="00122064"/>
    <w:rsid w:val="00125004"/>
    <w:rsid w:val="001263B8"/>
    <w:rsid w:val="00126763"/>
    <w:rsid w:val="00130217"/>
    <w:rsid w:val="00130783"/>
    <w:rsid w:val="00130990"/>
    <w:rsid w:val="001312CB"/>
    <w:rsid w:val="00132B47"/>
    <w:rsid w:val="00132E64"/>
    <w:rsid w:val="001351CB"/>
    <w:rsid w:val="001359A2"/>
    <w:rsid w:val="00135E37"/>
    <w:rsid w:val="00136020"/>
    <w:rsid w:val="00136445"/>
    <w:rsid w:val="00140132"/>
    <w:rsid w:val="00141C9C"/>
    <w:rsid w:val="001434BE"/>
    <w:rsid w:val="0014479F"/>
    <w:rsid w:val="001452B4"/>
    <w:rsid w:val="00146EC6"/>
    <w:rsid w:val="001478D2"/>
    <w:rsid w:val="00151C48"/>
    <w:rsid w:val="00152A87"/>
    <w:rsid w:val="00154486"/>
    <w:rsid w:val="00156D0E"/>
    <w:rsid w:val="00156DD9"/>
    <w:rsid w:val="0016086E"/>
    <w:rsid w:val="00160D0C"/>
    <w:rsid w:val="00160F79"/>
    <w:rsid w:val="00161172"/>
    <w:rsid w:val="0016139E"/>
    <w:rsid w:val="00161E65"/>
    <w:rsid w:val="00162597"/>
    <w:rsid w:val="001629AF"/>
    <w:rsid w:val="0016428A"/>
    <w:rsid w:val="001647C9"/>
    <w:rsid w:val="001661A3"/>
    <w:rsid w:val="0016782B"/>
    <w:rsid w:val="00173256"/>
    <w:rsid w:val="001733E1"/>
    <w:rsid w:val="00173F74"/>
    <w:rsid w:val="00175086"/>
    <w:rsid w:val="00175BA6"/>
    <w:rsid w:val="0017617F"/>
    <w:rsid w:val="00176CA7"/>
    <w:rsid w:val="001778C5"/>
    <w:rsid w:val="00177E56"/>
    <w:rsid w:val="00177F0A"/>
    <w:rsid w:val="00185617"/>
    <w:rsid w:val="00186ADE"/>
    <w:rsid w:val="0019171E"/>
    <w:rsid w:val="0019220F"/>
    <w:rsid w:val="001928B1"/>
    <w:rsid w:val="00194ED5"/>
    <w:rsid w:val="00195424"/>
    <w:rsid w:val="001955FF"/>
    <w:rsid w:val="00197EDD"/>
    <w:rsid w:val="001A02B3"/>
    <w:rsid w:val="001A04BB"/>
    <w:rsid w:val="001A08D0"/>
    <w:rsid w:val="001A14B1"/>
    <w:rsid w:val="001A1B39"/>
    <w:rsid w:val="001A2492"/>
    <w:rsid w:val="001A2E69"/>
    <w:rsid w:val="001A3C34"/>
    <w:rsid w:val="001A3EDE"/>
    <w:rsid w:val="001A4222"/>
    <w:rsid w:val="001A50EA"/>
    <w:rsid w:val="001A5E24"/>
    <w:rsid w:val="001A6D8B"/>
    <w:rsid w:val="001B079E"/>
    <w:rsid w:val="001B0CDA"/>
    <w:rsid w:val="001B0E26"/>
    <w:rsid w:val="001B125A"/>
    <w:rsid w:val="001B1EBA"/>
    <w:rsid w:val="001B2142"/>
    <w:rsid w:val="001B26CF"/>
    <w:rsid w:val="001B2F2B"/>
    <w:rsid w:val="001B327A"/>
    <w:rsid w:val="001B35DE"/>
    <w:rsid w:val="001B3A13"/>
    <w:rsid w:val="001B59FF"/>
    <w:rsid w:val="001B636D"/>
    <w:rsid w:val="001B65D7"/>
    <w:rsid w:val="001B6752"/>
    <w:rsid w:val="001B6768"/>
    <w:rsid w:val="001B6F1F"/>
    <w:rsid w:val="001B7ECC"/>
    <w:rsid w:val="001C25A7"/>
    <w:rsid w:val="001C318C"/>
    <w:rsid w:val="001C4287"/>
    <w:rsid w:val="001C4479"/>
    <w:rsid w:val="001C76B7"/>
    <w:rsid w:val="001C76FB"/>
    <w:rsid w:val="001D2764"/>
    <w:rsid w:val="001D2DAD"/>
    <w:rsid w:val="001D324F"/>
    <w:rsid w:val="001D3697"/>
    <w:rsid w:val="001D51DE"/>
    <w:rsid w:val="001D540E"/>
    <w:rsid w:val="001D58A1"/>
    <w:rsid w:val="001D5A8A"/>
    <w:rsid w:val="001D735E"/>
    <w:rsid w:val="001D73C8"/>
    <w:rsid w:val="001D74D4"/>
    <w:rsid w:val="001D756D"/>
    <w:rsid w:val="001D778C"/>
    <w:rsid w:val="001D7E1F"/>
    <w:rsid w:val="001E0756"/>
    <w:rsid w:val="001E0A8D"/>
    <w:rsid w:val="001E0FFB"/>
    <w:rsid w:val="001E129E"/>
    <w:rsid w:val="001E2B9F"/>
    <w:rsid w:val="001E30C0"/>
    <w:rsid w:val="001E4A8D"/>
    <w:rsid w:val="001E5A94"/>
    <w:rsid w:val="001E7648"/>
    <w:rsid w:val="001F127B"/>
    <w:rsid w:val="001F2A2E"/>
    <w:rsid w:val="001F3B72"/>
    <w:rsid w:val="001F3C63"/>
    <w:rsid w:val="001F4460"/>
    <w:rsid w:val="001F5DAF"/>
    <w:rsid w:val="001F637C"/>
    <w:rsid w:val="001F6B6C"/>
    <w:rsid w:val="001F711A"/>
    <w:rsid w:val="001F75B0"/>
    <w:rsid w:val="001F7686"/>
    <w:rsid w:val="00200CE5"/>
    <w:rsid w:val="002014DB"/>
    <w:rsid w:val="00201E12"/>
    <w:rsid w:val="00202AEC"/>
    <w:rsid w:val="002031E2"/>
    <w:rsid w:val="002033B5"/>
    <w:rsid w:val="0020382C"/>
    <w:rsid w:val="0020437A"/>
    <w:rsid w:val="00204B5F"/>
    <w:rsid w:val="0020532C"/>
    <w:rsid w:val="00205D23"/>
    <w:rsid w:val="0021064F"/>
    <w:rsid w:val="002114C7"/>
    <w:rsid w:val="00212756"/>
    <w:rsid w:val="0021302C"/>
    <w:rsid w:val="00213045"/>
    <w:rsid w:val="00213483"/>
    <w:rsid w:val="00213B1C"/>
    <w:rsid w:val="00214202"/>
    <w:rsid w:val="002146F3"/>
    <w:rsid w:val="002148E3"/>
    <w:rsid w:val="00215373"/>
    <w:rsid w:val="0021552D"/>
    <w:rsid w:val="002156AE"/>
    <w:rsid w:val="00217861"/>
    <w:rsid w:val="0022054D"/>
    <w:rsid w:val="002225FA"/>
    <w:rsid w:val="00224DE1"/>
    <w:rsid w:val="002255B2"/>
    <w:rsid w:val="00225664"/>
    <w:rsid w:val="002269DC"/>
    <w:rsid w:val="00227F2D"/>
    <w:rsid w:val="00231851"/>
    <w:rsid w:val="002319FB"/>
    <w:rsid w:val="00231B89"/>
    <w:rsid w:val="00231B8E"/>
    <w:rsid w:val="002355BE"/>
    <w:rsid w:val="00236DE9"/>
    <w:rsid w:val="00237D5A"/>
    <w:rsid w:val="00241300"/>
    <w:rsid w:val="00241D3C"/>
    <w:rsid w:val="002439AB"/>
    <w:rsid w:val="002450D5"/>
    <w:rsid w:val="00245587"/>
    <w:rsid w:val="00245F2B"/>
    <w:rsid w:val="00246F95"/>
    <w:rsid w:val="00247676"/>
    <w:rsid w:val="00247F3A"/>
    <w:rsid w:val="00250122"/>
    <w:rsid w:val="00250755"/>
    <w:rsid w:val="00250AE3"/>
    <w:rsid w:val="00251C4A"/>
    <w:rsid w:val="0025271C"/>
    <w:rsid w:val="00252A91"/>
    <w:rsid w:val="002533CD"/>
    <w:rsid w:val="002544C1"/>
    <w:rsid w:val="00254EAB"/>
    <w:rsid w:val="002557AF"/>
    <w:rsid w:val="00256474"/>
    <w:rsid w:val="002566B1"/>
    <w:rsid w:val="002575E3"/>
    <w:rsid w:val="002603C1"/>
    <w:rsid w:val="002609A1"/>
    <w:rsid w:val="002612B1"/>
    <w:rsid w:val="0026130D"/>
    <w:rsid w:val="00266165"/>
    <w:rsid w:val="0026782A"/>
    <w:rsid w:val="0027125E"/>
    <w:rsid w:val="00271767"/>
    <w:rsid w:val="002719C1"/>
    <w:rsid w:val="00272293"/>
    <w:rsid w:val="002723C8"/>
    <w:rsid w:val="00273CBE"/>
    <w:rsid w:val="002802D7"/>
    <w:rsid w:val="0028232C"/>
    <w:rsid w:val="002827F1"/>
    <w:rsid w:val="00282EC3"/>
    <w:rsid w:val="002835B0"/>
    <w:rsid w:val="0028407E"/>
    <w:rsid w:val="0028410F"/>
    <w:rsid w:val="002854BF"/>
    <w:rsid w:val="00286603"/>
    <w:rsid w:val="00286A98"/>
    <w:rsid w:val="00286FB5"/>
    <w:rsid w:val="00287763"/>
    <w:rsid w:val="00290606"/>
    <w:rsid w:val="00290F9D"/>
    <w:rsid w:val="002918A7"/>
    <w:rsid w:val="00291D6D"/>
    <w:rsid w:val="00291FF1"/>
    <w:rsid w:val="002923F6"/>
    <w:rsid w:val="00293361"/>
    <w:rsid w:val="00294AE8"/>
    <w:rsid w:val="00295287"/>
    <w:rsid w:val="002952B1"/>
    <w:rsid w:val="00295D11"/>
    <w:rsid w:val="00295FA0"/>
    <w:rsid w:val="00296703"/>
    <w:rsid w:val="00297A7A"/>
    <w:rsid w:val="002A0620"/>
    <w:rsid w:val="002A0C3A"/>
    <w:rsid w:val="002A1130"/>
    <w:rsid w:val="002A14D3"/>
    <w:rsid w:val="002A1880"/>
    <w:rsid w:val="002A1D47"/>
    <w:rsid w:val="002A23B7"/>
    <w:rsid w:val="002A3A57"/>
    <w:rsid w:val="002A6D22"/>
    <w:rsid w:val="002A6DEF"/>
    <w:rsid w:val="002A7411"/>
    <w:rsid w:val="002A7C24"/>
    <w:rsid w:val="002B013E"/>
    <w:rsid w:val="002B058D"/>
    <w:rsid w:val="002B0C16"/>
    <w:rsid w:val="002B11C9"/>
    <w:rsid w:val="002B169E"/>
    <w:rsid w:val="002B2621"/>
    <w:rsid w:val="002B2AC5"/>
    <w:rsid w:val="002B3528"/>
    <w:rsid w:val="002B3539"/>
    <w:rsid w:val="002B3B2B"/>
    <w:rsid w:val="002B6D17"/>
    <w:rsid w:val="002B6E71"/>
    <w:rsid w:val="002B7169"/>
    <w:rsid w:val="002C0C1C"/>
    <w:rsid w:val="002C184E"/>
    <w:rsid w:val="002C54C2"/>
    <w:rsid w:val="002C5D34"/>
    <w:rsid w:val="002C5EA7"/>
    <w:rsid w:val="002C661A"/>
    <w:rsid w:val="002C7C6E"/>
    <w:rsid w:val="002D0AF5"/>
    <w:rsid w:val="002D1C54"/>
    <w:rsid w:val="002D1FAA"/>
    <w:rsid w:val="002D2231"/>
    <w:rsid w:val="002D25FC"/>
    <w:rsid w:val="002D318B"/>
    <w:rsid w:val="002D3380"/>
    <w:rsid w:val="002D44D6"/>
    <w:rsid w:val="002D4925"/>
    <w:rsid w:val="002D4AC6"/>
    <w:rsid w:val="002D5C7B"/>
    <w:rsid w:val="002D6DFC"/>
    <w:rsid w:val="002D7648"/>
    <w:rsid w:val="002D7909"/>
    <w:rsid w:val="002E109C"/>
    <w:rsid w:val="002E115E"/>
    <w:rsid w:val="002E1439"/>
    <w:rsid w:val="002E193E"/>
    <w:rsid w:val="002E1D76"/>
    <w:rsid w:val="002E243C"/>
    <w:rsid w:val="002E26C4"/>
    <w:rsid w:val="002E33E9"/>
    <w:rsid w:val="002E4B37"/>
    <w:rsid w:val="002E4BF9"/>
    <w:rsid w:val="002E6F5B"/>
    <w:rsid w:val="002F16DD"/>
    <w:rsid w:val="002F199D"/>
    <w:rsid w:val="002F23B2"/>
    <w:rsid w:val="002F4084"/>
    <w:rsid w:val="002F4672"/>
    <w:rsid w:val="002F4A08"/>
    <w:rsid w:val="002F4ADB"/>
    <w:rsid w:val="002F531E"/>
    <w:rsid w:val="002F5ACC"/>
    <w:rsid w:val="002F6C2C"/>
    <w:rsid w:val="002F704B"/>
    <w:rsid w:val="002F72C3"/>
    <w:rsid w:val="002F768C"/>
    <w:rsid w:val="002F7D1E"/>
    <w:rsid w:val="00301839"/>
    <w:rsid w:val="00302929"/>
    <w:rsid w:val="00302F0F"/>
    <w:rsid w:val="00303243"/>
    <w:rsid w:val="00303BCC"/>
    <w:rsid w:val="00303F2B"/>
    <w:rsid w:val="00303F8D"/>
    <w:rsid w:val="00304541"/>
    <w:rsid w:val="00304580"/>
    <w:rsid w:val="0030586A"/>
    <w:rsid w:val="003074C5"/>
    <w:rsid w:val="00307A3C"/>
    <w:rsid w:val="00307FA4"/>
    <w:rsid w:val="00310CC1"/>
    <w:rsid w:val="00313026"/>
    <w:rsid w:val="00313213"/>
    <w:rsid w:val="0031421F"/>
    <w:rsid w:val="00314B31"/>
    <w:rsid w:val="00314B36"/>
    <w:rsid w:val="00315158"/>
    <w:rsid w:val="00315346"/>
    <w:rsid w:val="00315A65"/>
    <w:rsid w:val="00317BA7"/>
    <w:rsid w:val="00320BE2"/>
    <w:rsid w:val="00321886"/>
    <w:rsid w:val="00321902"/>
    <w:rsid w:val="00323694"/>
    <w:rsid w:val="00324D63"/>
    <w:rsid w:val="003255AF"/>
    <w:rsid w:val="003256EB"/>
    <w:rsid w:val="003259DB"/>
    <w:rsid w:val="00325F20"/>
    <w:rsid w:val="003267F2"/>
    <w:rsid w:val="00331A48"/>
    <w:rsid w:val="003330C9"/>
    <w:rsid w:val="0033364C"/>
    <w:rsid w:val="00334415"/>
    <w:rsid w:val="00335460"/>
    <w:rsid w:val="0033691E"/>
    <w:rsid w:val="00336CCB"/>
    <w:rsid w:val="0033745F"/>
    <w:rsid w:val="00337631"/>
    <w:rsid w:val="00337F44"/>
    <w:rsid w:val="003401AC"/>
    <w:rsid w:val="003411D1"/>
    <w:rsid w:val="003416BA"/>
    <w:rsid w:val="00341BD6"/>
    <w:rsid w:val="00342A8A"/>
    <w:rsid w:val="00342F99"/>
    <w:rsid w:val="00344726"/>
    <w:rsid w:val="003454A4"/>
    <w:rsid w:val="00350E6C"/>
    <w:rsid w:val="003518A6"/>
    <w:rsid w:val="00351E7F"/>
    <w:rsid w:val="00352953"/>
    <w:rsid w:val="00354062"/>
    <w:rsid w:val="003542B0"/>
    <w:rsid w:val="00355C0D"/>
    <w:rsid w:val="00356385"/>
    <w:rsid w:val="003566A9"/>
    <w:rsid w:val="00356988"/>
    <w:rsid w:val="00356B20"/>
    <w:rsid w:val="00357128"/>
    <w:rsid w:val="0035755E"/>
    <w:rsid w:val="00357A80"/>
    <w:rsid w:val="00361B8B"/>
    <w:rsid w:val="00363F39"/>
    <w:rsid w:val="00364AB0"/>
    <w:rsid w:val="003667B0"/>
    <w:rsid w:val="003667DD"/>
    <w:rsid w:val="00366B48"/>
    <w:rsid w:val="00367764"/>
    <w:rsid w:val="00370316"/>
    <w:rsid w:val="00370DC7"/>
    <w:rsid w:val="0037156C"/>
    <w:rsid w:val="00371CBD"/>
    <w:rsid w:val="00373CBE"/>
    <w:rsid w:val="003740CC"/>
    <w:rsid w:val="0037435E"/>
    <w:rsid w:val="00374E79"/>
    <w:rsid w:val="00375388"/>
    <w:rsid w:val="00375FB9"/>
    <w:rsid w:val="00376851"/>
    <w:rsid w:val="00376FA2"/>
    <w:rsid w:val="00377A3B"/>
    <w:rsid w:val="00377E3C"/>
    <w:rsid w:val="00380B5C"/>
    <w:rsid w:val="00380BBE"/>
    <w:rsid w:val="00381D70"/>
    <w:rsid w:val="00382128"/>
    <w:rsid w:val="0038235E"/>
    <w:rsid w:val="003829D0"/>
    <w:rsid w:val="00382FBA"/>
    <w:rsid w:val="0038444F"/>
    <w:rsid w:val="00384B9C"/>
    <w:rsid w:val="00384E83"/>
    <w:rsid w:val="00387051"/>
    <w:rsid w:val="00387861"/>
    <w:rsid w:val="00387ECF"/>
    <w:rsid w:val="0039021B"/>
    <w:rsid w:val="00390429"/>
    <w:rsid w:val="0039327C"/>
    <w:rsid w:val="003933A2"/>
    <w:rsid w:val="0039366C"/>
    <w:rsid w:val="003938F3"/>
    <w:rsid w:val="00393EC8"/>
    <w:rsid w:val="00395E42"/>
    <w:rsid w:val="00396052"/>
    <w:rsid w:val="00396A2D"/>
    <w:rsid w:val="00396FC3"/>
    <w:rsid w:val="003A1A94"/>
    <w:rsid w:val="003A204E"/>
    <w:rsid w:val="003A2D25"/>
    <w:rsid w:val="003A4DDB"/>
    <w:rsid w:val="003A60E7"/>
    <w:rsid w:val="003B07DF"/>
    <w:rsid w:val="003B0B6A"/>
    <w:rsid w:val="003B0F79"/>
    <w:rsid w:val="003B29CF"/>
    <w:rsid w:val="003B54DF"/>
    <w:rsid w:val="003B645F"/>
    <w:rsid w:val="003B6659"/>
    <w:rsid w:val="003B7733"/>
    <w:rsid w:val="003C0166"/>
    <w:rsid w:val="003C21AA"/>
    <w:rsid w:val="003C350C"/>
    <w:rsid w:val="003C3903"/>
    <w:rsid w:val="003C3BA0"/>
    <w:rsid w:val="003C4580"/>
    <w:rsid w:val="003C52D8"/>
    <w:rsid w:val="003C5C5E"/>
    <w:rsid w:val="003C6746"/>
    <w:rsid w:val="003C7133"/>
    <w:rsid w:val="003C7555"/>
    <w:rsid w:val="003C7898"/>
    <w:rsid w:val="003D0FF5"/>
    <w:rsid w:val="003D2D1B"/>
    <w:rsid w:val="003D30AB"/>
    <w:rsid w:val="003D3D94"/>
    <w:rsid w:val="003D48C7"/>
    <w:rsid w:val="003D4C08"/>
    <w:rsid w:val="003D51ED"/>
    <w:rsid w:val="003D7CE8"/>
    <w:rsid w:val="003E1032"/>
    <w:rsid w:val="003E1904"/>
    <w:rsid w:val="003E285E"/>
    <w:rsid w:val="003E3300"/>
    <w:rsid w:val="003E5B89"/>
    <w:rsid w:val="003E6340"/>
    <w:rsid w:val="003E65AC"/>
    <w:rsid w:val="003E6E24"/>
    <w:rsid w:val="003E72B9"/>
    <w:rsid w:val="003E7ED4"/>
    <w:rsid w:val="003F0E52"/>
    <w:rsid w:val="003F0EF2"/>
    <w:rsid w:val="003F0F6B"/>
    <w:rsid w:val="003F1F40"/>
    <w:rsid w:val="003F1FE3"/>
    <w:rsid w:val="003F3865"/>
    <w:rsid w:val="003F3A0A"/>
    <w:rsid w:val="003F4632"/>
    <w:rsid w:val="003F47BA"/>
    <w:rsid w:val="003F5DA1"/>
    <w:rsid w:val="003F6617"/>
    <w:rsid w:val="0040063B"/>
    <w:rsid w:val="00401070"/>
    <w:rsid w:val="00402332"/>
    <w:rsid w:val="004025C2"/>
    <w:rsid w:val="00403E55"/>
    <w:rsid w:val="00404532"/>
    <w:rsid w:val="00404681"/>
    <w:rsid w:val="0040496D"/>
    <w:rsid w:val="00405010"/>
    <w:rsid w:val="0040595A"/>
    <w:rsid w:val="00406923"/>
    <w:rsid w:val="0040713A"/>
    <w:rsid w:val="0040763D"/>
    <w:rsid w:val="004105B0"/>
    <w:rsid w:val="00410EC5"/>
    <w:rsid w:val="00411B1F"/>
    <w:rsid w:val="004133A8"/>
    <w:rsid w:val="00413821"/>
    <w:rsid w:val="00413D43"/>
    <w:rsid w:val="004141A3"/>
    <w:rsid w:val="00414909"/>
    <w:rsid w:val="00415E66"/>
    <w:rsid w:val="00416112"/>
    <w:rsid w:val="00416DF0"/>
    <w:rsid w:val="00417AE0"/>
    <w:rsid w:val="00417BAA"/>
    <w:rsid w:val="00420BA9"/>
    <w:rsid w:val="00420D7A"/>
    <w:rsid w:val="00420D9E"/>
    <w:rsid w:val="004223DE"/>
    <w:rsid w:val="0042293E"/>
    <w:rsid w:val="00422A10"/>
    <w:rsid w:val="00424D17"/>
    <w:rsid w:val="00425DFD"/>
    <w:rsid w:val="004263A3"/>
    <w:rsid w:val="00427713"/>
    <w:rsid w:val="00427CCC"/>
    <w:rsid w:val="0043013A"/>
    <w:rsid w:val="00430421"/>
    <w:rsid w:val="00430B4F"/>
    <w:rsid w:val="004314B1"/>
    <w:rsid w:val="00431E65"/>
    <w:rsid w:val="00432589"/>
    <w:rsid w:val="00432A94"/>
    <w:rsid w:val="00433827"/>
    <w:rsid w:val="004360C8"/>
    <w:rsid w:val="0044006B"/>
    <w:rsid w:val="0044033F"/>
    <w:rsid w:val="00440630"/>
    <w:rsid w:val="00441123"/>
    <w:rsid w:val="0044127B"/>
    <w:rsid w:val="00442095"/>
    <w:rsid w:val="004428BC"/>
    <w:rsid w:val="00442965"/>
    <w:rsid w:val="00444157"/>
    <w:rsid w:val="0044417C"/>
    <w:rsid w:val="00444DB3"/>
    <w:rsid w:val="004452B9"/>
    <w:rsid w:val="00445A2F"/>
    <w:rsid w:val="00446328"/>
    <w:rsid w:val="00446341"/>
    <w:rsid w:val="0044684E"/>
    <w:rsid w:val="004479CA"/>
    <w:rsid w:val="004503A4"/>
    <w:rsid w:val="00450555"/>
    <w:rsid w:val="00450DC6"/>
    <w:rsid w:val="004516A5"/>
    <w:rsid w:val="004535AE"/>
    <w:rsid w:val="00453C42"/>
    <w:rsid w:val="0045463A"/>
    <w:rsid w:val="00454AC9"/>
    <w:rsid w:val="004554A3"/>
    <w:rsid w:val="00455A6E"/>
    <w:rsid w:val="004569CD"/>
    <w:rsid w:val="004578EB"/>
    <w:rsid w:val="00460303"/>
    <w:rsid w:val="00460697"/>
    <w:rsid w:val="00462593"/>
    <w:rsid w:val="00465EEF"/>
    <w:rsid w:val="00466D03"/>
    <w:rsid w:val="0046711B"/>
    <w:rsid w:val="00467312"/>
    <w:rsid w:val="00471156"/>
    <w:rsid w:val="00472429"/>
    <w:rsid w:val="004725E5"/>
    <w:rsid w:val="004726FE"/>
    <w:rsid w:val="00472751"/>
    <w:rsid w:val="00473128"/>
    <w:rsid w:val="0047470A"/>
    <w:rsid w:val="00475078"/>
    <w:rsid w:val="00475226"/>
    <w:rsid w:val="004779A0"/>
    <w:rsid w:val="004808E3"/>
    <w:rsid w:val="0048097D"/>
    <w:rsid w:val="00481016"/>
    <w:rsid w:val="004814C8"/>
    <w:rsid w:val="004814D3"/>
    <w:rsid w:val="0048204C"/>
    <w:rsid w:val="004821BB"/>
    <w:rsid w:val="00482233"/>
    <w:rsid w:val="004826FE"/>
    <w:rsid w:val="004827D5"/>
    <w:rsid w:val="004830C9"/>
    <w:rsid w:val="00483347"/>
    <w:rsid w:val="00483D06"/>
    <w:rsid w:val="00483E2E"/>
    <w:rsid w:val="00484B69"/>
    <w:rsid w:val="00485406"/>
    <w:rsid w:val="0048590F"/>
    <w:rsid w:val="004867A5"/>
    <w:rsid w:val="00486D60"/>
    <w:rsid w:val="00487C87"/>
    <w:rsid w:val="00492A25"/>
    <w:rsid w:val="0049474A"/>
    <w:rsid w:val="00496350"/>
    <w:rsid w:val="00496F91"/>
    <w:rsid w:val="00497274"/>
    <w:rsid w:val="0049797C"/>
    <w:rsid w:val="00497C2C"/>
    <w:rsid w:val="00497E9D"/>
    <w:rsid w:val="004A036E"/>
    <w:rsid w:val="004A1405"/>
    <w:rsid w:val="004A1FC6"/>
    <w:rsid w:val="004A3C03"/>
    <w:rsid w:val="004A3DB7"/>
    <w:rsid w:val="004A3FB3"/>
    <w:rsid w:val="004A5088"/>
    <w:rsid w:val="004A5255"/>
    <w:rsid w:val="004A6097"/>
    <w:rsid w:val="004A6CB0"/>
    <w:rsid w:val="004A70FF"/>
    <w:rsid w:val="004B1B84"/>
    <w:rsid w:val="004B29AC"/>
    <w:rsid w:val="004B35DF"/>
    <w:rsid w:val="004B3627"/>
    <w:rsid w:val="004B3F3A"/>
    <w:rsid w:val="004B4779"/>
    <w:rsid w:val="004B4922"/>
    <w:rsid w:val="004B57DF"/>
    <w:rsid w:val="004C03A0"/>
    <w:rsid w:val="004C2138"/>
    <w:rsid w:val="004C2ED0"/>
    <w:rsid w:val="004C32D4"/>
    <w:rsid w:val="004C3940"/>
    <w:rsid w:val="004C51FD"/>
    <w:rsid w:val="004C65A8"/>
    <w:rsid w:val="004C786C"/>
    <w:rsid w:val="004C7963"/>
    <w:rsid w:val="004D2314"/>
    <w:rsid w:val="004D2F63"/>
    <w:rsid w:val="004D35BA"/>
    <w:rsid w:val="004D4701"/>
    <w:rsid w:val="004D47C7"/>
    <w:rsid w:val="004D618D"/>
    <w:rsid w:val="004D6202"/>
    <w:rsid w:val="004D62A9"/>
    <w:rsid w:val="004D6FC3"/>
    <w:rsid w:val="004D7476"/>
    <w:rsid w:val="004E0306"/>
    <w:rsid w:val="004E0572"/>
    <w:rsid w:val="004E25A8"/>
    <w:rsid w:val="004E2AA0"/>
    <w:rsid w:val="004E3930"/>
    <w:rsid w:val="004E3ED9"/>
    <w:rsid w:val="004E5866"/>
    <w:rsid w:val="004E6097"/>
    <w:rsid w:val="004E61EF"/>
    <w:rsid w:val="004E6772"/>
    <w:rsid w:val="004E76A7"/>
    <w:rsid w:val="004E7736"/>
    <w:rsid w:val="004E7B03"/>
    <w:rsid w:val="004F0064"/>
    <w:rsid w:val="004F06AC"/>
    <w:rsid w:val="004F1AE6"/>
    <w:rsid w:val="004F1E4C"/>
    <w:rsid w:val="004F243F"/>
    <w:rsid w:val="004F3E0C"/>
    <w:rsid w:val="004F6929"/>
    <w:rsid w:val="004F6A2D"/>
    <w:rsid w:val="004F7160"/>
    <w:rsid w:val="00500258"/>
    <w:rsid w:val="0050175E"/>
    <w:rsid w:val="00501A99"/>
    <w:rsid w:val="00503180"/>
    <w:rsid w:val="0050417C"/>
    <w:rsid w:val="00505450"/>
    <w:rsid w:val="005100B7"/>
    <w:rsid w:val="005111C2"/>
    <w:rsid w:val="005113C9"/>
    <w:rsid w:val="0051280C"/>
    <w:rsid w:val="00512842"/>
    <w:rsid w:val="005128BE"/>
    <w:rsid w:val="00512B7B"/>
    <w:rsid w:val="00512E6C"/>
    <w:rsid w:val="0051356F"/>
    <w:rsid w:val="00513E7C"/>
    <w:rsid w:val="005140BB"/>
    <w:rsid w:val="005143C2"/>
    <w:rsid w:val="00514FD9"/>
    <w:rsid w:val="0051518F"/>
    <w:rsid w:val="0051608F"/>
    <w:rsid w:val="005165E9"/>
    <w:rsid w:val="00516A11"/>
    <w:rsid w:val="005210F7"/>
    <w:rsid w:val="00521753"/>
    <w:rsid w:val="00521A44"/>
    <w:rsid w:val="00521D16"/>
    <w:rsid w:val="005222BE"/>
    <w:rsid w:val="005224EE"/>
    <w:rsid w:val="00523BB1"/>
    <w:rsid w:val="0052451A"/>
    <w:rsid w:val="00524737"/>
    <w:rsid w:val="00526265"/>
    <w:rsid w:val="0052652D"/>
    <w:rsid w:val="0052655D"/>
    <w:rsid w:val="005265E0"/>
    <w:rsid w:val="00526BC3"/>
    <w:rsid w:val="00530415"/>
    <w:rsid w:val="00530F9E"/>
    <w:rsid w:val="0053274E"/>
    <w:rsid w:val="0053358A"/>
    <w:rsid w:val="00534668"/>
    <w:rsid w:val="00534DDD"/>
    <w:rsid w:val="00535291"/>
    <w:rsid w:val="00535A94"/>
    <w:rsid w:val="00537874"/>
    <w:rsid w:val="00540204"/>
    <w:rsid w:val="00540578"/>
    <w:rsid w:val="005407D2"/>
    <w:rsid w:val="00540808"/>
    <w:rsid w:val="0054080E"/>
    <w:rsid w:val="00540EA1"/>
    <w:rsid w:val="0054358E"/>
    <w:rsid w:val="00543AF4"/>
    <w:rsid w:val="00544191"/>
    <w:rsid w:val="00544F39"/>
    <w:rsid w:val="00547EFB"/>
    <w:rsid w:val="005531DF"/>
    <w:rsid w:val="00553874"/>
    <w:rsid w:val="00553ACC"/>
    <w:rsid w:val="00554AD8"/>
    <w:rsid w:val="00554F78"/>
    <w:rsid w:val="005556A5"/>
    <w:rsid w:val="00556BF7"/>
    <w:rsid w:val="005574FC"/>
    <w:rsid w:val="00560DB5"/>
    <w:rsid w:val="00562149"/>
    <w:rsid w:val="005630D8"/>
    <w:rsid w:val="00563FFD"/>
    <w:rsid w:val="00565855"/>
    <w:rsid w:val="005677CE"/>
    <w:rsid w:val="00567B5D"/>
    <w:rsid w:val="00570445"/>
    <w:rsid w:val="00572E9A"/>
    <w:rsid w:val="00573733"/>
    <w:rsid w:val="00574554"/>
    <w:rsid w:val="00576089"/>
    <w:rsid w:val="005764B1"/>
    <w:rsid w:val="00576A56"/>
    <w:rsid w:val="00576D06"/>
    <w:rsid w:val="005777CA"/>
    <w:rsid w:val="005779E4"/>
    <w:rsid w:val="00580AC5"/>
    <w:rsid w:val="005815E5"/>
    <w:rsid w:val="0058289C"/>
    <w:rsid w:val="00582C35"/>
    <w:rsid w:val="00582DC6"/>
    <w:rsid w:val="005836C7"/>
    <w:rsid w:val="0058408E"/>
    <w:rsid w:val="00585374"/>
    <w:rsid w:val="005876DF"/>
    <w:rsid w:val="0058789A"/>
    <w:rsid w:val="00590B77"/>
    <w:rsid w:val="005913A3"/>
    <w:rsid w:val="00591DCD"/>
    <w:rsid w:val="00594A7B"/>
    <w:rsid w:val="00594AFA"/>
    <w:rsid w:val="0059580E"/>
    <w:rsid w:val="00596A6F"/>
    <w:rsid w:val="005976E1"/>
    <w:rsid w:val="005A0541"/>
    <w:rsid w:val="005A0D64"/>
    <w:rsid w:val="005A1525"/>
    <w:rsid w:val="005A1EC3"/>
    <w:rsid w:val="005A252B"/>
    <w:rsid w:val="005A2A71"/>
    <w:rsid w:val="005A3204"/>
    <w:rsid w:val="005A3341"/>
    <w:rsid w:val="005A46EC"/>
    <w:rsid w:val="005A4847"/>
    <w:rsid w:val="005A494F"/>
    <w:rsid w:val="005A7819"/>
    <w:rsid w:val="005B0160"/>
    <w:rsid w:val="005B0185"/>
    <w:rsid w:val="005B07EC"/>
    <w:rsid w:val="005B09D8"/>
    <w:rsid w:val="005B24F3"/>
    <w:rsid w:val="005B2B11"/>
    <w:rsid w:val="005B2E00"/>
    <w:rsid w:val="005B370E"/>
    <w:rsid w:val="005B4DA3"/>
    <w:rsid w:val="005B5B71"/>
    <w:rsid w:val="005B5BEE"/>
    <w:rsid w:val="005B7784"/>
    <w:rsid w:val="005B77D2"/>
    <w:rsid w:val="005C019B"/>
    <w:rsid w:val="005C144E"/>
    <w:rsid w:val="005C1625"/>
    <w:rsid w:val="005C30F5"/>
    <w:rsid w:val="005C357E"/>
    <w:rsid w:val="005C51A5"/>
    <w:rsid w:val="005C557A"/>
    <w:rsid w:val="005C5A03"/>
    <w:rsid w:val="005C61DD"/>
    <w:rsid w:val="005C6438"/>
    <w:rsid w:val="005C6B8B"/>
    <w:rsid w:val="005D02E3"/>
    <w:rsid w:val="005D1F34"/>
    <w:rsid w:val="005D2529"/>
    <w:rsid w:val="005D25BF"/>
    <w:rsid w:val="005D2C1F"/>
    <w:rsid w:val="005D34B2"/>
    <w:rsid w:val="005D3B54"/>
    <w:rsid w:val="005D40CD"/>
    <w:rsid w:val="005D6B59"/>
    <w:rsid w:val="005D7037"/>
    <w:rsid w:val="005E03E4"/>
    <w:rsid w:val="005E0454"/>
    <w:rsid w:val="005E171D"/>
    <w:rsid w:val="005E34C2"/>
    <w:rsid w:val="005E35C6"/>
    <w:rsid w:val="005E5B01"/>
    <w:rsid w:val="005E7933"/>
    <w:rsid w:val="005E7E0B"/>
    <w:rsid w:val="005F009E"/>
    <w:rsid w:val="005F080C"/>
    <w:rsid w:val="005F0A88"/>
    <w:rsid w:val="005F0DF1"/>
    <w:rsid w:val="005F1516"/>
    <w:rsid w:val="005F229E"/>
    <w:rsid w:val="005F2564"/>
    <w:rsid w:val="005F3822"/>
    <w:rsid w:val="005F3E0B"/>
    <w:rsid w:val="005F4D16"/>
    <w:rsid w:val="005F4E52"/>
    <w:rsid w:val="005F5967"/>
    <w:rsid w:val="005F77C8"/>
    <w:rsid w:val="0060058E"/>
    <w:rsid w:val="00602A3C"/>
    <w:rsid w:val="00603EFD"/>
    <w:rsid w:val="006041DF"/>
    <w:rsid w:val="0060475B"/>
    <w:rsid w:val="00604FB6"/>
    <w:rsid w:val="00605387"/>
    <w:rsid w:val="00606302"/>
    <w:rsid w:val="006072EF"/>
    <w:rsid w:val="006076FD"/>
    <w:rsid w:val="00607BA3"/>
    <w:rsid w:val="0061143F"/>
    <w:rsid w:val="006114D8"/>
    <w:rsid w:val="00611585"/>
    <w:rsid w:val="00612931"/>
    <w:rsid w:val="00613601"/>
    <w:rsid w:val="00613791"/>
    <w:rsid w:val="00613AAB"/>
    <w:rsid w:val="006148C7"/>
    <w:rsid w:val="006150D6"/>
    <w:rsid w:val="00617EEE"/>
    <w:rsid w:val="006210FE"/>
    <w:rsid w:val="00622811"/>
    <w:rsid w:val="00622894"/>
    <w:rsid w:val="00622BB7"/>
    <w:rsid w:val="00622F3B"/>
    <w:rsid w:val="00623389"/>
    <w:rsid w:val="0062352A"/>
    <w:rsid w:val="00625E45"/>
    <w:rsid w:val="006265C4"/>
    <w:rsid w:val="00627383"/>
    <w:rsid w:val="00627733"/>
    <w:rsid w:val="006301BB"/>
    <w:rsid w:val="00632605"/>
    <w:rsid w:val="00633F8D"/>
    <w:rsid w:val="006341EF"/>
    <w:rsid w:val="00634BED"/>
    <w:rsid w:val="00635A4A"/>
    <w:rsid w:val="00635FB9"/>
    <w:rsid w:val="00637774"/>
    <w:rsid w:val="0064024C"/>
    <w:rsid w:val="00640291"/>
    <w:rsid w:val="00641FAC"/>
    <w:rsid w:val="006432A5"/>
    <w:rsid w:val="00643664"/>
    <w:rsid w:val="00643CAA"/>
    <w:rsid w:val="0064448B"/>
    <w:rsid w:val="00652137"/>
    <w:rsid w:val="00652680"/>
    <w:rsid w:val="00652A09"/>
    <w:rsid w:val="006530A1"/>
    <w:rsid w:val="00653CDE"/>
    <w:rsid w:val="006540B4"/>
    <w:rsid w:val="0065636A"/>
    <w:rsid w:val="00656C3C"/>
    <w:rsid w:val="00657003"/>
    <w:rsid w:val="00657126"/>
    <w:rsid w:val="006572C1"/>
    <w:rsid w:val="00660238"/>
    <w:rsid w:val="006602EF"/>
    <w:rsid w:val="00661277"/>
    <w:rsid w:val="006616FE"/>
    <w:rsid w:val="006619D1"/>
    <w:rsid w:val="00663FEA"/>
    <w:rsid w:val="00664253"/>
    <w:rsid w:val="00664803"/>
    <w:rsid w:val="006661A4"/>
    <w:rsid w:val="006670E0"/>
    <w:rsid w:val="00667532"/>
    <w:rsid w:val="006704FD"/>
    <w:rsid w:val="0067294B"/>
    <w:rsid w:val="00673AA4"/>
    <w:rsid w:val="00674187"/>
    <w:rsid w:val="0067508F"/>
    <w:rsid w:val="00675349"/>
    <w:rsid w:val="00675E7E"/>
    <w:rsid w:val="0068051E"/>
    <w:rsid w:val="00680B9D"/>
    <w:rsid w:val="00681F13"/>
    <w:rsid w:val="0068231C"/>
    <w:rsid w:val="00682344"/>
    <w:rsid w:val="00682E78"/>
    <w:rsid w:val="00682F28"/>
    <w:rsid w:val="00684842"/>
    <w:rsid w:val="00685BD6"/>
    <w:rsid w:val="006878A6"/>
    <w:rsid w:val="00690437"/>
    <w:rsid w:val="00690E65"/>
    <w:rsid w:val="0069188E"/>
    <w:rsid w:val="00691974"/>
    <w:rsid w:val="00691A3F"/>
    <w:rsid w:val="00692CE6"/>
    <w:rsid w:val="00693B6C"/>
    <w:rsid w:val="006942AE"/>
    <w:rsid w:val="0069483C"/>
    <w:rsid w:val="00695421"/>
    <w:rsid w:val="00695AE4"/>
    <w:rsid w:val="00696D4B"/>
    <w:rsid w:val="00697BD3"/>
    <w:rsid w:val="00697DFA"/>
    <w:rsid w:val="006A10F3"/>
    <w:rsid w:val="006A16D5"/>
    <w:rsid w:val="006A1772"/>
    <w:rsid w:val="006A1780"/>
    <w:rsid w:val="006A25A5"/>
    <w:rsid w:val="006A2790"/>
    <w:rsid w:val="006A3CEC"/>
    <w:rsid w:val="006A3F75"/>
    <w:rsid w:val="006A4FB3"/>
    <w:rsid w:val="006A5A3E"/>
    <w:rsid w:val="006A6CA7"/>
    <w:rsid w:val="006A703E"/>
    <w:rsid w:val="006A7BE3"/>
    <w:rsid w:val="006B01D1"/>
    <w:rsid w:val="006B16EA"/>
    <w:rsid w:val="006B1780"/>
    <w:rsid w:val="006B224E"/>
    <w:rsid w:val="006B362D"/>
    <w:rsid w:val="006B376E"/>
    <w:rsid w:val="006B4589"/>
    <w:rsid w:val="006B6805"/>
    <w:rsid w:val="006B6BBE"/>
    <w:rsid w:val="006B6DE0"/>
    <w:rsid w:val="006B7D5F"/>
    <w:rsid w:val="006C32F4"/>
    <w:rsid w:val="006C3382"/>
    <w:rsid w:val="006C3C54"/>
    <w:rsid w:val="006C40F4"/>
    <w:rsid w:val="006C427B"/>
    <w:rsid w:val="006C4F9F"/>
    <w:rsid w:val="006C61AB"/>
    <w:rsid w:val="006C650D"/>
    <w:rsid w:val="006C748D"/>
    <w:rsid w:val="006D0C1D"/>
    <w:rsid w:val="006D0CE1"/>
    <w:rsid w:val="006D2004"/>
    <w:rsid w:val="006D2A8C"/>
    <w:rsid w:val="006D2E9D"/>
    <w:rsid w:val="006D4C1E"/>
    <w:rsid w:val="006D4C42"/>
    <w:rsid w:val="006D5809"/>
    <w:rsid w:val="006D630A"/>
    <w:rsid w:val="006D668D"/>
    <w:rsid w:val="006D7363"/>
    <w:rsid w:val="006D74F2"/>
    <w:rsid w:val="006E04C8"/>
    <w:rsid w:val="006E0712"/>
    <w:rsid w:val="006E0754"/>
    <w:rsid w:val="006E2668"/>
    <w:rsid w:val="006E2D39"/>
    <w:rsid w:val="006E32B0"/>
    <w:rsid w:val="006E36D8"/>
    <w:rsid w:val="006E396A"/>
    <w:rsid w:val="006E3A73"/>
    <w:rsid w:val="006E5DD8"/>
    <w:rsid w:val="006E5EA1"/>
    <w:rsid w:val="006E7ABC"/>
    <w:rsid w:val="006F0760"/>
    <w:rsid w:val="006F0FF1"/>
    <w:rsid w:val="006F11E2"/>
    <w:rsid w:val="006F12F5"/>
    <w:rsid w:val="006F2574"/>
    <w:rsid w:val="006F3231"/>
    <w:rsid w:val="006F3582"/>
    <w:rsid w:val="006F3DE3"/>
    <w:rsid w:val="006F511F"/>
    <w:rsid w:val="006F61D8"/>
    <w:rsid w:val="006F62B7"/>
    <w:rsid w:val="006F70BC"/>
    <w:rsid w:val="006F713A"/>
    <w:rsid w:val="006F76BF"/>
    <w:rsid w:val="00705161"/>
    <w:rsid w:val="007066A4"/>
    <w:rsid w:val="00706F37"/>
    <w:rsid w:val="00707D09"/>
    <w:rsid w:val="0071209F"/>
    <w:rsid w:val="007125A2"/>
    <w:rsid w:val="00713F79"/>
    <w:rsid w:val="007148A8"/>
    <w:rsid w:val="007171E0"/>
    <w:rsid w:val="00717C40"/>
    <w:rsid w:val="0072033C"/>
    <w:rsid w:val="00720B1B"/>
    <w:rsid w:val="00721062"/>
    <w:rsid w:val="00721E5D"/>
    <w:rsid w:val="007229D4"/>
    <w:rsid w:val="007230F8"/>
    <w:rsid w:val="007233F4"/>
    <w:rsid w:val="00723646"/>
    <w:rsid w:val="00724044"/>
    <w:rsid w:val="007244E1"/>
    <w:rsid w:val="007248D3"/>
    <w:rsid w:val="00725137"/>
    <w:rsid w:val="007263ED"/>
    <w:rsid w:val="00727A43"/>
    <w:rsid w:val="00727FF2"/>
    <w:rsid w:val="007323E0"/>
    <w:rsid w:val="00733791"/>
    <w:rsid w:val="00733857"/>
    <w:rsid w:val="00733DE2"/>
    <w:rsid w:val="007346E7"/>
    <w:rsid w:val="007352EA"/>
    <w:rsid w:val="007364E5"/>
    <w:rsid w:val="0073792F"/>
    <w:rsid w:val="00740DA6"/>
    <w:rsid w:val="00741A0E"/>
    <w:rsid w:val="00741D1E"/>
    <w:rsid w:val="00741EE2"/>
    <w:rsid w:val="00742367"/>
    <w:rsid w:val="00742EAA"/>
    <w:rsid w:val="00743818"/>
    <w:rsid w:val="007439E2"/>
    <w:rsid w:val="00743E9C"/>
    <w:rsid w:val="007441FB"/>
    <w:rsid w:val="00744517"/>
    <w:rsid w:val="00744810"/>
    <w:rsid w:val="00747079"/>
    <w:rsid w:val="00747DE2"/>
    <w:rsid w:val="007504BF"/>
    <w:rsid w:val="007506CD"/>
    <w:rsid w:val="0075267F"/>
    <w:rsid w:val="007526EC"/>
    <w:rsid w:val="0075310C"/>
    <w:rsid w:val="00753347"/>
    <w:rsid w:val="00753C48"/>
    <w:rsid w:val="007545C1"/>
    <w:rsid w:val="00754C97"/>
    <w:rsid w:val="00754FE4"/>
    <w:rsid w:val="00755538"/>
    <w:rsid w:val="00756236"/>
    <w:rsid w:val="00756271"/>
    <w:rsid w:val="00756521"/>
    <w:rsid w:val="00756AB7"/>
    <w:rsid w:val="0075798D"/>
    <w:rsid w:val="00760477"/>
    <w:rsid w:val="00761938"/>
    <w:rsid w:val="00761AF4"/>
    <w:rsid w:val="00762071"/>
    <w:rsid w:val="007623FB"/>
    <w:rsid w:val="0076376A"/>
    <w:rsid w:val="0076500F"/>
    <w:rsid w:val="0076504E"/>
    <w:rsid w:val="00765D24"/>
    <w:rsid w:val="00765E6A"/>
    <w:rsid w:val="007664E0"/>
    <w:rsid w:val="00767EA0"/>
    <w:rsid w:val="0077068F"/>
    <w:rsid w:val="0077408D"/>
    <w:rsid w:val="00774270"/>
    <w:rsid w:val="00775679"/>
    <w:rsid w:val="00775803"/>
    <w:rsid w:val="007774BF"/>
    <w:rsid w:val="00777B32"/>
    <w:rsid w:val="0078051E"/>
    <w:rsid w:val="00781FDD"/>
    <w:rsid w:val="00782A9F"/>
    <w:rsid w:val="0078508A"/>
    <w:rsid w:val="00786D5C"/>
    <w:rsid w:val="00786E96"/>
    <w:rsid w:val="00787F93"/>
    <w:rsid w:val="007907CA"/>
    <w:rsid w:val="00791E6D"/>
    <w:rsid w:val="007928DC"/>
    <w:rsid w:val="00792E53"/>
    <w:rsid w:val="007933DF"/>
    <w:rsid w:val="007939CC"/>
    <w:rsid w:val="00796FB8"/>
    <w:rsid w:val="007A11C2"/>
    <w:rsid w:val="007A2367"/>
    <w:rsid w:val="007A41BF"/>
    <w:rsid w:val="007A490A"/>
    <w:rsid w:val="007A581D"/>
    <w:rsid w:val="007A7B95"/>
    <w:rsid w:val="007B0297"/>
    <w:rsid w:val="007B0F53"/>
    <w:rsid w:val="007B1DD8"/>
    <w:rsid w:val="007B21AE"/>
    <w:rsid w:val="007B2570"/>
    <w:rsid w:val="007B3113"/>
    <w:rsid w:val="007B3304"/>
    <w:rsid w:val="007B332B"/>
    <w:rsid w:val="007B394D"/>
    <w:rsid w:val="007B6423"/>
    <w:rsid w:val="007B7490"/>
    <w:rsid w:val="007B774A"/>
    <w:rsid w:val="007C0525"/>
    <w:rsid w:val="007C0B56"/>
    <w:rsid w:val="007C13F7"/>
    <w:rsid w:val="007C218D"/>
    <w:rsid w:val="007C2D28"/>
    <w:rsid w:val="007C3E22"/>
    <w:rsid w:val="007C67C6"/>
    <w:rsid w:val="007C707A"/>
    <w:rsid w:val="007C7E59"/>
    <w:rsid w:val="007D0B91"/>
    <w:rsid w:val="007D1452"/>
    <w:rsid w:val="007D1E29"/>
    <w:rsid w:val="007D460C"/>
    <w:rsid w:val="007D4AD3"/>
    <w:rsid w:val="007D4C8D"/>
    <w:rsid w:val="007D5D19"/>
    <w:rsid w:val="007D5FDC"/>
    <w:rsid w:val="007D6D68"/>
    <w:rsid w:val="007E01DA"/>
    <w:rsid w:val="007E1603"/>
    <w:rsid w:val="007E2E85"/>
    <w:rsid w:val="007E32DA"/>
    <w:rsid w:val="007E3FFB"/>
    <w:rsid w:val="007E4998"/>
    <w:rsid w:val="007E4A9C"/>
    <w:rsid w:val="007E6914"/>
    <w:rsid w:val="007E7F78"/>
    <w:rsid w:val="007F0C8B"/>
    <w:rsid w:val="007F1517"/>
    <w:rsid w:val="007F1D44"/>
    <w:rsid w:val="007F2C13"/>
    <w:rsid w:val="007F2CEC"/>
    <w:rsid w:val="007F4949"/>
    <w:rsid w:val="007F55DE"/>
    <w:rsid w:val="007F5605"/>
    <w:rsid w:val="007F6147"/>
    <w:rsid w:val="007F78FF"/>
    <w:rsid w:val="00800F6C"/>
    <w:rsid w:val="008025BE"/>
    <w:rsid w:val="00804C86"/>
    <w:rsid w:val="008051FC"/>
    <w:rsid w:val="008055A9"/>
    <w:rsid w:val="008070EB"/>
    <w:rsid w:val="00807376"/>
    <w:rsid w:val="00810B0E"/>
    <w:rsid w:val="00810E8E"/>
    <w:rsid w:val="0081142D"/>
    <w:rsid w:val="00812462"/>
    <w:rsid w:val="008126E2"/>
    <w:rsid w:val="0081481D"/>
    <w:rsid w:val="00814BE8"/>
    <w:rsid w:val="00814F6E"/>
    <w:rsid w:val="00815B84"/>
    <w:rsid w:val="00821A3D"/>
    <w:rsid w:val="00821B06"/>
    <w:rsid w:val="00822037"/>
    <w:rsid w:val="00822634"/>
    <w:rsid w:val="00823FC6"/>
    <w:rsid w:val="00823FFC"/>
    <w:rsid w:val="0082418A"/>
    <w:rsid w:val="00824811"/>
    <w:rsid w:val="00825C74"/>
    <w:rsid w:val="00826AB9"/>
    <w:rsid w:val="00826E0E"/>
    <w:rsid w:val="0082731F"/>
    <w:rsid w:val="00827D11"/>
    <w:rsid w:val="00827E0F"/>
    <w:rsid w:val="00827F6E"/>
    <w:rsid w:val="00831758"/>
    <w:rsid w:val="00831977"/>
    <w:rsid w:val="0083279F"/>
    <w:rsid w:val="00833B7F"/>
    <w:rsid w:val="00834906"/>
    <w:rsid w:val="00836075"/>
    <w:rsid w:val="00836417"/>
    <w:rsid w:val="008411F9"/>
    <w:rsid w:val="008413AB"/>
    <w:rsid w:val="00842D10"/>
    <w:rsid w:val="0084322B"/>
    <w:rsid w:val="00843B93"/>
    <w:rsid w:val="00843F81"/>
    <w:rsid w:val="00844087"/>
    <w:rsid w:val="0084519E"/>
    <w:rsid w:val="00846370"/>
    <w:rsid w:val="00847C2B"/>
    <w:rsid w:val="00851A7C"/>
    <w:rsid w:val="0085270D"/>
    <w:rsid w:val="008532BF"/>
    <w:rsid w:val="00853BF4"/>
    <w:rsid w:val="00854294"/>
    <w:rsid w:val="008555FB"/>
    <w:rsid w:val="0085788B"/>
    <w:rsid w:val="00857941"/>
    <w:rsid w:val="00857A9E"/>
    <w:rsid w:val="00857DE2"/>
    <w:rsid w:val="00863E7D"/>
    <w:rsid w:val="0086407F"/>
    <w:rsid w:val="00864E79"/>
    <w:rsid w:val="00866111"/>
    <w:rsid w:val="0086661F"/>
    <w:rsid w:val="00866A0D"/>
    <w:rsid w:val="00866DB5"/>
    <w:rsid w:val="0086784E"/>
    <w:rsid w:val="00867AF1"/>
    <w:rsid w:val="008720B3"/>
    <w:rsid w:val="00872118"/>
    <w:rsid w:val="00872827"/>
    <w:rsid w:val="00872A32"/>
    <w:rsid w:val="00874ECA"/>
    <w:rsid w:val="00876EAE"/>
    <w:rsid w:val="00880386"/>
    <w:rsid w:val="00880F95"/>
    <w:rsid w:val="00882B44"/>
    <w:rsid w:val="00882FE5"/>
    <w:rsid w:val="00886138"/>
    <w:rsid w:val="00886E66"/>
    <w:rsid w:val="008871B0"/>
    <w:rsid w:val="008912F5"/>
    <w:rsid w:val="0089181B"/>
    <w:rsid w:val="0089217C"/>
    <w:rsid w:val="008928A1"/>
    <w:rsid w:val="00893671"/>
    <w:rsid w:val="00895838"/>
    <w:rsid w:val="00895A72"/>
    <w:rsid w:val="00895CDF"/>
    <w:rsid w:val="008968C7"/>
    <w:rsid w:val="00897A55"/>
    <w:rsid w:val="008A0FC9"/>
    <w:rsid w:val="008A1956"/>
    <w:rsid w:val="008A40D3"/>
    <w:rsid w:val="008A469C"/>
    <w:rsid w:val="008A484A"/>
    <w:rsid w:val="008A5877"/>
    <w:rsid w:val="008A6539"/>
    <w:rsid w:val="008A701C"/>
    <w:rsid w:val="008B05DD"/>
    <w:rsid w:val="008B17E8"/>
    <w:rsid w:val="008B266C"/>
    <w:rsid w:val="008B2D03"/>
    <w:rsid w:val="008B2E7C"/>
    <w:rsid w:val="008B42AB"/>
    <w:rsid w:val="008B45A7"/>
    <w:rsid w:val="008B4A70"/>
    <w:rsid w:val="008B502F"/>
    <w:rsid w:val="008B5142"/>
    <w:rsid w:val="008B6AFE"/>
    <w:rsid w:val="008B7034"/>
    <w:rsid w:val="008B7227"/>
    <w:rsid w:val="008B73C2"/>
    <w:rsid w:val="008C191C"/>
    <w:rsid w:val="008C1DA4"/>
    <w:rsid w:val="008C2CD5"/>
    <w:rsid w:val="008C2E29"/>
    <w:rsid w:val="008C32B7"/>
    <w:rsid w:val="008C3618"/>
    <w:rsid w:val="008C3F20"/>
    <w:rsid w:val="008C43AD"/>
    <w:rsid w:val="008C59FB"/>
    <w:rsid w:val="008C6687"/>
    <w:rsid w:val="008C68F0"/>
    <w:rsid w:val="008C6F92"/>
    <w:rsid w:val="008C731F"/>
    <w:rsid w:val="008C74D9"/>
    <w:rsid w:val="008C79C3"/>
    <w:rsid w:val="008C7A47"/>
    <w:rsid w:val="008D0170"/>
    <w:rsid w:val="008D1052"/>
    <w:rsid w:val="008D124C"/>
    <w:rsid w:val="008D1983"/>
    <w:rsid w:val="008D1BB3"/>
    <w:rsid w:val="008D1C32"/>
    <w:rsid w:val="008D222C"/>
    <w:rsid w:val="008D22AE"/>
    <w:rsid w:val="008D234A"/>
    <w:rsid w:val="008D566C"/>
    <w:rsid w:val="008D58D9"/>
    <w:rsid w:val="008D66EA"/>
    <w:rsid w:val="008D6E59"/>
    <w:rsid w:val="008D7155"/>
    <w:rsid w:val="008D7DE4"/>
    <w:rsid w:val="008E09B3"/>
    <w:rsid w:val="008E141A"/>
    <w:rsid w:val="008E1A44"/>
    <w:rsid w:val="008E28E6"/>
    <w:rsid w:val="008E2B60"/>
    <w:rsid w:val="008E3232"/>
    <w:rsid w:val="008E3674"/>
    <w:rsid w:val="008E3B6C"/>
    <w:rsid w:val="008E688C"/>
    <w:rsid w:val="008E68BB"/>
    <w:rsid w:val="008E6C9B"/>
    <w:rsid w:val="008E77D4"/>
    <w:rsid w:val="008F0981"/>
    <w:rsid w:val="008F0AFD"/>
    <w:rsid w:val="008F17B2"/>
    <w:rsid w:val="008F28EE"/>
    <w:rsid w:val="008F357B"/>
    <w:rsid w:val="008F44CA"/>
    <w:rsid w:val="008F49B9"/>
    <w:rsid w:val="008F49D3"/>
    <w:rsid w:val="008F6519"/>
    <w:rsid w:val="008F7012"/>
    <w:rsid w:val="008F7B17"/>
    <w:rsid w:val="00900042"/>
    <w:rsid w:val="0090034B"/>
    <w:rsid w:val="00902623"/>
    <w:rsid w:val="00902890"/>
    <w:rsid w:val="00904BE4"/>
    <w:rsid w:val="0090504A"/>
    <w:rsid w:val="00905D7E"/>
    <w:rsid w:val="009063B7"/>
    <w:rsid w:val="00907037"/>
    <w:rsid w:val="009076EB"/>
    <w:rsid w:val="0091160A"/>
    <w:rsid w:val="00912838"/>
    <w:rsid w:val="00913258"/>
    <w:rsid w:val="0091564D"/>
    <w:rsid w:val="009156DA"/>
    <w:rsid w:val="00916BC5"/>
    <w:rsid w:val="0091726A"/>
    <w:rsid w:val="00920184"/>
    <w:rsid w:val="00920EA4"/>
    <w:rsid w:val="00921792"/>
    <w:rsid w:val="00921BEA"/>
    <w:rsid w:val="00923998"/>
    <w:rsid w:val="00923DB4"/>
    <w:rsid w:val="0092430E"/>
    <w:rsid w:val="0092625F"/>
    <w:rsid w:val="009268A9"/>
    <w:rsid w:val="00927B37"/>
    <w:rsid w:val="009301B2"/>
    <w:rsid w:val="0093065F"/>
    <w:rsid w:val="009313DD"/>
    <w:rsid w:val="00931BDE"/>
    <w:rsid w:val="009321B1"/>
    <w:rsid w:val="00932ED7"/>
    <w:rsid w:val="0093357E"/>
    <w:rsid w:val="0093422D"/>
    <w:rsid w:val="00934DD7"/>
    <w:rsid w:val="009369A9"/>
    <w:rsid w:val="00936CF7"/>
    <w:rsid w:val="00937201"/>
    <w:rsid w:val="0093734A"/>
    <w:rsid w:val="00937783"/>
    <w:rsid w:val="00937D89"/>
    <w:rsid w:val="00940FE1"/>
    <w:rsid w:val="00942306"/>
    <w:rsid w:val="009424B8"/>
    <w:rsid w:val="009433A4"/>
    <w:rsid w:val="0094435B"/>
    <w:rsid w:val="00944668"/>
    <w:rsid w:val="00944DC6"/>
    <w:rsid w:val="0094537D"/>
    <w:rsid w:val="0094573F"/>
    <w:rsid w:val="009458B0"/>
    <w:rsid w:val="00945B52"/>
    <w:rsid w:val="00945DC0"/>
    <w:rsid w:val="00945F05"/>
    <w:rsid w:val="00946348"/>
    <w:rsid w:val="009471AD"/>
    <w:rsid w:val="009478A2"/>
    <w:rsid w:val="0095053B"/>
    <w:rsid w:val="0095074A"/>
    <w:rsid w:val="009512AB"/>
    <w:rsid w:val="00952DE9"/>
    <w:rsid w:val="00955643"/>
    <w:rsid w:val="00955FBB"/>
    <w:rsid w:val="0095694B"/>
    <w:rsid w:val="00956BD5"/>
    <w:rsid w:val="009574BB"/>
    <w:rsid w:val="009577B5"/>
    <w:rsid w:val="009608E6"/>
    <w:rsid w:val="009609E4"/>
    <w:rsid w:val="00961779"/>
    <w:rsid w:val="00962EB1"/>
    <w:rsid w:val="00966522"/>
    <w:rsid w:val="00967D3F"/>
    <w:rsid w:val="00967E78"/>
    <w:rsid w:val="00970D7E"/>
    <w:rsid w:val="00970F18"/>
    <w:rsid w:val="00971CF1"/>
    <w:rsid w:val="009721E9"/>
    <w:rsid w:val="00972A58"/>
    <w:rsid w:val="00973772"/>
    <w:rsid w:val="0097451E"/>
    <w:rsid w:val="00975E1E"/>
    <w:rsid w:val="00975E70"/>
    <w:rsid w:val="00977CD6"/>
    <w:rsid w:val="00982481"/>
    <w:rsid w:val="00982D26"/>
    <w:rsid w:val="0098330E"/>
    <w:rsid w:val="009849E9"/>
    <w:rsid w:val="00987812"/>
    <w:rsid w:val="00990225"/>
    <w:rsid w:val="0099244B"/>
    <w:rsid w:val="009947B6"/>
    <w:rsid w:val="00995150"/>
    <w:rsid w:val="009957F3"/>
    <w:rsid w:val="00995D67"/>
    <w:rsid w:val="009970BF"/>
    <w:rsid w:val="009A013B"/>
    <w:rsid w:val="009A02F4"/>
    <w:rsid w:val="009A1F12"/>
    <w:rsid w:val="009A2494"/>
    <w:rsid w:val="009A26CA"/>
    <w:rsid w:val="009A36F2"/>
    <w:rsid w:val="009A5749"/>
    <w:rsid w:val="009A57D0"/>
    <w:rsid w:val="009A6559"/>
    <w:rsid w:val="009A68FC"/>
    <w:rsid w:val="009A7514"/>
    <w:rsid w:val="009A7E7A"/>
    <w:rsid w:val="009B1584"/>
    <w:rsid w:val="009B2469"/>
    <w:rsid w:val="009B314F"/>
    <w:rsid w:val="009B439C"/>
    <w:rsid w:val="009B4A6C"/>
    <w:rsid w:val="009B5777"/>
    <w:rsid w:val="009B5779"/>
    <w:rsid w:val="009B6753"/>
    <w:rsid w:val="009B6A26"/>
    <w:rsid w:val="009C079D"/>
    <w:rsid w:val="009C0D70"/>
    <w:rsid w:val="009C13D1"/>
    <w:rsid w:val="009C2913"/>
    <w:rsid w:val="009C3008"/>
    <w:rsid w:val="009C365F"/>
    <w:rsid w:val="009C5AFE"/>
    <w:rsid w:val="009C6606"/>
    <w:rsid w:val="009C6CE5"/>
    <w:rsid w:val="009C6D50"/>
    <w:rsid w:val="009C7547"/>
    <w:rsid w:val="009D1678"/>
    <w:rsid w:val="009D1693"/>
    <w:rsid w:val="009D1C49"/>
    <w:rsid w:val="009D2721"/>
    <w:rsid w:val="009D2F60"/>
    <w:rsid w:val="009D338C"/>
    <w:rsid w:val="009D3D0D"/>
    <w:rsid w:val="009D5BAC"/>
    <w:rsid w:val="009D64BD"/>
    <w:rsid w:val="009D7B2F"/>
    <w:rsid w:val="009D7B6C"/>
    <w:rsid w:val="009D7F83"/>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2456"/>
    <w:rsid w:val="009F2E26"/>
    <w:rsid w:val="009F4FCF"/>
    <w:rsid w:val="009F5DE2"/>
    <w:rsid w:val="009F65F4"/>
    <w:rsid w:val="009F676B"/>
    <w:rsid w:val="00A004DF"/>
    <w:rsid w:val="00A00D29"/>
    <w:rsid w:val="00A00FD5"/>
    <w:rsid w:val="00A019A8"/>
    <w:rsid w:val="00A01B03"/>
    <w:rsid w:val="00A02C66"/>
    <w:rsid w:val="00A03861"/>
    <w:rsid w:val="00A0464C"/>
    <w:rsid w:val="00A054E0"/>
    <w:rsid w:val="00A0663F"/>
    <w:rsid w:val="00A066CE"/>
    <w:rsid w:val="00A0740B"/>
    <w:rsid w:val="00A07427"/>
    <w:rsid w:val="00A075A9"/>
    <w:rsid w:val="00A077E2"/>
    <w:rsid w:val="00A11042"/>
    <w:rsid w:val="00A133D8"/>
    <w:rsid w:val="00A14E97"/>
    <w:rsid w:val="00A20069"/>
    <w:rsid w:val="00A20280"/>
    <w:rsid w:val="00A2244D"/>
    <w:rsid w:val="00A2253D"/>
    <w:rsid w:val="00A22AEC"/>
    <w:rsid w:val="00A2418A"/>
    <w:rsid w:val="00A247B8"/>
    <w:rsid w:val="00A24D39"/>
    <w:rsid w:val="00A24D8F"/>
    <w:rsid w:val="00A25B8B"/>
    <w:rsid w:val="00A269C3"/>
    <w:rsid w:val="00A26ECA"/>
    <w:rsid w:val="00A317A5"/>
    <w:rsid w:val="00A324C1"/>
    <w:rsid w:val="00A337DB"/>
    <w:rsid w:val="00A3467F"/>
    <w:rsid w:val="00A3470B"/>
    <w:rsid w:val="00A3551A"/>
    <w:rsid w:val="00A376E8"/>
    <w:rsid w:val="00A37E69"/>
    <w:rsid w:val="00A37F8E"/>
    <w:rsid w:val="00A41737"/>
    <w:rsid w:val="00A42B8F"/>
    <w:rsid w:val="00A43254"/>
    <w:rsid w:val="00A43896"/>
    <w:rsid w:val="00A43A26"/>
    <w:rsid w:val="00A447A0"/>
    <w:rsid w:val="00A459F5"/>
    <w:rsid w:val="00A45FC0"/>
    <w:rsid w:val="00A46B32"/>
    <w:rsid w:val="00A478D2"/>
    <w:rsid w:val="00A47ECC"/>
    <w:rsid w:val="00A5008C"/>
    <w:rsid w:val="00A50171"/>
    <w:rsid w:val="00A5102E"/>
    <w:rsid w:val="00A51083"/>
    <w:rsid w:val="00A5132E"/>
    <w:rsid w:val="00A51533"/>
    <w:rsid w:val="00A51E68"/>
    <w:rsid w:val="00A52F3B"/>
    <w:rsid w:val="00A531D4"/>
    <w:rsid w:val="00A55ACD"/>
    <w:rsid w:val="00A55CFA"/>
    <w:rsid w:val="00A575B8"/>
    <w:rsid w:val="00A64182"/>
    <w:rsid w:val="00A647B1"/>
    <w:rsid w:val="00A64DEF"/>
    <w:rsid w:val="00A65E4E"/>
    <w:rsid w:val="00A665DF"/>
    <w:rsid w:val="00A67F1B"/>
    <w:rsid w:val="00A67FCC"/>
    <w:rsid w:val="00A709F3"/>
    <w:rsid w:val="00A716DC"/>
    <w:rsid w:val="00A720AF"/>
    <w:rsid w:val="00A7217B"/>
    <w:rsid w:val="00A7293E"/>
    <w:rsid w:val="00A72EE4"/>
    <w:rsid w:val="00A73067"/>
    <w:rsid w:val="00A737C4"/>
    <w:rsid w:val="00A739A6"/>
    <w:rsid w:val="00A73C3B"/>
    <w:rsid w:val="00A75EF9"/>
    <w:rsid w:val="00A76BC9"/>
    <w:rsid w:val="00A77566"/>
    <w:rsid w:val="00A80563"/>
    <w:rsid w:val="00A8311C"/>
    <w:rsid w:val="00A84BC8"/>
    <w:rsid w:val="00A84C5F"/>
    <w:rsid w:val="00A85D91"/>
    <w:rsid w:val="00A86973"/>
    <w:rsid w:val="00A8721F"/>
    <w:rsid w:val="00A8740B"/>
    <w:rsid w:val="00A87519"/>
    <w:rsid w:val="00A905A2"/>
    <w:rsid w:val="00A9246D"/>
    <w:rsid w:val="00A93644"/>
    <w:rsid w:val="00A93BD0"/>
    <w:rsid w:val="00A944A1"/>
    <w:rsid w:val="00A95D69"/>
    <w:rsid w:val="00A975A4"/>
    <w:rsid w:val="00A977B3"/>
    <w:rsid w:val="00A97DC8"/>
    <w:rsid w:val="00AA2001"/>
    <w:rsid w:val="00AA2B5C"/>
    <w:rsid w:val="00AA4E59"/>
    <w:rsid w:val="00AA5328"/>
    <w:rsid w:val="00AA5393"/>
    <w:rsid w:val="00AA63D4"/>
    <w:rsid w:val="00AA6767"/>
    <w:rsid w:val="00AB02C2"/>
    <w:rsid w:val="00AB03FD"/>
    <w:rsid w:val="00AB38CB"/>
    <w:rsid w:val="00AB3BEC"/>
    <w:rsid w:val="00AB44E4"/>
    <w:rsid w:val="00AB4AEB"/>
    <w:rsid w:val="00AB5352"/>
    <w:rsid w:val="00AB56AE"/>
    <w:rsid w:val="00AB62D5"/>
    <w:rsid w:val="00AB65B5"/>
    <w:rsid w:val="00AB6DCD"/>
    <w:rsid w:val="00AB6EE0"/>
    <w:rsid w:val="00AB7A64"/>
    <w:rsid w:val="00AC2DFD"/>
    <w:rsid w:val="00AC352D"/>
    <w:rsid w:val="00AC40B7"/>
    <w:rsid w:val="00AC5122"/>
    <w:rsid w:val="00AC531F"/>
    <w:rsid w:val="00AC6121"/>
    <w:rsid w:val="00AC626D"/>
    <w:rsid w:val="00AC6CB1"/>
    <w:rsid w:val="00AC79DA"/>
    <w:rsid w:val="00AD0091"/>
    <w:rsid w:val="00AD23D8"/>
    <w:rsid w:val="00AD23EF"/>
    <w:rsid w:val="00AD307B"/>
    <w:rsid w:val="00AD31F9"/>
    <w:rsid w:val="00AD41B3"/>
    <w:rsid w:val="00AD4B31"/>
    <w:rsid w:val="00AD4C48"/>
    <w:rsid w:val="00AD57AF"/>
    <w:rsid w:val="00AD6267"/>
    <w:rsid w:val="00AD7317"/>
    <w:rsid w:val="00AE01A8"/>
    <w:rsid w:val="00AE069F"/>
    <w:rsid w:val="00AE0CBD"/>
    <w:rsid w:val="00AE123A"/>
    <w:rsid w:val="00AE28A7"/>
    <w:rsid w:val="00AE33A6"/>
    <w:rsid w:val="00AE3715"/>
    <w:rsid w:val="00AE3729"/>
    <w:rsid w:val="00AE55B2"/>
    <w:rsid w:val="00AE5C6A"/>
    <w:rsid w:val="00AE65F7"/>
    <w:rsid w:val="00AE7280"/>
    <w:rsid w:val="00AF033A"/>
    <w:rsid w:val="00AF1699"/>
    <w:rsid w:val="00AF3896"/>
    <w:rsid w:val="00AF3CEE"/>
    <w:rsid w:val="00AF6C33"/>
    <w:rsid w:val="00B0098A"/>
    <w:rsid w:val="00B00A5F"/>
    <w:rsid w:val="00B0225F"/>
    <w:rsid w:val="00B029B8"/>
    <w:rsid w:val="00B02F60"/>
    <w:rsid w:val="00B032B8"/>
    <w:rsid w:val="00B04B46"/>
    <w:rsid w:val="00B05050"/>
    <w:rsid w:val="00B0534D"/>
    <w:rsid w:val="00B06368"/>
    <w:rsid w:val="00B06FC6"/>
    <w:rsid w:val="00B07163"/>
    <w:rsid w:val="00B07429"/>
    <w:rsid w:val="00B12FE6"/>
    <w:rsid w:val="00B1303F"/>
    <w:rsid w:val="00B1364A"/>
    <w:rsid w:val="00B13D3C"/>
    <w:rsid w:val="00B1525C"/>
    <w:rsid w:val="00B16715"/>
    <w:rsid w:val="00B17910"/>
    <w:rsid w:val="00B20F18"/>
    <w:rsid w:val="00B21516"/>
    <w:rsid w:val="00B22CE0"/>
    <w:rsid w:val="00B23738"/>
    <w:rsid w:val="00B23BEF"/>
    <w:rsid w:val="00B247BB"/>
    <w:rsid w:val="00B25C11"/>
    <w:rsid w:val="00B25EDF"/>
    <w:rsid w:val="00B25EE6"/>
    <w:rsid w:val="00B27BC0"/>
    <w:rsid w:val="00B3115A"/>
    <w:rsid w:val="00B31A5C"/>
    <w:rsid w:val="00B33C19"/>
    <w:rsid w:val="00B34861"/>
    <w:rsid w:val="00B363BD"/>
    <w:rsid w:val="00B369F7"/>
    <w:rsid w:val="00B36A99"/>
    <w:rsid w:val="00B37537"/>
    <w:rsid w:val="00B41B81"/>
    <w:rsid w:val="00B42980"/>
    <w:rsid w:val="00B434B2"/>
    <w:rsid w:val="00B434C7"/>
    <w:rsid w:val="00B43D45"/>
    <w:rsid w:val="00B44771"/>
    <w:rsid w:val="00B4650E"/>
    <w:rsid w:val="00B468F2"/>
    <w:rsid w:val="00B46B45"/>
    <w:rsid w:val="00B46D3D"/>
    <w:rsid w:val="00B46F6B"/>
    <w:rsid w:val="00B47286"/>
    <w:rsid w:val="00B47894"/>
    <w:rsid w:val="00B50234"/>
    <w:rsid w:val="00B51BF4"/>
    <w:rsid w:val="00B52C68"/>
    <w:rsid w:val="00B542FE"/>
    <w:rsid w:val="00B55A1B"/>
    <w:rsid w:val="00B561DB"/>
    <w:rsid w:val="00B57494"/>
    <w:rsid w:val="00B61DCE"/>
    <w:rsid w:val="00B62188"/>
    <w:rsid w:val="00B62467"/>
    <w:rsid w:val="00B62F79"/>
    <w:rsid w:val="00B62F82"/>
    <w:rsid w:val="00B648FA"/>
    <w:rsid w:val="00B662FF"/>
    <w:rsid w:val="00B72C80"/>
    <w:rsid w:val="00B730B4"/>
    <w:rsid w:val="00B74340"/>
    <w:rsid w:val="00B744E0"/>
    <w:rsid w:val="00B7481A"/>
    <w:rsid w:val="00B74F2F"/>
    <w:rsid w:val="00B756FB"/>
    <w:rsid w:val="00B769BC"/>
    <w:rsid w:val="00B77349"/>
    <w:rsid w:val="00B7761E"/>
    <w:rsid w:val="00B80A37"/>
    <w:rsid w:val="00B80A3D"/>
    <w:rsid w:val="00B823E0"/>
    <w:rsid w:val="00B82B78"/>
    <w:rsid w:val="00B84662"/>
    <w:rsid w:val="00B85402"/>
    <w:rsid w:val="00B864A3"/>
    <w:rsid w:val="00B86C2A"/>
    <w:rsid w:val="00B877F1"/>
    <w:rsid w:val="00B902A5"/>
    <w:rsid w:val="00B90420"/>
    <w:rsid w:val="00B913E4"/>
    <w:rsid w:val="00B91DB9"/>
    <w:rsid w:val="00B93EFE"/>
    <w:rsid w:val="00B94956"/>
    <w:rsid w:val="00B94C7F"/>
    <w:rsid w:val="00B956B5"/>
    <w:rsid w:val="00B95C3A"/>
    <w:rsid w:val="00B95FCE"/>
    <w:rsid w:val="00B97330"/>
    <w:rsid w:val="00BA0D44"/>
    <w:rsid w:val="00BA0E26"/>
    <w:rsid w:val="00BA31BF"/>
    <w:rsid w:val="00BA43FC"/>
    <w:rsid w:val="00BA478B"/>
    <w:rsid w:val="00BA5224"/>
    <w:rsid w:val="00BA7B27"/>
    <w:rsid w:val="00BA7CA7"/>
    <w:rsid w:val="00BA7E3B"/>
    <w:rsid w:val="00BB079C"/>
    <w:rsid w:val="00BB2B56"/>
    <w:rsid w:val="00BB39C1"/>
    <w:rsid w:val="00BB5D16"/>
    <w:rsid w:val="00BB6180"/>
    <w:rsid w:val="00BB69E6"/>
    <w:rsid w:val="00BB7D2A"/>
    <w:rsid w:val="00BC1B7A"/>
    <w:rsid w:val="00BC2BC7"/>
    <w:rsid w:val="00BC2C17"/>
    <w:rsid w:val="00BC3ACD"/>
    <w:rsid w:val="00BC3C33"/>
    <w:rsid w:val="00BC66D7"/>
    <w:rsid w:val="00BC6E73"/>
    <w:rsid w:val="00BD0014"/>
    <w:rsid w:val="00BD01D8"/>
    <w:rsid w:val="00BD0CBE"/>
    <w:rsid w:val="00BD2512"/>
    <w:rsid w:val="00BD255F"/>
    <w:rsid w:val="00BD383D"/>
    <w:rsid w:val="00BD4236"/>
    <w:rsid w:val="00BD575B"/>
    <w:rsid w:val="00BD5CCA"/>
    <w:rsid w:val="00BD5CD4"/>
    <w:rsid w:val="00BD6652"/>
    <w:rsid w:val="00BD6EF9"/>
    <w:rsid w:val="00BD77DD"/>
    <w:rsid w:val="00BE0ACB"/>
    <w:rsid w:val="00BE1A90"/>
    <w:rsid w:val="00BE3537"/>
    <w:rsid w:val="00BE360F"/>
    <w:rsid w:val="00BE50FD"/>
    <w:rsid w:val="00BE51CA"/>
    <w:rsid w:val="00BE5E5A"/>
    <w:rsid w:val="00BE6D47"/>
    <w:rsid w:val="00BE7032"/>
    <w:rsid w:val="00BE7330"/>
    <w:rsid w:val="00BF01C5"/>
    <w:rsid w:val="00BF066A"/>
    <w:rsid w:val="00BF361C"/>
    <w:rsid w:val="00BF4342"/>
    <w:rsid w:val="00BF5050"/>
    <w:rsid w:val="00BF5422"/>
    <w:rsid w:val="00BF54CF"/>
    <w:rsid w:val="00BF59B1"/>
    <w:rsid w:val="00BF6A78"/>
    <w:rsid w:val="00BF6E19"/>
    <w:rsid w:val="00BF79B4"/>
    <w:rsid w:val="00C01427"/>
    <w:rsid w:val="00C016A1"/>
    <w:rsid w:val="00C0508D"/>
    <w:rsid w:val="00C058AF"/>
    <w:rsid w:val="00C11AAA"/>
    <w:rsid w:val="00C124C1"/>
    <w:rsid w:val="00C128AE"/>
    <w:rsid w:val="00C136D6"/>
    <w:rsid w:val="00C136EB"/>
    <w:rsid w:val="00C13D5B"/>
    <w:rsid w:val="00C16047"/>
    <w:rsid w:val="00C17AE2"/>
    <w:rsid w:val="00C20F27"/>
    <w:rsid w:val="00C215CF"/>
    <w:rsid w:val="00C2244B"/>
    <w:rsid w:val="00C22B0D"/>
    <w:rsid w:val="00C22F55"/>
    <w:rsid w:val="00C240C1"/>
    <w:rsid w:val="00C250D0"/>
    <w:rsid w:val="00C252AC"/>
    <w:rsid w:val="00C255AB"/>
    <w:rsid w:val="00C27214"/>
    <w:rsid w:val="00C27597"/>
    <w:rsid w:val="00C30382"/>
    <w:rsid w:val="00C30D6F"/>
    <w:rsid w:val="00C31063"/>
    <w:rsid w:val="00C31B7E"/>
    <w:rsid w:val="00C3242A"/>
    <w:rsid w:val="00C32AE2"/>
    <w:rsid w:val="00C33201"/>
    <w:rsid w:val="00C332C4"/>
    <w:rsid w:val="00C33C3C"/>
    <w:rsid w:val="00C360B3"/>
    <w:rsid w:val="00C3679B"/>
    <w:rsid w:val="00C37027"/>
    <w:rsid w:val="00C3778D"/>
    <w:rsid w:val="00C405A3"/>
    <w:rsid w:val="00C42752"/>
    <w:rsid w:val="00C42973"/>
    <w:rsid w:val="00C44F9C"/>
    <w:rsid w:val="00C4730E"/>
    <w:rsid w:val="00C5019C"/>
    <w:rsid w:val="00C5034F"/>
    <w:rsid w:val="00C52479"/>
    <w:rsid w:val="00C5291F"/>
    <w:rsid w:val="00C52C59"/>
    <w:rsid w:val="00C5349E"/>
    <w:rsid w:val="00C5354B"/>
    <w:rsid w:val="00C54467"/>
    <w:rsid w:val="00C54D3D"/>
    <w:rsid w:val="00C55116"/>
    <w:rsid w:val="00C55A30"/>
    <w:rsid w:val="00C57C58"/>
    <w:rsid w:val="00C6028F"/>
    <w:rsid w:val="00C608F1"/>
    <w:rsid w:val="00C631E1"/>
    <w:rsid w:val="00C638D8"/>
    <w:rsid w:val="00C63C84"/>
    <w:rsid w:val="00C63D26"/>
    <w:rsid w:val="00C641EB"/>
    <w:rsid w:val="00C65053"/>
    <w:rsid w:val="00C65BD9"/>
    <w:rsid w:val="00C66061"/>
    <w:rsid w:val="00C66F69"/>
    <w:rsid w:val="00C67223"/>
    <w:rsid w:val="00C67CFF"/>
    <w:rsid w:val="00C707B8"/>
    <w:rsid w:val="00C7084B"/>
    <w:rsid w:val="00C71C15"/>
    <w:rsid w:val="00C71F3D"/>
    <w:rsid w:val="00C72F53"/>
    <w:rsid w:val="00C74035"/>
    <w:rsid w:val="00C76FF4"/>
    <w:rsid w:val="00C77818"/>
    <w:rsid w:val="00C77AE3"/>
    <w:rsid w:val="00C8063F"/>
    <w:rsid w:val="00C81549"/>
    <w:rsid w:val="00C829A1"/>
    <w:rsid w:val="00C83B36"/>
    <w:rsid w:val="00C84F8A"/>
    <w:rsid w:val="00C85209"/>
    <w:rsid w:val="00C8618F"/>
    <w:rsid w:val="00C90372"/>
    <w:rsid w:val="00C9041F"/>
    <w:rsid w:val="00C91A45"/>
    <w:rsid w:val="00C91ED2"/>
    <w:rsid w:val="00C91FB4"/>
    <w:rsid w:val="00C95745"/>
    <w:rsid w:val="00C962E3"/>
    <w:rsid w:val="00C965BD"/>
    <w:rsid w:val="00C97997"/>
    <w:rsid w:val="00CA08FE"/>
    <w:rsid w:val="00CA0FAC"/>
    <w:rsid w:val="00CA25C0"/>
    <w:rsid w:val="00CA3451"/>
    <w:rsid w:val="00CA4948"/>
    <w:rsid w:val="00CA52F9"/>
    <w:rsid w:val="00CA568B"/>
    <w:rsid w:val="00CA7500"/>
    <w:rsid w:val="00CB1239"/>
    <w:rsid w:val="00CB178B"/>
    <w:rsid w:val="00CB19FE"/>
    <w:rsid w:val="00CB23C2"/>
    <w:rsid w:val="00CB304C"/>
    <w:rsid w:val="00CB53E8"/>
    <w:rsid w:val="00CB594A"/>
    <w:rsid w:val="00CB5CB2"/>
    <w:rsid w:val="00CB6979"/>
    <w:rsid w:val="00CB74EC"/>
    <w:rsid w:val="00CC0A3D"/>
    <w:rsid w:val="00CC2373"/>
    <w:rsid w:val="00CC3C6A"/>
    <w:rsid w:val="00CC3D24"/>
    <w:rsid w:val="00CC3F91"/>
    <w:rsid w:val="00CC4B0A"/>
    <w:rsid w:val="00CC544A"/>
    <w:rsid w:val="00CC57EA"/>
    <w:rsid w:val="00CC5954"/>
    <w:rsid w:val="00CC6C4E"/>
    <w:rsid w:val="00CD05A2"/>
    <w:rsid w:val="00CD19DA"/>
    <w:rsid w:val="00CD29D4"/>
    <w:rsid w:val="00CD38F5"/>
    <w:rsid w:val="00CD437E"/>
    <w:rsid w:val="00CD5A89"/>
    <w:rsid w:val="00CD5DAD"/>
    <w:rsid w:val="00CD72C5"/>
    <w:rsid w:val="00CD79A7"/>
    <w:rsid w:val="00CE0789"/>
    <w:rsid w:val="00CE1A03"/>
    <w:rsid w:val="00CE2346"/>
    <w:rsid w:val="00CE3529"/>
    <w:rsid w:val="00CE35C8"/>
    <w:rsid w:val="00CE3962"/>
    <w:rsid w:val="00CE5105"/>
    <w:rsid w:val="00CE56BD"/>
    <w:rsid w:val="00CE5EC0"/>
    <w:rsid w:val="00CE6F9F"/>
    <w:rsid w:val="00CE773B"/>
    <w:rsid w:val="00CE781A"/>
    <w:rsid w:val="00CE7B3A"/>
    <w:rsid w:val="00CF10D4"/>
    <w:rsid w:val="00CF1D74"/>
    <w:rsid w:val="00CF2BE2"/>
    <w:rsid w:val="00CF55F9"/>
    <w:rsid w:val="00CF71A6"/>
    <w:rsid w:val="00CF7495"/>
    <w:rsid w:val="00CF7671"/>
    <w:rsid w:val="00D01CF9"/>
    <w:rsid w:val="00D0334D"/>
    <w:rsid w:val="00D0374D"/>
    <w:rsid w:val="00D05A76"/>
    <w:rsid w:val="00D07F1D"/>
    <w:rsid w:val="00D10558"/>
    <w:rsid w:val="00D1203E"/>
    <w:rsid w:val="00D13E70"/>
    <w:rsid w:val="00D16C58"/>
    <w:rsid w:val="00D17019"/>
    <w:rsid w:val="00D170C1"/>
    <w:rsid w:val="00D21168"/>
    <w:rsid w:val="00D235C8"/>
    <w:rsid w:val="00D2438C"/>
    <w:rsid w:val="00D25DFA"/>
    <w:rsid w:val="00D26C3F"/>
    <w:rsid w:val="00D27185"/>
    <w:rsid w:val="00D27C40"/>
    <w:rsid w:val="00D32B84"/>
    <w:rsid w:val="00D337AE"/>
    <w:rsid w:val="00D33AB3"/>
    <w:rsid w:val="00D33F24"/>
    <w:rsid w:val="00D346B7"/>
    <w:rsid w:val="00D346B8"/>
    <w:rsid w:val="00D35AC8"/>
    <w:rsid w:val="00D35D34"/>
    <w:rsid w:val="00D36F87"/>
    <w:rsid w:val="00D37E4E"/>
    <w:rsid w:val="00D42E6C"/>
    <w:rsid w:val="00D43218"/>
    <w:rsid w:val="00D43B80"/>
    <w:rsid w:val="00D44236"/>
    <w:rsid w:val="00D45B1E"/>
    <w:rsid w:val="00D45BA4"/>
    <w:rsid w:val="00D471AF"/>
    <w:rsid w:val="00D4724F"/>
    <w:rsid w:val="00D50519"/>
    <w:rsid w:val="00D516A5"/>
    <w:rsid w:val="00D5264C"/>
    <w:rsid w:val="00D5289A"/>
    <w:rsid w:val="00D537FE"/>
    <w:rsid w:val="00D538F0"/>
    <w:rsid w:val="00D54A6A"/>
    <w:rsid w:val="00D54BF8"/>
    <w:rsid w:val="00D54D7C"/>
    <w:rsid w:val="00D55951"/>
    <w:rsid w:val="00D572BE"/>
    <w:rsid w:val="00D57EB6"/>
    <w:rsid w:val="00D60ED7"/>
    <w:rsid w:val="00D63586"/>
    <w:rsid w:val="00D64173"/>
    <w:rsid w:val="00D65916"/>
    <w:rsid w:val="00D65C2E"/>
    <w:rsid w:val="00D664BF"/>
    <w:rsid w:val="00D66D8B"/>
    <w:rsid w:val="00D72A1C"/>
    <w:rsid w:val="00D73580"/>
    <w:rsid w:val="00D73802"/>
    <w:rsid w:val="00D73868"/>
    <w:rsid w:val="00D73C2C"/>
    <w:rsid w:val="00D73D52"/>
    <w:rsid w:val="00D745E7"/>
    <w:rsid w:val="00D77495"/>
    <w:rsid w:val="00D774ED"/>
    <w:rsid w:val="00D777F6"/>
    <w:rsid w:val="00D77F88"/>
    <w:rsid w:val="00D8044C"/>
    <w:rsid w:val="00D81EAA"/>
    <w:rsid w:val="00D8259F"/>
    <w:rsid w:val="00D825F2"/>
    <w:rsid w:val="00D828B1"/>
    <w:rsid w:val="00D84F27"/>
    <w:rsid w:val="00D850D4"/>
    <w:rsid w:val="00D862D1"/>
    <w:rsid w:val="00D873C6"/>
    <w:rsid w:val="00D9067E"/>
    <w:rsid w:val="00D91027"/>
    <w:rsid w:val="00D937E0"/>
    <w:rsid w:val="00D94C7D"/>
    <w:rsid w:val="00D94CA4"/>
    <w:rsid w:val="00D94FB4"/>
    <w:rsid w:val="00D95E99"/>
    <w:rsid w:val="00DA098C"/>
    <w:rsid w:val="00DA1A3A"/>
    <w:rsid w:val="00DA2C65"/>
    <w:rsid w:val="00DA395D"/>
    <w:rsid w:val="00DA44EB"/>
    <w:rsid w:val="00DB16B8"/>
    <w:rsid w:val="00DB1D52"/>
    <w:rsid w:val="00DB1F62"/>
    <w:rsid w:val="00DB2E03"/>
    <w:rsid w:val="00DB3742"/>
    <w:rsid w:val="00DB3F4B"/>
    <w:rsid w:val="00DB61A4"/>
    <w:rsid w:val="00DB67C1"/>
    <w:rsid w:val="00DB70CD"/>
    <w:rsid w:val="00DB70F4"/>
    <w:rsid w:val="00DC1056"/>
    <w:rsid w:val="00DC16DA"/>
    <w:rsid w:val="00DC211E"/>
    <w:rsid w:val="00DC21D8"/>
    <w:rsid w:val="00DC2369"/>
    <w:rsid w:val="00DC282A"/>
    <w:rsid w:val="00DC34DC"/>
    <w:rsid w:val="00DC3CC6"/>
    <w:rsid w:val="00DC514A"/>
    <w:rsid w:val="00DC64EC"/>
    <w:rsid w:val="00DC67B1"/>
    <w:rsid w:val="00DC7833"/>
    <w:rsid w:val="00DD132B"/>
    <w:rsid w:val="00DD1725"/>
    <w:rsid w:val="00DD21B9"/>
    <w:rsid w:val="00DD2427"/>
    <w:rsid w:val="00DD2A18"/>
    <w:rsid w:val="00DD5AB3"/>
    <w:rsid w:val="00DD5B1A"/>
    <w:rsid w:val="00DD61E8"/>
    <w:rsid w:val="00DD62C0"/>
    <w:rsid w:val="00DD7859"/>
    <w:rsid w:val="00DE03AC"/>
    <w:rsid w:val="00DE0A1D"/>
    <w:rsid w:val="00DE15B2"/>
    <w:rsid w:val="00DE1A9A"/>
    <w:rsid w:val="00DE3D2C"/>
    <w:rsid w:val="00DE43D0"/>
    <w:rsid w:val="00DE5E82"/>
    <w:rsid w:val="00DE5FA6"/>
    <w:rsid w:val="00DE6494"/>
    <w:rsid w:val="00DE6AA1"/>
    <w:rsid w:val="00DE6C57"/>
    <w:rsid w:val="00DE74D7"/>
    <w:rsid w:val="00DE7EF7"/>
    <w:rsid w:val="00DF1185"/>
    <w:rsid w:val="00DF1299"/>
    <w:rsid w:val="00DF164F"/>
    <w:rsid w:val="00DF1A70"/>
    <w:rsid w:val="00DF23A8"/>
    <w:rsid w:val="00DF2F27"/>
    <w:rsid w:val="00DF6CCC"/>
    <w:rsid w:val="00DF6D0C"/>
    <w:rsid w:val="00DF6F64"/>
    <w:rsid w:val="00DF721E"/>
    <w:rsid w:val="00DF7C87"/>
    <w:rsid w:val="00E009B0"/>
    <w:rsid w:val="00E0345F"/>
    <w:rsid w:val="00E03D5C"/>
    <w:rsid w:val="00E043AC"/>
    <w:rsid w:val="00E046A9"/>
    <w:rsid w:val="00E04C0F"/>
    <w:rsid w:val="00E0570B"/>
    <w:rsid w:val="00E057B2"/>
    <w:rsid w:val="00E05996"/>
    <w:rsid w:val="00E10B87"/>
    <w:rsid w:val="00E1478B"/>
    <w:rsid w:val="00E14FAC"/>
    <w:rsid w:val="00E15007"/>
    <w:rsid w:val="00E16EC7"/>
    <w:rsid w:val="00E1714F"/>
    <w:rsid w:val="00E21576"/>
    <w:rsid w:val="00E219CE"/>
    <w:rsid w:val="00E23961"/>
    <w:rsid w:val="00E24071"/>
    <w:rsid w:val="00E24EBC"/>
    <w:rsid w:val="00E2522C"/>
    <w:rsid w:val="00E2599B"/>
    <w:rsid w:val="00E27383"/>
    <w:rsid w:val="00E2793D"/>
    <w:rsid w:val="00E31AFA"/>
    <w:rsid w:val="00E3203D"/>
    <w:rsid w:val="00E324EE"/>
    <w:rsid w:val="00E34296"/>
    <w:rsid w:val="00E359FF"/>
    <w:rsid w:val="00E36AA7"/>
    <w:rsid w:val="00E36E39"/>
    <w:rsid w:val="00E405F1"/>
    <w:rsid w:val="00E43054"/>
    <w:rsid w:val="00E434C4"/>
    <w:rsid w:val="00E44FE4"/>
    <w:rsid w:val="00E45D30"/>
    <w:rsid w:val="00E46013"/>
    <w:rsid w:val="00E4654B"/>
    <w:rsid w:val="00E477C3"/>
    <w:rsid w:val="00E5048D"/>
    <w:rsid w:val="00E50AC4"/>
    <w:rsid w:val="00E50E2C"/>
    <w:rsid w:val="00E51077"/>
    <w:rsid w:val="00E5132D"/>
    <w:rsid w:val="00E51741"/>
    <w:rsid w:val="00E51E16"/>
    <w:rsid w:val="00E52151"/>
    <w:rsid w:val="00E53730"/>
    <w:rsid w:val="00E53C46"/>
    <w:rsid w:val="00E54511"/>
    <w:rsid w:val="00E55DC3"/>
    <w:rsid w:val="00E57577"/>
    <w:rsid w:val="00E62043"/>
    <w:rsid w:val="00E626B9"/>
    <w:rsid w:val="00E627C9"/>
    <w:rsid w:val="00E630F3"/>
    <w:rsid w:val="00E65198"/>
    <w:rsid w:val="00E664FB"/>
    <w:rsid w:val="00E66F0D"/>
    <w:rsid w:val="00E672F9"/>
    <w:rsid w:val="00E67345"/>
    <w:rsid w:val="00E70615"/>
    <w:rsid w:val="00E71A5E"/>
    <w:rsid w:val="00E7207B"/>
    <w:rsid w:val="00E7347A"/>
    <w:rsid w:val="00E75325"/>
    <w:rsid w:val="00E759FB"/>
    <w:rsid w:val="00E75A47"/>
    <w:rsid w:val="00E75D8C"/>
    <w:rsid w:val="00E77771"/>
    <w:rsid w:val="00E777F2"/>
    <w:rsid w:val="00E779ED"/>
    <w:rsid w:val="00E802C9"/>
    <w:rsid w:val="00E80EDD"/>
    <w:rsid w:val="00E80F0A"/>
    <w:rsid w:val="00E81A6A"/>
    <w:rsid w:val="00E8291B"/>
    <w:rsid w:val="00E8395F"/>
    <w:rsid w:val="00E8473F"/>
    <w:rsid w:val="00E85E41"/>
    <w:rsid w:val="00E85EA1"/>
    <w:rsid w:val="00E866CD"/>
    <w:rsid w:val="00E91044"/>
    <w:rsid w:val="00E910D3"/>
    <w:rsid w:val="00E923CF"/>
    <w:rsid w:val="00E9335F"/>
    <w:rsid w:val="00E95111"/>
    <w:rsid w:val="00EA061E"/>
    <w:rsid w:val="00EA14C8"/>
    <w:rsid w:val="00EA19D3"/>
    <w:rsid w:val="00EA40E8"/>
    <w:rsid w:val="00EA6649"/>
    <w:rsid w:val="00EB05D0"/>
    <w:rsid w:val="00EB07C5"/>
    <w:rsid w:val="00EB1D49"/>
    <w:rsid w:val="00EB42DD"/>
    <w:rsid w:val="00EB559F"/>
    <w:rsid w:val="00EB5F3D"/>
    <w:rsid w:val="00EB6EC2"/>
    <w:rsid w:val="00EC1CEB"/>
    <w:rsid w:val="00EC21A7"/>
    <w:rsid w:val="00EC268C"/>
    <w:rsid w:val="00EC3753"/>
    <w:rsid w:val="00EC3CB8"/>
    <w:rsid w:val="00EC3D46"/>
    <w:rsid w:val="00EC4E71"/>
    <w:rsid w:val="00EC6667"/>
    <w:rsid w:val="00EC7269"/>
    <w:rsid w:val="00ED0365"/>
    <w:rsid w:val="00ED0865"/>
    <w:rsid w:val="00ED094F"/>
    <w:rsid w:val="00ED16B6"/>
    <w:rsid w:val="00ED1C60"/>
    <w:rsid w:val="00ED2EB9"/>
    <w:rsid w:val="00ED4469"/>
    <w:rsid w:val="00ED5F23"/>
    <w:rsid w:val="00ED6DC0"/>
    <w:rsid w:val="00ED79CE"/>
    <w:rsid w:val="00ED7A7A"/>
    <w:rsid w:val="00EE038C"/>
    <w:rsid w:val="00EE040B"/>
    <w:rsid w:val="00EE47C5"/>
    <w:rsid w:val="00EE490C"/>
    <w:rsid w:val="00EE55F9"/>
    <w:rsid w:val="00EE613B"/>
    <w:rsid w:val="00EE7E17"/>
    <w:rsid w:val="00EF2C8E"/>
    <w:rsid w:val="00EF3A0D"/>
    <w:rsid w:val="00EF3CEB"/>
    <w:rsid w:val="00EF41A8"/>
    <w:rsid w:val="00EF44FB"/>
    <w:rsid w:val="00EF4D3C"/>
    <w:rsid w:val="00EF51CA"/>
    <w:rsid w:val="00EF5554"/>
    <w:rsid w:val="00EF5AD8"/>
    <w:rsid w:val="00EF5D2F"/>
    <w:rsid w:val="00EF63F5"/>
    <w:rsid w:val="00EF6758"/>
    <w:rsid w:val="00EF6B90"/>
    <w:rsid w:val="00EF70AE"/>
    <w:rsid w:val="00EF79F7"/>
    <w:rsid w:val="00F00418"/>
    <w:rsid w:val="00F006C0"/>
    <w:rsid w:val="00F009BB"/>
    <w:rsid w:val="00F019AA"/>
    <w:rsid w:val="00F0267E"/>
    <w:rsid w:val="00F02686"/>
    <w:rsid w:val="00F0459B"/>
    <w:rsid w:val="00F046F3"/>
    <w:rsid w:val="00F04E15"/>
    <w:rsid w:val="00F05DF3"/>
    <w:rsid w:val="00F0641B"/>
    <w:rsid w:val="00F069EA"/>
    <w:rsid w:val="00F07B6E"/>
    <w:rsid w:val="00F07DF8"/>
    <w:rsid w:val="00F11461"/>
    <w:rsid w:val="00F11675"/>
    <w:rsid w:val="00F1182D"/>
    <w:rsid w:val="00F12557"/>
    <w:rsid w:val="00F13A8F"/>
    <w:rsid w:val="00F144F8"/>
    <w:rsid w:val="00F14DF8"/>
    <w:rsid w:val="00F164A3"/>
    <w:rsid w:val="00F17AD9"/>
    <w:rsid w:val="00F17F74"/>
    <w:rsid w:val="00F202C2"/>
    <w:rsid w:val="00F209D5"/>
    <w:rsid w:val="00F22756"/>
    <w:rsid w:val="00F23890"/>
    <w:rsid w:val="00F2447A"/>
    <w:rsid w:val="00F24638"/>
    <w:rsid w:val="00F2504D"/>
    <w:rsid w:val="00F2637F"/>
    <w:rsid w:val="00F263A8"/>
    <w:rsid w:val="00F268F7"/>
    <w:rsid w:val="00F3053D"/>
    <w:rsid w:val="00F30BDB"/>
    <w:rsid w:val="00F30CF8"/>
    <w:rsid w:val="00F31633"/>
    <w:rsid w:val="00F31EDF"/>
    <w:rsid w:val="00F32CDE"/>
    <w:rsid w:val="00F32D4C"/>
    <w:rsid w:val="00F34811"/>
    <w:rsid w:val="00F34B14"/>
    <w:rsid w:val="00F36A6A"/>
    <w:rsid w:val="00F40101"/>
    <w:rsid w:val="00F404F7"/>
    <w:rsid w:val="00F40CCA"/>
    <w:rsid w:val="00F41521"/>
    <w:rsid w:val="00F42D97"/>
    <w:rsid w:val="00F43F09"/>
    <w:rsid w:val="00F45A72"/>
    <w:rsid w:val="00F46723"/>
    <w:rsid w:val="00F50016"/>
    <w:rsid w:val="00F50647"/>
    <w:rsid w:val="00F5118A"/>
    <w:rsid w:val="00F51A21"/>
    <w:rsid w:val="00F5276E"/>
    <w:rsid w:val="00F529F9"/>
    <w:rsid w:val="00F52E9F"/>
    <w:rsid w:val="00F53304"/>
    <w:rsid w:val="00F53D37"/>
    <w:rsid w:val="00F53D40"/>
    <w:rsid w:val="00F545ED"/>
    <w:rsid w:val="00F554C3"/>
    <w:rsid w:val="00F5687F"/>
    <w:rsid w:val="00F5727D"/>
    <w:rsid w:val="00F575C7"/>
    <w:rsid w:val="00F60305"/>
    <w:rsid w:val="00F61B12"/>
    <w:rsid w:val="00F620C5"/>
    <w:rsid w:val="00F62398"/>
    <w:rsid w:val="00F626C5"/>
    <w:rsid w:val="00F631E8"/>
    <w:rsid w:val="00F63223"/>
    <w:rsid w:val="00F63264"/>
    <w:rsid w:val="00F6379E"/>
    <w:rsid w:val="00F66EC0"/>
    <w:rsid w:val="00F70799"/>
    <w:rsid w:val="00F70906"/>
    <w:rsid w:val="00F70A8B"/>
    <w:rsid w:val="00F724FB"/>
    <w:rsid w:val="00F72578"/>
    <w:rsid w:val="00F72A26"/>
    <w:rsid w:val="00F72CA9"/>
    <w:rsid w:val="00F733C3"/>
    <w:rsid w:val="00F756DD"/>
    <w:rsid w:val="00F75DB3"/>
    <w:rsid w:val="00F80047"/>
    <w:rsid w:val="00F8104D"/>
    <w:rsid w:val="00F81587"/>
    <w:rsid w:val="00F82571"/>
    <w:rsid w:val="00F85258"/>
    <w:rsid w:val="00F85B72"/>
    <w:rsid w:val="00F8766F"/>
    <w:rsid w:val="00F9104C"/>
    <w:rsid w:val="00F91082"/>
    <w:rsid w:val="00F91A9A"/>
    <w:rsid w:val="00F93ABB"/>
    <w:rsid w:val="00F94D79"/>
    <w:rsid w:val="00F975D3"/>
    <w:rsid w:val="00FA118A"/>
    <w:rsid w:val="00FA11CD"/>
    <w:rsid w:val="00FA31C7"/>
    <w:rsid w:val="00FA472D"/>
    <w:rsid w:val="00FA7254"/>
    <w:rsid w:val="00FB0214"/>
    <w:rsid w:val="00FB080C"/>
    <w:rsid w:val="00FB18F6"/>
    <w:rsid w:val="00FB2A52"/>
    <w:rsid w:val="00FB2F13"/>
    <w:rsid w:val="00FB6232"/>
    <w:rsid w:val="00FB6E19"/>
    <w:rsid w:val="00FB71F6"/>
    <w:rsid w:val="00FC0016"/>
    <w:rsid w:val="00FC1483"/>
    <w:rsid w:val="00FC1C47"/>
    <w:rsid w:val="00FC2EF2"/>
    <w:rsid w:val="00FC39ED"/>
    <w:rsid w:val="00FC4419"/>
    <w:rsid w:val="00FC47E2"/>
    <w:rsid w:val="00FC4AA5"/>
    <w:rsid w:val="00FC5148"/>
    <w:rsid w:val="00FC6590"/>
    <w:rsid w:val="00FC75AC"/>
    <w:rsid w:val="00FD01BF"/>
    <w:rsid w:val="00FD0525"/>
    <w:rsid w:val="00FD297D"/>
    <w:rsid w:val="00FD2D13"/>
    <w:rsid w:val="00FD3D26"/>
    <w:rsid w:val="00FD4789"/>
    <w:rsid w:val="00FD6071"/>
    <w:rsid w:val="00FE0794"/>
    <w:rsid w:val="00FE1041"/>
    <w:rsid w:val="00FE24CB"/>
    <w:rsid w:val="00FE3166"/>
    <w:rsid w:val="00FE3320"/>
    <w:rsid w:val="00FE3420"/>
    <w:rsid w:val="00FE3473"/>
    <w:rsid w:val="00FE353B"/>
    <w:rsid w:val="00FE4049"/>
    <w:rsid w:val="00FE4794"/>
    <w:rsid w:val="00FE5DF7"/>
    <w:rsid w:val="00FE5F72"/>
    <w:rsid w:val="00FE7B6B"/>
    <w:rsid w:val="00FF0231"/>
    <w:rsid w:val="00FF1C9B"/>
    <w:rsid w:val="00FF1D49"/>
    <w:rsid w:val="00FF2562"/>
    <w:rsid w:val="00FF2CE1"/>
    <w:rsid w:val="00FF3A41"/>
    <w:rsid w:val="00FF3E5B"/>
    <w:rsid w:val="00FF52BE"/>
    <w:rsid w:val="00FF544F"/>
    <w:rsid w:val="00FF57E4"/>
    <w:rsid w:val="00FF78E5"/>
    <w:rsid w:val="01115B19"/>
    <w:rsid w:val="01213882"/>
    <w:rsid w:val="01437C9C"/>
    <w:rsid w:val="016025FC"/>
    <w:rsid w:val="01671BDD"/>
    <w:rsid w:val="01675739"/>
    <w:rsid w:val="01714809"/>
    <w:rsid w:val="017936BE"/>
    <w:rsid w:val="01840BB5"/>
    <w:rsid w:val="018467E3"/>
    <w:rsid w:val="018C1643"/>
    <w:rsid w:val="0196601E"/>
    <w:rsid w:val="0198159D"/>
    <w:rsid w:val="01A7022B"/>
    <w:rsid w:val="01B701A0"/>
    <w:rsid w:val="01DF0315"/>
    <w:rsid w:val="01DF6ED8"/>
    <w:rsid w:val="01EF3980"/>
    <w:rsid w:val="01FB40D3"/>
    <w:rsid w:val="020C62E0"/>
    <w:rsid w:val="020D05D5"/>
    <w:rsid w:val="0210580B"/>
    <w:rsid w:val="021B6523"/>
    <w:rsid w:val="021C3640"/>
    <w:rsid w:val="02337D11"/>
    <w:rsid w:val="024141DC"/>
    <w:rsid w:val="024C119E"/>
    <w:rsid w:val="024E71FD"/>
    <w:rsid w:val="02511F9D"/>
    <w:rsid w:val="025D4D8E"/>
    <w:rsid w:val="02667932"/>
    <w:rsid w:val="026954E1"/>
    <w:rsid w:val="027D71F0"/>
    <w:rsid w:val="02BF55B3"/>
    <w:rsid w:val="02C31095"/>
    <w:rsid w:val="02DC5CB3"/>
    <w:rsid w:val="02E1151B"/>
    <w:rsid w:val="02E4100B"/>
    <w:rsid w:val="02F2136E"/>
    <w:rsid w:val="02F474A0"/>
    <w:rsid w:val="03056ED3"/>
    <w:rsid w:val="03072543"/>
    <w:rsid w:val="032338E1"/>
    <w:rsid w:val="033C0E47"/>
    <w:rsid w:val="03463A74"/>
    <w:rsid w:val="034E5B8A"/>
    <w:rsid w:val="0354416A"/>
    <w:rsid w:val="035C5045"/>
    <w:rsid w:val="037203C5"/>
    <w:rsid w:val="037857B5"/>
    <w:rsid w:val="0388408C"/>
    <w:rsid w:val="038C592B"/>
    <w:rsid w:val="039D23B7"/>
    <w:rsid w:val="03A314B8"/>
    <w:rsid w:val="03B81B5E"/>
    <w:rsid w:val="03C50E3C"/>
    <w:rsid w:val="03C65AB6"/>
    <w:rsid w:val="03CF75C5"/>
    <w:rsid w:val="03D82B98"/>
    <w:rsid w:val="03F83E8B"/>
    <w:rsid w:val="03FC0E90"/>
    <w:rsid w:val="04146DCA"/>
    <w:rsid w:val="04223B99"/>
    <w:rsid w:val="0437361B"/>
    <w:rsid w:val="04467A4A"/>
    <w:rsid w:val="04477AA3"/>
    <w:rsid w:val="04697A1A"/>
    <w:rsid w:val="0490144A"/>
    <w:rsid w:val="04AC5B58"/>
    <w:rsid w:val="04B0389B"/>
    <w:rsid w:val="04B74C29"/>
    <w:rsid w:val="04B969D1"/>
    <w:rsid w:val="04D06D2A"/>
    <w:rsid w:val="04D20ABE"/>
    <w:rsid w:val="04E27999"/>
    <w:rsid w:val="04E64373"/>
    <w:rsid w:val="04ED18C2"/>
    <w:rsid w:val="05041AD8"/>
    <w:rsid w:val="05120F0D"/>
    <w:rsid w:val="0519537F"/>
    <w:rsid w:val="051A472F"/>
    <w:rsid w:val="053505D4"/>
    <w:rsid w:val="05410997"/>
    <w:rsid w:val="054D74A5"/>
    <w:rsid w:val="054F6C10"/>
    <w:rsid w:val="05544226"/>
    <w:rsid w:val="055866A0"/>
    <w:rsid w:val="055B3F73"/>
    <w:rsid w:val="056D5E78"/>
    <w:rsid w:val="05810D93"/>
    <w:rsid w:val="05880374"/>
    <w:rsid w:val="058D7738"/>
    <w:rsid w:val="059A3C03"/>
    <w:rsid w:val="05B71F0C"/>
    <w:rsid w:val="05CC64B2"/>
    <w:rsid w:val="05CE7F8F"/>
    <w:rsid w:val="05DB66F5"/>
    <w:rsid w:val="05E7509A"/>
    <w:rsid w:val="05F250AD"/>
    <w:rsid w:val="05F902BC"/>
    <w:rsid w:val="0616597F"/>
    <w:rsid w:val="06500E91"/>
    <w:rsid w:val="067A3BB5"/>
    <w:rsid w:val="069F0652"/>
    <w:rsid w:val="06A60A84"/>
    <w:rsid w:val="06CB0518"/>
    <w:rsid w:val="06D80448"/>
    <w:rsid w:val="06E67100"/>
    <w:rsid w:val="06EC048E"/>
    <w:rsid w:val="06F35CC1"/>
    <w:rsid w:val="06F45206"/>
    <w:rsid w:val="070D6D82"/>
    <w:rsid w:val="0721638A"/>
    <w:rsid w:val="073A23B4"/>
    <w:rsid w:val="073A6B9F"/>
    <w:rsid w:val="073C7668"/>
    <w:rsid w:val="07576304"/>
    <w:rsid w:val="076D7821"/>
    <w:rsid w:val="07746E01"/>
    <w:rsid w:val="07795DA1"/>
    <w:rsid w:val="077C5CB6"/>
    <w:rsid w:val="078B414B"/>
    <w:rsid w:val="07B72767"/>
    <w:rsid w:val="07B76CEE"/>
    <w:rsid w:val="07CB4548"/>
    <w:rsid w:val="07E66BDC"/>
    <w:rsid w:val="08077E72"/>
    <w:rsid w:val="08147C9D"/>
    <w:rsid w:val="082425D6"/>
    <w:rsid w:val="084904A1"/>
    <w:rsid w:val="08493DEA"/>
    <w:rsid w:val="08534AED"/>
    <w:rsid w:val="085D1644"/>
    <w:rsid w:val="086A1FB2"/>
    <w:rsid w:val="087B41C0"/>
    <w:rsid w:val="087B7D1C"/>
    <w:rsid w:val="08C571E9"/>
    <w:rsid w:val="08DD4532"/>
    <w:rsid w:val="08F55AA5"/>
    <w:rsid w:val="08F63846"/>
    <w:rsid w:val="092C7268"/>
    <w:rsid w:val="092E4FA0"/>
    <w:rsid w:val="093323A4"/>
    <w:rsid w:val="0946032A"/>
    <w:rsid w:val="09532309"/>
    <w:rsid w:val="09714C67"/>
    <w:rsid w:val="098D7D07"/>
    <w:rsid w:val="09A92503"/>
    <w:rsid w:val="09AF28CC"/>
    <w:rsid w:val="09B07E99"/>
    <w:rsid w:val="09B5725D"/>
    <w:rsid w:val="09CC2AAC"/>
    <w:rsid w:val="09CD0A4B"/>
    <w:rsid w:val="09D820EE"/>
    <w:rsid w:val="09E1374B"/>
    <w:rsid w:val="09F75AC8"/>
    <w:rsid w:val="09FA34EB"/>
    <w:rsid w:val="09FE29B2"/>
    <w:rsid w:val="0A0C3321"/>
    <w:rsid w:val="0A1331CE"/>
    <w:rsid w:val="0A2A768E"/>
    <w:rsid w:val="0A371FFD"/>
    <w:rsid w:val="0A544CC8"/>
    <w:rsid w:val="0A652D3E"/>
    <w:rsid w:val="0A8235E3"/>
    <w:rsid w:val="0A8A1324"/>
    <w:rsid w:val="0AA27E70"/>
    <w:rsid w:val="0AAC68B2"/>
    <w:rsid w:val="0AB063A2"/>
    <w:rsid w:val="0AB07738"/>
    <w:rsid w:val="0ACB4F8A"/>
    <w:rsid w:val="0ACE6829"/>
    <w:rsid w:val="0ADD2F10"/>
    <w:rsid w:val="0AE61299"/>
    <w:rsid w:val="0AF344E1"/>
    <w:rsid w:val="0B1F7084"/>
    <w:rsid w:val="0B275F39"/>
    <w:rsid w:val="0B2B4994"/>
    <w:rsid w:val="0B3A48F0"/>
    <w:rsid w:val="0B3A5CEC"/>
    <w:rsid w:val="0B54122E"/>
    <w:rsid w:val="0B633415"/>
    <w:rsid w:val="0B8D0492"/>
    <w:rsid w:val="0B925AA8"/>
    <w:rsid w:val="0BA92C14"/>
    <w:rsid w:val="0BB023D2"/>
    <w:rsid w:val="0BC1319E"/>
    <w:rsid w:val="0BC1638D"/>
    <w:rsid w:val="0BCD088E"/>
    <w:rsid w:val="0BD75BB1"/>
    <w:rsid w:val="0BDA1416"/>
    <w:rsid w:val="0BF027CF"/>
    <w:rsid w:val="0BF144C1"/>
    <w:rsid w:val="0BF30ADA"/>
    <w:rsid w:val="0C1956DF"/>
    <w:rsid w:val="0C775615"/>
    <w:rsid w:val="0C7D1DA1"/>
    <w:rsid w:val="0C92213C"/>
    <w:rsid w:val="0CB902B4"/>
    <w:rsid w:val="0CCA19BF"/>
    <w:rsid w:val="0CD61F68"/>
    <w:rsid w:val="0CE850B8"/>
    <w:rsid w:val="0CEE6B82"/>
    <w:rsid w:val="0CEF642E"/>
    <w:rsid w:val="0CF32576"/>
    <w:rsid w:val="0D3C0A15"/>
    <w:rsid w:val="0D4F221D"/>
    <w:rsid w:val="0D696CDD"/>
    <w:rsid w:val="0D6A5196"/>
    <w:rsid w:val="0D700C16"/>
    <w:rsid w:val="0D7731A8"/>
    <w:rsid w:val="0D817B82"/>
    <w:rsid w:val="0D84032B"/>
    <w:rsid w:val="0DA11FD2"/>
    <w:rsid w:val="0DB84B17"/>
    <w:rsid w:val="0DF30354"/>
    <w:rsid w:val="0E0236FD"/>
    <w:rsid w:val="0E032C8D"/>
    <w:rsid w:val="0E124C7E"/>
    <w:rsid w:val="0E18568C"/>
    <w:rsid w:val="0E2A021A"/>
    <w:rsid w:val="0E3146CE"/>
    <w:rsid w:val="0E3407D9"/>
    <w:rsid w:val="0E39220B"/>
    <w:rsid w:val="0E4D3F08"/>
    <w:rsid w:val="0E5057A7"/>
    <w:rsid w:val="0E51617F"/>
    <w:rsid w:val="0E5A4301"/>
    <w:rsid w:val="0E5C414B"/>
    <w:rsid w:val="0E7019A5"/>
    <w:rsid w:val="0E7B2823"/>
    <w:rsid w:val="0E904057"/>
    <w:rsid w:val="0EAD1661"/>
    <w:rsid w:val="0EC163AE"/>
    <w:rsid w:val="0EC3241C"/>
    <w:rsid w:val="0ECA5C06"/>
    <w:rsid w:val="0ED85EC8"/>
    <w:rsid w:val="0EF32D02"/>
    <w:rsid w:val="0EF457CC"/>
    <w:rsid w:val="0EF70990"/>
    <w:rsid w:val="0EF83E74"/>
    <w:rsid w:val="0F1E2C44"/>
    <w:rsid w:val="0F275C22"/>
    <w:rsid w:val="0F557518"/>
    <w:rsid w:val="0F566DED"/>
    <w:rsid w:val="0F5F5CA1"/>
    <w:rsid w:val="0F6D2806"/>
    <w:rsid w:val="0F8C280E"/>
    <w:rsid w:val="0F9643EC"/>
    <w:rsid w:val="0FA37E65"/>
    <w:rsid w:val="0FA53A62"/>
    <w:rsid w:val="0FC85F3C"/>
    <w:rsid w:val="0FC97080"/>
    <w:rsid w:val="0FDC3796"/>
    <w:rsid w:val="0FEC4AAB"/>
    <w:rsid w:val="0FEF171B"/>
    <w:rsid w:val="0FF06008"/>
    <w:rsid w:val="10152804"/>
    <w:rsid w:val="10173DF5"/>
    <w:rsid w:val="10257014"/>
    <w:rsid w:val="103F3D25"/>
    <w:rsid w:val="10562895"/>
    <w:rsid w:val="10564A7A"/>
    <w:rsid w:val="105714F9"/>
    <w:rsid w:val="1059188B"/>
    <w:rsid w:val="10703EDE"/>
    <w:rsid w:val="1077038D"/>
    <w:rsid w:val="108F3E01"/>
    <w:rsid w:val="109202F8"/>
    <w:rsid w:val="109C2F25"/>
    <w:rsid w:val="10A27F31"/>
    <w:rsid w:val="10B015A0"/>
    <w:rsid w:val="10B079EC"/>
    <w:rsid w:val="10B72740"/>
    <w:rsid w:val="10BC5375"/>
    <w:rsid w:val="10CA487C"/>
    <w:rsid w:val="10D60BC7"/>
    <w:rsid w:val="10ED1235"/>
    <w:rsid w:val="10EF574B"/>
    <w:rsid w:val="10FE679F"/>
    <w:rsid w:val="1102722C"/>
    <w:rsid w:val="11186A50"/>
    <w:rsid w:val="11203944"/>
    <w:rsid w:val="1145536B"/>
    <w:rsid w:val="11515ABE"/>
    <w:rsid w:val="115E4E0F"/>
    <w:rsid w:val="1178129C"/>
    <w:rsid w:val="119105B0"/>
    <w:rsid w:val="11927058"/>
    <w:rsid w:val="119C2276"/>
    <w:rsid w:val="11AA0401"/>
    <w:rsid w:val="11AF336F"/>
    <w:rsid w:val="11C66D88"/>
    <w:rsid w:val="11CD086F"/>
    <w:rsid w:val="11E626AA"/>
    <w:rsid w:val="11E84674"/>
    <w:rsid w:val="11F51F3D"/>
    <w:rsid w:val="11F8116E"/>
    <w:rsid w:val="12244F80"/>
    <w:rsid w:val="123258EF"/>
    <w:rsid w:val="1299596E"/>
    <w:rsid w:val="12A604D9"/>
    <w:rsid w:val="12D25FB0"/>
    <w:rsid w:val="131B45D5"/>
    <w:rsid w:val="132316DC"/>
    <w:rsid w:val="133726DD"/>
    <w:rsid w:val="13390EFF"/>
    <w:rsid w:val="1351449B"/>
    <w:rsid w:val="13712447"/>
    <w:rsid w:val="13737F6D"/>
    <w:rsid w:val="137454F5"/>
    <w:rsid w:val="137B1518"/>
    <w:rsid w:val="13906D71"/>
    <w:rsid w:val="13A040B0"/>
    <w:rsid w:val="13A140F9"/>
    <w:rsid w:val="13AF4F03"/>
    <w:rsid w:val="13C407C9"/>
    <w:rsid w:val="13C454DB"/>
    <w:rsid w:val="13CC58CF"/>
    <w:rsid w:val="13CE1647"/>
    <w:rsid w:val="13D824C6"/>
    <w:rsid w:val="13D840FA"/>
    <w:rsid w:val="13E26EA1"/>
    <w:rsid w:val="1404150D"/>
    <w:rsid w:val="14092F0D"/>
    <w:rsid w:val="14107EB2"/>
    <w:rsid w:val="14221993"/>
    <w:rsid w:val="1445127B"/>
    <w:rsid w:val="146808CE"/>
    <w:rsid w:val="14736E66"/>
    <w:rsid w:val="14787805"/>
    <w:rsid w:val="14875E17"/>
    <w:rsid w:val="148F44D2"/>
    <w:rsid w:val="14922675"/>
    <w:rsid w:val="149B6AC2"/>
    <w:rsid w:val="14A44728"/>
    <w:rsid w:val="14AB7BDB"/>
    <w:rsid w:val="14BC5944"/>
    <w:rsid w:val="14C03306"/>
    <w:rsid w:val="14D544E4"/>
    <w:rsid w:val="14EC447B"/>
    <w:rsid w:val="14F81179"/>
    <w:rsid w:val="150246C5"/>
    <w:rsid w:val="15064E11"/>
    <w:rsid w:val="15086DDB"/>
    <w:rsid w:val="150C2973"/>
    <w:rsid w:val="150C68CB"/>
    <w:rsid w:val="151E215B"/>
    <w:rsid w:val="1521215C"/>
    <w:rsid w:val="15264037"/>
    <w:rsid w:val="15293653"/>
    <w:rsid w:val="1534169A"/>
    <w:rsid w:val="153D4CD7"/>
    <w:rsid w:val="153D598D"/>
    <w:rsid w:val="153F3306"/>
    <w:rsid w:val="154C316C"/>
    <w:rsid w:val="15704562"/>
    <w:rsid w:val="1571672E"/>
    <w:rsid w:val="15842905"/>
    <w:rsid w:val="15A308B2"/>
    <w:rsid w:val="15A72150"/>
    <w:rsid w:val="15B55C69"/>
    <w:rsid w:val="15C03E03"/>
    <w:rsid w:val="15C73125"/>
    <w:rsid w:val="15D13671"/>
    <w:rsid w:val="15E72E94"/>
    <w:rsid w:val="15E769F0"/>
    <w:rsid w:val="15E92769"/>
    <w:rsid w:val="15ED6D5E"/>
    <w:rsid w:val="15F32B79"/>
    <w:rsid w:val="15F60DD0"/>
    <w:rsid w:val="15F829AC"/>
    <w:rsid w:val="15FA2BC8"/>
    <w:rsid w:val="16027CCE"/>
    <w:rsid w:val="16143C3C"/>
    <w:rsid w:val="161672D6"/>
    <w:rsid w:val="161D2412"/>
    <w:rsid w:val="162A25EB"/>
    <w:rsid w:val="162F731B"/>
    <w:rsid w:val="16323122"/>
    <w:rsid w:val="166149F5"/>
    <w:rsid w:val="16656AFC"/>
    <w:rsid w:val="16677B31"/>
    <w:rsid w:val="16717134"/>
    <w:rsid w:val="16841088"/>
    <w:rsid w:val="16893F4C"/>
    <w:rsid w:val="1699418F"/>
    <w:rsid w:val="16AB5C35"/>
    <w:rsid w:val="16D056D6"/>
    <w:rsid w:val="16D06017"/>
    <w:rsid w:val="16D20E0F"/>
    <w:rsid w:val="16D72F09"/>
    <w:rsid w:val="16FD2A55"/>
    <w:rsid w:val="172F68A1"/>
    <w:rsid w:val="17313ED0"/>
    <w:rsid w:val="17366761"/>
    <w:rsid w:val="173B3498"/>
    <w:rsid w:val="175956CC"/>
    <w:rsid w:val="177C01F0"/>
    <w:rsid w:val="177E5132"/>
    <w:rsid w:val="1791130A"/>
    <w:rsid w:val="179B3F36"/>
    <w:rsid w:val="17A77A0D"/>
    <w:rsid w:val="17C3523B"/>
    <w:rsid w:val="17C36FE9"/>
    <w:rsid w:val="17CE6630"/>
    <w:rsid w:val="17D50A8B"/>
    <w:rsid w:val="17DC5D0A"/>
    <w:rsid w:val="17F41A53"/>
    <w:rsid w:val="17FE5B8E"/>
    <w:rsid w:val="18152B87"/>
    <w:rsid w:val="181B1F85"/>
    <w:rsid w:val="182503A4"/>
    <w:rsid w:val="1831033B"/>
    <w:rsid w:val="18327578"/>
    <w:rsid w:val="185A16FC"/>
    <w:rsid w:val="1881137E"/>
    <w:rsid w:val="189270E7"/>
    <w:rsid w:val="18AC4201"/>
    <w:rsid w:val="18B22F8F"/>
    <w:rsid w:val="18B54B84"/>
    <w:rsid w:val="18D05E62"/>
    <w:rsid w:val="18D21BDA"/>
    <w:rsid w:val="18D70F9E"/>
    <w:rsid w:val="18E11E1D"/>
    <w:rsid w:val="18E436BB"/>
    <w:rsid w:val="18E90CD1"/>
    <w:rsid w:val="18F02060"/>
    <w:rsid w:val="18F733EE"/>
    <w:rsid w:val="18FE02D5"/>
    <w:rsid w:val="1921362A"/>
    <w:rsid w:val="19324427"/>
    <w:rsid w:val="19420CC3"/>
    <w:rsid w:val="194859F8"/>
    <w:rsid w:val="19670574"/>
    <w:rsid w:val="19820BA0"/>
    <w:rsid w:val="19AC41D9"/>
    <w:rsid w:val="19B94B48"/>
    <w:rsid w:val="19C071A3"/>
    <w:rsid w:val="19CC6629"/>
    <w:rsid w:val="19D1006B"/>
    <w:rsid w:val="19D41982"/>
    <w:rsid w:val="19E46AD2"/>
    <w:rsid w:val="1A02029D"/>
    <w:rsid w:val="1A141D7E"/>
    <w:rsid w:val="1A3A7A37"/>
    <w:rsid w:val="1A4B59CE"/>
    <w:rsid w:val="1A4C32C6"/>
    <w:rsid w:val="1A5376AB"/>
    <w:rsid w:val="1A676352"/>
    <w:rsid w:val="1A713602"/>
    <w:rsid w:val="1A877C45"/>
    <w:rsid w:val="1A8C5DB8"/>
    <w:rsid w:val="1A976C37"/>
    <w:rsid w:val="1AA17AB6"/>
    <w:rsid w:val="1AAA63EA"/>
    <w:rsid w:val="1AB6775B"/>
    <w:rsid w:val="1AB772D9"/>
    <w:rsid w:val="1ACA01AF"/>
    <w:rsid w:val="1AD80FFE"/>
    <w:rsid w:val="1AFA16D5"/>
    <w:rsid w:val="1B100797"/>
    <w:rsid w:val="1B193AF0"/>
    <w:rsid w:val="1B1C713C"/>
    <w:rsid w:val="1B1D5C78"/>
    <w:rsid w:val="1B4D379A"/>
    <w:rsid w:val="1B4F19F8"/>
    <w:rsid w:val="1B5678DF"/>
    <w:rsid w:val="1B596248"/>
    <w:rsid w:val="1B8847D2"/>
    <w:rsid w:val="1B9413C8"/>
    <w:rsid w:val="1B9D672E"/>
    <w:rsid w:val="1BA17641"/>
    <w:rsid w:val="1BA33337"/>
    <w:rsid w:val="1BA710FC"/>
    <w:rsid w:val="1BC82E20"/>
    <w:rsid w:val="1BCC553F"/>
    <w:rsid w:val="1BCD0437"/>
    <w:rsid w:val="1BD143CB"/>
    <w:rsid w:val="1BD92184"/>
    <w:rsid w:val="1BDE2644"/>
    <w:rsid w:val="1BE0531C"/>
    <w:rsid w:val="1BEE234F"/>
    <w:rsid w:val="1BF339CD"/>
    <w:rsid w:val="1BFD0D1C"/>
    <w:rsid w:val="1C166281"/>
    <w:rsid w:val="1C367A66"/>
    <w:rsid w:val="1C3A5A50"/>
    <w:rsid w:val="1C5170A2"/>
    <w:rsid w:val="1C534F2C"/>
    <w:rsid w:val="1C7134B8"/>
    <w:rsid w:val="1C73758F"/>
    <w:rsid w:val="1C834B42"/>
    <w:rsid w:val="1CAE0692"/>
    <w:rsid w:val="1CBA09BB"/>
    <w:rsid w:val="1CD970E6"/>
    <w:rsid w:val="1CFF1F33"/>
    <w:rsid w:val="1D024E79"/>
    <w:rsid w:val="1D365D00"/>
    <w:rsid w:val="1D4061A8"/>
    <w:rsid w:val="1D543670"/>
    <w:rsid w:val="1D75230B"/>
    <w:rsid w:val="1D7E7C3A"/>
    <w:rsid w:val="1D813BCE"/>
    <w:rsid w:val="1D9B4C90"/>
    <w:rsid w:val="1D9E02DC"/>
    <w:rsid w:val="1DBC69B5"/>
    <w:rsid w:val="1DCA4C12"/>
    <w:rsid w:val="1DD17A09"/>
    <w:rsid w:val="1DDA43AF"/>
    <w:rsid w:val="1DDE2DCF"/>
    <w:rsid w:val="1DF35950"/>
    <w:rsid w:val="1DFC3255"/>
    <w:rsid w:val="1E110FD6"/>
    <w:rsid w:val="1E236A34"/>
    <w:rsid w:val="1E256308"/>
    <w:rsid w:val="1E276524"/>
    <w:rsid w:val="1E391DB3"/>
    <w:rsid w:val="1E5535E5"/>
    <w:rsid w:val="1E780B2E"/>
    <w:rsid w:val="1E8A260F"/>
    <w:rsid w:val="1E8E0351"/>
    <w:rsid w:val="1E935967"/>
    <w:rsid w:val="1E9516DF"/>
    <w:rsid w:val="1E9B4F4B"/>
    <w:rsid w:val="1EA731C1"/>
    <w:rsid w:val="1EAA5582"/>
    <w:rsid w:val="1EB95633"/>
    <w:rsid w:val="1EBB4EBE"/>
    <w:rsid w:val="1EBE630B"/>
    <w:rsid w:val="1EC27FFB"/>
    <w:rsid w:val="1EC43D73"/>
    <w:rsid w:val="1ED019E9"/>
    <w:rsid w:val="1ED53102"/>
    <w:rsid w:val="1ED65DE0"/>
    <w:rsid w:val="1EE07B2E"/>
    <w:rsid w:val="1EFA71FA"/>
    <w:rsid w:val="1F063325"/>
    <w:rsid w:val="1F2C36C6"/>
    <w:rsid w:val="1F3F5AEF"/>
    <w:rsid w:val="1F4145DE"/>
    <w:rsid w:val="1F63358C"/>
    <w:rsid w:val="1F646872"/>
    <w:rsid w:val="1F68119F"/>
    <w:rsid w:val="1FAA3E59"/>
    <w:rsid w:val="1FB3631E"/>
    <w:rsid w:val="1FB93253"/>
    <w:rsid w:val="1FBC5DF5"/>
    <w:rsid w:val="1FC55574"/>
    <w:rsid w:val="1FFB6D5F"/>
    <w:rsid w:val="1FFD67FA"/>
    <w:rsid w:val="20070078"/>
    <w:rsid w:val="20397E8F"/>
    <w:rsid w:val="205B4929"/>
    <w:rsid w:val="20601879"/>
    <w:rsid w:val="20781442"/>
    <w:rsid w:val="20992FDD"/>
    <w:rsid w:val="20AC2D10"/>
    <w:rsid w:val="20B322F1"/>
    <w:rsid w:val="20B816B5"/>
    <w:rsid w:val="20BD452B"/>
    <w:rsid w:val="20C173E3"/>
    <w:rsid w:val="20DD111C"/>
    <w:rsid w:val="20E62EB9"/>
    <w:rsid w:val="20EC5ACC"/>
    <w:rsid w:val="210E39CB"/>
    <w:rsid w:val="211A411E"/>
    <w:rsid w:val="213D3949"/>
    <w:rsid w:val="21582E98"/>
    <w:rsid w:val="2158628B"/>
    <w:rsid w:val="215B0191"/>
    <w:rsid w:val="216B2BCB"/>
    <w:rsid w:val="21703D3E"/>
    <w:rsid w:val="217540E7"/>
    <w:rsid w:val="217575A6"/>
    <w:rsid w:val="217D5218"/>
    <w:rsid w:val="21914E23"/>
    <w:rsid w:val="219E6AFD"/>
    <w:rsid w:val="21B7196D"/>
    <w:rsid w:val="21B83F86"/>
    <w:rsid w:val="21BE0F4D"/>
    <w:rsid w:val="21BF17F5"/>
    <w:rsid w:val="21D70261"/>
    <w:rsid w:val="21D74795"/>
    <w:rsid w:val="21DE514B"/>
    <w:rsid w:val="21E55E66"/>
    <w:rsid w:val="21FA7451"/>
    <w:rsid w:val="21FF50C2"/>
    <w:rsid w:val="220F74CF"/>
    <w:rsid w:val="2210107D"/>
    <w:rsid w:val="221178A8"/>
    <w:rsid w:val="221213CF"/>
    <w:rsid w:val="221300CD"/>
    <w:rsid w:val="221F7512"/>
    <w:rsid w:val="22280ABD"/>
    <w:rsid w:val="22325497"/>
    <w:rsid w:val="22327A92"/>
    <w:rsid w:val="223B259E"/>
    <w:rsid w:val="225562CE"/>
    <w:rsid w:val="227410C5"/>
    <w:rsid w:val="228157EF"/>
    <w:rsid w:val="22853819"/>
    <w:rsid w:val="228A7081"/>
    <w:rsid w:val="228E329D"/>
    <w:rsid w:val="229121BE"/>
    <w:rsid w:val="22965435"/>
    <w:rsid w:val="22A55C69"/>
    <w:rsid w:val="22B1460E"/>
    <w:rsid w:val="22BD6F35"/>
    <w:rsid w:val="22C95DFC"/>
    <w:rsid w:val="22CC769A"/>
    <w:rsid w:val="22CD7E0E"/>
    <w:rsid w:val="22D12527"/>
    <w:rsid w:val="22FA160E"/>
    <w:rsid w:val="230C7A96"/>
    <w:rsid w:val="231D2AC2"/>
    <w:rsid w:val="231D53A2"/>
    <w:rsid w:val="233B07C0"/>
    <w:rsid w:val="23576068"/>
    <w:rsid w:val="23580F2E"/>
    <w:rsid w:val="235F050E"/>
    <w:rsid w:val="23641AD7"/>
    <w:rsid w:val="237C4C1C"/>
    <w:rsid w:val="238910E7"/>
    <w:rsid w:val="239301B8"/>
    <w:rsid w:val="23A46F6A"/>
    <w:rsid w:val="23A60388"/>
    <w:rsid w:val="23A91789"/>
    <w:rsid w:val="23B0550D"/>
    <w:rsid w:val="23B7504C"/>
    <w:rsid w:val="23BD6FE3"/>
    <w:rsid w:val="23ED5B1A"/>
    <w:rsid w:val="23F724F4"/>
    <w:rsid w:val="240233B8"/>
    <w:rsid w:val="24274E22"/>
    <w:rsid w:val="24561911"/>
    <w:rsid w:val="24571307"/>
    <w:rsid w:val="246A0F18"/>
    <w:rsid w:val="246F4781"/>
    <w:rsid w:val="24753200"/>
    <w:rsid w:val="24877D1C"/>
    <w:rsid w:val="248F097F"/>
    <w:rsid w:val="24BA2984"/>
    <w:rsid w:val="24BC729A"/>
    <w:rsid w:val="24BE6240"/>
    <w:rsid w:val="24D14878"/>
    <w:rsid w:val="25056E93"/>
    <w:rsid w:val="250B47F3"/>
    <w:rsid w:val="25190D81"/>
    <w:rsid w:val="25246333"/>
    <w:rsid w:val="25284930"/>
    <w:rsid w:val="25381017"/>
    <w:rsid w:val="25401C79"/>
    <w:rsid w:val="254E083A"/>
    <w:rsid w:val="256013D0"/>
    <w:rsid w:val="256B5BB0"/>
    <w:rsid w:val="256C6F12"/>
    <w:rsid w:val="257A0B00"/>
    <w:rsid w:val="258424AE"/>
    <w:rsid w:val="25850F5F"/>
    <w:rsid w:val="25891872"/>
    <w:rsid w:val="258A1146"/>
    <w:rsid w:val="25AF660E"/>
    <w:rsid w:val="25B6018D"/>
    <w:rsid w:val="25D01FE7"/>
    <w:rsid w:val="25DC6389"/>
    <w:rsid w:val="25E66E61"/>
    <w:rsid w:val="25ED1E01"/>
    <w:rsid w:val="26025181"/>
    <w:rsid w:val="2609650F"/>
    <w:rsid w:val="2613738E"/>
    <w:rsid w:val="263317DE"/>
    <w:rsid w:val="26446DE3"/>
    <w:rsid w:val="264D165B"/>
    <w:rsid w:val="26500522"/>
    <w:rsid w:val="26524377"/>
    <w:rsid w:val="26543C2E"/>
    <w:rsid w:val="2661634B"/>
    <w:rsid w:val="267E3B00"/>
    <w:rsid w:val="26924756"/>
    <w:rsid w:val="26995AE5"/>
    <w:rsid w:val="269E759F"/>
    <w:rsid w:val="26A12BEB"/>
    <w:rsid w:val="26AF70B6"/>
    <w:rsid w:val="26D7699F"/>
    <w:rsid w:val="26F07A4C"/>
    <w:rsid w:val="27111B1F"/>
    <w:rsid w:val="272730F1"/>
    <w:rsid w:val="27315DD3"/>
    <w:rsid w:val="273837FA"/>
    <w:rsid w:val="27427F2B"/>
    <w:rsid w:val="2744334E"/>
    <w:rsid w:val="27455C6D"/>
    <w:rsid w:val="274A5E17"/>
    <w:rsid w:val="274E4B21"/>
    <w:rsid w:val="27616FE8"/>
    <w:rsid w:val="276E2ACE"/>
    <w:rsid w:val="277F2F2D"/>
    <w:rsid w:val="27876558"/>
    <w:rsid w:val="27A26C1B"/>
    <w:rsid w:val="27A6495D"/>
    <w:rsid w:val="27D8263D"/>
    <w:rsid w:val="27E4019F"/>
    <w:rsid w:val="27F12073"/>
    <w:rsid w:val="2813470D"/>
    <w:rsid w:val="281713B7"/>
    <w:rsid w:val="281C4C20"/>
    <w:rsid w:val="28377363"/>
    <w:rsid w:val="284B1061"/>
    <w:rsid w:val="289724F8"/>
    <w:rsid w:val="28C36E49"/>
    <w:rsid w:val="28CF6A9C"/>
    <w:rsid w:val="28D01566"/>
    <w:rsid w:val="28D80F1F"/>
    <w:rsid w:val="28E65763"/>
    <w:rsid w:val="28E84B02"/>
    <w:rsid w:val="28EC18E6"/>
    <w:rsid w:val="28FA423F"/>
    <w:rsid w:val="290731DA"/>
    <w:rsid w:val="290F6532"/>
    <w:rsid w:val="2912495F"/>
    <w:rsid w:val="29242A1C"/>
    <w:rsid w:val="292A336C"/>
    <w:rsid w:val="292C2A21"/>
    <w:rsid w:val="2940049A"/>
    <w:rsid w:val="29411008"/>
    <w:rsid w:val="294837F2"/>
    <w:rsid w:val="29504391"/>
    <w:rsid w:val="29651707"/>
    <w:rsid w:val="296712F8"/>
    <w:rsid w:val="2976210D"/>
    <w:rsid w:val="29844DA6"/>
    <w:rsid w:val="29916F47"/>
    <w:rsid w:val="29A94291"/>
    <w:rsid w:val="29BB5D72"/>
    <w:rsid w:val="29BF1D06"/>
    <w:rsid w:val="29D07A70"/>
    <w:rsid w:val="29F319B0"/>
    <w:rsid w:val="2A0616E3"/>
    <w:rsid w:val="2A0B4F4C"/>
    <w:rsid w:val="2A0D0CC4"/>
    <w:rsid w:val="2A175540"/>
    <w:rsid w:val="2A1A6F3D"/>
    <w:rsid w:val="2A1D6A2D"/>
    <w:rsid w:val="2A2878AC"/>
    <w:rsid w:val="2A291581"/>
    <w:rsid w:val="2A391AB9"/>
    <w:rsid w:val="2A3D0E7D"/>
    <w:rsid w:val="2A5A1B61"/>
    <w:rsid w:val="2A663F30"/>
    <w:rsid w:val="2A7A2D06"/>
    <w:rsid w:val="2A7E571E"/>
    <w:rsid w:val="2AC11AAE"/>
    <w:rsid w:val="2AC62C21"/>
    <w:rsid w:val="2AD76BDC"/>
    <w:rsid w:val="2AE46E39"/>
    <w:rsid w:val="2AF50EB8"/>
    <w:rsid w:val="2AF754D0"/>
    <w:rsid w:val="2B0025D7"/>
    <w:rsid w:val="2B09065E"/>
    <w:rsid w:val="2B17347C"/>
    <w:rsid w:val="2B195446"/>
    <w:rsid w:val="2B1A4D1A"/>
    <w:rsid w:val="2B342280"/>
    <w:rsid w:val="2B45623B"/>
    <w:rsid w:val="2B54647E"/>
    <w:rsid w:val="2B552F7E"/>
    <w:rsid w:val="2B5D3585"/>
    <w:rsid w:val="2B7663F5"/>
    <w:rsid w:val="2B774624"/>
    <w:rsid w:val="2B9176D3"/>
    <w:rsid w:val="2B9C64CF"/>
    <w:rsid w:val="2BAD567C"/>
    <w:rsid w:val="2BB77B14"/>
    <w:rsid w:val="2BD72A2F"/>
    <w:rsid w:val="2BF67536"/>
    <w:rsid w:val="2C2E4F21"/>
    <w:rsid w:val="2C3818FC"/>
    <w:rsid w:val="2C453BA4"/>
    <w:rsid w:val="2C583D4C"/>
    <w:rsid w:val="2C7A7174"/>
    <w:rsid w:val="2C7A72BE"/>
    <w:rsid w:val="2C8763E0"/>
    <w:rsid w:val="2C897094"/>
    <w:rsid w:val="2C8B2374"/>
    <w:rsid w:val="2C8B4122"/>
    <w:rsid w:val="2C901A33"/>
    <w:rsid w:val="2CA13945"/>
    <w:rsid w:val="2CB46C88"/>
    <w:rsid w:val="2CCB451E"/>
    <w:rsid w:val="2CD30D30"/>
    <w:rsid w:val="2D03015C"/>
    <w:rsid w:val="2D104627"/>
    <w:rsid w:val="2D206660"/>
    <w:rsid w:val="2D24494D"/>
    <w:rsid w:val="2D2500D2"/>
    <w:rsid w:val="2D450775"/>
    <w:rsid w:val="2D5A0758"/>
    <w:rsid w:val="2D68642F"/>
    <w:rsid w:val="2D825525"/>
    <w:rsid w:val="2D850B71"/>
    <w:rsid w:val="2D9139BA"/>
    <w:rsid w:val="2DBE4083"/>
    <w:rsid w:val="2DCB36BC"/>
    <w:rsid w:val="2DCF003E"/>
    <w:rsid w:val="2DD746CD"/>
    <w:rsid w:val="2DE15316"/>
    <w:rsid w:val="2DE57862"/>
    <w:rsid w:val="2DEC6E42"/>
    <w:rsid w:val="2DF45CF7"/>
    <w:rsid w:val="2DF87CC6"/>
    <w:rsid w:val="2DFB52D7"/>
    <w:rsid w:val="2DFF6930"/>
    <w:rsid w:val="2E163EBF"/>
    <w:rsid w:val="2E1B14D5"/>
    <w:rsid w:val="2E232138"/>
    <w:rsid w:val="2E41718E"/>
    <w:rsid w:val="2E786F75"/>
    <w:rsid w:val="2E821554"/>
    <w:rsid w:val="2E876B6B"/>
    <w:rsid w:val="2EB72FAC"/>
    <w:rsid w:val="2ECC611B"/>
    <w:rsid w:val="2ED022C0"/>
    <w:rsid w:val="2EED69CE"/>
    <w:rsid w:val="2EFA733D"/>
    <w:rsid w:val="2F10090E"/>
    <w:rsid w:val="2F1C72B3"/>
    <w:rsid w:val="2F294338"/>
    <w:rsid w:val="2F3D2B72"/>
    <w:rsid w:val="2F401D3C"/>
    <w:rsid w:val="2F5B427F"/>
    <w:rsid w:val="2F8A06C1"/>
    <w:rsid w:val="2F8C268B"/>
    <w:rsid w:val="2F8F4C4F"/>
    <w:rsid w:val="2F94153F"/>
    <w:rsid w:val="2FA95C88"/>
    <w:rsid w:val="2FD75997"/>
    <w:rsid w:val="2FE358B2"/>
    <w:rsid w:val="30085A89"/>
    <w:rsid w:val="301D4299"/>
    <w:rsid w:val="302C1778"/>
    <w:rsid w:val="30313232"/>
    <w:rsid w:val="303B19BB"/>
    <w:rsid w:val="303F6A4D"/>
    <w:rsid w:val="3041370F"/>
    <w:rsid w:val="30467249"/>
    <w:rsid w:val="30491720"/>
    <w:rsid w:val="30670A02"/>
    <w:rsid w:val="30850E88"/>
    <w:rsid w:val="30894E1C"/>
    <w:rsid w:val="30AA57D3"/>
    <w:rsid w:val="30BC014C"/>
    <w:rsid w:val="30C16364"/>
    <w:rsid w:val="30D75B88"/>
    <w:rsid w:val="30F04DDC"/>
    <w:rsid w:val="310659FF"/>
    <w:rsid w:val="31083A05"/>
    <w:rsid w:val="311E37B6"/>
    <w:rsid w:val="31212497"/>
    <w:rsid w:val="314B3E80"/>
    <w:rsid w:val="31552F50"/>
    <w:rsid w:val="3166233E"/>
    <w:rsid w:val="31713AE0"/>
    <w:rsid w:val="317C04DD"/>
    <w:rsid w:val="319553BB"/>
    <w:rsid w:val="319554AC"/>
    <w:rsid w:val="3199108F"/>
    <w:rsid w:val="31A67308"/>
    <w:rsid w:val="31AD4B3A"/>
    <w:rsid w:val="31B41A25"/>
    <w:rsid w:val="31E63BA8"/>
    <w:rsid w:val="320221EB"/>
    <w:rsid w:val="320A2BCE"/>
    <w:rsid w:val="322877DD"/>
    <w:rsid w:val="322A618B"/>
    <w:rsid w:val="32380C9C"/>
    <w:rsid w:val="323D5EBE"/>
    <w:rsid w:val="32453A27"/>
    <w:rsid w:val="324F79A0"/>
    <w:rsid w:val="3261426C"/>
    <w:rsid w:val="3263064A"/>
    <w:rsid w:val="32650F71"/>
    <w:rsid w:val="32717916"/>
    <w:rsid w:val="32782449"/>
    <w:rsid w:val="327A0EC0"/>
    <w:rsid w:val="3281224F"/>
    <w:rsid w:val="32917FB8"/>
    <w:rsid w:val="32AC0C06"/>
    <w:rsid w:val="32CB171C"/>
    <w:rsid w:val="32DC1D50"/>
    <w:rsid w:val="32DF7877"/>
    <w:rsid w:val="32E20814"/>
    <w:rsid w:val="330B6F53"/>
    <w:rsid w:val="331820D3"/>
    <w:rsid w:val="331A61FF"/>
    <w:rsid w:val="331B1C0C"/>
    <w:rsid w:val="331C3D26"/>
    <w:rsid w:val="333252F7"/>
    <w:rsid w:val="33356B95"/>
    <w:rsid w:val="33435756"/>
    <w:rsid w:val="334D3E67"/>
    <w:rsid w:val="337F056D"/>
    <w:rsid w:val="33833DA5"/>
    <w:rsid w:val="338E62A6"/>
    <w:rsid w:val="33A673CC"/>
    <w:rsid w:val="33A96884"/>
    <w:rsid w:val="33AE1854"/>
    <w:rsid w:val="33B57CD6"/>
    <w:rsid w:val="33CB74FA"/>
    <w:rsid w:val="33F20F2A"/>
    <w:rsid w:val="33F4419F"/>
    <w:rsid w:val="340F5638"/>
    <w:rsid w:val="341D5FA7"/>
    <w:rsid w:val="341D7D55"/>
    <w:rsid w:val="3431735D"/>
    <w:rsid w:val="344D6161"/>
    <w:rsid w:val="344D7F0F"/>
    <w:rsid w:val="34545741"/>
    <w:rsid w:val="345D2848"/>
    <w:rsid w:val="34643623"/>
    <w:rsid w:val="34781430"/>
    <w:rsid w:val="347D6A46"/>
    <w:rsid w:val="34A246FE"/>
    <w:rsid w:val="34A900C6"/>
    <w:rsid w:val="34CA3F9D"/>
    <w:rsid w:val="34D0051F"/>
    <w:rsid w:val="34D50630"/>
    <w:rsid w:val="34D90058"/>
    <w:rsid w:val="34DF2263"/>
    <w:rsid w:val="34ED0B8D"/>
    <w:rsid w:val="34F14902"/>
    <w:rsid w:val="34FA09EA"/>
    <w:rsid w:val="35164541"/>
    <w:rsid w:val="35246EC1"/>
    <w:rsid w:val="352753BA"/>
    <w:rsid w:val="35337105"/>
    <w:rsid w:val="3537750C"/>
    <w:rsid w:val="3537798C"/>
    <w:rsid w:val="353C420B"/>
    <w:rsid w:val="357716E7"/>
    <w:rsid w:val="35784B06"/>
    <w:rsid w:val="357D5A41"/>
    <w:rsid w:val="357D6C72"/>
    <w:rsid w:val="357F7ED5"/>
    <w:rsid w:val="35B77D36"/>
    <w:rsid w:val="35C13FC9"/>
    <w:rsid w:val="35ED3757"/>
    <w:rsid w:val="35F23A0D"/>
    <w:rsid w:val="35F57B47"/>
    <w:rsid w:val="35FE7713"/>
    <w:rsid w:val="360311CD"/>
    <w:rsid w:val="361138EA"/>
    <w:rsid w:val="362604D5"/>
    <w:rsid w:val="362E6D87"/>
    <w:rsid w:val="364257B6"/>
    <w:rsid w:val="365612FD"/>
    <w:rsid w:val="365E4655"/>
    <w:rsid w:val="36662444"/>
    <w:rsid w:val="367E2601"/>
    <w:rsid w:val="368C641D"/>
    <w:rsid w:val="36B35215"/>
    <w:rsid w:val="36BE50F4"/>
    <w:rsid w:val="36D93CDC"/>
    <w:rsid w:val="36E96615"/>
    <w:rsid w:val="36F6488E"/>
    <w:rsid w:val="36F834D1"/>
    <w:rsid w:val="36FF7BE6"/>
    <w:rsid w:val="370276D6"/>
    <w:rsid w:val="3715285E"/>
    <w:rsid w:val="372F07D3"/>
    <w:rsid w:val="37323F24"/>
    <w:rsid w:val="373B6744"/>
    <w:rsid w:val="374264D3"/>
    <w:rsid w:val="37591082"/>
    <w:rsid w:val="37625508"/>
    <w:rsid w:val="377F635C"/>
    <w:rsid w:val="37824373"/>
    <w:rsid w:val="378269E1"/>
    <w:rsid w:val="378508D2"/>
    <w:rsid w:val="378620B5"/>
    <w:rsid w:val="379A346B"/>
    <w:rsid w:val="37A75B88"/>
    <w:rsid w:val="37AB23A9"/>
    <w:rsid w:val="37C003A8"/>
    <w:rsid w:val="37C329C2"/>
    <w:rsid w:val="37DA403B"/>
    <w:rsid w:val="37DB7874"/>
    <w:rsid w:val="37EA5922"/>
    <w:rsid w:val="37F952C8"/>
    <w:rsid w:val="37FD13F8"/>
    <w:rsid w:val="38003C16"/>
    <w:rsid w:val="380E23B1"/>
    <w:rsid w:val="381C4EC4"/>
    <w:rsid w:val="38276B93"/>
    <w:rsid w:val="383218F5"/>
    <w:rsid w:val="38563836"/>
    <w:rsid w:val="38613F89"/>
    <w:rsid w:val="38745EC1"/>
    <w:rsid w:val="38763ED8"/>
    <w:rsid w:val="387E0FDF"/>
    <w:rsid w:val="389D5829"/>
    <w:rsid w:val="389F75FE"/>
    <w:rsid w:val="38D0030D"/>
    <w:rsid w:val="38E2331B"/>
    <w:rsid w:val="38EA6674"/>
    <w:rsid w:val="390C0398"/>
    <w:rsid w:val="391060DB"/>
    <w:rsid w:val="3913458B"/>
    <w:rsid w:val="392A49E3"/>
    <w:rsid w:val="39335925"/>
    <w:rsid w:val="39447B32"/>
    <w:rsid w:val="394B24F0"/>
    <w:rsid w:val="397B72CC"/>
    <w:rsid w:val="39812695"/>
    <w:rsid w:val="398E34A3"/>
    <w:rsid w:val="398E5251"/>
    <w:rsid w:val="399C5868"/>
    <w:rsid w:val="39AD58C4"/>
    <w:rsid w:val="39B50A30"/>
    <w:rsid w:val="39B5458C"/>
    <w:rsid w:val="39C66A0D"/>
    <w:rsid w:val="39E60BE9"/>
    <w:rsid w:val="39ED4C94"/>
    <w:rsid w:val="39FF3A59"/>
    <w:rsid w:val="3A0B64A7"/>
    <w:rsid w:val="3A26548A"/>
    <w:rsid w:val="3A361610"/>
    <w:rsid w:val="3A362B2F"/>
    <w:rsid w:val="3A704957"/>
    <w:rsid w:val="3A8F3B5A"/>
    <w:rsid w:val="3AA0348E"/>
    <w:rsid w:val="3AA5290F"/>
    <w:rsid w:val="3AB76CFE"/>
    <w:rsid w:val="3ABE1B66"/>
    <w:rsid w:val="3AC7092A"/>
    <w:rsid w:val="3AD331DF"/>
    <w:rsid w:val="3AE07D71"/>
    <w:rsid w:val="3AEE589B"/>
    <w:rsid w:val="3AF74C02"/>
    <w:rsid w:val="3AF815BB"/>
    <w:rsid w:val="3AFD443D"/>
    <w:rsid w:val="3B0532F1"/>
    <w:rsid w:val="3B0D51B9"/>
    <w:rsid w:val="3B281408"/>
    <w:rsid w:val="3B3616FD"/>
    <w:rsid w:val="3B45079A"/>
    <w:rsid w:val="3B5B73B5"/>
    <w:rsid w:val="3B5D4EDB"/>
    <w:rsid w:val="3B781D15"/>
    <w:rsid w:val="3B976570"/>
    <w:rsid w:val="3BA269CE"/>
    <w:rsid w:val="3BA925ED"/>
    <w:rsid w:val="3BB371F1"/>
    <w:rsid w:val="3BC6658C"/>
    <w:rsid w:val="3BF35840"/>
    <w:rsid w:val="3C0059A5"/>
    <w:rsid w:val="3C033CD5"/>
    <w:rsid w:val="3C134E78"/>
    <w:rsid w:val="3C2C3893"/>
    <w:rsid w:val="3C4B742A"/>
    <w:rsid w:val="3C7B53A9"/>
    <w:rsid w:val="3C876F75"/>
    <w:rsid w:val="3CB94393"/>
    <w:rsid w:val="3CC80A7A"/>
    <w:rsid w:val="3CD45671"/>
    <w:rsid w:val="3CDA48E7"/>
    <w:rsid w:val="3D070E25"/>
    <w:rsid w:val="3D08531B"/>
    <w:rsid w:val="3D0A5785"/>
    <w:rsid w:val="3D0F48FB"/>
    <w:rsid w:val="3D10255B"/>
    <w:rsid w:val="3D124BBA"/>
    <w:rsid w:val="3D233F03"/>
    <w:rsid w:val="3D261B83"/>
    <w:rsid w:val="3D556267"/>
    <w:rsid w:val="3D5E1EAB"/>
    <w:rsid w:val="3D934BE4"/>
    <w:rsid w:val="3D9F17DB"/>
    <w:rsid w:val="3DC41242"/>
    <w:rsid w:val="3DE6058D"/>
    <w:rsid w:val="3DEB4A20"/>
    <w:rsid w:val="3DF6345D"/>
    <w:rsid w:val="3DF8713D"/>
    <w:rsid w:val="3E09759C"/>
    <w:rsid w:val="3E10092B"/>
    <w:rsid w:val="3E6A003B"/>
    <w:rsid w:val="3E7C1B1C"/>
    <w:rsid w:val="3E834932"/>
    <w:rsid w:val="3E8409D1"/>
    <w:rsid w:val="3E846C23"/>
    <w:rsid w:val="3E90381A"/>
    <w:rsid w:val="3E907376"/>
    <w:rsid w:val="3EB218F1"/>
    <w:rsid w:val="3ECA6D2C"/>
    <w:rsid w:val="3EE13701"/>
    <w:rsid w:val="3EE6168C"/>
    <w:rsid w:val="3EE9079E"/>
    <w:rsid w:val="3EEA4142"/>
    <w:rsid w:val="3EFE0783"/>
    <w:rsid w:val="3F051B12"/>
    <w:rsid w:val="3F0A7128"/>
    <w:rsid w:val="3F1818FB"/>
    <w:rsid w:val="3F1A4BB3"/>
    <w:rsid w:val="3F1B4469"/>
    <w:rsid w:val="3F285800"/>
    <w:rsid w:val="3F2A3495"/>
    <w:rsid w:val="3F393D89"/>
    <w:rsid w:val="3F542FF5"/>
    <w:rsid w:val="3F544847"/>
    <w:rsid w:val="3F642B1C"/>
    <w:rsid w:val="3F6D71D9"/>
    <w:rsid w:val="3FA07A8C"/>
    <w:rsid w:val="3FA5377A"/>
    <w:rsid w:val="3FAC4683"/>
    <w:rsid w:val="3FC2005E"/>
    <w:rsid w:val="3FD15E98"/>
    <w:rsid w:val="3FF2702B"/>
    <w:rsid w:val="3FF81676"/>
    <w:rsid w:val="3FFA1432"/>
    <w:rsid w:val="40076CDF"/>
    <w:rsid w:val="4013200C"/>
    <w:rsid w:val="40192BA6"/>
    <w:rsid w:val="40271F5C"/>
    <w:rsid w:val="40363F4D"/>
    <w:rsid w:val="4058233E"/>
    <w:rsid w:val="40747468"/>
    <w:rsid w:val="4093098F"/>
    <w:rsid w:val="40B57568"/>
    <w:rsid w:val="40BA692C"/>
    <w:rsid w:val="40BE7759"/>
    <w:rsid w:val="40D774DE"/>
    <w:rsid w:val="40E77274"/>
    <w:rsid w:val="40F63E08"/>
    <w:rsid w:val="41166258"/>
    <w:rsid w:val="411B56FD"/>
    <w:rsid w:val="4148218A"/>
    <w:rsid w:val="41610E0B"/>
    <w:rsid w:val="416337E3"/>
    <w:rsid w:val="41685D9E"/>
    <w:rsid w:val="419D28C4"/>
    <w:rsid w:val="41A01FC6"/>
    <w:rsid w:val="41A55516"/>
    <w:rsid w:val="41A90E7A"/>
    <w:rsid w:val="41B17D2F"/>
    <w:rsid w:val="41C31810"/>
    <w:rsid w:val="41CD2F97"/>
    <w:rsid w:val="41D659E7"/>
    <w:rsid w:val="421A1D78"/>
    <w:rsid w:val="421E659F"/>
    <w:rsid w:val="42206C63"/>
    <w:rsid w:val="42276243"/>
    <w:rsid w:val="4238363D"/>
    <w:rsid w:val="4239456E"/>
    <w:rsid w:val="423D5A66"/>
    <w:rsid w:val="42401BEA"/>
    <w:rsid w:val="42417884"/>
    <w:rsid w:val="42497F67"/>
    <w:rsid w:val="42550A18"/>
    <w:rsid w:val="425600A9"/>
    <w:rsid w:val="425C413F"/>
    <w:rsid w:val="425D7EB7"/>
    <w:rsid w:val="426B6130"/>
    <w:rsid w:val="426D00FA"/>
    <w:rsid w:val="427C658F"/>
    <w:rsid w:val="429F227D"/>
    <w:rsid w:val="42A7780B"/>
    <w:rsid w:val="42A96C58"/>
    <w:rsid w:val="42B20202"/>
    <w:rsid w:val="42C121F4"/>
    <w:rsid w:val="42C27D1A"/>
    <w:rsid w:val="42CB58F0"/>
    <w:rsid w:val="42F02E93"/>
    <w:rsid w:val="42F473A1"/>
    <w:rsid w:val="42F73E67"/>
    <w:rsid w:val="43056584"/>
    <w:rsid w:val="430664B8"/>
    <w:rsid w:val="432A1125"/>
    <w:rsid w:val="433A1BCB"/>
    <w:rsid w:val="434F77FF"/>
    <w:rsid w:val="43860D47"/>
    <w:rsid w:val="438A4CDB"/>
    <w:rsid w:val="43923E29"/>
    <w:rsid w:val="4396542E"/>
    <w:rsid w:val="43B27D8E"/>
    <w:rsid w:val="43C55D14"/>
    <w:rsid w:val="44124CF1"/>
    <w:rsid w:val="441E62C0"/>
    <w:rsid w:val="44234472"/>
    <w:rsid w:val="44274ACD"/>
    <w:rsid w:val="445B0426"/>
    <w:rsid w:val="445C2059"/>
    <w:rsid w:val="44631FBB"/>
    <w:rsid w:val="447F5EC2"/>
    <w:rsid w:val="44862689"/>
    <w:rsid w:val="448D2A4F"/>
    <w:rsid w:val="448E07FB"/>
    <w:rsid w:val="448F0E12"/>
    <w:rsid w:val="449961D7"/>
    <w:rsid w:val="449C6A74"/>
    <w:rsid w:val="44BD4C3D"/>
    <w:rsid w:val="44BE2144"/>
    <w:rsid w:val="44CC46BA"/>
    <w:rsid w:val="44D02BC2"/>
    <w:rsid w:val="44D37FBC"/>
    <w:rsid w:val="44D5342A"/>
    <w:rsid w:val="44DA57EF"/>
    <w:rsid w:val="44DD0E3B"/>
    <w:rsid w:val="44EB5004"/>
    <w:rsid w:val="45017990"/>
    <w:rsid w:val="450D7972"/>
    <w:rsid w:val="452F67E7"/>
    <w:rsid w:val="454113CA"/>
    <w:rsid w:val="45513D03"/>
    <w:rsid w:val="45811C7C"/>
    <w:rsid w:val="458319E2"/>
    <w:rsid w:val="45857A05"/>
    <w:rsid w:val="45873EC6"/>
    <w:rsid w:val="45967968"/>
    <w:rsid w:val="45A504F3"/>
    <w:rsid w:val="45A97F18"/>
    <w:rsid w:val="45AC0F39"/>
    <w:rsid w:val="45AD0799"/>
    <w:rsid w:val="45B47174"/>
    <w:rsid w:val="45B925A8"/>
    <w:rsid w:val="45C5024D"/>
    <w:rsid w:val="45DD5596"/>
    <w:rsid w:val="4607616F"/>
    <w:rsid w:val="461E170B"/>
    <w:rsid w:val="463605ED"/>
    <w:rsid w:val="46401681"/>
    <w:rsid w:val="464C6278"/>
    <w:rsid w:val="467105DE"/>
    <w:rsid w:val="46731A57"/>
    <w:rsid w:val="467B090B"/>
    <w:rsid w:val="468B3EFB"/>
    <w:rsid w:val="46916381"/>
    <w:rsid w:val="469460F7"/>
    <w:rsid w:val="46A2071E"/>
    <w:rsid w:val="46AC3A21"/>
    <w:rsid w:val="46C91677"/>
    <w:rsid w:val="46DC7FF2"/>
    <w:rsid w:val="46E75FA1"/>
    <w:rsid w:val="46F9547C"/>
    <w:rsid w:val="46FF2957"/>
    <w:rsid w:val="47040377"/>
    <w:rsid w:val="470A6193"/>
    <w:rsid w:val="47242DFF"/>
    <w:rsid w:val="474312E2"/>
    <w:rsid w:val="4747201E"/>
    <w:rsid w:val="474E19DF"/>
    <w:rsid w:val="476E7525"/>
    <w:rsid w:val="477E03FD"/>
    <w:rsid w:val="4783216D"/>
    <w:rsid w:val="47887784"/>
    <w:rsid w:val="4792415F"/>
    <w:rsid w:val="47AE3AD2"/>
    <w:rsid w:val="47C50090"/>
    <w:rsid w:val="47D1739A"/>
    <w:rsid w:val="47D41938"/>
    <w:rsid w:val="47DC4F5C"/>
    <w:rsid w:val="47E30E5E"/>
    <w:rsid w:val="48254FD3"/>
    <w:rsid w:val="48266C22"/>
    <w:rsid w:val="48496F13"/>
    <w:rsid w:val="485B09F4"/>
    <w:rsid w:val="486045D6"/>
    <w:rsid w:val="486F0BE5"/>
    <w:rsid w:val="4880045B"/>
    <w:rsid w:val="488E257D"/>
    <w:rsid w:val="48B40671"/>
    <w:rsid w:val="48E87129"/>
    <w:rsid w:val="48F826E7"/>
    <w:rsid w:val="48FF5824"/>
    <w:rsid w:val="493378FF"/>
    <w:rsid w:val="4953791E"/>
    <w:rsid w:val="49626A9A"/>
    <w:rsid w:val="49845D29"/>
    <w:rsid w:val="499B5738"/>
    <w:rsid w:val="499F244D"/>
    <w:rsid w:val="49B54F13"/>
    <w:rsid w:val="49B74350"/>
    <w:rsid w:val="49BA799D"/>
    <w:rsid w:val="49BD73EB"/>
    <w:rsid w:val="49C87C66"/>
    <w:rsid w:val="49DF11B1"/>
    <w:rsid w:val="49F41101"/>
    <w:rsid w:val="49F64E79"/>
    <w:rsid w:val="4A050C18"/>
    <w:rsid w:val="4A121587"/>
    <w:rsid w:val="4A5D6CA6"/>
    <w:rsid w:val="4A804742"/>
    <w:rsid w:val="4A8D1AC5"/>
    <w:rsid w:val="4A8F58C2"/>
    <w:rsid w:val="4ABB577A"/>
    <w:rsid w:val="4ABD6F9B"/>
    <w:rsid w:val="4AC53ED5"/>
    <w:rsid w:val="4AC663E7"/>
    <w:rsid w:val="4AC72371"/>
    <w:rsid w:val="4AD351BA"/>
    <w:rsid w:val="4AE73555"/>
    <w:rsid w:val="4AF15640"/>
    <w:rsid w:val="4AF8077D"/>
    <w:rsid w:val="4AF96BC7"/>
    <w:rsid w:val="4B5C51AF"/>
    <w:rsid w:val="4B6B71A0"/>
    <w:rsid w:val="4B937662"/>
    <w:rsid w:val="4B937B72"/>
    <w:rsid w:val="4BA10E14"/>
    <w:rsid w:val="4BC4555C"/>
    <w:rsid w:val="4BD5286C"/>
    <w:rsid w:val="4BDD7BA7"/>
    <w:rsid w:val="4BEB0208"/>
    <w:rsid w:val="4BFB4050"/>
    <w:rsid w:val="4BFD7DA2"/>
    <w:rsid w:val="4C1A464A"/>
    <w:rsid w:val="4C5365B2"/>
    <w:rsid w:val="4C7C4B97"/>
    <w:rsid w:val="4C7D6F5C"/>
    <w:rsid w:val="4CDB0356"/>
    <w:rsid w:val="4CEF36E2"/>
    <w:rsid w:val="4CF03E01"/>
    <w:rsid w:val="4CF937E7"/>
    <w:rsid w:val="4D1127C3"/>
    <w:rsid w:val="4D1A0E7E"/>
    <w:rsid w:val="4D2215B2"/>
    <w:rsid w:val="4D221AE1"/>
    <w:rsid w:val="4D243AAB"/>
    <w:rsid w:val="4D27359B"/>
    <w:rsid w:val="4D31441A"/>
    <w:rsid w:val="4D3742C8"/>
    <w:rsid w:val="4D3B1120"/>
    <w:rsid w:val="4D64034B"/>
    <w:rsid w:val="4D7678F6"/>
    <w:rsid w:val="4D7F266D"/>
    <w:rsid w:val="4D84736B"/>
    <w:rsid w:val="4D8602C2"/>
    <w:rsid w:val="4D8C5D41"/>
    <w:rsid w:val="4D901140"/>
    <w:rsid w:val="4DA16EA9"/>
    <w:rsid w:val="4DAF4CC1"/>
    <w:rsid w:val="4DB56DF9"/>
    <w:rsid w:val="4DBF37D4"/>
    <w:rsid w:val="4DD637A3"/>
    <w:rsid w:val="4DDD3C5A"/>
    <w:rsid w:val="4DE84AD8"/>
    <w:rsid w:val="4DEC3685"/>
    <w:rsid w:val="4E045AE0"/>
    <w:rsid w:val="4E0E53DC"/>
    <w:rsid w:val="4E1F24C4"/>
    <w:rsid w:val="4E3C4E24"/>
    <w:rsid w:val="4E4A7541"/>
    <w:rsid w:val="4E807407"/>
    <w:rsid w:val="4E892302"/>
    <w:rsid w:val="4E8A5B90"/>
    <w:rsid w:val="4E8D7A74"/>
    <w:rsid w:val="4EA87B6A"/>
    <w:rsid w:val="4EB26E94"/>
    <w:rsid w:val="4ED137BE"/>
    <w:rsid w:val="4EF83441"/>
    <w:rsid w:val="4F10078B"/>
    <w:rsid w:val="4F372FFB"/>
    <w:rsid w:val="4F37724F"/>
    <w:rsid w:val="4F4E7EFF"/>
    <w:rsid w:val="4F620857"/>
    <w:rsid w:val="4F764366"/>
    <w:rsid w:val="4F8A56A3"/>
    <w:rsid w:val="4F8B1BBF"/>
    <w:rsid w:val="4F8E345D"/>
    <w:rsid w:val="4F9D18F3"/>
    <w:rsid w:val="4FA76FA4"/>
    <w:rsid w:val="4FD42F3F"/>
    <w:rsid w:val="4FDC68BF"/>
    <w:rsid w:val="4FDF015D"/>
    <w:rsid w:val="4FF167FA"/>
    <w:rsid w:val="50093EFF"/>
    <w:rsid w:val="500D0826"/>
    <w:rsid w:val="500F0A42"/>
    <w:rsid w:val="5012408F"/>
    <w:rsid w:val="50125E3D"/>
    <w:rsid w:val="50146059"/>
    <w:rsid w:val="5024780B"/>
    <w:rsid w:val="502A762A"/>
    <w:rsid w:val="50456C5A"/>
    <w:rsid w:val="50461F8A"/>
    <w:rsid w:val="5058322F"/>
    <w:rsid w:val="50761340"/>
    <w:rsid w:val="50797CC1"/>
    <w:rsid w:val="50875D00"/>
    <w:rsid w:val="508D7BB9"/>
    <w:rsid w:val="50A15412"/>
    <w:rsid w:val="50A50A25"/>
    <w:rsid w:val="50A53155"/>
    <w:rsid w:val="50A76ECD"/>
    <w:rsid w:val="50AA7287"/>
    <w:rsid w:val="50B27620"/>
    <w:rsid w:val="50BE6F9A"/>
    <w:rsid w:val="50C23D07"/>
    <w:rsid w:val="50CF1F80"/>
    <w:rsid w:val="50DC04D0"/>
    <w:rsid w:val="50E20723"/>
    <w:rsid w:val="50ED0658"/>
    <w:rsid w:val="50F6750C"/>
    <w:rsid w:val="510936E3"/>
    <w:rsid w:val="510E0CFA"/>
    <w:rsid w:val="5116195C"/>
    <w:rsid w:val="512A6F91"/>
    <w:rsid w:val="512C28A5"/>
    <w:rsid w:val="512E4EF8"/>
    <w:rsid w:val="513B13C3"/>
    <w:rsid w:val="513F391C"/>
    <w:rsid w:val="514527E1"/>
    <w:rsid w:val="514A1AEC"/>
    <w:rsid w:val="51564E44"/>
    <w:rsid w:val="51850890"/>
    <w:rsid w:val="51864D34"/>
    <w:rsid w:val="51912727"/>
    <w:rsid w:val="519976F6"/>
    <w:rsid w:val="519C4558"/>
    <w:rsid w:val="519D196F"/>
    <w:rsid w:val="51AC22C1"/>
    <w:rsid w:val="51D57A6A"/>
    <w:rsid w:val="51E25CE3"/>
    <w:rsid w:val="51E3729C"/>
    <w:rsid w:val="51F36142"/>
    <w:rsid w:val="520B5239"/>
    <w:rsid w:val="52120376"/>
    <w:rsid w:val="521D6D1B"/>
    <w:rsid w:val="523C3645"/>
    <w:rsid w:val="523F3135"/>
    <w:rsid w:val="52633DBC"/>
    <w:rsid w:val="52720E14"/>
    <w:rsid w:val="52846D9A"/>
    <w:rsid w:val="529078CD"/>
    <w:rsid w:val="529167FF"/>
    <w:rsid w:val="52A66D10"/>
    <w:rsid w:val="52C10D75"/>
    <w:rsid w:val="52DD382A"/>
    <w:rsid w:val="52E15F9A"/>
    <w:rsid w:val="52F21F55"/>
    <w:rsid w:val="52FA36B8"/>
    <w:rsid w:val="52FF1A0D"/>
    <w:rsid w:val="52FF78E7"/>
    <w:rsid w:val="5302488E"/>
    <w:rsid w:val="53086608"/>
    <w:rsid w:val="530D6D8F"/>
    <w:rsid w:val="53117D4E"/>
    <w:rsid w:val="53566988"/>
    <w:rsid w:val="535678E6"/>
    <w:rsid w:val="53671DD7"/>
    <w:rsid w:val="536D44FC"/>
    <w:rsid w:val="537A50EC"/>
    <w:rsid w:val="53852DC9"/>
    <w:rsid w:val="53884C19"/>
    <w:rsid w:val="53901E9A"/>
    <w:rsid w:val="53A5346C"/>
    <w:rsid w:val="53B162CA"/>
    <w:rsid w:val="53BC4DA3"/>
    <w:rsid w:val="53CE4770"/>
    <w:rsid w:val="53CF1689"/>
    <w:rsid w:val="53D83B9B"/>
    <w:rsid w:val="53EA4849"/>
    <w:rsid w:val="5403737D"/>
    <w:rsid w:val="54082F40"/>
    <w:rsid w:val="541D655E"/>
    <w:rsid w:val="54297BF9"/>
    <w:rsid w:val="54336CC9"/>
    <w:rsid w:val="544E26B2"/>
    <w:rsid w:val="5455279C"/>
    <w:rsid w:val="54613836"/>
    <w:rsid w:val="546268D4"/>
    <w:rsid w:val="546566B7"/>
    <w:rsid w:val="54C86B69"/>
    <w:rsid w:val="54C9057D"/>
    <w:rsid w:val="54D45E2C"/>
    <w:rsid w:val="550C4BD7"/>
    <w:rsid w:val="55256612"/>
    <w:rsid w:val="55456CB4"/>
    <w:rsid w:val="55572986"/>
    <w:rsid w:val="55582E57"/>
    <w:rsid w:val="555D5DAC"/>
    <w:rsid w:val="555F54CC"/>
    <w:rsid w:val="556436B9"/>
    <w:rsid w:val="5567168F"/>
    <w:rsid w:val="556B4F0B"/>
    <w:rsid w:val="556F0946"/>
    <w:rsid w:val="55757355"/>
    <w:rsid w:val="55841727"/>
    <w:rsid w:val="55935C72"/>
    <w:rsid w:val="559B268F"/>
    <w:rsid w:val="55A35A5D"/>
    <w:rsid w:val="55CC1183"/>
    <w:rsid w:val="55CE4439"/>
    <w:rsid w:val="55D94214"/>
    <w:rsid w:val="5601759D"/>
    <w:rsid w:val="560C1580"/>
    <w:rsid w:val="5612303A"/>
    <w:rsid w:val="561F7505"/>
    <w:rsid w:val="56327239"/>
    <w:rsid w:val="564B3E56"/>
    <w:rsid w:val="565871C1"/>
    <w:rsid w:val="565C42B5"/>
    <w:rsid w:val="565D53AC"/>
    <w:rsid w:val="56630E61"/>
    <w:rsid w:val="56682C5A"/>
    <w:rsid w:val="566D64C3"/>
    <w:rsid w:val="567A473C"/>
    <w:rsid w:val="568E6439"/>
    <w:rsid w:val="569E667C"/>
    <w:rsid w:val="569F23F4"/>
    <w:rsid w:val="56A4683B"/>
    <w:rsid w:val="56DE2F1C"/>
    <w:rsid w:val="56EF62E7"/>
    <w:rsid w:val="570404A9"/>
    <w:rsid w:val="571E0325"/>
    <w:rsid w:val="572D7D3B"/>
    <w:rsid w:val="572F19CA"/>
    <w:rsid w:val="57335AAB"/>
    <w:rsid w:val="5750406D"/>
    <w:rsid w:val="575454D0"/>
    <w:rsid w:val="576D604E"/>
    <w:rsid w:val="57770C7B"/>
    <w:rsid w:val="578D66F1"/>
    <w:rsid w:val="578E0CE1"/>
    <w:rsid w:val="579D4B86"/>
    <w:rsid w:val="57A31A70"/>
    <w:rsid w:val="57A35F14"/>
    <w:rsid w:val="57A5204B"/>
    <w:rsid w:val="57B911A0"/>
    <w:rsid w:val="57CC7219"/>
    <w:rsid w:val="57D165DD"/>
    <w:rsid w:val="57DA1517"/>
    <w:rsid w:val="57DD1426"/>
    <w:rsid w:val="57EA769F"/>
    <w:rsid w:val="57F02618"/>
    <w:rsid w:val="57F549C2"/>
    <w:rsid w:val="58006EC2"/>
    <w:rsid w:val="5809477E"/>
    <w:rsid w:val="58184BBF"/>
    <w:rsid w:val="58223AF1"/>
    <w:rsid w:val="582241C7"/>
    <w:rsid w:val="58311772"/>
    <w:rsid w:val="58346B6C"/>
    <w:rsid w:val="58397404"/>
    <w:rsid w:val="585316E8"/>
    <w:rsid w:val="586B6A32"/>
    <w:rsid w:val="589A7317"/>
    <w:rsid w:val="589C54F7"/>
    <w:rsid w:val="58BA0450"/>
    <w:rsid w:val="58BA3515"/>
    <w:rsid w:val="58BD4DB3"/>
    <w:rsid w:val="58C3686E"/>
    <w:rsid w:val="58C60230"/>
    <w:rsid w:val="58C779E0"/>
    <w:rsid w:val="58CE1230"/>
    <w:rsid w:val="58D2260D"/>
    <w:rsid w:val="58D439C7"/>
    <w:rsid w:val="58DE293D"/>
    <w:rsid w:val="58E862D4"/>
    <w:rsid w:val="58EA204C"/>
    <w:rsid w:val="58F67946"/>
    <w:rsid w:val="590D7AE9"/>
    <w:rsid w:val="59154BEF"/>
    <w:rsid w:val="595B4CF8"/>
    <w:rsid w:val="596671F9"/>
    <w:rsid w:val="59692354"/>
    <w:rsid w:val="596C0CB3"/>
    <w:rsid w:val="597E2795"/>
    <w:rsid w:val="598E4F82"/>
    <w:rsid w:val="5991071A"/>
    <w:rsid w:val="59B241EC"/>
    <w:rsid w:val="59B76D62"/>
    <w:rsid w:val="59C04B5B"/>
    <w:rsid w:val="59CB4142"/>
    <w:rsid w:val="59D460CF"/>
    <w:rsid w:val="5A221372"/>
    <w:rsid w:val="5A290952"/>
    <w:rsid w:val="5A407A4A"/>
    <w:rsid w:val="5A5B2AD6"/>
    <w:rsid w:val="5A7140A7"/>
    <w:rsid w:val="5A8329A0"/>
    <w:rsid w:val="5A8C2C8F"/>
    <w:rsid w:val="5A9304C2"/>
    <w:rsid w:val="5A957D93"/>
    <w:rsid w:val="5AA1498D"/>
    <w:rsid w:val="5AAD1584"/>
    <w:rsid w:val="5AE824B9"/>
    <w:rsid w:val="5AF2100E"/>
    <w:rsid w:val="5B10566E"/>
    <w:rsid w:val="5B351579"/>
    <w:rsid w:val="5B3760D9"/>
    <w:rsid w:val="5B4812AC"/>
    <w:rsid w:val="5B4930DF"/>
    <w:rsid w:val="5B6C2D6A"/>
    <w:rsid w:val="5B8E3542"/>
    <w:rsid w:val="5BA364E3"/>
    <w:rsid w:val="5BA73E07"/>
    <w:rsid w:val="5BBB7CD0"/>
    <w:rsid w:val="5BBE258E"/>
    <w:rsid w:val="5BC546AB"/>
    <w:rsid w:val="5BC57684"/>
    <w:rsid w:val="5BCA59D8"/>
    <w:rsid w:val="5BCB5E0B"/>
    <w:rsid w:val="5BCF552A"/>
    <w:rsid w:val="5BD90156"/>
    <w:rsid w:val="5BE66A1A"/>
    <w:rsid w:val="5BF112D7"/>
    <w:rsid w:val="5C0056E3"/>
    <w:rsid w:val="5C1358B5"/>
    <w:rsid w:val="5C277114"/>
    <w:rsid w:val="5C2C7702"/>
    <w:rsid w:val="5C3E620B"/>
    <w:rsid w:val="5C5617A7"/>
    <w:rsid w:val="5C7009A1"/>
    <w:rsid w:val="5C746036"/>
    <w:rsid w:val="5C7463C7"/>
    <w:rsid w:val="5C9F314E"/>
    <w:rsid w:val="5CB52C9E"/>
    <w:rsid w:val="5CD14553"/>
    <w:rsid w:val="5CE768A3"/>
    <w:rsid w:val="5CE90F4C"/>
    <w:rsid w:val="5D1A27D4"/>
    <w:rsid w:val="5D3A69D3"/>
    <w:rsid w:val="5D5846C0"/>
    <w:rsid w:val="5D63417B"/>
    <w:rsid w:val="5D691B70"/>
    <w:rsid w:val="5D815A58"/>
    <w:rsid w:val="5DA622BA"/>
    <w:rsid w:val="5DAB49FC"/>
    <w:rsid w:val="5DB449D7"/>
    <w:rsid w:val="5DDE7CA6"/>
    <w:rsid w:val="5DE60909"/>
    <w:rsid w:val="5DF3340F"/>
    <w:rsid w:val="5E005E6E"/>
    <w:rsid w:val="5E231B5D"/>
    <w:rsid w:val="5E28552D"/>
    <w:rsid w:val="5E510478"/>
    <w:rsid w:val="5E653537"/>
    <w:rsid w:val="5E930A90"/>
    <w:rsid w:val="5EB34C8F"/>
    <w:rsid w:val="5ED66BCF"/>
    <w:rsid w:val="5EE17B24"/>
    <w:rsid w:val="5F074FDA"/>
    <w:rsid w:val="5F236821"/>
    <w:rsid w:val="5F2B2A77"/>
    <w:rsid w:val="5F2B5783"/>
    <w:rsid w:val="5F310A0D"/>
    <w:rsid w:val="5F3C2ED6"/>
    <w:rsid w:val="5F4905E3"/>
    <w:rsid w:val="5F667F53"/>
    <w:rsid w:val="5F80710D"/>
    <w:rsid w:val="5F942D12"/>
    <w:rsid w:val="5FA666FE"/>
    <w:rsid w:val="5FA866DA"/>
    <w:rsid w:val="5FCB5AB5"/>
    <w:rsid w:val="5FFC1611"/>
    <w:rsid w:val="60251BBC"/>
    <w:rsid w:val="604162CA"/>
    <w:rsid w:val="6042451C"/>
    <w:rsid w:val="60455893"/>
    <w:rsid w:val="604F66CE"/>
    <w:rsid w:val="605129B1"/>
    <w:rsid w:val="60567FC7"/>
    <w:rsid w:val="606007BB"/>
    <w:rsid w:val="607453FF"/>
    <w:rsid w:val="6086082C"/>
    <w:rsid w:val="6088514E"/>
    <w:rsid w:val="60885CA7"/>
    <w:rsid w:val="6094289E"/>
    <w:rsid w:val="60AC7F66"/>
    <w:rsid w:val="60AE7E03"/>
    <w:rsid w:val="60B711EF"/>
    <w:rsid w:val="60BC7967"/>
    <w:rsid w:val="60C30678"/>
    <w:rsid w:val="60C952FD"/>
    <w:rsid w:val="60D378F4"/>
    <w:rsid w:val="60DF3423"/>
    <w:rsid w:val="60E90E3C"/>
    <w:rsid w:val="60ED0CFE"/>
    <w:rsid w:val="60FA6BA5"/>
    <w:rsid w:val="611063C8"/>
    <w:rsid w:val="61113EEE"/>
    <w:rsid w:val="61205628"/>
    <w:rsid w:val="612358BE"/>
    <w:rsid w:val="61475B62"/>
    <w:rsid w:val="61532759"/>
    <w:rsid w:val="61572C72"/>
    <w:rsid w:val="61722BDF"/>
    <w:rsid w:val="61745166"/>
    <w:rsid w:val="617B2468"/>
    <w:rsid w:val="617F52FC"/>
    <w:rsid w:val="618835DC"/>
    <w:rsid w:val="61890126"/>
    <w:rsid w:val="619568CD"/>
    <w:rsid w:val="6198016C"/>
    <w:rsid w:val="61A15272"/>
    <w:rsid w:val="61A42FB4"/>
    <w:rsid w:val="61B378EC"/>
    <w:rsid w:val="61B52ACC"/>
    <w:rsid w:val="61BC3E5A"/>
    <w:rsid w:val="61BF10D9"/>
    <w:rsid w:val="61D75138"/>
    <w:rsid w:val="61F335F4"/>
    <w:rsid w:val="62173786"/>
    <w:rsid w:val="621C6331"/>
    <w:rsid w:val="622D6B06"/>
    <w:rsid w:val="62620EA5"/>
    <w:rsid w:val="62643A48"/>
    <w:rsid w:val="62654AE2"/>
    <w:rsid w:val="629C6381"/>
    <w:rsid w:val="629F7BDB"/>
    <w:rsid w:val="62C1505B"/>
    <w:rsid w:val="62C27B96"/>
    <w:rsid w:val="62E25B42"/>
    <w:rsid w:val="62EC4C13"/>
    <w:rsid w:val="6302602E"/>
    <w:rsid w:val="63185A08"/>
    <w:rsid w:val="63275C4B"/>
    <w:rsid w:val="632B301A"/>
    <w:rsid w:val="633A772C"/>
    <w:rsid w:val="633C50A1"/>
    <w:rsid w:val="6349443D"/>
    <w:rsid w:val="636D3251"/>
    <w:rsid w:val="63847AD9"/>
    <w:rsid w:val="63A6062F"/>
    <w:rsid w:val="63A63014"/>
    <w:rsid w:val="63D626B9"/>
    <w:rsid w:val="63D80CF3"/>
    <w:rsid w:val="63E453B6"/>
    <w:rsid w:val="63F0603D"/>
    <w:rsid w:val="63F63329"/>
    <w:rsid w:val="640C7C21"/>
    <w:rsid w:val="641706C5"/>
    <w:rsid w:val="64194713"/>
    <w:rsid w:val="644B5969"/>
    <w:rsid w:val="645C36D2"/>
    <w:rsid w:val="647B624F"/>
    <w:rsid w:val="648210E5"/>
    <w:rsid w:val="649A1E81"/>
    <w:rsid w:val="649C7F73"/>
    <w:rsid w:val="64AD3F2E"/>
    <w:rsid w:val="64B443AF"/>
    <w:rsid w:val="64B90414"/>
    <w:rsid w:val="64C01EB3"/>
    <w:rsid w:val="64CF0348"/>
    <w:rsid w:val="64E45EF7"/>
    <w:rsid w:val="64F93617"/>
    <w:rsid w:val="65085608"/>
    <w:rsid w:val="6522015F"/>
    <w:rsid w:val="65224776"/>
    <w:rsid w:val="65233389"/>
    <w:rsid w:val="653A1489"/>
    <w:rsid w:val="655A5E64"/>
    <w:rsid w:val="65766C11"/>
    <w:rsid w:val="659155FE"/>
    <w:rsid w:val="65AF6C54"/>
    <w:rsid w:val="65D11E9E"/>
    <w:rsid w:val="65D40B23"/>
    <w:rsid w:val="65D73FEF"/>
    <w:rsid w:val="65D774B5"/>
    <w:rsid w:val="65DA2261"/>
    <w:rsid w:val="65E505B2"/>
    <w:rsid w:val="65F31E15"/>
    <w:rsid w:val="65FC516D"/>
    <w:rsid w:val="65FE7137"/>
    <w:rsid w:val="66067D9A"/>
    <w:rsid w:val="660B53B0"/>
    <w:rsid w:val="660C45AF"/>
    <w:rsid w:val="660E3D04"/>
    <w:rsid w:val="661F0E5C"/>
    <w:rsid w:val="663F14FE"/>
    <w:rsid w:val="66445E88"/>
    <w:rsid w:val="665F74AA"/>
    <w:rsid w:val="66657F88"/>
    <w:rsid w:val="66710901"/>
    <w:rsid w:val="668C4743"/>
    <w:rsid w:val="66A57729"/>
    <w:rsid w:val="66AC6B93"/>
    <w:rsid w:val="66D24120"/>
    <w:rsid w:val="66E32877"/>
    <w:rsid w:val="66EF6A80"/>
    <w:rsid w:val="67004223"/>
    <w:rsid w:val="671D4BF2"/>
    <w:rsid w:val="671D6871"/>
    <w:rsid w:val="6733328F"/>
    <w:rsid w:val="67380427"/>
    <w:rsid w:val="674C7A2E"/>
    <w:rsid w:val="67577880"/>
    <w:rsid w:val="675863D3"/>
    <w:rsid w:val="67675300"/>
    <w:rsid w:val="677435B2"/>
    <w:rsid w:val="6779459B"/>
    <w:rsid w:val="678E0047"/>
    <w:rsid w:val="67900263"/>
    <w:rsid w:val="67A930D3"/>
    <w:rsid w:val="67B05CAC"/>
    <w:rsid w:val="67B20D62"/>
    <w:rsid w:val="67CC6DC1"/>
    <w:rsid w:val="67D00DCA"/>
    <w:rsid w:val="67EF75F1"/>
    <w:rsid w:val="67F53CE1"/>
    <w:rsid w:val="682D3D04"/>
    <w:rsid w:val="68454AB3"/>
    <w:rsid w:val="684D7F02"/>
    <w:rsid w:val="684F3C7A"/>
    <w:rsid w:val="68555008"/>
    <w:rsid w:val="685C6397"/>
    <w:rsid w:val="685F19E3"/>
    <w:rsid w:val="68792AA5"/>
    <w:rsid w:val="687A05CB"/>
    <w:rsid w:val="689C6793"/>
    <w:rsid w:val="68A044D6"/>
    <w:rsid w:val="68A90854"/>
    <w:rsid w:val="68DD0479"/>
    <w:rsid w:val="690600B1"/>
    <w:rsid w:val="69124F16"/>
    <w:rsid w:val="692A0243"/>
    <w:rsid w:val="69475A71"/>
    <w:rsid w:val="694A6CE4"/>
    <w:rsid w:val="695B664F"/>
    <w:rsid w:val="696324F7"/>
    <w:rsid w:val="6965127B"/>
    <w:rsid w:val="69B21907"/>
    <w:rsid w:val="69B50A61"/>
    <w:rsid w:val="69B55D5F"/>
    <w:rsid w:val="69C64B0E"/>
    <w:rsid w:val="69CD5C14"/>
    <w:rsid w:val="69CF0D33"/>
    <w:rsid w:val="69D87020"/>
    <w:rsid w:val="69E93C5A"/>
    <w:rsid w:val="69F83E9D"/>
    <w:rsid w:val="6A096B38"/>
    <w:rsid w:val="6A142843"/>
    <w:rsid w:val="6A375F27"/>
    <w:rsid w:val="6A4175F2"/>
    <w:rsid w:val="6A4C294C"/>
    <w:rsid w:val="6A4E1D0F"/>
    <w:rsid w:val="6A6034B6"/>
    <w:rsid w:val="6A6E4160"/>
    <w:rsid w:val="6A757D3A"/>
    <w:rsid w:val="6AB24495"/>
    <w:rsid w:val="6AC752F0"/>
    <w:rsid w:val="6AE45C83"/>
    <w:rsid w:val="6AEB0325"/>
    <w:rsid w:val="6AFB3C45"/>
    <w:rsid w:val="6B1A3508"/>
    <w:rsid w:val="6B3322F6"/>
    <w:rsid w:val="6B4B3B36"/>
    <w:rsid w:val="6B543355"/>
    <w:rsid w:val="6B5670CE"/>
    <w:rsid w:val="6B58613A"/>
    <w:rsid w:val="6B621F16"/>
    <w:rsid w:val="6B8579B3"/>
    <w:rsid w:val="6B8C2AEF"/>
    <w:rsid w:val="6B9946B3"/>
    <w:rsid w:val="6BA53BB1"/>
    <w:rsid w:val="6BAD26B6"/>
    <w:rsid w:val="6BC54BEF"/>
    <w:rsid w:val="6BD46524"/>
    <w:rsid w:val="6BD6700F"/>
    <w:rsid w:val="6BDA7CFF"/>
    <w:rsid w:val="6BEC7A32"/>
    <w:rsid w:val="6BF62610"/>
    <w:rsid w:val="6C101449"/>
    <w:rsid w:val="6C313697"/>
    <w:rsid w:val="6C44786E"/>
    <w:rsid w:val="6C8163CC"/>
    <w:rsid w:val="6C951E77"/>
    <w:rsid w:val="6CAD41E4"/>
    <w:rsid w:val="6CAD71C1"/>
    <w:rsid w:val="6CB202B7"/>
    <w:rsid w:val="6CCA2908"/>
    <w:rsid w:val="6CD21441"/>
    <w:rsid w:val="6CE03ECA"/>
    <w:rsid w:val="6CE34746"/>
    <w:rsid w:val="6CEF1588"/>
    <w:rsid w:val="6CF70716"/>
    <w:rsid w:val="6D1721E6"/>
    <w:rsid w:val="6D1837C6"/>
    <w:rsid w:val="6D282CEC"/>
    <w:rsid w:val="6D34599B"/>
    <w:rsid w:val="6D3A6542"/>
    <w:rsid w:val="6D3E250F"/>
    <w:rsid w:val="6D4A2C62"/>
    <w:rsid w:val="6D4D4500"/>
    <w:rsid w:val="6D4F2026"/>
    <w:rsid w:val="6D617FAC"/>
    <w:rsid w:val="6DA531CF"/>
    <w:rsid w:val="6DA73C10"/>
    <w:rsid w:val="6DB4457F"/>
    <w:rsid w:val="6DBB590E"/>
    <w:rsid w:val="6DBE53FE"/>
    <w:rsid w:val="6DBF159E"/>
    <w:rsid w:val="6DC42A14"/>
    <w:rsid w:val="6DC7272B"/>
    <w:rsid w:val="6DD8201C"/>
    <w:rsid w:val="6DE76850"/>
    <w:rsid w:val="6DEF051F"/>
    <w:rsid w:val="6DFD5F26"/>
    <w:rsid w:val="6DFE57FA"/>
    <w:rsid w:val="6E08659A"/>
    <w:rsid w:val="6E1E55C2"/>
    <w:rsid w:val="6E361438"/>
    <w:rsid w:val="6E3F653F"/>
    <w:rsid w:val="6E427DDD"/>
    <w:rsid w:val="6E5A3E2A"/>
    <w:rsid w:val="6E5F098F"/>
    <w:rsid w:val="6E5F0E26"/>
    <w:rsid w:val="6E666C53"/>
    <w:rsid w:val="6E71421E"/>
    <w:rsid w:val="6E8201DA"/>
    <w:rsid w:val="6E963C85"/>
    <w:rsid w:val="6E9A1018"/>
    <w:rsid w:val="6E9E3C64"/>
    <w:rsid w:val="6E9F6FDD"/>
    <w:rsid w:val="6EAE3CC7"/>
    <w:rsid w:val="6EAE7221"/>
    <w:rsid w:val="6EB14883"/>
    <w:rsid w:val="6EF04610"/>
    <w:rsid w:val="6EF54E4F"/>
    <w:rsid w:val="6EFB5485"/>
    <w:rsid w:val="6F046E40"/>
    <w:rsid w:val="6F0E7CBF"/>
    <w:rsid w:val="6F100289"/>
    <w:rsid w:val="6F142583"/>
    <w:rsid w:val="6F2A4AF9"/>
    <w:rsid w:val="6F4D6A71"/>
    <w:rsid w:val="6F4F3B60"/>
    <w:rsid w:val="6F5B3B3A"/>
    <w:rsid w:val="6F683873"/>
    <w:rsid w:val="6F7E3097"/>
    <w:rsid w:val="6F881820"/>
    <w:rsid w:val="6FA97789"/>
    <w:rsid w:val="6FB20BD4"/>
    <w:rsid w:val="6FBA59BE"/>
    <w:rsid w:val="6FC61156"/>
    <w:rsid w:val="6FCE7B7A"/>
    <w:rsid w:val="6FE56C72"/>
    <w:rsid w:val="6FEF1353"/>
    <w:rsid w:val="6FF62C2D"/>
    <w:rsid w:val="70025A76"/>
    <w:rsid w:val="70191889"/>
    <w:rsid w:val="701D01BA"/>
    <w:rsid w:val="702347C4"/>
    <w:rsid w:val="70296B3E"/>
    <w:rsid w:val="7031039E"/>
    <w:rsid w:val="70422316"/>
    <w:rsid w:val="704F0094"/>
    <w:rsid w:val="70611204"/>
    <w:rsid w:val="7064403B"/>
    <w:rsid w:val="706A1742"/>
    <w:rsid w:val="709F32C5"/>
    <w:rsid w:val="70AE175A"/>
    <w:rsid w:val="70C20D61"/>
    <w:rsid w:val="70CC1706"/>
    <w:rsid w:val="70D6480D"/>
    <w:rsid w:val="70EC5DDE"/>
    <w:rsid w:val="710364D6"/>
    <w:rsid w:val="710B2708"/>
    <w:rsid w:val="710C284A"/>
    <w:rsid w:val="710D46D2"/>
    <w:rsid w:val="712518CC"/>
    <w:rsid w:val="713A2FED"/>
    <w:rsid w:val="71453E6C"/>
    <w:rsid w:val="714E0847"/>
    <w:rsid w:val="714E3D71"/>
    <w:rsid w:val="71687B5B"/>
    <w:rsid w:val="719D47F2"/>
    <w:rsid w:val="719F6672"/>
    <w:rsid w:val="71AC557A"/>
    <w:rsid w:val="71CD5C10"/>
    <w:rsid w:val="71E116BB"/>
    <w:rsid w:val="71FB43B2"/>
    <w:rsid w:val="71FE226D"/>
    <w:rsid w:val="720676AD"/>
    <w:rsid w:val="720C2BDC"/>
    <w:rsid w:val="721174BD"/>
    <w:rsid w:val="72273572"/>
    <w:rsid w:val="7234593E"/>
    <w:rsid w:val="72457E9C"/>
    <w:rsid w:val="724B248D"/>
    <w:rsid w:val="726C50F6"/>
    <w:rsid w:val="726F4F19"/>
    <w:rsid w:val="727D3192"/>
    <w:rsid w:val="72A46970"/>
    <w:rsid w:val="72CE60E3"/>
    <w:rsid w:val="72D57472"/>
    <w:rsid w:val="72DF5BFA"/>
    <w:rsid w:val="72E444E7"/>
    <w:rsid w:val="72ED47BB"/>
    <w:rsid w:val="72EF4CB6"/>
    <w:rsid w:val="72F86CBC"/>
    <w:rsid w:val="73075151"/>
    <w:rsid w:val="730D5D09"/>
    <w:rsid w:val="730E028E"/>
    <w:rsid w:val="732B405F"/>
    <w:rsid w:val="73373C88"/>
    <w:rsid w:val="736425A4"/>
    <w:rsid w:val="736D76AA"/>
    <w:rsid w:val="73800D4B"/>
    <w:rsid w:val="739358D2"/>
    <w:rsid w:val="73942E89"/>
    <w:rsid w:val="73A60ABB"/>
    <w:rsid w:val="73AF381F"/>
    <w:rsid w:val="73B623B1"/>
    <w:rsid w:val="73D615D4"/>
    <w:rsid w:val="73E55626"/>
    <w:rsid w:val="73F25E01"/>
    <w:rsid w:val="73F93DCE"/>
    <w:rsid w:val="74250B35"/>
    <w:rsid w:val="743E1047"/>
    <w:rsid w:val="74416441"/>
    <w:rsid w:val="74486084"/>
    <w:rsid w:val="744A3547"/>
    <w:rsid w:val="745B7503"/>
    <w:rsid w:val="7463285B"/>
    <w:rsid w:val="746A3BEA"/>
    <w:rsid w:val="74793E2D"/>
    <w:rsid w:val="74B135C7"/>
    <w:rsid w:val="74B530B7"/>
    <w:rsid w:val="74C01A5C"/>
    <w:rsid w:val="74E21D58"/>
    <w:rsid w:val="74FA2C30"/>
    <w:rsid w:val="74FC6F38"/>
    <w:rsid w:val="750C6A4F"/>
    <w:rsid w:val="75175B20"/>
    <w:rsid w:val="752913AF"/>
    <w:rsid w:val="754E52B9"/>
    <w:rsid w:val="7562618C"/>
    <w:rsid w:val="757D656B"/>
    <w:rsid w:val="75994786"/>
    <w:rsid w:val="75A02087"/>
    <w:rsid w:val="75AA13BC"/>
    <w:rsid w:val="75B34550"/>
    <w:rsid w:val="75B3629E"/>
    <w:rsid w:val="75B72E5F"/>
    <w:rsid w:val="75C37A55"/>
    <w:rsid w:val="75D83E8B"/>
    <w:rsid w:val="75DD619C"/>
    <w:rsid w:val="75E064B3"/>
    <w:rsid w:val="75F220E9"/>
    <w:rsid w:val="75F23E97"/>
    <w:rsid w:val="76045755"/>
    <w:rsid w:val="761107C1"/>
    <w:rsid w:val="762E1891"/>
    <w:rsid w:val="76391AC6"/>
    <w:rsid w:val="763B75EC"/>
    <w:rsid w:val="763C15B6"/>
    <w:rsid w:val="764A5A81"/>
    <w:rsid w:val="764C5FF9"/>
    <w:rsid w:val="76515A81"/>
    <w:rsid w:val="766E5C13"/>
    <w:rsid w:val="766F2FC2"/>
    <w:rsid w:val="76730B89"/>
    <w:rsid w:val="768005D5"/>
    <w:rsid w:val="7685484F"/>
    <w:rsid w:val="768E0063"/>
    <w:rsid w:val="76BC49EB"/>
    <w:rsid w:val="76BE0385"/>
    <w:rsid w:val="76C43A85"/>
    <w:rsid w:val="76E41A31"/>
    <w:rsid w:val="76F55C40"/>
    <w:rsid w:val="77000DA2"/>
    <w:rsid w:val="77130D68"/>
    <w:rsid w:val="77185F5F"/>
    <w:rsid w:val="771D3564"/>
    <w:rsid w:val="771D4F43"/>
    <w:rsid w:val="773F3EF6"/>
    <w:rsid w:val="7746449A"/>
    <w:rsid w:val="775F555C"/>
    <w:rsid w:val="77617526"/>
    <w:rsid w:val="776D5ECB"/>
    <w:rsid w:val="77CF26E1"/>
    <w:rsid w:val="77DC13E8"/>
    <w:rsid w:val="77DD722C"/>
    <w:rsid w:val="77E13575"/>
    <w:rsid w:val="77E66DCA"/>
    <w:rsid w:val="77F338CE"/>
    <w:rsid w:val="77F55179"/>
    <w:rsid w:val="781E69D1"/>
    <w:rsid w:val="782D7408"/>
    <w:rsid w:val="78340059"/>
    <w:rsid w:val="7839241C"/>
    <w:rsid w:val="78504E72"/>
    <w:rsid w:val="785B2BE5"/>
    <w:rsid w:val="7860192F"/>
    <w:rsid w:val="787A0305"/>
    <w:rsid w:val="78A07EF6"/>
    <w:rsid w:val="78A51A56"/>
    <w:rsid w:val="78B25122"/>
    <w:rsid w:val="78C338C8"/>
    <w:rsid w:val="78F32400"/>
    <w:rsid w:val="78F9378E"/>
    <w:rsid w:val="78FD7D15"/>
    <w:rsid w:val="79004B1D"/>
    <w:rsid w:val="79020895"/>
    <w:rsid w:val="790520F8"/>
    <w:rsid w:val="791F31F5"/>
    <w:rsid w:val="792B7DEB"/>
    <w:rsid w:val="79395BF8"/>
    <w:rsid w:val="793F0909"/>
    <w:rsid w:val="795766F4"/>
    <w:rsid w:val="799B64B0"/>
    <w:rsid w:val="79A656C4"/>
    <w:rsid w:val="79AE60D7"/>
    <w:rsid w:val="79B25E17"/>
    <w:rsid w:val="79C25CDD"/>
    <w:rsid w:val="79D224E9"/>
    <w:rsid w:val="79D7467F"/>
    <w:rsid w:val="79E306C6"/>
    <w:rsid w:val="79EE2F80"/>
    <w:rsid w:val="79FF297F"/>
    <w:rsid w:val="7A1A0578"/>
    <w:rsid w:val="7A1F7224"/>
    <w:rsid w:val="7A214658"/>
    <w:rsid w:val="7A3251AA"/>
    <w:rsid w:val="7A326F58"/>
    <w:rsid w:val="7A392094"/>
    <w:rsid w:val="7A42798E"/>
    <w:rsid w:val="7A63515A"/>
    <w:rsid w:val="7A7866FA"/>
    <w:rsid w:val="7A993CB5"/>
    <w:rsid w:val="7A9E7208"/>
    <w:rsid w:val="7AAA5924"/>
    <w:rsid w:val="7AC12D9A"/>
    <w:rsid w:val="7AD7365B"/>
    <w:rsid w:val="7ADD0453"/>
    <w:rsid w:val="7AE364A4"/>
    <w:rsid w:val="7AF46346"/>
    <w:rsid w:val="7B0222ED"/>
    <w:rsid w:val="7B022DCE"/>
    <w:rsid w:val="7B0D16AD"/>
    <w:rsid w:val="7B0F5EBF"/>
    <w:rsid w:val="7B130FB9"/>
    <w:rsid w:val="7B266FDC"/>
    <w:rsid w:val="7B533629"/>
    <w:rsid w:val="7B666F4A"/>
    <w:rsid w:val="7B964B46"/>
    <w:rsid w:val="7BA2571C"/>
    <w:rsid w:val="7BB22216"/>
    <w:rsid w:val="7BC167E5"/>
    <w:rsid w:val="7BDE0625"/>
    <w:rsid w:val="7BF64EDE"/>
    <w:rsid w:val="7C0B450A"/>
    <w:rsid w:val="7C1A66F4"/>
    <w:rsid w:val="7C300D7F"/>
    <w:rsid w:val="7C321491"/>
    <w:rsid w:val="7C3C5E6C"/>
    <w:rsid w:val="7C3E1BE4"/>
    <w:rsid w:val="7C400C1E"/>
    <w:rsid w:val="7C662EE9"/>
    <w:rsid w:val="7C666E84"/>
    <w:rsid w:val="7C6B36AE"/>
    <w:rsid w:val="7C6F6241"/>
    <w:rsid w:val="7C745605"/>
    <w:rsid w:val="7C864DF9"/>
    <w:rsid w:val="7C8C2CA7"/>
    <w:rsid w:val="7C9932BE"/>
    <w:rsid w:val="7C995425"/>
    <w:rsid w:val="7C9F79D6"/>
    <w:rsid w:val="7CA57EB5"/>
    <w:rsid w:val="7CA97FA9"/>
    <w:rsid w:val="7CB400F8"/>
    <w:rsid w:val="7CB415DD"/>
    <w:rsid w:val="7CBC0A6A"/>
    <w:rsid w:val="7CC93C60"/>
    <w:rsid w:val="7CD623A3"/>
    <w:rsid w:val="7CDB5685"/>
    <w:rsid w:val="7CE85FF3"/>
    <w:rsid w:val="7CF90201"/>
    <w:rsid w:val="7D045FE7"/>
    <w:rsid w:val="7D3923AB"/>
    <w:rsid w:val="7D5E1E12"/>
    <w:rsid w:val="7D684BFF"/>
    <w:rsid w:val="7D697134"/>
    <w:rsid w:val="7D717D97"/>
    <w:rsid w:val="7D9F66B2"/>
    <w:rsid w:val="7DB67EA0"/>
    <w:rsid w:val="7DD02D0F"/>
    <w:rsid w:val="7DD11708"/>
    <w:rsid w:val="7DD210F9"/>
    <w:rsid w:val="7DD4545D"/>
    <w:rsid w:val="7DD83ECB"/>
    <w:rsid w:val="7DFB58B2"/>
    <w:rsid w:val="7DFD5ACF"/>
    <w:rsid w:val="7E140C79"/>
    <w:rsid w:val="7E1C7D03"/>
    <w:rsid w:val="7E2D1F10"/>
    <w:rsid w:val="7E2D3E5F"/>
    <w:rsid w:val="7E507FA2"/>
    <w:rsid w:val="7E743B40"/>
    <w:rsid w:val="7E7713DD"/>
    <w:rsid w:val="7E7E6934"/>
    <w:rsid w:val="7E891110"/>
    <w:rsid w:val="7E933D3D"/>
    <w:rsid w:val="7E9401E1"/>
    <w:rsid w:val="7E953898"/>
    <w:rsid w:val="7EBC46EA"/>
    <w:rsid w:val="7EC167BD"/>
    <w:rsid w:val="7EE03426"/>
    <w:rsid w:val="7EE05341"/>
    <w:rsid w:val="7EE747B5"/>
    <w:rsid w:val="7F13109F"/>
    <w:rsid w:val="7F1C3D32"/>
    <w:rsid w:val="7F343772"/>
    <w:rsid w:val="7F4D03AE"/>
    <w:rsid w:val="7F983C52"/>
    <w:rsid w:val="7FA36202"/>
    <w:rsid w:val="7FB34146"/>
    <w:rsid w:val="7FC71EF0"/>
    <w:rsid w:val="7FCA378E"/>
    <w:rsid w:val="7FD85EAB"/>
    <w:rsid w:val="7FD91C23"/>
    <w:rsid w:val="7FEE7E86"/>
    <w:rsid w:val="7FF00447"/>
    <w:rsid w:val="7FF60A27"/>
    <w:rsid w:val="7FF8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autoRedefine/>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autoRedefine/>
    <w:qFormat/>
    <w:uiPriority w:val="0"/>
    <w:pPr>
      <w:keepNext/>
      <w:keepLines/>
      <w:spacing w:before="280" w:after="290" w:line="376" w:lineRule="auto"/>
      <w:outlineLvl w:val="3"/>
    </w:pPr>
    <w:rPr>
      <w:rFonts w:ascii="宋体" w:hAnsi="Arial" w:eastAsia="黑体"/>
      <w:b/>
      <w:bCs/>
      <w:sz w:val="24"/>
      <w:szCs w:val="20"/>
    </w:rPr>
  </w:style>
  <w:style w:type="paragraph" w:styleId="5">
    <w:name w:val="heading 5"/>
    <w:basedOn w:val="1"/>
    <w:next w:val="6"/>
    <w:link w:val="35"/>
    <w:autoRedefine/>
    <w:qFormat/>
    <w:uiPriority w:val="9"/>
    <w:pPr>
      <w:keepNext/>
      <w:keepLines/>
      <w:spacing w:before="280" w:after="290" w:line="376" w:lineRule="auto"/>
      <w:outlineLvl w:val="4"/>
    </w:pPr>
    <w:rPr>
      <w:b/>
      <w:bCs/>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table of authorities"/>
    <w:basedOn w:val="1"/>
    <w:next w:val="1"/>
    <w:autoRedefine/>
    <w:unhideWhenUsed/>
    <w:qFormat/>
    <w:uiPriority w:val="99"/>
    <w:pPr>
      <w:ind w:left="420" w:leftChars="200"/>
    </w:pPr>
  </w:style>
  <w:style w:type="paragraph" w:styleId="8">
    <w:name w:val="index 8"/>
    <w:basedOn w:val="1"/>
    <w:next w:val="1"/>
    <w:autoRedefine/>
    <w:qFormat/>
    <w:uiPriority w:val="0"/>
    <w:pPr>
      <w:ind w:left="2940"/>
    </w:pPr>
  </w:style>
  <w:style w:type="paragraph" w:styleId="9">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0">
    <w:name w:val="annotation text"/>
    <w:basedOn w:val="1"/>
    <w:link w:val="36"/>
    <w:autoRedefine/>
    <w:qFormat/>
    <w:uiPriority w:val="0"/>
    <w:pPr>
      <w:jc w:val="left"/>
    </w:pPr>
  </w:style>
  <w:style w:type="paragraph" w:styleId="11">
    <w:name w:val="Body Text 3"/>
    <w:basedOn w:val="1"/>
    <w:link w:val="37"/>
    <w:autoRedefine/>
    <w:unhideWhenUsed/>
    <w:qFormat/>
    <w:uiPriority w:val="99"/>
    <w:pPr>
      <w:spacing w:after="120"/>
    </w:pPr>
    <w:rPr>
      <w:sz w:val="16"/>
      <w:szCs w:val="16"/>
    </w:rPr>
  </w:style>
  <w:style w:type="paragraph" w:styleId="12">
    <w:name w:val="Body Text"/>
    <w:basedOn w:val="1"/>
    <w:link w:val="38"/>
    <w:autoRedefine/>
    <w:unhideWhenUsed/>
    <w:qFormat/>
    <w:uiPriority w:val="0"/>
    <w:pPr>
      <w:spacing w:after="120"/>
    </w:pPr>
  </w:style>
  <w:style w:type="paragraph" w:styleId="13">
    <w:name w:val="Body Text Indent"/>
    <w:basedOn w:val="1"/>
    <w:link w:val="39"/>
    <w:autoRedefine/>
    <w:qFormat/>
    <w:uiPriority w:val="0"/>
    <w:pPr>
      <w:ind w:firstLine="830" w:firstLineChars="352"/>
    </w:pPr>
    <w:rPr>
      <w:rFonts w:ascii="仿宋_GB2312" w:eastAsia="仿宋_GB2312"/>
      <w:kern w:val="0"/>
      <w:sz w:val="32"/>
      <w:szCs w:val="20"/>
    </w:rPr>
  </w:style>
  <w:style w:type="paragraph" w:styleId="14">
    <w:name w:val="List 2"/>
    <w:basedOn w:val="1"/>
    <w:autoRedefine/>
    <w:unhideWhenUsed/>
    <w:qFormat/>
    <w:uiPriority w:val="99"/>
    <w:pPr>
      <w:ind w:left="100" w:leftChars="200" w:hanging="200" w:hangingChars="200"/>
      <w:contextualSpacing/>
    </w:pPr>
  </w:style>
  <w:style w:type="paragraph" w:styleId="15">
    <w:name w:val="Plain Text"/>
    <w:basedOn w:val="1"/>
    <w:next w:val="16"/>
    <w:link w:val="40"/>
    <w:autoRedefine/>
    <w:qFormat/>
    <w:uiPriority w:val="0"/>
    <w:rPr>
      <w:rFonts w:ascii="宋体" w:hAnsi="Courier New"/>
      <w:kern w:val="0"/>
      <w:sz w:val="20"/>
      <w:szCs w:val="21"/>
    </w:rPr>
  </w:style>
  <w:style w:type="paragraph" w:styleId="16">
    <w:name w:val="Date"/>
    <w:basedOn w:val="1"/>
    <w:next w:val="1"/>
    <w:link w:val="41"/>
    <w:autoRedefine/>
    <w:unhideWhenUsed/>
    <w:qFormat/>
    <w:uiPriority w:val="99"/>
    <w:pPr>
      <w:ind w:left="100" w:leftChars="2500"/>
    </w:pPr>
  </w:style>
  <w:style w:type="paragraph" w:styleId="17">
    <w:name w:val="Balloon Text"/>
    <w:basedOn w:val="1"/>
    <w:autoRedefine/>
    <w:semiHidden/>
    <w:qFormat/>
    <w:uiPriority w:val="0"/>
    <w:rPr>
      <w:sz w:val="18"/>
      <w:szCs w:val="18"/>
    </w:rPr>
  </w:style>
  <w:style w:type="paragraph" w:styleId="18">
    <w:name w:val="footer"/>
    <w:basedOn w:val="1"/>
    <w:link w:val="42"/>
    <w:autoRedefine/>
    <w:unhideWhenUsed/>
    <w:qFormat/>
    <w:uiPriority w:val="99"/>
    <w:pPr>
      <w:tabs>
        <w:tab w:val="center" w:pos="4153"/>
        <w:tab w:val="right" w:pos="8306"/>
      </w:tabs>
      <w:snapToGrid w:val="0"/>
      <w:jc w:val="left"/>
    </w:pPr>
    <w:rPr>
      <w:kern w:val="0"/>
      <w:sz w:val="18"/>
      <w:szCs w:val="18"/>
    </w:rPr>
  </w:style>
  <w:style w:type="paragraph" w:styleId="19">
    <w:name w:val="header"/>
    <w:basedOn w:val="1"/>
    <w:link w:val="43"/>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unhideWhenUsed/>
    <w:qFormat/>
    <w:uiPriority w:val="39"/>
  </w:style>
  <w:style w:type="paragraph" w:styleId="21">
    <w:name w:val="toc 2"/>
    <w:basedOn w:val="1"/>
    <w:next w:val="1"/>
    <w:autoRedefine/>
    <w:unhideWhenUsed/>
    <w:qFormat/>
    <w:uiPriority w:val="39"/>
    <w:pPr>
      <w:tabs>
        <w:tab w:val="right" w:leader="dot" w:pos="8296"/>
      </w:tabs>
      <w:ind w:left="420" w:leftChars="200"/>
    </w:pPr>
  </w:style>
  <w:style w:type="paragraph" w:styleId="22">
    <w:name w:val="Body Text 2"/>
    <w:basedOn w:val="1"/>
    <w:qFormat/>
    <w:uiPriority w:val="0"/>
    <w:pPr>
      <w:spacing w:after="120" w:line="480" w:lineRule="auto"/>
    </w:pPr>
    <w:rPr>
      <w:szCs w:val="24"/>
    </w:rPr>
  </w:style>
  <w:style w:type="paragraph" w:styleId="23">
    <w:name w:val="Normal (Web)"/>
    <w:basedOn w:val="1"/>
    <w:autoRedefine/>
    <w:unhideWhenUsed/>
    <w:qFormat/>
    <w:uiPriority w:val="99"/>
    <w:rPr>
      <w:rFonts w:ascii="Calibri" w:hAnsi="Calibri"/>
      <w:kern w:val="0"/>
      <w:sz w:val="24"/>
    </w:rPr>
  </w:style>
  <w:style w:type="paragraph" w:styleId="24">
    <w:name w:val="annotation subject"/>
    <w:basedOn w:val="10"/>
    <w:next w:val="10"/>
    <w:link w:val="44"/>
    <w:autoRedefine/>
    <w:qFormat/>
    <w:uiPriority w:val="99"/>
    <w:rPr>
      <w:b/>
      <w:bCs/>
    </w:rPr>
  </w:style>
  <w:style w:type="paragraph" w:styleId="25">
    <w:name w:val="Body Text First Indent"/>
    <w:basedOn w:val="12"/>
    <w:autoRedefine/>
    <w:qFormat/>
    <w:uiPriority w:val="0"/>
    <w:pPr>
      <w:ind w:firstLine="420" w:firstLineChars="100"/>
    </w:pPr>
  </w:style>
  <w:style w:type="paragraph" w:styleId="26">
    <w:name w:val="Body Text First Indent 2"/>
    <w:basedOn w:val="13"/>
    <w:autoRedefine/>
    <w:unhideWhenUsed/>
    <w:qFormat/>
    <w:uiPriority w:val="99"/>
    <w:pPr>
      <w:spacing w:after="120"/>
      <w:ind w:left="420" w:leftChars="200" w:firstLine="420" w:firstLineChars="200"/>
    </w:pPr>
  </w:style>
  <w:style w:type="table" w:styleId="28">
    <w:name w:val="Table Grid"/>
    <w:basedOn w:val="27"/>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Hyperlink"/>
    <w:autoRedefine/>
    <w:unhideWhenUsed/>
    <w:qFormat/>
    <w:uiPriority w:val="99"/>
    <w:rPr>
      <w:color w:val="0000FF"/>
      <w:u w:val="single"/>
    </w:rPr>
  </w:style>
  <w:style w:type="character" w:styleId="31">
    <w:name w:val="annotation reference"/>
    <w:autoRedefine/>
    <w:qFormat/>
    <w:uiPriority w:val="0"/>
    <w:rPr>
      <w:sz w:val="21"/>
      <w:szCs w:val="21"/>
    </w:rPr>
  </w:style>
  <w:style w:type="paragraph" w:customStyle="1" w:styleId="32">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33">
    <w:name w:val="标题 1 字符1"/>
    <w:link w:val="2"/>
    <w:autoRedefine/>
    <w:qFormat/>
    <w:uiPriority w:val="0"/>
    <w:rPr>
      <w:b/>
      <w:bCs/>
      <w:kern w:val="44"/>
      <w:sz w:val="44"/>
      <w:szCs w:val="44"/>
    </w:rPr>
  </w:style>
  <w:style w:type="character" w:customStyle="1" w:styleId="34">
    <w:name w:val="标题 2 字符"/>
    <w:link w:val="3"/>
    <w:autoRedefine/>
    <w:qFormat/>
    <w:uiPriority w:val="9"/>
    <w:rPr>
      <w:rFonts w:ascii="Cambria" w:hAnsi="Cambria" w:eastAsia="宋体" w:cs="Times New Roman"/>
      <w:b/>
      <w:bCs/>
      <w:kern w:val="2"/>
      <w:sz w:val="32"/>
      <w:szCs w:val="32"/>
    </w:rPr>
  </w:style>
  <w:style w:type="character" w:customStyle="1" w:styleId="35">
    <w:name w:val="标题 5 字符"/>
    <w:link w:val="5"/>
    <w:autoRedefine/>
    <w:semiHidden/>
    <w:qFormat/>
    <w:uiPriority w:val="9"/>
    <w:rPr>
      <w:rFonts w:ascii="Times New Roman" w:hAnsi="Times New Roman"/>
      <w:b/>
      <w:bCs/>
      <w:kern w:val="2"/>
      <w:sz w:val="28"/>
      <w:szCs w:val="28"/>
    </w:rPr>
  </w:style>
  <w:style w:type="character" w:customStyle="1" w:styleId="36">
    <w:name w:val="批注文字 字符"/>
    <w:link w:val="10"/>
    <w:autoRedefine/>
    <w:qFormat/>
    <w:uiPriority w:val="0"/>
    <w:rPr>
      <w:rFonts w:ascii="Times New Roman" w:hAnsi="Times New Roman"/>
      <w:kern w:val="2"/>
      <w:sz w:val="21"/>
      <w:szCs w:val="24"/>
    </w:rPr>
  </w:style>
  <w:style w:type="character" w:customStyle="1" w:styleId="37">
    <w:name w:val="正文文本 3 字符"/>
    <w:link w:val="11"/>
    <w:autoRedefine/>
    <w:semiHidden/>
    <w:qFormat/>
    <w:uiPriority w:val="99"/>
    <w:rPr>
      <w:rFonts w:ascii="Times New Roman" w:hAnsi="Times New Roman"/>
      <w:kern w:val="2"/>
      <w:sz w:val="16"/>
      <w:szCs w:val="16"/>
    </w:rPr>
  </w:style>
  <w:style w:type="character" w:customStyle="1" w:styleId="38">
    <w:name w:val="正文文本 字符"/>
    <w:link w:val="12"/>
    <w:autoRedefine/>
    <w:qFormat/>
    <w:uiPriority w:val="0"/>
    <w:rPr>
      <w:rFonts w:ascii="Times New Roman" w:hAnsi="Times New Roman"/>
      <w:kern w:val="2"/>
      <w:sz w:val="21"/>
      <w:szCs w:val="24"/>
    </w:rPr>
  </w:style>
  <w:style w:type="character" w:customStyle="1" w:styleId="39">
    <w:name w:val="正文文本缩进 字符"/>
    <w:link w:val="13"/>
    <w:autoRedefine/>
    <w:qFormat/>
    <w:uiPriority w:val="0"/>
    <w:rPr>
      <w:rFonts w:ascii="仿宋_GB2312" w:hAnsi="Times New Roman" w:eastAsia="仿宋_GB2312" w:cs="Times New Roman"/>
      <w:sz w:val="32"/>
      <w:szCs w:val="20"/>
    </w:rPr>
  </w:style>
  <w:style w:type="character" w:customStyle="1" w:styleId="40">
    <w:name w:val="纯文本 字符"/>
    <w:link w:val="15"/>
    <w:autoRedefine/>
    <w:qFormat/>
    <w:uiPriority w:val="0"/>
    <w:rPr>
      <w:rFonts w:ascii="宋体" w:hAnsi="Courier New" w:eastAsia="宋体" w:cs="Courier New"/>
      <w:szCs w:val="21"/>
    </w:rPr>
  </w:style>
  <w:style w:type="character" w:customStyle="1" w:styleId="41">
    <w:name w:val="日期 字符"/>
    <w:link w:val="16"/>
    <w:autoRedefine/>
    <w:semiHidden/>
    <w:qFormat/>
    <w:uiPriority w:val="99"/>
    <w:rPr>
      <w:rFonts w:ascii="Times New Roman" w:hAnsi="Times New Roman"/>
      <w:kern w:val="2"/>
      <w:sz w:val="21"/>
      <w:szCs w:val="24"/>
    </w:rPr>
  </w:style>
  <w:style w:type="character" w:customStyle="1" w:styleId="42">
    <w:name w:val="页脚 字符"/>
    <w:link w:val="18"/>
    <w:autoRedefine/>
    <w:qFormat/>
    <w:uiPriority w:val="99"/>
    <w:rPr>
      <w:sz w:val="18"/>
      <w:szCs w:val="18"/>
    </w:rPr>
  </w:style>
  <w:style w:type="character" w:customStyle="1" w:styleId="43">
    <w:name w:val="页眉 字符"/>
    <w:link w:val="19"/>
    <w:autoRedefine/>
    <w:qFormat/>
    <w:uiPriority w:val="99"/>
    <w:rPr>
      <w:sz w:val="18"/>
      <w:szCs w:val="18"/>
    </w:rPr>
  </w:style>
  <w:style w:type="character" w:customStyle="1" w:styleId="44">
    <w:name w:val="批注主题 字符"/>
    <w:link w:val="24"/>
    <w:autoRedefine/>
    <w:qFormat/>
    <w:uiPriority w:val="99"/>
    <w:rPr>
      <w:rFonts w:ascii="Times New Roman" w:hAnsi="Times New Roman"/>
      <w:b/>
      <w:bCs/>
      <w:kern w:val="2"/>
      <w:sz w:val="21"/>
      <w:szCs w:val="24"/>
    </w:rPr>
  </w:style>
  <w:style w:type="character" w:customStyle="1" w:styleId="45">
    <w:name w:val="font11"/>
    <w:basedOn w:val="29"/>
    <w:autoRedefine/>
    <w:qFormat/>
    <w:uiPriority w:val="0"/>
    <w:rPr>
      <w:rFonts w:hint="default" w:ascii="Times New Roman" w:hAnsi="Times New Roman" w:cs="Times New Roman"/>
      <w:color w:val="000000"/>
      <w:sz w:val="20"/>
      <w:szCs w:val="20"/>
      <w:u w:val="none"/>
    </w:rPr>
  </w:style>
  <w:style w:type="character" w:customStyle="1" w:styleId="46">
    <w:name w:val="font81"/>
    <w:basedOn w:val="29"/>
    <w:autoRedefine/>
    <w:qFormat/>
    <w:uiPriority w:val="0"/>
    <w:rPr>
      <w:rFonts w:hint="eastAsia" w:ascii="宋体" w:hAnsi="宋体" w:eastAsia="宋体" w:cs="宋体"/>
      <w:color w:val="000000"/>
      <w:sz w:val="20"/>
      <w:szCs w:val="20"/>
      <w:u w:val="none"/>
    </w:rPr>
  </w:style>
  <w:style w:type="character" w:customStyle="1" w:styleId="47">
    <w:name w:val="正文文本 (26) + 间距 0 pt"/>
    <w:autoRedefine/>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48">
    <w:name w:val="批注文字 Char1"/>
    <w:autoRedefine/>
    <w:qFormat/>
    <w:uiPriority w:val="0"/>
    <w:rPr>
      <w:rFonts w:ascii="Times New Roman" w:hAnsi="Times New Roman"/>
      <w:kern w:val="2"/>
      <w:sz w:val="21"/>
      <w:szCs w:val="24"/>
    </w:rPr>
  </w:style>
  <w:style w:type="character" w:customStyle="1" w:styleId="49">
    <w:name w:val="纯文本 Char1"/>
    <w:autoRedefine/>
    <w:qFormat/>
    <w:uiPriority w:val="0"/>
    <w:rPr>
      <w:rFonts w:ascii="宋体" w:hAnsi="Courier New" w:eastAsia="宋体" w:cs="Courier New"/>
      <w:szCs w:val="21"/>
    </w:rPr>
  </w:style>
  <w:style w:type="character" w:customStyle="1" w:styleId="50">
    <w:name w:val="批注文字 Char2"/>
    <w:autoRedefine/>
    <w:qFormat/>
    <w:uiPriority w:val="0"/>
    <w:rPr>
      <w:rFonts w:ascii="Times New Roman" w:hAnsi="Times New Roman"/>
      <w:kern w:val="2"/>
      <w:sz w:val="21"/>
      <w:szCs w:val="24"/>
    </w:rPr>
  </w:style>
  <w:style w:type="character" w:customStyle="1" w:styleId="51">
    <w:name w:val="批注文字 字符2"/>
    <w:autoRedefine/>
    <w:qFormat/>
    <w:uiPriority w:val="0"/>
    <w:rPr>
      <w:rFonts w:ascii="Times New Roman" w:hAnsi="Times New Roman"/>
      <w:kern w:val="2"/>
      <w:sz w:val="21"/>
      <w:szCs w:val="24"/>
    </w:rPr>
  </w:style>
  <w:style w:type="character" w:customStyle="1" w:styleId="52">
    <w:name w:val="页脚 Char"/>
    <w:autoRedefine/>
    <w:qFormat/>
    <w:uiPriority w:val="99"/>
    <w:rPr>
      <w:lang w:eastAsia="zh-CN"/>
    </w:rPr>
  </w:style>
  <w:style w:type="character" w:customStyle="1" w:styleId="53">
    <w:name w:val="纯文本 字符1"/>
    <w:autoRedefine/>
    <w:qFormat/>
    <w:uiPriority w:val="0"/>
    <w:rPr>
      <w:rFonts w:ascii="宋体" w:hAnsi="Courier New"/>
    </w:rPr>
  </w:style>
  <w:style w:type="character" w:customStyle="1" w:styleId="54">
    <w:name w:val="纯文本 字符2"/>
    <w:autoRedefine/>
    <w:qFormat/>
    <w:uiPriority w:val="0"/>
    <w:rPr>
      <w:rFonts w:ascii="宋体" w:hAnsi="Courier New" w:eastAsia="宋体" w:cs="Courier New"/>
      <w:szCs w:val="21"/>
    </w:rPr>
  </w:style>
  <w:style w:type="character" w:customStyle="1" w:styleId="55">
    <w:name w:val="批注文字 字符1"/>
    <w:autoRedefine/>
    <w:qFormat/>
    <w:uiPriority w:val="0"/>
    <w:rPr>
      <w:kern w:val="2"/>
      <w:sz w:val="21"/>
      <w:szCs w:val="24"/>
    </w:rPr>
  </w:style>
  <w:style w:type="character" w:customStyle="1" w:styleId="56">
    <w:name w:val="textcontents"/>
    <w:autoRedefine/>
    <w:qFormat/>
    <w:uiPriority w:val="0"/>
  </w:style>
  <w:style w:type="character" w:customStyle="1" w:styleId="57">
    <w:name w:val="标题 1 字符"/>
    <w:autoRedefine/>
    <w:qFormat/>
    <w:uiPriority w:val="9"/>
    <w:rPr>
      <w:b/>
      <w:bCs/>
      <w:kern w:val="44"/>
      <w:sz w:val="44"/>
      <w:szCs w:val="44"/>
    </w:rPr>
  </w:style>
  <w:style w:type="character" w:customStyle="1" w:styleId="58">
    <w:name w:val="apple-style-span"/>
    <w:autoRedefine/>
    <w:qFormat/>
    <w:uiPriority w:val="0"/>
  </w:style>
  <w:style w:type="character" w:customStyle="1" w:styleId="59">
    <w:name w:val="正文文本缩进 字符1"/>
    <w:autoRedefine/>
    <w:qFormat/>
    <w:uiPriority w:val="0"/>
    <w:rPr>
      <w:rFonts w:ascii="仿宋_GB2312" w:hAnsi="Times New Roman" w:eastAsia="仿宋_GB2312" w:cs="Times New Roman"/>
      <w:sz w:val="32"/>
      <w:szCs w:val="20"/>
    </w:rPr>
  </w:style>
  <w:style w:type="paragraph" w:customStyle="1" w:styleId="60">
    <w:name w:val="默认段落字体 Para Char Char Char Char Char Char Char Char Char1 Char Char Char Char"/>
    <w:basedOn w:val="1"/>
    <w:autoRedefine/>
    <w:qFormat/>
    <w:uiPriority w:val="0"/>
    <w:rPr>
      <w:rFonts w:ascii="Tahoma" w:hAnsi="Tahoma"/>
      <w:sz w:val="24"/>
      <w:szCs w:val="20"/>
    </w:rPr>
  </w:style>
  <w:style w:type="paragraph" w:customStyle="1" w:styleId="61">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styleId="62">
    <w:name w:val="List Paragraph"/>
    <w:basedOn w:val="1"/>
    <w:autoRedefine/>
    <w:qFormat/>
    <w:uiPriority w:val="34"/>
    <w:pPr>
      <w:ind w:firstLine="420" w:firstLineChars="200"/>
    </w:pPr>
  </w:style>
  <w:style w:type="paragraph" w:customStyle="1" w:styleId="63">
    <w:name w:val="Table Paragraph"/>
    <w:basedOn w:val="1"/>
    <w:autoRedefine/>
    <w:qFormat/>
    <w:uiPriority w:val="1"/>
    <w:pPr>
      <w:jc w:val="left"/>
    </w:pPr>
    <w:rPr>
      <w:rFonts w:ascii="Calibri" w:hAnsi="Calibri"/>
      <w:kern w:val="0"/>
      <w:sz w:val="22"/>
      <w:szCs w:val="22"/>
      <w:lang w:eastAsia="en-US"/>
    </w:rPr>
  </w:style>
  <w:style w:type="paragraph" w:customStyle="1" w:styleId="64">
    <w:name w:val="表格文字"/>
    <w:basedOn w:val="12"/>
    <w:autoRedefine/>
    <w:qFormat/>
    <w:uiPriority w:val="99"/>
    <w:pPr>
      <w:spacing w:before="25" w:after="25"/>
    </w:pPr>
    <w:rPr>
      <w:bCs/>
      <w:spacing w:val="10"/>
      <w:kern w:val="0"/>
    </w:rPr>
  </w:style>
  <w:style w:type="paragraph" w:customStyle="1" w:styleId="65">
    <w:name w:val="列表段落1"/>
    <w:basedOn w:val="1"/>
    <w:autoRedefine/>
    <w:qFormat/>
    <w:uiPriority w:val="34"/>
    <w:pPr>
      <w:ind w:firstLine="420" w:firstLineChars="200"/>
    </w:pPr>
  </w:style>
  <w:style w:type="paragraph" w:customStyle="1" w:styleId="66">
    <w:name w:val="List Paragraph1"/>
    <w:basedOn w:val="1"/>
    <w:autoRedefine/>
    <w:qFormat/>
    <w:uiPriority w:val="34"/>
    <w:pPr>
      <w:pBdr>
        <w:top w:val="none" w:color="000000" w:sz="0" w:space="0"/>
        <w:left w:val="none" w:color="000000" w:sz="0" w:space="0"/>
        <w:bottom w:val="none" w:color="000000" w:sz="0" w:space="0"/>
        <w:right w:val="none" w:color="000000" w:sz="0" w:space="0"/>
        <w:between w:val="none" w:color="000000" w:sz="0" w:space="0"/>
      </w:pBdr>
      <w:ind w:left="720"/>
      <w:contextualSpacing/>
    </w:pPr>
    <w:rPr>
      <w:kern w:val="1"/>
    </w:rPr>
  </w:style>
  <w:style w:type="paragraph" w:customStyle="1" w:styleId="67">
    <w:name w:val="标2"/>
    <w:basedOn w:val="1"/>
    <w:autoRedefine/>
    <w:qFormat/>
    <w:uiPriority w:val="0"/>
    <w:pPr>
      <w:numPr>
        <w:ilvl w:val="1"/>
        <w:numId w:val="1"/>
      </w:numPr>
      <w:adjustRightInd w:val="0"/>
      <w:snapToGrid w:val="0"/>
      <w:spacing w:beforeLines="50" w:afterLines="50"/>
      <w:ind w:left="2448"/>
      <w:outlineLvl w:val="1"/>
    </w:pPr>
    <w:rPr>
      <w:rFonts w:ascii="Arial Narrow" w:hAnsi="Arial Narrow" w:eastAsia="仿宋_GB2312"/>
      <w:b/>
      <w:kern w:val="0"/>
      <w:sz w:val="32"/>
      <w:szCs w:val="32"/>
    </w:rPr>
  </w:style>
  <w:style w:type="paragraph" w:customStyle="1" w:styleId="68">
    <w:name w:val="标3"/>
    <w:basedOn w:val="1"/>
    <w:autoRedefine/>
    <w:qFormat/>
    <w:uiPriority w:val="0"/>
    <w:pPr>
      <w:numPr>
        <w:ilvl w:val="2"/>
        <w:numId w:val="1"/>
      </w:numPr>
      <w:adjustRightInd w:val="0"/>
      <w:snapToGrid w:val="0"/>
      <w:spacing w:beforeLines="50"/>
      <w:ind w:left="2448"/>
      <w:outlineLvl w:val="2"/>
    </w:pPr>
    <w:rPr>
      <w:rFonts w:ascii="Arial Narrow" w:hAnsi="Arial Narrow" w:eastAsia="仿宋_GB2312"/>
      <w:sz w:val="32"/>
      <w:szCs w:val="32"/>
    </w:rPr>
  </w:style>
  <w:style w:type="paragraph" w:customStyle="1" w:styleId="69">
    <w:name w:val="标1"/>
    <w:basedOn w:val="1"/>
    <w:autoRedefine/>
    <w:qFormat/>
    <w:uiPriority w:val="0"/>
    <w:pPr>
      <w:widowControl/>
      <w:numPr>
        <w:ilvl w:val="0"/>
        <w:numId w:val="1"/>
      </w:numPr>
      <w:adjustRightInd w:val="0"/>
      <w:snapToGrid w:val="0"/>
      <w:spacing w:beforeLines="100" w:line="360" w:lineRule="auto"/>
      <w:ind w:left="2448"/>
      <w:jc w:val="left"/>
      <w:outlineLvl w:val="0"/>
    </w:pPr>
    <w:rPr>
      <w:rFonts w:ascii="Arial Narrow" w:hAnsi="Arial Narrow" w:eastAsia="仿宋_GB2312"/>
      <w:b/>
      <w:bCs/>
      <w:color w:val="FF0000"/>
      <w:spacing w:val="20"/>
      <w:sz w:val="32"/>
      <w:szCs w:val="32"/>
    </w:rPr>
  </w:style>
  <w:style w:type="paragraph" w:customStyle="1" w:styleId="70">
    <w:name w:val="CM17"/>
    <w:basedOn w:val="32"/>
    <w:next w:val="32"/>
    <w:unhideWhenUsed/>
    <w:qFormat/>
    <w:uiPriority w:val="99"/>
    <w:pPr>
      <w:spacing w:after="93" w:afterLines="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KWZB;</Company>
  <Pages>75</Pages>
  <Words>11508</Words>
  <Characters>12382</Characters>
  <Lines>87</Lines>
  <Paragraphs>95</Paragraphs>
  <TotalTime>32</TotalTime>
  <ScaleCrop>false</ScaleCrop>
  <LinksUpToDate>false</LinksUpToDate>
  <CharactersWithSpaces>12570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2023-09-05T10:47:00Z</dcterms:created>
  <dc:creator>KWZB</dc:creator>
  <cp:lastModifiedBy>櫻桃</cp:lastModifiedBy>
  <cp:lastPrinted>2025-12-03T01:46:00Z</cp:lastPrinted>
  <dcterms:modified xsi:type="dcterms:W3CDTF">2025-12-09T00:56:05Z</dcterms:modified>
  <dc:title>竞争性谈判文件规范</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D6275F723B1040ACA1A93F9B31997A1D_13</vt:lpwstr>
  </property>
  <property fmtid="{D5CDD505-2E9C-101B-9397-08002B2CF9AE}" pid="4" name="KSOTemplateDocerSaveRecord">
    <vt:lpwstr>eyJoZGlkIjoiMzYxZDBhNDk4YWQ4MzFjN2Q1NGQxYjU1MGRkYjRjNTQiLCJ1c2VySWQiOiIzNDI2ODgzNDQifQ==</vt:lpwstr>
  </property>
</Properties>
</file>